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80EDF48">
      <w:pPr>
        <w:keepNext w:val="0"/>
        <w:keepLines w:val="0"/>
        <w:pageBreakBefore w:val="0"/>
        <w:kinsoku/>
        <w:wordWrap/>
        <w:bidi w:val="0"/>
        <w:rPr>
          <w:rFonts w:hint="eastAsia" w:ascii="仿宋_GB2312" w:eastAsia="仿宋_GB2312"/>
          <w:color w:val="000000" w:themeColor="text1"/>
          <w:sz w:val="32"/>
          <w:szCs w:val="32"/>
          <w:highlight w:val="none"/>
          <w14:textFill>
            <w14:solidFill>
              <w14:schemeClr w14:val="tx1"/>
            </w14:solidFill>
          </w14:textFill>
        </w:rPr>
      </w:pPr>
      <w:bookmarkStart w:id="38" w:name="_GoBack"/>
      <w:bookmarkEnd w:id="38"/>
    </w:p>
    <w:p w14:paraId="3EE54A15">
      <w:pPr>
        <w:keepNext w:val="0"/>
        <w:keepLines w:val="0"/>
        <w:pageBreakBefore w:val="0"/>
        <w:kinsoku/>
        <w:wordWrap/>
        <w:bidi w:val="0"/>
        <w:jc w:val="center"/>
        <w:rPr>
          <w:rFonts w:hint="eastAsia"/>
          <w:color w:val="000000" w:themeColor="text1"/>
          <w:sz w:val="52"/>
          <w:szCs w:val="52"/>
          <w:highlight w:val="none"/>
          <w14:textFill>
            <w14:solidFill>
              <w14:schemeClr w14:val="tx1"/>
            </w14:solidFill>
          </w14:textFill>
        </w:rPr>
      </w:pPr>
      <w:r>
        <w:rPr>
          <w:rFonts w:hint="eastAsia" w:eastAsia="宋体"/>
          <w:color w:val="000000" w:themeColor="text1"/>
          <w:sz w:val="52"/>
          <w:szCs w:val="52"/>
          <w:highlight w:val="none"/>
          <w:lang w:eastAsia="zh-CN"/>
          <w14:textFill>
            <w14:solidFill>
              <w14:schemeClr w14:val="tx1"/>
            </w14:solidFill>
          </w14:textFill>
        </w:rPr>
        <w:drawing>
          <wp:inline distT="0" distB="0" distL="114300" distR="114300">
            <wp:extent cx="3264535" cy="3089910"/>
            <wp:effectExtent l="0" t="0" r="12065" b="15240"/>
            <wp:docPr id="1" name="图片 1" descr="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校徽"/>
                    <pic:cNvPicPr>
                      <a:picLocks noChangeAspect="1"/>
                    </pic:cNvPicPr>
                  </pic:nvPicPr>
                  <pic:blipFill>
                    <a:blip r:embed="rId7"/>
                    <a:stretch>
                      <a:fillRect/>
                    </a:stretch>
                  </pic:blipFill>
                  <pic:spPr>
                    <a:xfrm>
                      <a:off x="0" y="0"/>
                      <a:ext cx="3264535" cy="3089910"/>
                    </a:xfrm>
                    <a:prstGeom prst="rect">
                      <a:avLst/>
                    </a:prstGeom>
                    <a:noFill/>
                    <a:ln>
                      <a:noFill/>
                    </a:ln>
                  </pic:spPr>
                </pic:pic>
              </a:graphicData>
            </a:graphic>
          </wp:inline>
        </w:drawing>
      </w:r>
    </w:p>
    <w:p w14:paraId="05F435D9">
      <w:pPr>
        <w:keepNext w:val="0"/>
        <w:keepLines w:val="0"/>
        <w:pageBreakBefore w:val="0"/>
        <w:kinsoku/>
        <w:wordWrap/>
        <w:bidi w:val="0"/>
        <w:spacing w:line="1000" w:lineRule="exact"/>
        <w:jc w:val="center"/>
        <w:rPr>
          <w:rFonts w:hint="eastAsia" w:ascii="方正小标宋简体" w:hAnsi="方正小标宋简体" w:eastAsia="方正小标宋简体" w:cs="方正小标宋简体"/>
          <w:color w:val="000000" w:themeColor="text1"/>
          <w:kern w:val="0"/>
          <w:sz w:val="52"/>
          <w:szCs w:val="52"/>
          <w:highlight w:val="none"/>
          <w14:textFill>
            <w14:solidFill>
              <w14:schemeClr w14:val="tx1"/>
            </w14:solidFill>
          </w14:textFill>
        </w:rPr>
      </w:pPr>
      <w:r>
        <w:rPr>
          <w:rFonts w:hint="eastAsia" w:ascii="方正小标宋简体" w:hAnsi="方正小标宋简体" w:eastAsia="方正小标宋简体" w:cs="方正小标宋简体"/>
          <w:color w:val="000000" w:themeColor="text1"/>
          <w:sz w:val="52"/>
          <w:szCs w:val="52"/>
          <w:highlight w:val="none"/>
          <w14:textFill>
            <w14:solidFill>
              <w14:schemeClr w14:val="tx1"/>
            </w14:solidFill>
          </w14:textFill>
        </w:rPr>
        <w:t>广西工程职业学院</w:t>
      </w:r>
    </w:p>
    <w:p w14:paraId="62F14784">
      <w:pPr>
        <w:keepNext w:val="0"/>
        <w:keepLines w:val="0"/>
        <w:pageBreakBefore w:val="0"/>
        <w:kinsoku/>
        <w:wordWrap/>
        <w:bidi w:val="0"/>
        <w:spacing w:line="1000" w:lineRule="exact"/>
        <w:jc w:val="center"/>
        <w:rPr>
          <w:rFonts w:hint="eastAsia" w:ascii="方正小标宋简体" w:hAnsi="方正小标宋简体" w:eastAsia="方正小标宋简体" w:cs="方正小标宋简体"/>
          <w:color w:val="000000" w:themeColor="text1"/>
          <w:sz w:val="52"/>
          <w:szCs w:val="52"/>
          <w:highlight w:val="none"/>
          <w14:textFill>
            <w14:solidFill>
              <w14:schemeClr w14:val="tx1"/>
            </w14:solidFill>
          </w14:textFill>
        </w:rPr>
      </w:pPr>
      <w:r>
        <w:rPr>
          <w:rFonts w:hint="eastAsia" w:ascii="方正小标宋简体" w:hAnsi="方正小标宋简体" w:eastAsia="方正小标宋简体" w:cs="方正小标宋简体"/>
          <w:color w:val="000000" w:themeColor="text1"/>
          <w:sz w:val="52"/>
          <w:szCs w:val="52"/>
          <w:highlight w:val="none"/>
          <w14:textFill>
            <w14:solidFill>
              <w14:schemeClr w14:val="tx1"/>
            </w14:solidFill>
          </w14:textFill>
        </w:rPr>
        <w:t>职业教育质量报告</w:t>
      </w:r>
    </w:p>
    <w:p w14:paraId="3F1865B6">
      <w:pPr>
        <w:keepNext w:val="0"/>
        <w:keepLines w:val="0"/>
        <w:pageBreakBefore w:val="0"/>
        <w:kinsoku/>
        <w:wordWrap/>
        <w:bidi w:val="0"/>
        <w:spacing w:line="1000" w:lineRule="exact"/>
        <w:jc w:val="center"/>
        <w:rPr>
          <w:rFonts w:hint="eastAsia" w:ascii="方正小标宋简体" w:hAnsi="方正小标宋简体" w:eastAsia="方正小标宋简体" w:cs="方正小标宋简体"/>
          <w:color w:val="000000" w:themeColor="text1"/>
          <w:sz w:val="52"/>
          <w:szCs w:val="52"/>
          <w:highlight w:val="none"/>
          <w14:textFill>
            <w14:solidFill>
              <w14:schemeClr w14:val="tx1"/>
            </w14:solidFill>
          </w14:textFill>
        </w:rPr>
      </w:pPr>
      <w:r>
        <w:rPr>
          <w:rFonts w:hint="eastAsia" w:ascii="方正小标宋简体" w:hAnsi="方正小标宋简体" w:eastAsia="方正小标宋简体" w:cs="方正小标宋简体"/>
          <w:color w:val="000000" w:themeColor="text1"/>
          <w:sz w:val="52"/>
          <w:szCs w:val="52"/>
          <w:highlight w:val="none"/>
          <w14:textFill>
            <w14:solidFill>
              <w14:schemeClr w14:val="tx1"/>
            </w14:solidFill>
          </w14:textFill>
        </w:rPr>
        <w:t>（202</w:t>
      </w:r>
      <w:r>
        <w:rPr>
          <w:rFonts w:hint="eastAsia" w:ascii="方正小标宋简体" w:hAnsi="方正小标宋简体" w:eastAsia="方正小标宋简体" w:cs="方正小标宋简体"/>
          <w:color w:val="000000" w:themeColor="text1"/>
          <w:sz w:val="52"/>
          <w:szCs w:val="52"/>
          <w:highlight w:val="none"/>
          <w:lang w:val="en-US" w:eastAsia="zh-CN"/>
          <w14:textFill>
            <w14:solidFill>
              <w14:schemeClr w14:val="tx1"/>
            </w14:solidFill>
          </w14:textFill>
        </w:rPr>
        <w:t>5年度</w:t>
      </w:r>
      <w:r>
        <w:rPr>
          <w:rFonts w:hint="eastAsia" w:ascii="方正小标宋简体" w:hAnsi="方正小标宋简体" w:eastAsia="方正小标宋简体" w:cs="方正小标宋简体"/>
          <w:color w:val="000000" w:themeColor="text1"/>
          <w:sz w:val="52"/>
          <w:szCs w:val="52"/>
          <w:highlight w:val="none"/>
          <w14:textFill>
            <w14:solidFill>
              <w14:schemeClr w14:val="tx1"/>
            </w14:solidFill>
          </w14:textFill>
        </w:rPr>
        <w:t>）</w:t>
      </w:r>
    </w:p>
    <w:p w14:paraId="3448C66B">
      <w:pPr>
        <w:keepNext w:val="0"/>
        <w:keepLines w:val="0"/>
        <w:pageBreakBefore w:val="0"/>
        <w:kinsoku/>
        <w:wordWrap/>
        <w:bidi w:val="0"/>
        <w:rPr>
          <w:rFonts w:hint="eastAsia"/>
          <w:color w:val="000000" w:themeColor="text1"/>
          <w:sz w:val="52"/>
          <w:szCs w:val="52"/>
          <w:highlight w:val="none"/>
          <w14:textFill>
            <w14:solidFill>
              <w14:schemeClr w14:val="tx1"/>
            </w14:solidFill>
          </w14:textFill>
        </w:rPr>
      </w:pPr>
    </w:p>
    <w:p w14:paraId="3E2E6FF4">
      <w:pPr>
        <w:keepNext w:val="0"/>
        <w:keepLines w:val="0"/>
        <w:pageBreakBefore w:val="0"/>
        <w:kinsoku/>
        <w:wordWrap/>
        <w:bidi w:val="0"/>
        <w:rPr>
          <w:rFonts w:hint="eastAsia"/>
          <w:color w:val="000000" w:themeColor="text1"/>
          <w:sz w:val="52"/>
          <w:szCs w:val="52"/>
          <w:highlight w:val="none"/>
          <w14:textFill>
            <w14:solidFill>
              <w14:schemeClr w14:val="tx1"/>
            </w14:solidFill>
          </w14:textFill>
        </w:rPr>
      </w:pPr>
    </w:p>
    <w:p w14:paraId="599B6768">
      <w:pPr>
        <w:keepNext w:val="0"/>
        <w:keepLines w:val="0"/>
        <w:pageBreakBefore w:val="0"/>
        <w:kinsoku/>
        <w:wordWrap/>
        <w:bidi w:val="0"/>
        <w:rPr>
          <w:rFonts w:hint="eastAsia"/>
          <w:color w:val="000000" w:themeColor="text1"/>
          <w:sz w:val="52"/>
          <w:szCs w:val="52"/>
          <w:highlight w:val="none"/>
          <w14:textFill>
            <w14:solidFill>
              <w14:schemeClr w14:val="tx1"/>
            </w14:solidFill>
          </w14:textFill>
        </w:rPr>
      </w:pPr>
      <w:r>
        <w:rPr>
          <w:rFonts w:hint="eastAsia"/>
          <w:color w:val="000000" w:themeColor="text1"/>
          <w:sz w:val="52"/>
          <w:szCs w:val="52"/>
          <w:highlight w:val="none"/>
          <w14:textFill>
            <w14:solidFill>
              <w14:schemeClr w14:val="tx1"/>
            </w14:solidFill>
          </w14:textFill>
        </w:rPr>
        <w:t xml:space="preserve">          </w:t>
      </w:r>
    </w:p>
    <w:p w14:paraId="7C647728">
      <w:pPr>
        <w:keepNext w:val="0"/>
        <w:keepLines w:val="0"/>
        <w:pageBreakBefore w:val="0"/>
        <w:kinsoku/>
        <w:wordWrap/>
        <w:bidi w:val="0"/>
        <w:jc w:val="center"/>
        <w:rPr>
          <w:rFonts w:hint="eastAsia" w:ascii="仿宋_GB2312" w:eastAsia="仿宋_GB2312"/>
          <w:color w:val="000000" w:themeColor="text1"/>
          <w:sz w:val="36"/>
          <w:szCs w:val="36"/>
          <w:highlight w:val="none"/>
          <w14:textFill>
            <w14:solidFill>
              <w14:schemeClr w14:val="tx1"/>
            </w14:solidFill>
          </w14:textFill>
        </w:rPr>
      </w:pPr>
      <w:r>
        <w:rPr>
          <w:rFonts w:hint="eastAsia" w:ascii="方正小标宋简体" w:hAnsi="方正小标宋简体" w:eastAsia="方正小标宋简体" w:cs="方正小标宋简体"/>
          <w:color w:val="000000" w:themeColor="text1"/>
          <w:sz w:val="32"/>
          <w:szCs w:val="32"/>
          <w:highlight w:val="none"/>
          <w14:textFill>
            <w14:solidFill>
              <w14:schemeClr w14:val="tx1"/>
            </w14:solidFill>
          </w14:textFill>
        </w:rPr>
        <w:t>厚德博学     至材健行</w:t>
      </w:r>
    </w:p>
    <w:p w14:paraId="319A9038">
      <w:pPr>
        <w:keepNext w:val="0"/>
        <w:keepLines w:val="0"/>
        <w:pageBreakBefore w:val="0"/>
        <w:kinsoku/>
        <w:wordWrap/>
        <w:bidi w:val="0"/>
        <w:jc w:val="center"/>
        <w:rPr>
          <w:rFonts w:hint="eastAsia" w:ascii="仿宋" w:hAnsi="仿宋" w:eastAsia="仿宋" w:cs="仿宋"/>
          <w:color w:val="000000" w:themeColor="text1"/>
          <w:sz w:val="32"/>
          <w:szCs w:val="32"/>
          <w:highlight w:val="none"/>
          <w14:textFill>
            <w14:solidFill>
              <w14:schemeClr w14:val="tx1"/>
            </w14:solidFill>
          </w14:textFill>
        </w:rPr>
      </w:pPr>
      <w:r>
        <w:rPr>
          <w:rFonts w:hint="eastAsia" w:ascii="仿宋" w:hAnsi="仿宋" w:eastAsia="仿宋" w:cs="仿宋"/>
          <w:color w:val="000000" w:themeColor="text1"/>
          <w:sz w:val="32"/>
          <w:szCs w:val="32"/>
          <w:highlight w:val="none"/>
          <w14:textFill>
            <w14:solidFill>
              <w14:schemeClr w14:val="tx1"/>
            </w14:solidFill>
          </w14:textFill>
        </w:rPr>
        <w:t>202</w:t>
      </w:r>
      <w:r>
        <w:rPr>
          <w:rFonts w:hint="eastAsia" w:ascii="仿宋" w:hAnsi="仿宋" w:eastAsia="仿宋" w:cs="仿宋"/>
          <w:color w:val="000000" w:themeColor="text1"/>
          <w:sz w:val="32"/>
          <w:szCs w:val="32"/>
          <w:highlight w:val="none"/>
          <w:lang w:val="en-US" w:eastAsia="zh-CN"/>
          <w14:textFill>
            <w14:solidFill>
              <w14:schemeClr w14:val="tx1"/>
            </w14:solidFill>
          </w14:textFill>
        </w:rPr>
        <w:t>6</w:t>
      </w:r>
      <w:r>
        <w:rPr>
          <w:rFonts w:hint="eastAsia" w:ascii="仿宋" w:hAnsi="仿宋" w:eastAsia="仿宋" w:cs="仿宋"/>
          <w:color w:val="000000" w:themeColor="text1"/>
          <w:sz w:val="32"/>
          <w:szCs w:val="32"/>
          <w:highlight w:val="none"/>
          <w14:textFill>
            <w14:solidFill>
              <w14:schemeClr w14:val="tx1"/>
            </w14:solidFill>
          </w14:textFill>
        </w:rPr>
        <w:t>年1月</w:t>
      </w:r>
    </w:p>
    <w:p w14:paraId="236BC5B9">
      <w:pPr>
        <w:rPr>
          <w:rFonts w:hint="eastAsia" w:ascii="仿宋_GB2312" w:eastAsia="仿宋_GB2312"/>
          <w:color w:val="000000" w:themeColor="text1"/>
          <w:sz w:val="32"/>
          <w:szCs w:val="32"/>
          <w:highlight w:val="none"/>
          <w:lang w:val="en-US" w:eastAsia="zh-CN"/>
          <w14:textFill>
            <w14:solidFill>
              <w14:schemeClr w14:val="tx1"/>
            </w14:solidFill>
          </w14:textFill>
        </w:rPr>
      </w:pPr>
      <w:r>
        <w:rPr>
          <w:rFonts w:hint="eastAsia" w:ascii="仿宋_GB2312" w:eastAsia="仿宋_GB2312"/>
          <w:color w:val="000000" w:themeColor="text1"/>
          <w:sz w:val="32"/>
          <w:szCs w:val="32"/>
          <w:highlight w:val="none"/>
          <w:lang w:val="en-US" w:eastAsia="zh-CN"/>
          <w14:textFill>
            <w14:solidFill>
              <w14:schemeClr w14:val="tx1"/>
            </w14:solidFill>
          </w14:textFill>
        </w:rPr>
        <w:br w:type="page"/>
      </w:r>
    </w:p>
    <w:p w14:paraId="748BD074">
      <w:pPr>
        <w:pStyle w:val="2"/>
        <w:keepNext w:val="0"/>
        <w:keepLines w:val="0"/>
        <w:pageBreakBefore w:val="0"/>
        <w:widowControl w:val="0"/>
        <w:kinsoku/>
        <w:wordWrap/>
        <w:overflowPunct/>
        <w:topLinePunct w:val="0"/>
        <w:autoSpaceDE/>
        <w:autoSpaceDN/>
        <w:bidi w:val="0"/>
        <w:adjustRightInd/>
        <w:snapToGrid/>
        <w:spacing w:after="0" w:line="460" w:lineRule="exact"/>
        <w:ind w:left="0" w:leftChars="0" w:firstLine="0" w:firstLineChars="0"/>
        <w:jc w:val="center"/>
        <w:textAlignment w:val="baseline"/>
        <w:rPr>
          <w:rFonts w:hint="eastAsia" w:ascii="方正小标宋简体" w:hAnsi="方正小标宋简体" w:eastAsia="方正小标宋简体" w:cs="方正小标宋简体"/>
          <w:color w:val="000000" w:themeColor="text1"/>
          <w:sz w:val="44"/>
          <w:szCs w:val="44"/>
          <w:lang w:val="en-US" w:eastAsia="zh-CN"/>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lang w:val="en-US" w:eastAsia="zh-CN"/>
          <w14:textFill>
            <w14:solidFill>
              <w14:schemeClr w14:val="tx1"/>
            </w14:solidFill>
          </w14:textFill>
        </w:rPr>
        <w:t>前 言</w:t>
      </w:r>
    </w:p>
    <w:p w14:paraId="61ACE12C">
      <w:pPr>
        <w:pStyle w:val="2"/>
        <w:keepNext w:val="0"/>
        <w:keepLines w:val="0"/>
        <w:pageBreakBefore w:val="0"/>
        <w:widowControl w:val="0"/>
        <w:kinsoku/>
        <w:wordWrap/>
        <w:overflowPunct/>
        <w:topLinePunct w:val="0"/>
        <w:autoSpaceDE/>
        <w:autoSpaceDN/>
        <w:bidi w:val="0"/>
        <w:adjustRightInd/>
        <w:snapToGrid/>
        <w:spacing w:after="0" w:line="460" w:lineRule="exact"/>
        <w:ind w:left="0" w:leftChars="0" w:firstLine="0" w:firstLineChars="0"/>
        <w:jc w:val="both"/>
        <w:textAlignment w:val="baseline"/>
        <w:rPr>
          <w:rFonts w:hint="eastAsia" w:ascii="方正小标宋简体" w:hAnsi="方正小标宋简体" w:eastAsia="方正小标宋简体" w:cs="方正小标宋简体"/>
          <w:color w:val="000000" w:themeColor="text1"/>
          <w:sz w:val="44"/>
          <w:szCs w:val="44"/>
          <w:lang w:val="en-US" w:eastAsia="zh-CN"/>
          <w14:textFill>
            <w14:solidFill>
              <w14:schemeClr w14:val="tx1"/>
            </w14:solidFill>
          </w14:textFill>
        </w:rPr>
      </w:pPr>
    </w:p>
    <w:p w14:paraId="496DA80B">
      <w:pPr>
        <w:pStyle w:val="2"/>
        <w:keepNext w:val="0"/>
        <w:keepLines w:val="0"/>
        <w:pageBreakBefore w:val="0"/>
        <w:widowControl w:val="0"/>
        <w:kinsoku/>
        <w:wordWrap/>
        <w:overflowPunct/>
        <w:topLinePunct w:val="0"/>
        <w:autoSpaceDE/>
        <w:autoSpaceDN/>
        <w:bidi w:val="0"/>
        <w:adjustRightInd/>
        <w:snapToGrid/>
        <w:spacing w:after="0" w:line="460" w:lineRule="exact"/>
        <w:ind w:left="0" w:leftChars="0" w:firstLine="640" w:firstLineChars="200"/>
        <w:jc w:val="both"/>
        <w:textAlignment w:val="baseline"/>
        <w:rPr>
          <w:rFonts w:hint="eastAsia" w:ascii="仿宋_GB2312" w:hAnsi="仿宋_GB2312" w:eastAsia="仿宋_GB2312" w:cs="仿宋_GB2312"/>
          <w:color w:val="000000" w:themeColor="text1"/>
          <w:kern w:val="0"/>
          <w:sz w:val="32"/>
          <w:szCs w:val="32"/>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为全面总结广西工程</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职业学院</w:t>
      </w:r>
      <w:r>
        <w:rPr>
          <w:rFonts w:hint="eastAsia" w:ascii="仿宋_GB2312" w:hAnsi="仿宋_GB2312" w:eastAsia="仿宋_GB2312" w:cs="仿宋_GB2312"/>
          <w:color w:val="000000" w:themeColor="text1"/>
          <w:sz w:val="32"/>
          <w:szCs w:val="32"/>
          <w14:textFill>
            <w14:solidFill>
              <w14:schemeClr w14:val="tx1"/>
            </w14:solidFill>
          </w14:textFill>
        </w:rPr>
        <w:t>2025年教育教学质量状况，根据《自治区教育厅关于做好广西职业教育质量报告</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2025年度</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编制、发布和报送工作的通知》</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桂教职成</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文件要求，广西工程</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职业学院</w:t>
      </w:r>
      <w:r>
        <w:rPr>
          <w:rFonts w:hint="eastAsia" w:ascii="仿宋_GB2312" w:hAnsi="仿宋_GB2312" w:eastAsia="仿宋_GB2312" w:cs="仿宋_GB2312"/>
          <w:color w:val="000000" w:themeColor="text1"/>
          <w:kern w:val="0"/>
          <w:sz w:val="32"/>
          <w:szCs w:val="32"/>
          <w:highlight w:val="none"/>
          <w:lang w:val="en-US" w:eastAsia="zh-CN" w:bidi="ar-SA"/>
          <w14:textFill>
            <w14:solidFill>
              <w14:schemeClr w14:val="tx1"/>
            </w14:solidFill>
          </w14:textFill>
        </w:rPr>
        <w:t>组织编制了《广西工程职业学院职业教育质量报告（2025年度）》。</w:t>
      </w:r>
    </w:p>
    <w:p w14:paraId="5A851D10">
      <w:pPr>
        <w:pStyle w:val="2"/>
        <w:keepNext w:val="0"/>
        <w:keepLines w:val="0"/>
        <w:pageBreakBefore w:val="0"/>
        <w:widowControl w:val="0"/>
        <w:kinsoku/>
        <w:wordWrap/>
        <w:overflowPunct/>
        <w:topLinePunct w:val="0"/>
        <w:autoSpaceDE/>
        <w:autoSpaceDN/>
        <w:bidi w:val="0"/>
        <w:adjustRightInd/>
        <w:snapToGrid/>
        <w:spacing w:after="0" w:line="460" w:lineRule="exact"/>
        <w:ind w:left="0" w:leftChars="0"/>
        <w:jc w:val="both"/>
        <w:textAlignment w:val="baseline"/>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本报告以习近平新时代中国特色社会主义思想为指导，深入</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学习</w:t>
      </w:r>
      <w:r>
        <w:rPr>
          <w:rFonts w:hint="eastAsia" w:ascii="仿宋_GB2312" w:hAnsi="仿宋_GB2312" w:eastAsia="仿宋_GB2312" w:cs="仿宋_GB2312"/>
          <w:color w:val="000000" w:themeColor="text1"/>
          <w:sz w:val="32"/>
          <w:szCs w:val="32"/>
          <w14:textFill>
            <w14:solidFill>
              <w14:schemeClr w14:val="tx1"/>
            </w14:solidFill>
          </w14:textFill>
        </w:rPr>
        <w:t>贯彻党的二十大及二十届二中、三中、四中全会精神，全面落实全国全区教育大会部署要求，严格遵循教育部《关于做好中国职业教育质量报告</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2025年度</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编制、发布和报送工作的通知》</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教职成司函</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与自治区教育厅《做好广西职业教育质量报告</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2025年度</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编制、发布和报送工作的通知》</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桂教职成</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14:textFill>
            <w14:solidFill>
              <w14:schemeClr w14:val="tx1"/>
            </w14:solidFill>
          </w14:textFill>
        </w:rPr>
        <w:t>文件规定，立足学校办学实际，系统梳理年度发展成效。</w:t>
      </w:r>
    </w:p>
    <w:p w14:paraId="0A243A57">
      <w:pPr>
        <w:pStyle w:val="2"/>
        <w:keepNext w:val="0"/>
        <w:keepLines w:val="0"/>
        <w:pageBreakBefore w:val="0"/>
        <w:widowControl w:val="0"/>
        <w:kinsoku/>
        <w:wordWrap/>
        <w:overflowPunct/>
        <w:topLinePunct w:val="0"/>
        <w:autoSpaceDE/>
        <w:autoSpaceDN/>
        <w:bidi w:val="0"/>
        <w:adjustRightInd/>
        <w:snapToGrid/>
        <w:spacing w:after="0" w:line="460" w:lineRule="exact"/>
        <w:ind w:left="0" w:leftChars="0"/>
        <w:jc w:val="both"/>
        <w:textAlignment w:val="baseline"/>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学校高度重视报告编制工作，成立由校领导挂帅、</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教务处</w:t>
      </w:r>
      <w:r>
        <w:rPr>
          <w:rFonts w:hint="eastAsia" w:ascii="仿宋_GB2312" w:hAnsi="仿宋_GB2312" w:eastAsia="仿宋_GB2312" w:cs="仿宋_GB2312"/>
          <w:color w:val="000000" w:themeColor="text1"/>
          <w:sz w:val="32"/>
          <w:szCs w:val="32"/>
          <w14:textFill>
            <w14:solidFill>
              <w14:schemeClr w14:val="tx1"/>
            </w14:solidFill>
          </w14:textFill>
        </w:rPr>
        <w:t>牵头、各职能部门及教学单位协同参与的工作专班，坚持“数据真实、案例典型、特色鲜明”原则，全面统筹数据收集、内容撰写与审核修订工作。报告重点呈现学校在基本办学条件、人才培养改革、服务产业贡献、文化传承创新、交流合作、产教融合深化、发展保障强化及面临挑战与改进方向等八大领域的实践成果，力求全面、客观、精准地反映学校2025年职业教育办学全貌。</w:t>
      </w:r>
    </w:p>
    <w:p w14:paraId="1C8BD8BD">
      <w:pPr>
        <w:pStyle w:val="2"/>
        <w:keepNext w:val="0"/>
        <w:keepLines w:val="0"/>
        <w:pageBreakBefore w:val="0"/>
        <w:widowControl w:val="0"/>
        <w:kinsoku/>
        <w:wordWrap/>
        <w:overflowPunct/>
        <w:topLinePunct w:val="0"/>
        <w:autoSpaceDE/>
        <w:autoSpaceDN/>
        <w:bidi w:val="0"/>
        <w:adjustRightInd/>
        <w:snapToGrid/>
        <w:spacing w:after="0" w:line="460" w:lineRule="exact"/>
        <w:ind w:left="0" w:leftChars="0"/>
        <w:jc w:val="both"/>
        <w:textAlignment w:val="baseline"/>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一年来，广西工程</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职业学院</w:t>
      </w:r>
      <w:r>
        <w:rPr>
          <w:rFonts w:hint="eastAsia" w:ascii="仿宋_GB2312" w:hAnsi="仿宋_GB2312" w:eastAsia="仿宋_GB2312" w:cs="仿宋_GB2312"/>
          <w:color w:val="000000" w:themeColor="text1"/>
          <w:sz w:val="32"/>
          <w:szCs w:val="32"/>
          <w14:textFill>
            <w14:solidFill>
              <w14:schemeClr w14:val="tx1"/>
            </w14:solidFill>
          </w14:textFill>
        </w:rPr>
        <w:t>坚持不懈</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用习近平新时代中国特色社会主义思想凝心铸魂</w:t>
      </w:r>
      <w:r>
        <w:rPr>
          <w:rFonts w:hint="eastAsia" w:ascii="仿宋_GB2312" w:hAnsi="仿宋_GB2312" w:eastAsia="仿宋_GB2312" w:cs="仿宋_GB2312"/>
          <w:color w:val="000000" w:themeColor="text1"/>
          <w:sz w:val="32"/>
          <w:szCs w:val="32"/>
          <w14:textFill>
            <w14:solidFill>
              <w14:schemeClr w14:val="tx1"/>
            </w14:solidFill>
          </w14:textFill>
        </w:rPr>
        <w:t>，</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落实</w:t>
      </w:r>
      <w:r>
        <w:rPr>
          <w:rFonts w:hint="eastAsia" w:ascii="仿宋_GB2312" w:hAnsi="仿宋_GB2312" w:eastAsia="仿宋_GB2312" w:cs="仿宋_GB2312"/>
          <w:color w:val="000000" w:themeColor="text1"/>
          <w:sz w:val="32"/>
          <w:szCs w:val="32"/>
          <w14:textFill>
            <w14:solidFill>
              <w14:schemeClr w14:val="tx1"/>
            </w14:solidFill>
          </w14:textFill>
        </w:rPr>
        <w:t>立德树人根本任务，持续提升教育教学、师资队伍建设、学生管理及行政管理水平，持续提升专业建设质量，积极创新教学融合模式，以育人质量提质、专业培优、服务能力增值等实绩为支撑，推动学校高质量发展取得阶段性成效。</w:t>
      </w:r>
    </w:p>
    <w:p w14:paraId="171296FD">
      <w:pPr>
        <w:keepNext w:val="0"/>
        <w:keepLines w:val="0"/>
        <w:pageBreakBefore w:val="0"/>
        <w:widowControl w:val="0"/>
        <w:kinsoku/>
        <w:wordWrap/>
        <w:overflowPunct/>
        <w:topLinePunct w:val="0"/>
        <w:autoSpaceDE/>
        <w:autoSpaceDN/>
        <w:bidi w:val="0"/>
        <w:adjustRightInd/>
        <w:snapToGrid/>
        <w:spacing w:line="460" w:lineRule="exact"/>
        <w:rPr>
          <w:rFonts w:hint="eastAsia"/>
          <w:color w:val="000000" w:themeColor="text1"/>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br w:type="page"/>
      </w:r>
    </w:p>
    <w:p w14:paraId="6D2D5C79">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000000" w:themeColor="text1"/>
          <w:sz w:val="44"/>
          <w:szCs w:val="44"/>
          <w:highlight w:val="none"/>
          <w:lang w:val="en-US" w:eastAsia="zh-CN"/>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highlight w:val="none"/>
          <w:lang w:val="en-US" w:eastAsia="zh-CN"/>
          <w14:textFill>
            <w14:solidFill>
              <w14:schemeClr w14:val="tx1"/>
            </w14:solidFill>
          </w14:textFill>
        </w:rPr>
        <w:t>目  录</w:t>
      </w:r>
    </w:p>
    <w:p w14:paraId="10AFED0E">
      <w:pPr>
        <w:pStyle w:val="9"/>
        <w:kinsoku/>
        <w:overflowPunct w:val="0"/>
        <w:spacing w:before="0" w:line="560" w:lineRule="exact"/>
        <w:ind w:left="0" w:firstLine="628" w:firstLineChars="200"/>
        <w:jc w:val="both"/>
        <w:outlineLvl w:val="1"/>
        <w:rPr>
          <w:rFonts w:hint="eastAsia" w:ascii="Times New Roman" w:hAnsi="Times New Roman" w:eastAsia="仿宋" w:cs="仿宋"/>
          <w:b w:val="0"/>
          <w:bCs w:val="0"/>
          <w:color w:val="000000" w:themeColor="text1"/>
          <w:spacing w:val="-3"/>
          <w:kern w:val="0"/>
          <w:sz w:val="32"/>
          <w:szCs w:val="32"/>
          <w:highlight w:val="none"/>
          <w:lang w:eastAsia="zh-CN"/>
          <w14:textFill>
            <w14:solidFill>
              <w14:schemeClr w14:val="tx1"/>
            </w14:solidFill>
          </w14:textFill>
        </w:rPr>
      </w:pPr>
    </w:p>
    <w:p w14:paraId="46D6DC64">
      <w:pPr>
        <w:pStyle w:val="9"/>
        <w:keepNext w:val="0"/>
        <w:keepLines w:val="0"/>
        <w:pageBreakBefore w:val="0"/>
        <w:tabs>
          <w:tab w:val="right" w:leader="dot" w:pos="8820"/>
        </w:tabs>
        <w:kinsoku/>
        <w:wordWrap/>
        <w:overflowPunct w:val="0"/>
        <w:topLinePunct w:val="0"/>
        <w:bidi w:val="0"/>
        <w:spacing w:before="0" w:line="520" w:lineRule="exact"/>
        <w:jc w:val="both"/>
        <w:outlineLvl w:val="1"/>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1</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学校概况</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1</w:t>
      </w:r>
    </w:p>
    <w:p w14:paraId="5A61E751">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1.1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基本情况</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1</w:t>
      </w:r>
    </w:p>
    <w:p w14:paraId="67035685">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1.2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专业设置</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2</w:t>
      </w:r>
    </w:p>
    <w:p w14:paraId="3FB0D6FC">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1.3</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师资队伍</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3</w:t>
      </w:r>
    </w:p>
    <w:p w14:paraId="205FDCAC">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1.4</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学生规模</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4</w:t>
      </w:r>
    </w:p>
    <w:p w14:paraId="0C50F6EA">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1.5</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办学条件</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w:t>
      </w:r>
    </w:p>
    <w:p w14:paraId="4A69134D">
      <w:pPr>
        <w:pStyle w:val="9"/>
        <w:keepNext w:val="0"/>
        <w:keepLines w:val="0"/>
        <w:pageBreakBefore w:val="0"/>
        <w:tabs>
          <w:tab w:val="right" w:leader="dot" w:pos="8820"/>
        </w:tabs>
        <w:kinsoku/>
        <w:wordWrap/>
        <w:overflowPunct w:val="0"/>
        <w:topLinePunct w:val="0"/>
        <w:bidi w:val="0"/>
        <w:spacing w:before="0" w:line="520" w:lineRule="exact"/>
        <w:jc w:val="both"/>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2</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人才培养</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5</w:t>
      </w:r>
    </w:p>
    <w:p w14:paraId="274FAE59">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1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立德树人</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w:t>
      </w:r>
    </w:p>
    <w:p w14:paraId="15AD9363">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2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专业建设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14</w:t>
      </w:r>
    </w:p>
    <w:p w14:paraId="17175ACD">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3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课程建设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16</w:t>
      </w:r>
    </w:p>
    <w:p w14:paraId="151413D7">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4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教材建设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17</w:t>
      </w:r>
    </w:p>
    <w:p w14:paraId="3324824A">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5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师资建设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18</w:t>
      </w:r>
    </w:p>
    <w:p w14:paraId="31DB9965">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6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实训基地建设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24</w:t>
      </w:r>
    </w:p>
    <w:p w14:paraId="1F0AE062">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7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技能成长</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24</w:t>
      </w:r>
    </w:p>
    <w:p w14:paraId="2A57030D">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8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多样成长</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31</w:t>
      </w:r>
    </w:p>
    <w:p w14:paraId="45D3C9C6">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9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学生发展</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44</w:t>
      </w:r>
    </w:p>
    <w:p w14:paraId="7B90DA84">
      <w:pPr>
        <w:pStyle w:val="9"/>
        <w:keepNext w:val="0"/>
        <w:keepLines w:val="0"/>
        <w:pageBreakBefore w:val="0"/>
        <w:tabs>
          <w:tab w:val="right" w:leader="dot" w:pos="8820"/>
        </w:tabs>
        <w:kinsoku/>
        <w:wordWrap/>
        <w:overflowPunct w:val="0"/>
        <w:topLinePunct w:val="0"/>
        <w:bidi w:val="0"/>
        <w:spacing w:before="0" w:line="520" w:lineRule="exact"/>
        <w:jc w:val="both"/>
        <w:outlineLvl w:val="1"/>
        <w:rPr>
          <w:rFonts w:hint="default"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3</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服务贡献</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52</w:t>
      </w:r>
    </w:p>
    <w:p w14:paraId="44C9CD40">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3.1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服务国家战略</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52</w:t>
      </w:r>
    </w:p>
    <w:p w14:paraId="6ACAC72C">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3.2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服务行业企业</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52</w:t>
      </w:r>
    </w:p>
    <w:p w14:paraId="5F336968">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3.3</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服务地方发展</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54</w:t>
      </w:r>
    </w:p>
    <w:p w14:paraId="59460A61">
      <w:pPr>
        <w:pStyle w:val="9"/>
        <w:keepNext w:val="0"/>
        <w:keepLines w:val="0"/>
        <w:pageBreakBefore w:val="0"/>
        <w:tabs>
          <w:tab w:val="right" w:leader="dot" w:pos="8820"/>
        </w:tabs>
        <w:kinsoku/>
        <w:wordWrap/>
        <w:overflowPunct w:val="0"/>
        <w:topLinePunct w:val="0"/>
        <w:bidi w:val="0"/>
        <w:spacing w:before="0" w:line="520" w:lineRule="exact"/>
        <w:ind w:left="0" w:firstLine="0" w:firstLineChars="0"/>
        <w:jc w:val="both"/>
        <w:outlineLvl w:val="1"/>
        <w:rPr>
          <w:rFonts w:hint="default"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4</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文化传承</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55</w:t>
      </w:r>
    </w:p>
    <w:p w14:paraId="630433B7">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4.1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工匠精神</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55</w:t>
      </w:r>
    </w:p>
    <w:p w14:paraId="58285E7C">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4.2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红色文化</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55</w:t>
      </w:r>
    </w:p>
    <w:p w14:paraId="55B98384">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4.3</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中华优秀传统文化</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61</w:t>
      </w:r>
    </w:p>
    <w:p w14:paraId="063F6754">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4.4</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校园文化和地方文化</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64</w:t>
      </w:r>
    </w:p>
    <w:p w14:paraId="0298C261">
      <w:pPr>
        <w:pStyle w:val="9"/>
        <w:keepNext w:val="0"/>
        <w:keepLines w:val="0"/>
        <w:pageBreakBefore w:val="0"/>
        <w:tabs>
          <w:tab w:val="right" w:leader="dot" w:pos="8820"/>
        </w:tabs>
        <w:kinsoku/>
        <w:wordWrap/>
        <w:overflowPunct w:val="0"/>
        <w:topLinePunct w:val="0"/>
        <w:bidi w:val="0"/>
        <w:spacing w:before="0" w:line="520" w:lineRule="exact"/>
        <w:ind w:left="0" w:firstLine="0" w:firstLineChars="0"/>
        <w:jc w:val="both"/>
        <w:outlineLvl w:val="1"/>
        <w:rPr>
          <w:rFonts w:hint="default"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5</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国际合作</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71</w:t>
      </w:r>
    </w:p>
    <w:p w14:paraId="5A884F54">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5.1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留学生培养</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71</w:t>
      </w:r>
    </w:p>
    <w:p w14:paraId="317DD9DD">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5.2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合作办学</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71</w:t>
      </w:r>
    </w:p>
    <w:p w14:paraId="4E08D0C9">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5.3</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资源输出</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71</w:t>
      </w:r>
    </w:p>
    <w:p w14:paraId="67BB33D0">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5.4</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国际交流</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72</w:t>
      </w:r>
    </w:p>
    <w:p w14:paraId="7ACD3E96">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5.5</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服务“一带一路”</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72</w:t>
      </w:r>
    </w:p>
    <w:p w14:paraId="6AA4B373">
      <w:pPr>
        <w:pStyle w:val="9"/>
        <w:keepNext w:val="0"/>
        <w:keepLines w:val="0"/>
        <w:pageBreakBefore w:val="0"/>
        <w:tabs>
          <w:tab w:val="right" w:leader="dot" w:pos="8820"/>
        </w:tabs>
        <w:kinsoku/>
        <w:wordWrap/>
        <w:overflowPunct w:val="0"/>
        <w:topLinePunct w:val="0"/>
        <w:bidi w:val="0"/>
        <w:spacing w:before="0" w:line="520" w:lineRule="exact"/>
        <w:ind w:left="0" w:firstLine="0" w:firstLineChars="0"/>
        <w:jc w:val="both"/>
        <w:outlineLvl w:val="1"/>
        <w:rPr>
          <w:rFonts w:hint="default"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6</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产教融合</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73</w:t>
      </w:r>
    </w:p>
    <w:p w14:paraId="76A7715C">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6.1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机制建设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73</w:t>
      </w:r>
    </w:p>
    <w:p w14:paraId="7361F616">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6.2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资源</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建设</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73</w:t>
      </w:r>
    </w:p>
    <w:p w14:paraId="4F5CD1CF">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6.3</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协同育人</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74</w:t>
      </w:r>
    </w:p>
    <w:p w14:paraId="56E9012B">
      <w:pPr>
        <w:pStyle w:val="9"/>
        <w:keepNext w:val="0"/>
        <w:keepLines w:val="0"/>
        <w:pageBreakBefore w:val="0"/>
        <w:tabs>
          <w:tab w:val="right" w:leader="dot" w:pos="8820"/>
        </w:tabs>
        <w:kinsoku/>
        <w:wordWrap/>
        <w:overflowPunct w:val="0"/>
        <w:topLinePunct w:val="0"/>
        <w:bidi w:val="0"/>
        <w:spacing w:before="0" w:line="520" w:lineRule="exact"/>
        <w:ind w:left="0" w:firstLine="0" w:firstLineChars="0"/>
        <w:jc w:val="both"/>
        <w:outlineLvl w:val="1"/>
        <w:rPr>
          <w:rFonts w:hint="default"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7</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发展保障</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74</w:t>
      </w:r>
    </w:p>
    <w:p w14:paraId="12ACF282">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7.1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党建引领</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75</w:t>
      </w:r>
    </w:p>
    <w:p w14:paraId="01B298DE">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7.</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2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政策落实</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81</w:t>
      </w:r>
    </w:p>
    <w:p w14:paraId="19204DFF">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7.</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3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专项实施</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84</w:t>
      </w:r>
    </w:p>
    <w:p w14:paraId="07AEAD80">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7.</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4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质量保证</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86</w:t>
      </w:r>
    </w:p>
    <w:p w14:paraId="2E74FDAC">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ind w:left="0" w:firstLine="0" w:firstLineChars="0"/>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7.</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5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经费保障</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87</w:t>
      </w:r>
    </w:p>
    <w:p w14:paraId="4F81A68E">
      <w:pPr>
        <w:pStyle w:val="9"/>
        <w:keepNext w:val="0"/>
        <w:keepLines w:val="0"/>
        <w:pageBreakBefore w:val="0"/>
        <w:tabs>
          <w:tab w:val="right" w:leader="dot" w:pos="8820"/>
        </w:tabs>
        <w:kinsoku/>
        <w:wordWrap/>
        <w:overflowPunct w:val="0"/>
        <w:topLinePunct w:val="0"/>
        <w:bidi w:val="0"/>
        <w:spacing w:before="0" w:line="520" w:lineRule="exact"/>
        <w:ind w:left="0" w:firstLine="0" w:firstLineChars="0"/>
        <w:jc w:val="both"/>
        <w:outlineLvl w:val="1"/>
        <w:rPr>
          <w:rFonts w:hint="default"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8</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3"/>
          <w:kern w:val="0"/>
          <w:sz w:val="32"/>
          <w:szCs w:val="32"/>
          <w:highlight w:val="none"/>
          <w:lang w:eastAsia="zh-CN"/>
          <w14:textFill>
            <w14:solidFill>
              <w14:schemeClr w14:val="tx1"/>
            </w14:solidFill>
          </w14:textFill>
        </w:rPr>
        <w:t>面临挑战</w:t>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3"/>
          <w:kern w:val="0"/>
          <w:sz w:val="32"/>
          <w:szCs w:val="32"/>
          <w:highlight w:val="none"/>
          <w:lang w:val="en-US" w:eastAsia="zh-CN"/>
          <w14:textFill>
            <w14:solidFill>
              <w14:schemeClr w14:val="tx1"/>
            </w14:solidFill>
          </w14:textFill>
        </w:rPr>
        <w:t>87</w:t>
      </w:r>
    </w:p>
    <w:p w14:paraId="17A9E884">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8.1</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面临挑战</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87</w:t>
      </w:r>
    </w:p>
    <w:p w14:paraId="55DED1EB">
      <w:pPr>
        <w:pStyle w:val="9"/>
        <w:keepNext w:val="0"/>
        <w:keepLines w:val="0"/>
        <w:pageBreakBefore w:val="0"/>
        <w:widowControl/>
        <w:tabs>
          <w:tab w:val="right" w:leader="dot" w:pos="8820"/>
        </w:tabs>
        <w:kinsoku/>
        <w:wordWrap/>
        <w:overflowPunct w:val="0"/>
        <w:topLinePunct w:val="0"/>
        <w:autoSpaceDE w:val="0"/>
        <w:autoSpaceDN w:val="0"/>
        <w:bidi w:val="0"/>
        <w:adjustRightInd w:val="0"/>
        <w:snapToGrid w:val="0"/>
        <w:spacing w:before="0" w:line="520" w:lineRule="exact"/>
        <w:jc w:val="both"/>
        <w:textAlignment w:val="baseline"/>
        <w:rPr>
          <w:rFonts w:hint="default"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sectPr>
          <w:footerReference r:id="rId3" w:type="default"/>
          <w:pgSz w:w="11900" w:h="16840"/>
          <w:pgMar w:top="2098" w:right="1474" w:bottom="1984" w:left="1587" w:header="850" w:footer="1559" w:gutter="0"/>
          <w:cols w:space="720" w:num="1"/>
          <w:rtlGutter w:val="0"/>
          <w:docGrid w:linePitch="1" w:charSpace="0"/>
        </w:sectPr>
      </w:pP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8.2</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color w:val="000000" w:themeColor="text1"/>
          <w:spacing w:val="2"/>
          <w:kern w:val="0"/>
          <w:sz w:val="32"/>
          <w:szCs w:val="32"/>
          <w:highlight w:val="none"/>
          <w:lang w:eastAsia="zh-CN"/>
          <w14:textFill>
            <w14:solidFill>
              <w14:schemeClr w14:val="tx1"/>
            </w14:solidFill>
          </w14:textFill>
        </w:rPr>
        <w:t>原因分析及举措</w:t>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pacing w:val="2"/>
          <w:kern w:val="0"/>
          <w:sz w:val="32"/>
          <w:szCs w:val="32"/>
          <w:highlight w:val="none"/>
          <w:lang w:val="en-US" w:eastAsia="zh-CN"/>
          <w14:textFill>
            <w14:solidFill>
              <w14:schemeClr w14:val="tx1"/>
            </w14:solidFill>
          </w14:textFill>
        </w:rPr>
        <w:t>88</w:t>
      </w:r>
    </w:p>
    <w:p w14:paraId="3E0BE816">
      <w:pPr>
        <w:keepNext w:val="0"/>
        <w:keepLines w:val="0"/>
        <w:pageBreakBefore w:val="0"/>
        <w:widowControl w:val="0"/>
        <w:tabs>
          <w:tab w:val="right" w:leader="dot" w:pos="8820"/>
        </w:tabs>
        <w:kinsoku/>
        <w:wordWrap/>
        <w:overflowPunct/>
        <w:topLinePunct w:val="0"/>
        <w:autoSpaceDE/>
        <w:autoSpaceDN/>
        <w:bidi w:val="0"/>
        <w:adjustRightInd/>
        <w:snapToGrid/>
        <w:spacing w:line="560" w:lineRule="exact"/>
        <w:jc w:val="center"/>
        <w:textAlignment w:val="auto"/>
        <w:rPr>
          <w:rFonts w:hint="eastAsia" w:ascii="方正小标宋简体" w:hAnsi="方正小标宋简体" w:eastAsia="方正小标宋简体" w:cs="方正小标宋简体"/>
          <w:color w:val="000000" w:themeColor="text1"/>
          <w:sz w:val="44"/>
          <w:szCs w:val="44"/>
          <w:highlight w:val="none"/>
          <w:lang w:val="en-US" w:eastAsia="zh-CN"/>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highlight w:val="none"/>
          <w:lang w:val="en-US" w:eastAsia="zh-CN"/>
          <w14:textFill>
            <w14:solidFill>
              <w14:schemeClr w14:val="tx1"/>
            </w14:solidFill>
          </w14:textFill>
        </w:rPr>
        <w:t>表 目 录</w:t>
      </w:r>
    </w:p>
    <w:p w14:paraId="6AA9B64A">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p>
    <w:p w14:paraId="55AC4D0B">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表1 学校专业设置情况一览表</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2</w:t>
      </w:r>
    </w:p>
    <w:p w14:paraId="1EC2B8DB">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表2 </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校内</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专任教师学历结构</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3</w:t>
      </w:r>
    </w:p>
    <w:p w14:paraId="3C4760E3">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3 校内</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专任教师职称结构</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3</w:t>
      </w:r>
    </w:p>
    <w:p w14:paraId="24EE5E7E">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表4</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专任教师年龄结构</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4</w:t>
      </w:r>
    </w:p>
    <w:p w14:paraId="357F8DC1">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表5 在校生情况一览表</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4</w:t>
      </w:r>
    </w:p>
    <w:p w14:paraId="6EEF2236">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jc w:val="both"/>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表6 学校专业群设置一览表</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14</w:t>
      </w:r>
    </w:p>
    <w:p w14:paraId="51FFA2D2">
      <w:pPr>
        <w:pStyle w:val="9"/>
        <w:keepNext w:val="0"/>
        <w:keepLines w:val="0"/>
        <w:pageBreakBefore w:val="0"/>
        <w:tabs>
          <w:tab w:val="right" w:leader="dot" w:pos="8820"/>
        </w:tabs>
        <w:kinsoku/>
        <w:wordWrap/>
        <w:topLinePunct w:val="0"/>
        <w:bidi w:val="0"/>
        <w:spacing w:line="520" w:lineRule="exact"/>
        <w:jc w:val="both"/>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表7 2024-205学年学生在各类竞赛中部分获奖情况</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29</w:t>
      </w:r>
    </w:p>
    <w:p w14:paraId="4A6E6B60">
      <w:pPr>
        <w:keepNext w:val="0"/>
        <w:keepLines w:val="0"/>
        <w:pageBreakBefore w:val="0"/>
        <w:widowControl w:val="0"/>
        <w:tabs>
          <w:tab w:val="right" w:leader="dot" w:pos="8820"/>
        </w:tabs>
        <w:kinsoku/>
        <w:wordWrap/>
        <w:overflowPunct/>
        <w:topLinePunct w:val="0"/>
        <w:autoSpaceDE/>
        <w:autoSpaceDN/>
        <w:bidi w:val="0"/>
        <w:adjustRightInd/>
        <w:snapToGrid/>
        <w:spacing w:line="560" w:lineRule="exact"/>
        <w:jc w:val="both"/>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宋体" w:eastAsia="仿宋_GB2312"/>
          <w:b w:val="0"/>
          <w:bCs w:val="0"/>
          <w:color w:val="000000" w:themeColor="text1"/>
          <w:sz w:val="32"/>
          <w:szCs w:val="32"/>
          <w:highlight w:val="none"/>
          <w14:textFill>
            <w14:solidFill>
              <w14:schemeClr w14:val="tx1"/>
            </w14:solidFill>
          </w14:textFill>
        </w:rPr>
        <w:t>表</w:t>
      </w:r>
      <w:r>
        <w:rPr>
          <w:rFonts w:hint="eastAsia" w:ascii="仿宋_GB2312" w:hAnsi="宋体" w:eastAsia="仿宋_GB2312"/>
          <w:b w:val="0"/>
          <w:bCs w:val="0"/>
          <w:color w:val="000000" w:themeColor="text1"/>
          <w:sz w:val="32"/>
          <w:szCs w:val="32"/>
          <w:highlight w:val="none"/>
          <w:lang w:val="en-US" w:eastAsia="zh-CN"/>
          <w14:textFill>
            <w14:solidFill>
              <w14:schemeClr w14:val="tx1"/>
            </w14:solidFill>
          </w14:textFill>
        </w:rPr>
        <w:t xml:space="preserve">8 </w:t>
      </w:r>
      <w:r>
        <w:rPr>
          <w:rFonts w:hint="eastAsia" w:ascii="仿宋_GB2312" w:hAnsi="宋体" w:eastAsia="仿宋_GB2312"/>
          <w:b w:val="0"/>
          <w:bCs w:val="0"/>
          <w:color w:val="000000" w:themeColor="text1"/>
          <w:sz w:val="32"/>
          <w:szCs w:val="32"/>
          <w:highlight w:val="none"/>
          <w:lang w:eastAsia="zh-CN"/>
          <w14:textFill>
            <w14:solidFill>
              <w14:schemeClr w14:val="tx1"/>
            </w14:solidFill>
          </w14:textFill>
        </w:rPr>
        <w:t>202</w:t>
      </w:r>
      <w:r>
        <w:rPr>
          <w:rFonts w:hint="eastAsia" w:ascii="仿宋_GB2312" w:hAnsi="宋体" w:eastAsia="仿宋_GB2312"/>
          <w:b w:val="0"/>
          <w:bCs w:val="0"/>
          <w:color w:val="000000" w:themeColor="text1"/>
          <w:sz w:val="32"/>
          <w:szCs w:val="32"/>
          <w:highlight w:val="none"/>
          <w:lang w:val="en-US" w:eastAsia="zh-CN"/>
          <w14:textFill>
            <w14:solidFill>
              <w14:schemeClr w14:val="tx1"/>
            </w14:solidFill>
          </w14:textFill>
        </w:rPr>
        <w:t>5</w:t>
      </w:r>
      <w:r>
        <w:rPr>
          <w:rFonts w:hint="eastAsia" w:ascii="仿宋_GB2312" w:hAnsi="宋体" w:eastAsia="仿宋_GB2312"/>
          <w:b w:val="0"/>
          <w:bCs w:val="0"/>
          <w:color w:val="000000" w:themeColor="text1"/>
          <w:sz w:val="32"/>
          <w:szCs w:val="32"/>
          <w:highlight w:val="none"/>
          <w:lang w:eastAsia="zh-CN"/>
          <w14:textFill>
            <w14:solidFill>
              <w14:schemeClr w14:val="tx1"/>
            </w14:solidFill>
          </w14:textFill>
        </w:rPr>
        <w:t>届毕业生</w:t>
      </w:r>
      <w:r>
        <w:rPr>
          <w:rFonts w:hint="eastAsia" w:ascii="仿宋_GB2312" w:hAnsi="宋体" w:eastAsia="仿宋_GB2312"/>
          <w:b w:val="0"/>
          <w:bCs w:val="0"/>
          <w:color w:val="000000" w:themeColor="text1"/>
          <w:sz w:val="32"/>
          <w:szCs w:val="32"/>
          <w:highlight w:val="none"/>
          <w:lang w:val="zh-CN" w:eastAsia="zh-CN"/>
          <w14:textFill>
            <w14:solidFill>
              <w14:schemeClr w14:val="tx1"/>
            </w14:solidFill>
          </w14:textFill>
        </w:rPr>
        <w:t>初次毕业去向落实率</w:t>
      </w:r>
      <w:r>
        <w:rPr>
          <w:rFonts w:hint="eastAsia" w:ascii="仿宋_GB2312" w:hAnsi="宋体" w:eastAsia="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宋体" w:eastAsia="仿宋_GB2312"/>
          <w:b w:val="0"/>
          <w:bCs w:val="0"/>
          <w:color w:val="000000" w:themeColor="text1"/>
          <w:sz w:val="32"/>
          <w:szCs w:val="32"/>
          <w:highlight w:val="none"/>
          <w:lang w:val="en-US" w:eastAsia="zh-CN"/>
          <w14:textFill>
            <w14:solidFill>
              <w14:schemeClr w14:val="tx1"/>
            </w14:solidFill>
          </w14:textFill>
        </w:rPr>
        <w:t>46</w:t>
      </w:r>
    </w:p>
    <w:p w14:paraId="371D624C">
      <w:pPr>
        <w:keepNext w:val="0"/>
        <w:keepLines w:val="0"/>
        <w:pageBreakBefore w:val="0"/>
        <w:widowControl w:val="0"/>
        <w:tabs>
          <w:tab w:val="right" w:leader="dot" w:pos="8820"/>
        </w:tabs>
        <w:kinsoku/>
        <w:wordWrap/>
        <w:overflowPunct/>
        <w:topLinePunct w:val="0"/>
        <w:autoSpaceDE/>
        <w:autoSpaceDN/>
        <w:bidi w:val="0"/>
        <w:adjustRightInd/>
        <w:snapToGrid/>
        <w:spacing w:line="560" w:lineRule="exact"/>
        <w:jc w:val="both"/>
        <w:textAlignment w:val="auto"/>
        <w:rPr>
          <w:rFonts w:hint="default"/>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表</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 xml:space="preserve">9 </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202</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届毕业生分科类毕业去向落实率</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47</w:t>
      </w:r>
    </w:p>
    <w:p w14:paraId="45606325">
      <w:pPr>
        <w:keepNext w:val="0"/>
        <w:keepLines w:val="0"/>
        <w:pageBreakBefore w:val="0"/>
        <w:widowControl w:val="0"/>
        <w:tabs>
          <w:tab w:val="right" w:leader="dot" w:pos="8820"/>
        </w:tabs>
        <w:kinsoku/>
        <w:wordWrap/>
        <w:overflowPunct/>
        <w:topLinePunct w:val="0"/>
        <w:autoSpaceDE/>
        <w:autoSpaceDN/>
        <w:bidi w:val="0"/>
        <w:adjustRightInd/>
        <w:snapToGrid/>
        <w:jc w:val="both"/>
        <w:textAlignment w:val="auto"/>
        <w:rPr>
          <w:rFonts w:hint="default"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表</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 xml:space="preserve">10 </w:t>
      </w: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202</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5</w:t>
      </w: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届毕业生专业毕业去向落实率</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48</w:t>
      </w:r>
    </w:p>
    <w:p w14:paraId="4488EFAD">
      <w:pPr>
        <w:keepNext w:val="0"/>
        <w:keepLines w:val="0"/>
        <w:pageBreakBefore w:val="0"/>
        <w:widowControl w:val="0"/>
        <w:tabs>
          <w:tab w:val="right" w:leader="dot" w:pos="8820"/>
        </w:tabs>
        <w:kinsoku/>
        <w:wordWrap/>
        <w:overflowPunct/>
        <w:topLinePunct w:val="0"/>
        <w:autoSpaceDE/>
        <w:autoSpaceDN/>
        <w:bidi w:val="0"/>
        <w:adjustRightInd/>
        <w:snapToGrid/>
        <w:spacing w:line="560" w:lineRule="exact"/>
        <w:jc w:val="both"/>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表</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 xml:space="preserve">11 </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202</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届毕业生毕业去向分布</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49</w:t>
      </w:r>
    </w:p>
    <w:p w14:paraId="77F5C339">
      <w:pPr>
        <w:keepNext w:val="0"/>
        <w:keepLines w:val="0"/>
        <w:pageBreakBefore w:val="0"/>
        <w:widowControl w:val="0"/>
        <w:tabs>
          <w:tab w:val="right" w:leader="dot" w:pos="8820"/>
        </w:tabs>
        <w:kinsoku/>
        <w:wordWrap/>
        <w:overflowPunct/>
        <w:topLinePunct w:val="0"/>
        <w:autoSpaceDE/>
        <w:autoSpaceDN/>
        <w:bidi w:val="0"/>
        <w:adjustRightInd/>
        <w:snapToGrid/>
        <w:spacing w:line="560" w:lineRule="exact"/>
        <w:jc w:val="both"/>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表</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 xml:space="preserve">12 </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202</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届毕业生就业行业分布</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53</w:t>
      </w:r>
    </w:p>
    <w:p w14:paraId="02BDBBD6">
      <w:pPr>
        <w:rPr>
          <w:rFonts w:hint="eastAsia" w:ascii="方正小标宋简体" w:hAnsi="方正小标宋简体" w:eastAsia="方正小标宋简体" w:cs="方正小标宋简体"/>
          <w:b w:val="0"/>
          <w:bCs w:val="0"/>
          <w:color w:val="000000" w:themeColor="text1"/>
          <w:spacing w:val="-7"/>
          <w:sz w:val="44"/>
          <w:szCs w:val="44"/>
          <w:highlight w:val="none"/>
          <w:lang w:val="en-US" w:eastAsia="zh-CN"/>
          <w14:textFill>
            <w14:solidFill>
              <w14:schemeClr w14:val="tx1"/>
            </w14:solidFill>
          </w14:textFill>
        </w:rPr>
      </w:pPr>
      <w:r>
        <w:rPr>
          <w:rFonts w:hint="eastAsia" w:ascii="方正小标宋简体" w:hAnsi="方正小标宋简体" w:eastAsia="方正小标宋简体" w:cs="方正小标宋简体"/>
          <w:b w:val="0"/>
          <w:bCs w:val="0"/>
          <w:color w:val="000000" w:themeColor="text1"/>
          <w:spacing w:val="-7"/>
          <w:sz w:val="44"/>
          <w:szCs w:val="44"/>
          <w:highlight w:val="none"/>
          <w:lang w:val="en-US" w:eastAsia="zh-CN"/>
          <w14:textFill>
            <w14:solidFill>
              <w14:schemeClr w14:val="tx1"/>
            </w14:solidFill>
          </w14:textFill>
        </w:rPr>
        <w:br w:type="page"/>
      </w:r>
    </w:p>
    <w:p w14:paraId="45B72019">
      <w:pPr>
        <w:pStyle w:val="2"/>
        <w:ind w:left="0" w:leftChars="0" w:firstLine="0" w:firstLineChars="0"/>
        <w:jc w:val="cente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方正小标宋简体" w:hAnsi="方正小标宋简体" w:eastAsia="方正小标宋简体" w:cs="方正小标宋简体"/>
          <w:color w:val="000000" w:themeColor="text1"/>
          <w:sz w:val="44"/>
          <w:szCs w:val="44"/>
          <w:highlight w:val="none"/>
          <w:lang w:val="en-US" w:eastAsia="zh-CN"/>
          <w14:textFill>
            <w14:solidFill>
              <w14:schemeClr w14:val="tx1"/>
            </w14:solidFill>
          </w14:textFill>
        </w:rPr>
        <w:t>图 目 录</w:t>
      </w:r>
    </w:p>
    <w:p w14:paraId="4B7CB42D">
      <w:pPr>
        <w:pStyle w:val="7"/>
        <w:keepNext w:val="0"/>
        <w:keepLines w:val="0"/>
        <w:pageBreakBefore w:val="0"/>
        <w:widowControl/>
        <w:tabs>
          <w:tab w:val="right" w:leader="dot" w:pos="8820"/>
        </w:tabs>
        <w:kinsoku/>
        <w:wordWrap/>
        <w:overflowPunct/>
        <w:topLinePunct w:val="0"/>
        <w:autoSpaceDE/>
        <w:autoSpaceDN/>
        <w:bidi w:val="0"/>
        <w:adjustRightInd w:val="0"/>
        <w:snapToGrid w:val="0"/>
        <w:spacing w:after="0"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2024年9月30日，学校组织师生参加学习贯彻党的二十届三中全会精神宣讲报告会</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7</w:t>
      </w:r>
    </w:p>
    <w:p w14:paraId="1F7F5E1C">
      <w:pPr>
        <w:pStyle w:val="7"/>
        <w:keepNext w:val="0"/>
        <w:keepLines w:val="0"/>
        <w:pageBreakBefore w:val="0"/>
        <w:widowControl/>
        <w:tabs>
          <w:tab w:val="right" w:leader="dot" w:pos="8820"/>
        </w:tabs>
        <w:kinsoku/>
        <w:wordWrap/>
        <w:overflowPunct/>
        <w:topLinePunct w:val="0"/>
        <w:autoSpaceDE/>
        <w:autoSpaceDN/>
        <w:bidi w:val="0"/>
        <w:adjustRightInd w:val="0"/>
        <w:snapToGrid w:val="0"/>
        <w:spacing w:after="0" w:line="520" w:lineRule="exact"/>
        <w:ind w:left="858" w:leftChars="0" w:hanging="858" w:hangingChars="300"/>
        <w:jc w:val="both"/>
        <w:textAlignment w:val="auto"/>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z w:val="32"/>
          <w:szCs w:val="32"/>
          <w:highlight w:val="none"/>
          <w:lang w:eastAsia="zh-CN"/>
          <w14:textFill>
            <w14:solidFill>
              <w14:schemeClr w14:val="tx1"/>
            </w14:solidFill>
          </w14:textFill>
        </w:rPr>
        <w:t>202</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5</w:t>
      </w:r>
      <w:r>
        <w:rPr>
          <w:rFonts w:hint="eastAsia" w:ascii="仿宋_GB2312" w:hAnsi="仿宋_GB2312" w:eastAsia="仿宋_GB2312" w:cs="仿宋_GB2312"/>
          <w:b w:val="0"/>
          <w:bCs w:val="0"/>
          <w:color w:val="000000" w:themeColor="text1"/>
          <w:sz w:val="32"/>
          <w:szCs w:val="32"/>
          <w:highlight w:val="none"/>
          <w:lang w:eastAsia="zh-CN"/>
          <w14:textFill>
            <w14:solidFill>
              <w14:schemeClr w14:val="tx1"/>
            </w14:solidFill>
          </w14:textFill>
        </w:rPr>
        <w:t>年</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3</w:t>
      </w:r>
      <w:r>
        <w:rPr>
          <w:rFonts w:hint="eastAsia" w:ascii="仿宋_GB2312" w:hAnsi="仿宋_GB2312" w:eastAsia="仿宋_GB2312" w:cs="仿宋_GB2312"/>
          <w:b w:val="0"/>
          <w:bCs w:val="0"/>
          <w:color w:val="000000" w:themeColor="text1"/>
          <w:sz w:val="32"/>
          <w:szCs w:val="32"/>
          <w:highlight w:val="none"/>
          <w:lang w:eastAsia="zh-CN"/>
          <w14:textFill>
            <w14:solidFill>
              <w14:schemeClr w14:val="tx1"/>
            </w14:solidFill>
          </w14:textFill>
        </w:rPr>
        <w:t>月</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18日</w:t>
      </w:r>
      <w:r>
        <w:rPr>
          <w:rFonts w:hint="eastAsia" w:ascii="仿宋_GB2312" w:hAnsi="仿宋_GB2312" w:eastAsia="仿宋_GB2312" w:cs="仿宋_GB2312"/>
          <w:b w:val="0"/>
          <w:bCs w:val="0"/>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val="0"/>
          <w:color w:val="000000" w:themeColor="text1"/>
          <w:sz w:val="32"/>
          <w:szCs w:val="32"/>
          <w:highlight w:val="none"/>
          <w:lang w:eastAsia="zh-CN"/>
          <w14:textFill>
            <w14:solidFill>
              <w14:schemeClr w14:val="tx1"/>
            </w14:solidFill>
          </w14:textFill>
        </w:rPr>
        <w:t>党委书记蒙本曼</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传达学习全国两会精神</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7</w:t>
      </w:r>
    </w:p>
    <w:p w14:paraId="737D8F57">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图3</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2025年6月10日，学校在图文信息大楼一楼学术报告厅举行2025年“青年马克思主义者培养工程”开班仪式</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8</w:t>
      </w:r>
    </w:p>
    <w:p w14:paraId="6620981D">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2024年9 月25日，我校与田东县右江革命纪念馆共同签署合作共建协议并揭牌</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9</w:t>
      </w:r>
    </w:p>
    <w:p w14:paraId="0B89C991">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2025年6月6日，学校与平果市禁毒教育基地共建教学基地签约</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10</w:t>
      </w:r>
    </w:p>
    <w:p w14:paraId="10AE8317">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图6</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2025年6月8日，学校与广西平果众天行投资有限公司通天河景区共建实践教学基地</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10</w:t>
      </w:r>
    </w:p>
    <w:p w14:paraId="24005B48">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图7</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2025年6 月10日，学校与平果市文学艺术界联合会共建实践教学基地</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11</w:t>
      </w:r>
    </w:p>
    <w:p w14:paraId="33DD7B9D">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图8</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2025年8月29日，学校组织开展同上一堂“八桂楷模·大思政课”活动</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11</w:t>
      </w:r>
    </w:p>
    <w:p w14:paraId="1C0081C3">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图9</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28"/>
          <w:sz w:val="32"/>
          <w:szCs w:val="32"/>
          <w:highlight w:val="none"/>
          <w:lang w:val="en-US" w:eastAsia="zh-CN"/>
          <w14:textFill>
            <w14:solidFill>
              <w14:schemeClr w14:val="tx1"/>
            </w14:solidFill>
          </w14:textFill>
        </w:rPr>
        <w:t>我校举行2025年秋季学期“开学第一课”主题升旗仪式</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13</w:t>
      </w:r>
    </w:p>
    <w:p w14:paraId="0A854340">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i w:val="0"/>
          <w:caps w:val="0"/>
          <w:color w:val="000000" w:themeColor="text1"/>
          <w:spacing w:val="0"/>
          <w:kern w:val="0"/>
          <w:sz w:val="32"/>
          <w:szCs w:val="32"/>
          <w:highlight w:val="none"/>
          <w:shd w:val="clear" w:fill="FFFFFF"/>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图10</w:t>
      </w:r>
      <w:r>
        <w:rPr>
          <w:rFonts w:hint="eastAsia" w:ascii="仿宋_GB2312" w:hAnsi="仿宋_GB2312" w:eastAsia="仿宋_GB2312" w:cs="仿宋_GB2312"/>
          <w:b w:val="0"/>
          <w:bCs w:val="0"/>
          <w:i w:val="0"/>
          <w:caps w:val="0"/>
          <w:color w:val="000000" w:themeColor="text1"/>
          <w:spacing w:val="0"/>
          <w:kern w:val="0"/>
          <w:sz w:val="32"/>
          <w:szCs w:val="32"/>
          <w:highlight w:val="none"/>
          <w:shd w:val="clear" w:fill="FFFFFF"/>
          <w:lang w:val="en-US" w:eastAsia="zh-CN"/>
          <w14:textFill>
            <w14:solidFill>
              <w14:schemeClr w14:val="tx1"/>
            </w14:solidFill>
          </w14:textFill>
        </w:rPr>
        <w:t xml:space="preserve">  任课老师将《字体与标识设计》课程与奥运精神相结合，在专业教学中激发学生的爱国情怀与创新思维</w:t>
      </w: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ab/>
      </w:r>
      <w:r>
        <w:rPr>
          <w:rFonts w:hint="eastAsia" w:ascii="仿宋_GB2312" w:hAnsi="仿宋_GB2312" w:eastAsia="仿宋_GB2312" w:cs="仿宋_GB2312"/>
          <w:b w:val="0"/>
          <w:bCs w:val="0"/>
          <w:i w:val="0"/>
          <w:caps w:val="0"/>
          <w:color w:val="000000" w:themeColor="text1"/>
          <w:spacing w:val="0"/>
          <w:kern w:val="0"/>
          <w:sz w:val="32"/>
          <w:szCs w:val="32"/>
          <w:highlight w:val="none"/>
          <w:shd w:val="clear" w:fill="FFFFFF"/>
          <w:lang w:val="en-US" w:eastAsia="zh-CN"/>
          <w14:textFill>
            <w14:solidFill>
              <w14:schemeClr w14:val="tx1"/>
            </w14:solidFill>
          </w14:textFill>
        </w:rPr>
        <w:t>13</w:t>
      </w:r>
    </w:p>
    <w:p w14:paraId="77DE61D6">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i w:val="0"/>
          <w:caps w:val="0"/>
          <w:color w:val="000000" w:themeColor="text1"/>
          <w:spacing w:val="28"/>
          <w:kern w:val="0"/>
          <w:sz w:val="32"/>
          <w:szCs w:val="32"/>
          <w:highlight w:val="none"/>
          <w:shd w:val="clear" w:fill="FFFFFF"/>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图11</w:t>
      </w:r>
      <w:r>
        <w:rPr>
          <w:rFonts w:hint="eastAsia" w:ascii="仿宋_GB2312" w:hAnsi="仿宋_GB2312" w:eastAsia="仿宋_GB2312" w:cs="仿宋_GB2312"/>
          <w:b w:val="0"/>
          <w:bCs w:val="0"/>
          <w:i w:val="0"/>
          <w:caps w:val="0"/>
          <w:color w:val="000000" w:themeColor="text1"/>
          <w:spacing w:val="0"/>
          <w:kern w:val="0"/>
          <w:sz w:val="32"/>
          <w:szCs w:val="32"/>
          <w:highlight w:val="none"/>
          <w:shd w:val="clear" w:fill="FFFFFF"/>
          <w:lang w:val="en-US" w:eastAsia="zh-CN"/>
          <w14:textFill>
            <w14:solidFill>
              <w14:schemeClr w14:val="tx1"/>
            </w14:solidFill>
          </w14:textFill>
        </w:rPr>
        <w:t xml:space="preserve">  </w:t>
      </w:r>
      <w:r>
        <w:rPr>
          <w:rFonts w:hint="eastAsia" w:ascii="仿宋_GB2312" w:hAnsi="仿宋_GB2312" w:eastAsia="仿宋_GB2312" w:cs="仿宋_GB2312"/>
          <w:b w:val="0"/>
          <w:bCs w:val="0"/>
          <w:i w:val="0"/>
          <w:caps w:val="0"/>
          <w:color w:val="000000" w:themeColor="text1"/>
          <w:spacing w:val="28"/>
          <w:kern w:val="0"/>
          <w:sz w:val="32"/>
          <w:szCs w:val="32"/>
          <w:highlight w:val="none"/>
          <w:shd w:val="clear" w:fill="FFFFFF"/>
          <w:lang w:val="en-US" w:eastAsia="zh-CN"/>
          <w14:textFill>
            <w14:solidFill>
              <w14:schemeClr w14:val="tx1"/>
            </w14:solidFill>
          </w14:textFill>
        </w:rPr>
        <w:t>2024年9月3日，学校开展2024年秋季学期课程思政培训</w:t>
      </w:r>
      <w:r>
        <w:rPr>
          <w:rFonts w:hint="eastAsia" w:ascii="仿宋_GB2312" w:hAnsi="仿宋_GB2312" w:eastAsia="仿宋_GB2312" w:cs="仿宋_GB2312"/>
          <w:b w:val="0"/>
          <w:bCs w:val="0"/>
          <w:i w:val="0"/>
          <w:caps w:val="0"/>
          <w:color w:val="000000" w:themeColor="text1"/>
          <w:spacing w:val="28"/>
          <w:kern w:val="0"/>
          <w:sz w:val="32"/>
          <w:szCs w:val="32"/>
          <w:highlight w:val="none"/>
          <w:shd w:val="clear" w:fill="FFFFFF"/>
          <w:lang w:val="en-US" w:eastAsia="zh-CN"/>
          <w14:textFill>
            <w14:solidFill>
              <w14:schemeClr w14:val="tx1"/>
            </w14:solidFill>
          </w14:textFill>
        </w:rPr>
        <w:tab/>
      </w:r>
      <w:r>
        <w:rPr>
          <w:rFonts w:hint="eastAsia" w:ascii="仿宋_GB2312" w:hAnsi="仿宋_GB2312" w:eastAsia="仿宋_GB2312" w:cs="仿宋_GB2312"/>
          <w:b w:val="0"/>
          <w:bCs w:val="0"/>
          <w:i w:val="0"/>
          <w:caps w:val="0"/>
          <w:color w:val="000000" w:themeColor="text1"/>
          <w:spacing w:val="28"/>
          <w:kern w:val="0"/>
          <w:sz w:val="32"/>
          <w:szCs w:val="32"/>
          <w:highlight w:val="none"/>
          <w:shd w:val="clear" w:fill="FFFFFF"/>
          <w:lang w:val="en-US" w:eastAsia="zh-CN"/>
          <w14:textFill>
            <w14:solidFill>
              <w14:schemeClr w14:val="tx1"/>
            </w14:solidFill>
          </w14:textFill>
        </w:rPr>
        <w:t>17</w:t>
      </w:r>
    </w:p>
    <w:p w14:paraId="17BD840B">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图12</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 6月10日，学校党委副书记、校长罗艳妮作“坚持以德立身、以德立学、以德施教，做有高尚师德和责任担当的新时代教师”专题培训</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19</w:t>
      </w:r>
    </w:p>
    <w:p w14:paraId="5430C4E1">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图13</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2024年9月6日，学校党委副书记黄秋霞为全体教师作“守教育初心·正师德师风”专题培训</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20</w:t>
      </w:r>
    </w:p>
    <w:p w14:paraId="650C410F">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图14</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我校开展“双师型”教师认定申报工作培训</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21</w:t>
      </w:r>
    </w:p>
    <w:p w14:paraId="3804EACC">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图15</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2024年9月6-8日，我校举行2024年第二期新任教师</w:t>
      </w:r>
    </w:p>
    <w:p w14:paraId="59E32168">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958" w:leftChars="456" w:firstLine="0" w:firstLineChars="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岗前培训开班典礼</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22  </w:t>
      </w:r>
    </w:p>
    <w:p w14:paraId="7587F1C7">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图16</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2024年9月6日，学校举行“高校学生突发事件处置与危机管理”专题培训</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23</w:t>
      </w:r>
    </w:p>
    <w:p w14:paraId="7B5B4B13">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图17</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23"/>
          <w:sz w:val="32"/>
          <w:szCs w:val="32"/>
          <w:highlight w:val="none"/>
          <w:lang w:val="en-US" w:eastAsia="zh-CN"/>
          <w14:textFill>
            <w14:solidFill>
              <w14:schemeClr w14:val="tx1"/>
            </w14:solidFill>
          </w14:textFill>
        </w:rPr>
        <w:t>2025年5月，我校开展AIGC人工智能应用能力提升培训</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23</w:t>
      </w:r>
    </w:p>
    <w:p w14:paraId="6D5DC46F">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图18</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2025年5月，我校开展美育课程实施培训</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24</w:t>
      </w:r>
    </w:p>
    <w:p w14:paraId="0422AEFC">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图19</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我校学子参加广西第十四届学生运动会荣获男子跳高赛项冠军并破纪录</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25</w:t>
      </w:r>
    </w:p>
    <w:p w14:paraId="61B1A489">
      <w:pPr>
        <w:pStyle w:val="2"/>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图20</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我校学子参加第十二届“学创杯”全国大学生创业综合模拟演训活动总决赛（职教组）并获得特等奖</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26</w:t>
      </w:r>
    </w:p>
    <w:p w14:paraId="3B7ACECD">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图21</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我校学子参加第十二届“学创杯”全国大学生创业综合模拟演训活动总决赛（职教组）并获得一等奖</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26</w:t>
      </w:r>
    </w:p>
    <w:p w14:paraId="203B7AF7">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图22</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28"/>
          <w:sz w:val="32"/>
          <w:szCs w:val="32"/>
          <w:highlight w:val="none"/>
          <w:lang w:val="en-US" w:eastAsia="zh-CN"/>
          <w14:textFill>
            <w14:solidFill>
              <w14:schemeClr w14:val="tx1"/>
            </w14:solidFill>
          </w14:textFill>
        </w:rPr>
        <w:t>我校学子参加2025年技能大赛“幼儿教育技能组”并获铜奖</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27</w:t>
      </w:r>
    </w:p>
    <w:p w14:paraId="27B4F019">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图23</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我校学子参加2025年技能大赛“室内空间设计与制作赛项”并获铜奖</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27</w:t>
      </w:r>
    </w:p>
    <w:p w14:paraId="1C0897C8">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图24</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我校学子参加2025年全区师范生教学技能大赛并获三等奖</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28</w:t>
      </w:r>
    </w:p>
    <w:p w14:paraId="703F1BDF">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图25</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2024年12月7日，学校举办第四届CAD技能大赛</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28</w:t>
      </w:r>
    </w:p>
    <w:p w14:paraId="2A0A6CD1">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图26</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组织学生参加2025年爱国卫生运动</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32</w:t>
      </w:r>
    </w:p>
    <w:p w14:paraId="57E175BC">
      <w:pPr>
        <w:keepNext w:val="0"/>
        <w:keepLines w:val="0"/>
        <w:pageBreakBefore w:val="0"/>
        <w:widowControl/>
        <w:suppressLineNumbers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图27</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2024年12月3日，我校举行校园草地音乐节</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33</w:t>
      </w:r>
    </w:p>
    <w:p w14:paraId="09417DDF">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858" w:leftChars="0" w:right="0" w:hanging="858" w:hanging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图28</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  2024年9月25日，广西工程职业学院2024年“迎新生·庆国庆”文艺晚会</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33</w:t>
      </w:r>
    </w:p>
    <w:p w14:paraId="61F286C0">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858" w:leftChars="0" w:right="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图29</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 组织学生参加献血活动</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34</w:t>
      </w:r>
    </w:p>
    <w:p w14:paraId="4CA3E42C">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858" w:leftChars="0" w:right="0" w:hanging="858" w:hanging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图30</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2024年9月24日，学校组织开展广西工程职业学院2024年“我与祖国共成长·争做时代追梦人”学生干部座谈会</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36</w:t>
      </w:r>
    </w:p>
    <w:p w14:paraId="17733255">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960" w:leftChars="0" w:right="0" w:hanging="960" w:hanging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图31 组织学生到爱国主义教育基地开展劳动教育实践活动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37</w:t>
      </w:r>
    </w:p>
    <w:p w14:paraId="240A9524">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960" w:leftChars="0" w:right="0" w:hanging="960" w:hanging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图32 “守护绿色家园，共建生态文明”植树节活动现场</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38</w:t>
      </w:r>
    </w:p>
    <w:p w14:paraId="212CCFF0">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图33</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平果市2025年“6·26”国际禁毒日暨“全民禁毒宣传月”启动仪式在我校举行</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39</w:t>
      </w:r>
    </w:p>
    <w:p w14:paraId="7A23A08C">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图34</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2025年“生命健康，成长有彩”“3·25”心理健康教育活动季</w:t>
      </w:r>
    </w:p>
    <w:p w14:paraId="40C3C4BB">
      <w:pPr>
        <w:pStyle w:val="9"/>
        <w:keepNext w:val="0"/>
        <w:keepLines w:val="0"/>
        <w:pageBreakBefore w:val="0"/>
        <w:tabs>
          <w:tab w:val="right" w:leader="dot" w:pos="8820"/>
        </w:tabs>
        <w:kinsoku/>
        <w:wordWrap/>
        <w:overflowPunct/>
        <w:topLinePunct w:val="0"/>
        <w:autoSpaceDE/>
        <w:autoSpaceDN/>
        <w:bidi w:val="0"/>
        <w:spacing w:line="520" w:lineRule="exact"/>
        <w:ind w:left="890" w:leftChars="424" w:firstLine="0" w:firstLineChars="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启动仪式</w:t>
      </w: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40</w:t>
      </w:r>
    </w:p>
    <w:p w14:paraId="33E5DAD2">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图35</w:t>
      </w: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 xml:space="preserve"> 实践团、服务团走进平果市马头镇布夭屯开展“七彩画笔绘乡村”“情暖童心”等特色暑期“三下乡”社会实践活动</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41</w:t>
      </w:r>
    </w:p>
    <w:p w14:paraId="5B79FAFF">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20" w:lineRule="exact"/>
        <w:ind w:left="0" w:leftChars="0" w:firstLine="0" w:firstLineChars="0"/>
        <w:jc w:val="both"/>
        <w:textAlignment w:val="auto"/>
        <w:rPr>
          <w:rFonts w:hint="default"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 xml:space="preserve">图36 </w:t>
      </w:r>
      <w:r>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t>实践团、服务团走进社区开展暑期公益课堂</w:t>
      </w: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41</w:t>
      </w:r>
    </w:p>
    <w:p w14:paraId="298F14E8">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图37</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实践团成员赴百色市田东县百冠那朗芒果种植基地开展暑期“三下乡”社会实践活动，助力特色农业发展</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42</w:t>
      </w:r>
    </w:p>
    <w:p w14:paraId="74ED0C16">
      <w:pPr>
        <w:pStyle w:val="2"/>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图38</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2025年3月26日，学校组织开展青春志愿行·温暖老人心关爱老人志愿服务活动</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43</w:t>
      </w:r>
    </w:p>
    <w:p w14:paraId="77263D7D">
      <w:pPr>
        <w:pStyle w:val="2"/>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图39</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学校组织开展“青春薪火传 五四志愿服务暖社区”志愿服务活动</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43</w:t>
      </w:r>
    </w:p>
    <w:p w14:paraId="3467E3F3">
      <w:pPr>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图40</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2025年6月24日，学校举行广西工程职业学院2025届毕业生双选会</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51</w:t>
      </w:r>
    </w:p>
    <w:p w14:paraId="20691023">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0" w:leftChars="0" w:right="0" w:firstLine="0" w:firstLineChars="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图41</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 2025年6月23日，广西工程职业学院就业服务站揭牌</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51</w:t>
      </w:r>
    </w:p>
    <w:p w14:paraId="009C0D1B">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0" w:leftChars="0" w:right="0" w:firstLine="0" w:firstLineChars="0"/>
        <w:jc w:val="both"/>
        <w:textAlignment w:val="auto"/>
        <w:rPr>
          <w:rFonts w:hint="eastAsia" w:ascii="仿宋_GB2312" w:hAnsi="仿宋_GB2312" w:eastAsia="仿宋_GB2312" w:cs="仿宋_GB2312"/>
          <w:b w:val="0"/>
          <w:bCs w:val="0"/>
          <w:color w:val="000000" w:themeColor="text1"/>
          <w:spacing w:val="-17"/>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图42</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kern w:val="0"/>
          <w:sz w:val="32"/>
          <w:szCs w:val="32"/>
          <w:highlight w:val="none"/>
          <w:lang w:val="en-US" w:eastAsia="zh-CN" w:bidi="ar"/>
          <w14:textFill>
            <w14:solidFill>
              <w14:schemeClr w14:val="tx1"/>
            </w14:solidFill>
          </w14:textFill>
        </w:rPr>
        <w:t>2024年9月27日，学校组织学生参加平果市2024年青年创新</w:t>
      </w:r>
    </w:p>
    <w:p w14:paraId="7BC291AC">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0" w:leftChars="0" w:right="0" w:firstLine="858" w:firstLine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
          <w14:textFill>
            <w14:solidFill>
              <w14:schemeClr w14:val="tx1"/>
            </w14:solidFill>
          </w14:textFill>
        </w:rPr>
        <w:t>创业大赛暨第八届大学园区创新创业大赛决赛</w:t>
      </w:r>
      <w:r>
        <w:rPr>
          <w:rFonts w:hint="eastAsia" w:ascii="仿宋_GB2312" w:hAnsi="仿宋_GB2312" w:eastAsia="仿宋_GB2312" w:cs="仿宋_GB2312"/>
          <w:b w:val="0"/>
          <w:bCs w:val="0"/>
          <w:color w:val="000000" w:themeColor="text1"/>
          <w:spacing w:val="-17"/>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52</w:t>
      </w:r>
    </w:p>
    <w:p w14:paraId="319A568D">
      <w:pPr>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图43</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“弘扬红色文化 传承红色基因”慈善助学捐赠活动现场</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57</w:t>
      </w:r>
    </w:p>
    <w:p w14:paraId="5562878E">
      <w:pPr>
        <w:pStyle w:val="2"/>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图44</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学校组织开展“缅怀革命先烈，弘扬革命精神”暨重温入党誓词主题党日活动</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58</w:t>
      </w:r>
    </w:p>
    <w:p w14:paraId="6F8728FD">
      <w:pPr>
        <w:keepNext w:val="0"/>
        <w:keepLines w:val="0"/>
        <w:pageBreakBefore w:val="0"/>
        <w:widowControl/>
        <w:suppressLineNumbers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图45</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学校组织师生党员到东兰县革命老区开展“学思践悟砺初心 笃行实干勇担当”主题党日活动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58</w:t>
      </w:r>
    </w:p>
    <w:p w14:paraId="54B01C63">
      <w:pPr>
        <w:keepNext w:val="0"/>
        <w:keepLines w:val="0"/>
        <w:pageBreakBefore w:val="0"/>
        <w:widowControl/>
        <w:numPr>
          <w:ilvl w:val="0"/>
          <w:numId w:val="0"/>
        </w:numPr>
        <w:suppressLineNumbers w:val="0"/>
        <w:tabs>
          <w:tab w:val="right" w:leader="dot" w:pos="8820"/>
        </w:tabs>
        <w:kinsoku/>
        <w:wordWrap/>
        <w:overflowPunct/>
        <w:topLinePunct w:val="0"/>
        <w:autoSpaceDE/>
        <w:autoSpaceDN/>
        <w:bidi w:val="0"/>
        <w:adjustRightInd/>
        <w:snapToGrid/>
        <w:spacing w:line="520" w:lineRule="exact"/>
        <w:ind w:left="1144" w:leftChars="0" w:hanging="1144" w:hangingChars="400"/>
        <w:jc w:val="both"/>
        <w:textAlignment w:val="auto"/>
        <w:rPr>
          <w:rFonts w:hint="default"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图46</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kern w:val="0"/>
          <w:sz w:val="32"/>
          <w:szCs w:val="32"/>
          <w:highlight w:val="none"/>
          <w:lang w:val="en-US" w:eastAsia="zh-CN"/>
          <w14:textFill>
            <w14:solidFill>
              <w14:schemeClr w14:val="tx1"/>
            </w14:solidFill>
          </w14:textFill>
        </w:rPr>
        <w:t>学校组织开展“学思践悟砺初心 笃行实干勇担当”主题研学活动</w:t>
      </w:r>
      <w:r>
        <w:rPr>
          <w:rFonts w:hint="eastAsia" w:ascii="仿宋_GB2312" w:hAnsi="仿宋_GB2312" w:eastAsia="仿宋_GB2312" w:cs="仿宋_GB2312"/>
          <w:b w:val="0"/>
          <w:bCs w:val="0"/>
          <w:color w:val="000000" w:themeColor="text1"/>
          <w:spacing w:val="-17"/>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spacing w:val="-17"/>
          <w:kern w:val="0"/>
          <w:sz w:val="32"/>
          <w:szCs w:val="32"/>
          <w:highlight w:val="none"/>
          <w:lang w:val="en-US" w:eastAsia="zh-CN" w:bidi="ar"/>
          <w14:textFill>
            <w14:solidFill>
              <w14:schemeClr w14:val="tx1"/>
            </w14:solidFill>
          </w14:textFill>
        </w:rPr>
        <w:t>59</w:t>
      </w:r>
    </w:p>
    <w:p w14:paraId="62FA0ED8">
      <w:pPr>
        <w:keepNext w:val="0"/>
        <w:keepLines w:val="0"/>
        <w:pageBreakBefore w:val="0"/>
        <w:widowControl/>
        <w:suppressLineNumbers w:val="0"/>
        <w:tabs>
          <w:tab w:val="right" w:leader="dot" w:pos="8820"/>
        </w:tabs>
        <w:kinsoku/>
        <w:wordWrap/>
        <w:overflowPunct/>
        <w:topLinePunct w:val="0"/>
        <w:autoSpaceDE/>
        <w:autoSpaceDN/>
        <w:bidi w:val="0"/>
        <w:spacing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图47</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学校组织开展 “行红色足迹 筑青春梦想” 资助育人研学主题活动</w:t>
      </w:r>
      <w:r>
        <w:rPr>
          <w:rFonts w:hint="eastAsia" w:ascii="仿宋_GB2312" w:hAnsi="仿宋_GB2312" w:eastAsia="仿宋_GB2312" w:cs="仿宋_GB2312"/>
          <w:b w:val="0"/>
          <w:bCs w:val="0"/>
          <w:color w:val="000000" w:themeColor="text1"/>
          <w:spacing w:val="-17"/>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59</w:t>
      </w:r>
    </w:p>
    <w:p w14:paraId="5B2B8309">
      <w:pPr>
        <w:keepNext w:val="0"/>
        <w:keepLines w:val="0"/>
        <w:pageBreakBefore w:val="0"/>
        <w:widowControl/>
        <w:suppressLineNumbers w:val="0"/>
        <w:tabs>
          <w:tab w:val="right" w:leader="dot" w:pos="8820"/>
        </w:tabs>
        <w:kinsoku/>
        <w:wordWrap/>
        <w:overflowPunct/>
        <w:topLinePunct w:val="0"/>
        <w:autoSpaceDE/>
        <w:autoSpaceDN/>
        <w:bidi w:val="0"/>
        <w:spacing w:line="520" w:lineRule="exact"/>
        <w:ind w:left="0" w:leftChars="0" w:firstLine="0" w:firstLineChars="0"/>
        <w:jc w:val="both"/>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图48</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 组织开展“讲好中国故事·传承红色基因”故事大赛</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60</w:t>
      </w:r>
    </w:p>
    <w:p w14:paraId="611B55CC">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20" w:lineRule="exact"/>
        <w:ind w:left="0" w:leftChars="0" w:firstLine="0" w:firstLineChars="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图49</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组织开展师生党员开展弘扬爱国主义精神主题党日活动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60</w:t>
      </w:r>
    </w:p>
    <w:p w14:paraId="4D62D371">
      <w:pPr>
        <w:keepNext w:val="0"/>
        <w:keepLines w:val="0"/>
        <w:pageBreakBefore w:val="0"/>
        <w:widowControl/>
        <w:numPr>
          <w:ilvl w:val="0"/>
          <w:numId w:val="0"/>
        </w:numPr>
        <w:suppressLineNumbers w:val="0"/>
        <w:tabs>
          <w:tab w:val="right" w:leader="dot" w:pos="8820"/>
        </w:tabs>
        <w:kinsoku/>
        <w:wordWrap/>
        <w:overflowPunct/>
        <w:topLinePunct w:val="0"/>
        <w:autoSpaceDE/>
        <w:autoSpaceDN/>
        <w:bidi w:val="0"/>
        <w:adjustRightInd/>
        <w:snapToGrid/>
        <w:spacing w:line="520" w:lineRule="exact"/>
        <w:ind w:left="0" w:leftChars="0" w:firstLine="0" w:firstLineChars="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图50</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组织开展广西三月三·奏响非遗韵活动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62</w:t>
      </w:r>
    </w:p>
    <w:p w14:paraId="4713BC48">
      <w:pPr>
        <w:keepNext w:val="0"/>
        <w:keepLines w:val="0"/>
        <w:pageBreakBefore w:val="0"/>
        <w:widowControl/>
        <w:numPr>
          <w:ilvl w:val="0"/>
          <w:numId w:val="0"/>
        </w:numPr>
        <w:suppressLineNumbers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图51</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组织开展壮美歌声扬·三月三梦响校园好声音大赛决赛活动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63</w:t>
      </w:r>
    </w:p>
    <w:p w14:paraId="56071AAE">
      <w:pPr>
        <w:pStyle w:val="2"/>
        <w:keepNext w:val="0"/>
        <w:keepLines w:val="0"/>
        <w:pageBreakBefore w:val="0"/>
        <w:tabs>
          <w:tab w:val="right" w:leader="dot" w:pos="8820"/>
        </w:tabs>
        <w:kinsoku/>
        <w:wordWrap/>
        <w:overflowPunct/>
        <w:topLinePunct w:val="0"/>
        <w:autoSpaceDE/>
        <w:autoSpaceDN/>
        <w:bidi w:val="0"/>
        <w:spacing w:after="0" w:line="520" w:lineRule="exact"/>
        <w:ind w:left="0" w:leftChars="0" w:firstLine="0" w:firstLineChars="0"/>
        <w:jc w:val="both"/>
        <w:rPr>
          <w:rFonts w:hint="default"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图52</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kern w:val="0"/>
          <w:sz w:val="32"/>
          <w:szCs w:val="32"/>
          <w:highlight w:val="none"/>
          <w:lang w:val="en-US" w:eastAsia="zh-CN" w:bidi="ar-SA"/>
          <w14:textFill>
            <w14:solidFill>
              <w14:schemeClr w14:val="tx1"/>
            </w14:solidFill>
          </w14:textFill>
        </w:rPr>
        <w:t>学校举办“香囊传情·端午寄意”端午节主题活动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64</w:t>
      </w:r>
    </w:p>
    <w:p w14:paraId="6F9B1C0D">
      <w:pPr>
        <w:pStyle w:val="2"/>
        <w:keepNext w:val="0"/>
        <w:keepLines w:val="0"/>
        <w:pageBreakBefore w:val="0"/>
        <w:tabs>
          <w:tab w:val="right" w:leader="dot" w:pos="8820"/>
        </w:tabs>
        <w:kinsoku/>
        <w:wordWrap/>
        <w:overflowPunct/>
        <w:topLinePunct w:val="0"/>
        <w:autoSpaceDE/>
        <w:autoSpaceDN/>
        <w:bidi w:val="0"/>
        <w:spacing w:after="0" w:line="520" w:lineRule="exact"/>
        <w:ind w:left="0" w:leftChars="0" w:firstLine="0" w:firstLineChars="0"/>
        <w:jc w:val="both"/>
        <w:rPr>
          <w:rFonts w:hint="default"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图53</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 xml:space="preserve"> 组织学生参加海城乡“达努节”文艺晚会表演</w:t>
      </w:r>
      <w:r>
        <w:rPr>
          <w:rFonts w:hint="eastAsia" w:ascii="仿宋_GB2312" w:hAnsi="仿宋_GB2312" w:eastAsia="仿宋_GB2312" w:cs="仿宋_GB2312"/>
          <w:b w:val="0"/>
          <w:bCs w:val="0"/>
          <w:color w:val="000000" w:themeColor="text1"/>
          <w:kern w:val="0"/>
          <w:sz w:val="32"/>
          <w:szCs w:val="32"/>
          <w:highlight w:val="none"/>
          <w:lang w:val="en-US" w:eastAsia="zh-CN" w:bidi="ar-SA"/>
          <w14:textFill>
            <w14:solidFill>
              <w14:schemeClr w14:val="tx1"/>
            </w14:solidFill>
          </w14:textFill>
        </w:rPr>
        <w:t>活动</w:t>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14:textFill>
            <w14:solidFill>
              <w14:schemeClr w14:val="tx1"/>
            </w14:solidFill>
          </w14:textFill>
        </w:rPr>
        <w:t>67</w:t>
      </w:r>
    </w:p>
    <w:p w14:paraId="1CDD4E19">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20" w:lineRule="exact"/>
        <w:ind w:left="858" w:leftChars="0" w:right="0" w:hanging="858" w:hangingChars="300"/>
        <w:jc w:val="both"/>
        <w:textAlignment w:val="auto"/>
        <w:rPr>
          <w:rFonts w:hint="default"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图54</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 xml:space="preserve"> </w:t>
      </w:r>
      <w:r>
        <w:rPr>
          <w:rFonts w:hint="eastAsia" w:ascii="仿宋_GB2312" w:hAnsi="仿宋_GB2312" w:eastAsia="仿宋_GB2312" w:cs="仿宋_GB2312"/>
          <w:b w:val="0"/>
          <w:bCs w:val="0"/>
          <w:color w:val="000000" w:themeColor="text1"/>
          <w:kern w:val="0"/>
          <w:sz w:val="32"/>
          <w:szCs w:val="32"/>
          <w:highlight w:val="none"/>
          <w:lang w:val="en-US" w:eastAsia="zh-CN" w:bidi="ar-SA"/>
          <w14:textFill>
            <w14:solidFill>
              <w14:schemeClr w14:val="tx1"/>
            </w14:solidFill>
          </w14:textFill>
        </w:rPr>
        <w:t>学校进行庆祝中华人民共和国成立76周年主题升旗仪式</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68</w:t>
      </w:r>
    </w:p>
    <w:p w14:paraId="5CA16E78">
      <w:pPr>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color w:val="000000" w:themeColor="text1"/>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图55</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1"/>
          <w:kern w:val="0"/>
          <w:sz w:val="32"/>
          <w:szCs w:val="32"/>
          <w:highlight w:val="none"/>
          <w:lang w:val="en-US" w:eastAsia="zh-CN" w:bidi="ar"/>
          <w14:textFill>
            <w14:solidFill>
              <w14:schemeClr w14:val="tx1"/>
            </w14:solidFill>
          </w14:textFill>
        </w:rPr>
        <w:t>组织学生资助政策宣传月启动仪式</w:t>
      </w:r>
      <w:r>
        <w:rPr>
          <w:rStyle w:val="22"/>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11"/>
          <w:kern w:val="0"/>
          <w:sz w:val="32"/>
          <w:szCs w:val="32"/>
          <w:highlight w:val="none"/>
          <w:lang w:val="en-US" w:eastAsia="zh-CN" w:bidi="ar"/>
          <w14:textFill>
            <w14:solidFill>
              <w14:schemeClr w14:val="tx1"/>
            </w14:solidFill>
          </w14:textFill>
        </w:rPr>
        <w:t>68</w:t>
      </w:r>
    </w:p>
    <w:p w14:paraId="531B243A">
      <w:pPr>
        <w:pStyle w:val="9"/>
        <w:keepNext w:val="0"/>
        <w:keepLines w:val="0"/>
        <w:pageBreakBefore w:val="0"/>
        <w:widowControl w:val="0"/>
        <w:tabs>
          <w:tab w:val="right" w:leader="dot" w:pos="8820"/>
        </w:tabs>
        <w:kinsoku/>
        <w:wordWrap/>
        <w:overflowPunct/>
        <w:topLinePunct w:val="0"/>
        <w:autoSpaceDE/>
        <w:autoSpaceDN/>
        <w:bidi w:val="0"/>
        <w:adjustRightInd/>
        <w:snapToGrid/>
        <w:spacing w:line="520" w:lineRule="exact"/>
        <w:ind w:left="858" w:leftChars="0" w:hanging="858" w:hangingChars="300"/>
        <w:jc w:val="both"/>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 xml:space="preserve">图56  </w:t>
      </w:r>
      <w:r>
        <w:rPr>
          <w:rStyle w:val="22"/>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举行“声动校庆·梦绘青春”配音大赛决赛</w:t>
      </w:r>
      <w:r>
        <w:rPr>
          <w:rStyle w:val="22"/>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ab/>
      </w:r>
      <w:r>
        <w:rPr>
          <w:rStyle w:val="22"/>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69</w:t>
      </w:r>
    </w:p>
    <w:p w14:paraId="12BB7A9B">
      <w:pPr>
        <w:pStyle w:val="9"/>
        <w:keepNext w:val="0"/>
        <w:keepLines w:val="0"/>
        <w:pageBreakBefore w:val="0"/>
        <w:tabs>
          <w:tab w:val="right" w:leader="dot" w:pos="8820"/>
        </w:tabs>
        <w:kinsoku/>
        <w:wordWrap/>
        <w:overflowPunct/>
        <w:topLinePunct w:val="0"/>
        <w:autoSpaceDE/>
        <w:autoSpaceDN/>
        <w:bidi w:val="0"/>
        <w:spacing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图57</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 xml:space="preserve"> </w:t>
      </w:r>
      <w:r>
        <w:rPr>
          <w:rStyle w:val="22"/>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2025年毕业文艺晚会师生合影</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ab/>
      </w:r>
      <w:r>
        <w:rPr>
          <w:rStyle w:val="22"/>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69</w:t>
      </w:r>
    </w:p>
    <w:p w14:paraId="5AB9F74E">
      <w:pPr>
        <w:pStyle w:val="7"/>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default"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图58</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2025年</w:t>
      </w:r>
      <w:r>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t>“五四杯”篮球大赛开幕式</w:t>
      </w:r>
      <w:r>
        <w:rPr>
          <w:rFonts w:hint="eastAsia" w:ascii="仿宋_GB2312" w:hAnsi="仿宋_GB2312" w:eastAsia="仿宋_GB2312" w:cs="仿宋_GB2312"/>
          <w:b w:val="0"/>
          <w:bCs w:val="0"/>
          <w:color w:val="000000" w:themeColor="text1"/>
          <w:spacing w:val="-1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t>70</w:t>
      </w:r>
    </w:p>
    <w:p w14:paraId="1D4A18C2">
      <w:pPr>
        <w:pStyle w:val="7"/>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图59</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t>“十八载风华・笔墨绘未来”书画比赛颁奖仪式</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t>70</w:t>
      </w:r>
    </w:p>
    <w:p w14:paraId="0C9F2C9D">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 xml:space="preserve">图60 </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7"/>
          <w:kern w:val="2"/>
          <w:sz w:val="32"/>
          <w:szCs w:val="32"/>
          <w:highlight w:val="none"/>
          <w:lang w:val="en-US" w:eastAsia="zh-CN" w:bidi="ar-SA"/>
          <w14:textFill>
            <w14:solidFill>
              <w14:schemeClr w14:val="tx1"/>
            </w14:solidFill>
          </w14:textFill>
        </w:rPr>
        <w:t>2024年9月6日，学校党委书记蒙本曼作“高校意识形态要为中国式现代化提供坚强精神保障”专题培训</w:t>
      </w:r>
      <w:r>
        <w:rPr>
          <w:rFonts w:hint="default" w:ascii="Arial" w:hAnsi="Arial" w:eastAsia="仿宋_GB2312" w:cs="Arial"/>
          <w:b w:val="0"/>
          <w:bCs w:val="0"/>
          <w:color w:val="000000" w:themeColor="text1"/>
          <w:spacing w:val="-17"/>
          <w:kern w:val="2"/>
          <w:sz w:val="32"/>
          <w:szCs w:val="32"/>
          <w:highlight w:val="none"/>
          <w:lang w:val="en-US" w:eastAsia="zh-CN" w:bidi="ar-SA"/>
          <w14:textFill>
            <w14:solidFill>
              <w14:schemeClr w14:val="tx1"/>
            </w14:solidFill>
          </w14:textFill>
        </w:rPr>
        <w:t>……………………………</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77</w:t>
      </w:r>
    </w:p>
    <w:p w14:paraId="0DDE6F61">
      <w:pPr>
        <w:pStyle w:val="7"/>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图61</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2025年8月29日，学校组织开展同上一堂“八桂楷模·大思政课”</w:t>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78</w:t>
      </w:r>
    </w:p>
    <w:p w14:paraId="4F979051">
      <w:pPr>
        <w:pStyle w:val="7"/>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图62</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学校党委召开会议研究部署近期学校教育教学重点工作</w:t>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79</w:t>
      </w:r>
    </w:p>
    <w:p w14:paraId="5409FC6A">
      <w:pPr>
        <w:pStyle w:val="7"/>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图63</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学校基层党组织到社区开展情系社区，家电维修志愿行活动</w:t>
      </w:r>
    </w:p>
    <w:p w14:paraId="39DC8798">
      <w:pPr>
        <w:pStyle w:val="7"/>
        <w:keepNext w:val="0"/>
        <w:keepLines w:val="0"/>
        <w:pageBreakBefore w:val="0"/>
        <w:tabs>
          <w:tab w:val="right" w:leader="dot" w:pos="8820"/>
        </w:tabs>
        <w:kinsoku/>
        <w:wordWrap/>
        <w:overflowPunct/>
        <w:topLinePunct w:val="0"/>
        <w:autoSpaceDE/>
        <w:autoSpaceDN/>
        <w:bidi w:val="0"/>
        <w:spacing w:after="0" w:line="520" w:lineRule="exact"/>
        <w:ind w:left="894" w:leftChars="0" w:hanging="894" w:hangingChars="300"/>
        <w:jc w:val="both"/>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79</w:t>
      </w:r>
    </w:p>
    <w:p w14:paraId="1181EAD7">
      <w:pPr>
        <w:pStyle w:val="7"/>
        <w:keepNext w:val="0"/>
        <w:keepLines w:val="0"/>
        <w:pageBreakBefore w:val="0"/>
        <w:tabs>
          <w:tab w:val="right" w:leader="dot" w:pos="8820"/>
        </w:tabs>
        <w:kinsoku/>
        <w:wordWrap/>
        <w:overflowPunct/>
        <w:topLinePunct w:val="0"/>
        <w:autoSpaceDE/>
        <w:autoSpaceDN/>
        <w:bidi w:val="0"/>
        <w:spacing w:after="0" w:line="520" w:lineRule="exact"/>
        <w:ind w:left="858" w:leftChars="0" w:hanging="858" w:hangingChars="300"/>
        <w:jc w:val="both"/>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7"/>
          <w:kern w:val="0"/>
          <w:sz w:val="32"/>
          <w:szCs w:val="32"/>
          <w:highlight w:val="none"/>
          <w:lang w:val="en-US" w:eastAsia="zh-CN" w:bidi="ar-SA"/>
          <w14:textFill>
            <w14:solidFill>
              <w14:schemeClr w14:val="tx1"/>
            </w14:solidFill>
          </w14:textFill>
        </w:rPr>
        <w:t>图64</w:t>
      </w:r>
      <w:r>
        <w:rPr>
          <w:rFonts w:hint="eastAsia" w:ascii="仿宋_GB2312" w:hAnsi="仿宋_GB2312" w:eastAsia="仿宋_GB2312" w:cs="仿宋_GB2312"/>
          <w:b w:val="0"/>
          <w:bCs w:val="0"/>
          <w:color w:val="000000" w:themeColor="text1"/>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b w:val="0"/>
          <w:bCs w:val="0"/>
          <w:color w:val="000000" w:themeColor="text1"/>
          <w:spacing w:val="-11"/>
          <w:sz w:val="32"/>
          <w:szCs w:val="32"/>
          <w:highlight w:val="none"/>
          <w:lang w:eastAsia="zh-CN"/>
          <w14:textFill>
            <w14:solidFill>
              <w14:schemeClr w14:val="tx1"/>
            </w14:solidFill>
          </w14:textFill>
        </w:rPr>
        <w:t>2025年5月，学校党委书记蒙本曼给新生讲授入党启蒙教育课</w:t>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80</w:t>
      </w:r>
    </w:p>
    <w:p w14:paraId="3E8583D9">
      <w:pPr>
        <w:pStyle w:val="7"/>
        <w:keepNext w:val="0"/>
        <w:keepLines w:val="0"/>
        <w:pageBreakBefore w:val="0"/>
        <w:tabs>
          <w:tab w:val="right" w:leader="dot" w:pos="8820"/>
        </w:tabs>
        <w:kinsoku/>
        <w:wordWrap/>
        <w:overflowPunct/>
        <w:topLinePunct w:val="0"/>
        <w:autoSpaceDE/>
        <w:autoSpaceDN/>
        <w:bidi w:val="0"/>
        <w:spacing w:after="0" w:line="520" w:lineRule="exact"/>
        <w:ind w:left="894" w:leftChars="0" w:hanging="894" w:hangingChars="300"/>
        <w:jc w:val="both"/>
        <w:rPr>
          <w:rFonts w:hint="default"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图65 2025年5月，学校党委书记蒙本曼给党员发展对象授课</w:t>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val="0"/>
          <w:color w:val="000000" w:themeColor="text1"/>
          <w:spacing w:val="-11"/>
          <w:sz w:val="32"/>
          <w:szCs w:val="32"/>
          <w:highlight w:val="none"/>
          <w:lang w:val="en-US" w:eastAsia="zh-CN"/>
          <w14:textFill>
            <w14:solidFill>
              <w14:schemeClr w14:val="tx1"/>
            </w14:solidFill>
          </w14:textFill>
        </w:rPr>
        <w:t>81</w:t>
      </w:r>
    </w:p>
    <w:p w14:paraId="69B2B4C9">
      <w:pPr>
        <w:rPr>
          <w:rFonts w:hint="eastAsia"/>
          <w:color w:val="000000" w:themeColor="text1"/>
          <w:lang w:val="en-US" w:eastAsia="zh-CN"/>
          <w14:textFill>
            <w14:solidFill>
              <w14:schemeClr w14:val="tx1"/>
            </w14:solidFill>
          </w14:textFill>
        </w:rPr>
      </w:pPr>
    </w:p>
    <w:p w14:paraId="27C38F61">
      <w:pPr>
        <w:rPr>
          <w:rFonts w:hint="eastAsia"/>
          <w:color w:val="000000" w:themeColor="text1"/>
          <w:lang w:val="en-US" w:eastAsia="zh-CN"/>
          <w14:textFill>
            <w14:solidFill>
              <w14:schemeClr w14:val="tx1"/>
            </w14:solidFill>
          </w14:textFill>
        </w:rPr>
      </w:pPr>
    </w:p>
    <w:p w14:paraId="072255D5">
      <w:pPr>
        <w:pStyle w:val="2"/>
        <w:ind w:left="0" w:leftChars="0" w:firstLine="0" w:firstLineChars="0"/>
        <w:rPr>
          <w:rFonts w:hint="eastAsia"/>
          <w:color w:val="000000" w:themeColor="text1"/>
          <w:highlight w:val="none"/>
          <w:lang w:val="en-US" w:eastAsia="zh-CN"/>
          <w14:textFill>
            <w14:solidFill>
              <w14:schemeClr w14:val="tx1"/>
            </w14:solidFill>
          </w14:textFill>
        </w:rPr>
      </w:pPr>
    </w:p>
    <w:p w14:paraId="01C85E16">
      <w:pPr>
        <w:pStyle w:val="2"/>
        <w:keepNext w:val="0"/>
        <w:keepLines w:val="0"/>
        <w:pageBreakBefore w:val="0"/>
        <w:kinsoku/>
        <w:wordWrap/>
        <w:bidi w:val="0"/>
        <w:rPr>
          <w:rFonts w:hint="eastAsia" w:ascii="方正小标宋简体" w:hAnsi="方正小标宋简体" w:eastAsia="方正小标宋简体" w:cs="方正小标宋简体"/>
          <w:b w:val="0"/>
          <w:bCs w:val="0"/>
          <w:color w:val="000000" w:themeColor="text1"/>
          <w:spacing w:val="-7"/>
          <w:sz w:val="44"/>
          <w:szCs w:val="44"/>
          <w:highlight w:val="none"/>
          <w:lang w:val="en-US" w:eastAsia="zh-CN"/>
          <w14:textFill>
            <w14:solidFill>
              <w14:schemeClr w14:val="tx1"/>
            </w14:solidFill>
          </w14:textFill>
        </w:rPr>
      </w:pPr>
    </w:p>
    <w:p w14:paraId="235708A7">
      <w:pPr>
        <w:pStyle w:val="2"/>
        <w:keepNext w:val="0"/>
        <w:keepLines w:val="0"/>
        <w:pageBreakBefore w:val="0"/>
        <w:kinsoku/>
        <w:wordWrap/>
        <w:bidi w:val="0"/>
        <w:rPr>
          <w:rFonts w:hint="eastAsia" w:ascii="方正小标宋简体" w:hAnsi="方正小标宋简体" w:eastAsia="方正小标宋简体" w:cs="方正小标宋简体"/>
          <w:b w:val="0"/>
          <w:bCs w:val="0"/>
          <w:color w:val="000000" w:themeColor="text1"/>
          <w:spacing w:val="-7"/>
          <w:sz w:val="44"/>
          <w:szCs w:val="44"/>
          <w:highlight w:val="none"/>
          <w:lang w:val="en-US" w:eastAsia="zh-CN"/>
          <w14:textFill>
            <w14:solidFill>
              <w14:schemeClr w14:val="tx1"/>
            </w14:solidFill>
          </w14:textFill>
        </w:rPr>
      </w:pPr>
    </w:p>
    <w:p w14:paraId="72A65DAA">
      <w:pPr>
        <w:pStyle w:val="2"/>
        <w:keepNext w:val="0"/>
        <w:keepLines w:val="0"/>
        <w:pageBreakBefore w:val="0"/>
        <w:kinsoku/>
        <w:wordWrap/>
        <w:overflowPunct/>
        <w:topLinePunct w:val="0"/>
        <w:autoSpaceDE/>
        <w:autoSpaceDN/>
        <w:bidi w:val="0"/>
        <w:spacing w:after="0" w:line="520" w:lineRule="exact"/>
        <w:ind w:left="0" w:leftChars="0" w:firstLine="0" w:firstLineChars="0"/>
        <w:jc w:val="center"/>
        <w:rPr>
          <w:rFonts w:hint="eastAsia" w:ascii="黑体" w:hAnsi="黑体" w:eastAsia="黑体" w:cs="黑体"/>
          <w:b w:val="0"/>
          <w:bCs w:val="0"/>
          <w:color w:val="000000" w:themeColor="text1"/>
          <w:kern w:val="0"/>
          <w:sz w:val="44"/>
          <w:szCs w:val="44"/>
          <w:highlight w:val="none"/>
          <w:lang w:val="en-US" w:eastAsia="zh-CN" w:bidi="ar"/>
          <w14:textFill>
            <w14:solidFill>
              <w14:schemeClr w14:val="tx1"/>
            </w14:solidFill>
          </w14:textFill>
        </w:rPr>
      </w:pPr>
    </w:p>
    <w:p w14:paraId="08D8A908">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00" w:lineRule="exact"/>
        <w:ind w:left="0" w:leftChars="0" w:firstLine="0" w:firstLineChars="0"/>
        <w:jc w:val="center"/>
        <w:textAlignment w:val="auto"/>
        <w:rPr>
          <w:rFonts w:hint="eastAsia" w:ascii="黑体" w:hAnsi="黑体" w:eastAsia="黑体" w:cs="黑体"/>
          <w:color w:val="000000" w:themeColor="text1"/>
          <w:sz w:val="44"/>
          <w:szCs w:val="44"/>
          <w14:textFill>
            <w14:solidFill>
              <w14:schemeClr w14:val="tx1"/>
            </w14:solidFill>
          </w14:textFill>
        </w:rPr>
      </w:pPr>
    </w:p>
    <w:p w14:paraId="7BBB65BE">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00" w:lineRule="exact"/>
        <w:ind w:left="0" w:leftChars="0" w:firstLine="0" w:firstLineChars="0"/>
        <w:jc w:val="center"/>
        <w:textAlignment w:val="auto"/>
        <w:rPr>
          <w:rFonts w:hint="eastAsia" w:ascii="黑体" w:hAnsi="黑体" w:eastAsia="黑体" w:cs="黑体"/>
          <w:color w:val="000000" w:themeColor="text1"/>
          <w:sz w:val="44"/>
          <w:szCs w:val="44"/>
          <w14:textFill>
            <w14:solidFill>
              <w14:schemeClr w14:val="tx1"/>
            </w14:solidFill>
          </w14:textFill>
        </w:rPr>
      </w:pPr>
    </w:p>
    <w:p w14:paraId="68BB35FF">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00" w:lineRule="exact"/>
        <w:ind w:left="0" w:leftChars="0" w:firstLine="0" w:firstLineChars="0"/>
        <w:jc w:val="center"/>
        <w:textAlignment w:val="auto"/>
        <w:rPr>
          <w:rFonts w:hint="eastAsia" w:ascii="黑体" w:hAnsi="黑体" w:eastAsia="黑体" w:cs="黑体"/>
          <w:color w:val="000000" w:themeColor="text1"/>
          <w:sz w:val="44"/>
          <w:szCs w:val="44"/>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t>案 例 目 录</w:t>
      </w:r>
    </w:p>
    <w:p w14:paraId="51B01157">
      <w:pPr>
        <w:keepNext w:val="0"/>
        <w:keepLines w:val="0"/>
        <w:pageBreakBefore w:val="0"/>
        <w:widowControl w:val="0"/>
        <w:numPr>
          <w:ilvl w:val="0"/>
          <w:numId w:val="0"/>
        </w:numPr>
        <w:tabs>
          <w:tab w:val="right" w:leader="dot" w:pos="8820"/>
        </w:tabs>
        <w:kinsoku/>
        <w:wordWrap/>
        <w:overflowPunct/>
        <w:topLinePunct w:val="0"/>
        <w:autoSpaceDE/>
        <w:autoSpaceDN/>
        <w:bidi w:val="0"/>
        <w:adjustRightInd/>
        <w:snapToGrid/>
        <w:spacing w:line="500" w:lineRule="exact"/>
        <w:ind w:left="0" w:leftChars="0" w:firstLine="0" w:firstLineChars="0"/>
        <w:jc w:val="center"/>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黑体" w:hAnsi="黑体" w:eastAsia="黑体" w:cs="黑体"/>
          <w:color w:val="000000" w:themeColor="text1"/>
          <w:sz w:val="44"/>
          <w:szCs w:val="44"/>
          <w14:textFill>
            <w14:solidFill>
              <w14:schemeClr w14:val="tx1"/>
            </w14:solidFill>
          </w14:textFill>
        </w:rPr>
        <w:br w:type="textWrapping"/>
      </w:r>
      <w:r>
        <w:rPr>
          <w:rFonts w:hint="eastAsia" w:ascii="仿宋_GB2312" w:hAnsi="仿宋_GB2312" w:eastAsia="仿宋_GB2312" w:cs="仿宋_GB2312"/>
          <w:b w:val="0"/>
          <w:bCs/>
          <w:color w:val="000000" w:themeColor="text1"/>
          <w:spacing w:val="-17"/>
          <w:kern w:val="0"/>
          <w:sz w:val="32"/>
          <w:szCs w:val="32"/>
          <w:lang w:val="en-US" w:eastAsia="zh-CN" w:bidi="ar"/>
          <w14:textFill>
            <w14:solidFill>
              <w14:schemeClr w14:val="tx1"/>
            </w14:solidFill>
          </w14:textFill>
        </w:rPr>
        <w:t>案例一：“开学第一课”启航新征程，一场走心又创新的思政实践</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12</w:t>
      </w:r>
    </w:p>
    <w:p w14:paraId="1C989A05">
      <w:pPr>
        <w:pStyle w:val="2"/>
        <w:keepNext w:val="0"/>
        <w:keepLines w:val="0"/>
        <w:pageBreakBefore w:val="0"/>
        <w:tabs>
          <w:tab w:val="right" w:leader="dot" w:pos="8820"/>
        </w:tabs>
        <w:kinsoku/>
        <w:wordWrap/>
        <w:overflowPunct/>
        <w:topLinePunct w:val="0"/>
        <w:autoSpaceDE/>
        <w:autoSpaceDN/>
        <w:bidi w:val="0"/>
        <w:adjustRightInd/>
        <w:snapToGrid/>
        <w:spacing w:after="0" w:line="500" w:lineRule="exact"/>
        <w:ind w:left="0" w:leftChars="0" w:firstLine="0" w:firstLineChars="0"/>
        <w:jc w:val="both"/>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案例二：组织开展 2025 年系列教师常规培训</w:t>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21</w:t>
      </w:r>
    </w:p>
    <w:p w14:paraId="1182B738">
      <w:pPr>
        <w:pStyle w:val="9"/>
        <w:keepNext w:val="0"/>
        <w:keepLines w:val="0"/>
        <w:pageBreakBefore w:val="0"/>
        <w:tabs>
          <w:tab w:val="right" w:leader="dot" w:pos="8820"/>
        </w:tabs>
        <w:kinsoku/>
        <w:wordWrap/>
        <w:overflowPunct/>
        <w:topLinePunct w:val="0"/>
        <w:autoSpaceDE/>
        <w:autoSpaceDN/>
        <w:bidi w:val="0"/>
        <w:adjustRightInd/>
        <w:snapToGrid/>
        <w:spacing w:line="500" w:lineRule="exact"/>
        <w:ind w:left="0" w:leftChars="0" w:firstLine="0" w:firstLineChars="0"/>
        <w:jc w:val="both"/>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案例三 ：以赛促学、以赛促教、以赛促练</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25</w:t>
      </w:r>
    </w:p>
    <w:p w14:paraId="535C4F76">
      <w:pPr>
        <w:pStyle w:val="9"/>
        <w:keepNext w:val="0"/>
        <w:keepLines w:val="0"/>
        <w:pageBreakBefore w:val="0"/>
        <w:tabs>
          <w:tab w:val="right" w:leader="dot" w:pos="8820"/>
        </w:tabs>
        <w:kinsoku/>
        <w:wordWrap/>
        <w:overflowPunct/>
        <w:topLinePunct w:val="0"/>
        <w:autoSpaceDE/>
        <w:autoSpaceDN/>
        <w:bidi w:val="0"/>
        <w:adjustRightInd/>
        <w:snapToGrid/>
        <w:spacing w:line="500" w:lineRule="exact"/>
        <w:ind w:left="0" w:leftChars="0" w:firstLine="0" w:firstLineChars="0"/>
        <w:jc w:val="both"/>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案例四：组织学生到爱国主义教育基地</w:t>
      </w:r>
      <w:r>
        <w:rPr>
          <w:rFonts w:hint="eastAsia" w:ascii="仿宋_GB2312" w:hAnsi="仿宋_GB2312" w:eastAsia="仿宋_GB2312" w:cs="仿宋_GB2312"/>
          <w:b w:val="0"/>
          <w:bCs/>
          <w:color w:val="000000" w:themeColor="text1"/>
          <w:sz w:val="32"/>
          <w:szCs w:val="32"/>
          <w:lang w:val="en-US" w:eastAsia="zh-CN"/>
          <w14:textFill>
            <w14:solidFill>
              <w14:schemeClr w14:val="tx1"/>
            </w14:solidFill>
          </w14:textFill>
        </w:rPr>
        <w:t>开展</w:t>
      </w:r>
      <w:r>
        <w:rPr>
          <w:rFonts w:hint="eastAsia" w:ascii="仿宋_GB2312" w:hAnsi="仿宋_GB2312" w:eastAsia="仿宋_GB2312" w:cs="仿宋_GB2312"/>
          <w:b w:val="0"/>
          <w:bCs/>
          <w:color w:val="000000" w:themeColor="text1"/>
          <w:sz w:val="32"/>
          <w:szCs w:val="32"/>
          <w14:textFill>
            <w14:solidFill>
              <w14:schemeClr w14:val="tx1"/>
            </w14:solidFill>
          </w14:textFill>
        </w:rPr>
        <w:t>劳动教育实践活动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36</w:t>
      </w:r>
    </w:p>
    <w:p w14:paraId="0446A24D">
      <w:pPr>
        <w:pStyle w:val="9"/>
        <w:keepNext w:val="0"/>
        <w:keepLines w:val="0"/>
        <w:pageBreakBefore w:val="0"/>
        <w:tabs>
          <w:tab w:val="right" w:leader="dot" w:pos="8820"/>
        </w:tabs>
        <w:kinsoku/>
        <w:wordWrap/>
        <w:overflowPunct/>
        <w:topLinePunct w:val="0"/>
        <w:autoSpaceDE/>
        <w:autoSpaceDN/>
        <w:bidi w:val="0"/>
        <w:adjustRightInd/>
        <w:snapToGrid/>
        <w:spacing w:line="500" w:lineRule="exact"/>
        <w:ind w:left="0" w:leftChars="0" w:firstLine="0" w:firstLineChars="0"/>
        <w:jc w:val="both"/>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案例五 ：开展“守护绿色家园·共建生态文明”植树节专题劳动教育实践活动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37</w:t>
      </w:r>
    </w:p>
    <w:p w14:paraId="522EE197">
      <w:pPr>
        <w:pStyle w:val="9"/>
        <w:keepNext w:val="0"/>
        <w:keepLines w:val="0"/>
        <w:pageBreakBefore w:val="0"/>
        <w:tabs>
          <w:tab w:val="right" w:leader="dot" w:pos="8820"/>
        </w:tabs>
        <w:kinsoku/>
        <w:wordWrap/>
        <w:overflowPunct/>
        <w:topLinePunct w:val="0"/>
        <w:autoSpaceDE/>
        <w:autoSpaceDN/>
        <w:bidi w:val="0"/>
        <w:adjustRightInd/>
        <w:snapToGrid/>
        <w:spacing w:line="500" w:lineRule="exact"/>
        <w:ind w:left="0" w:leftChars="0" w:firstLine="0" w:firstLineChars="0"/>
        <w:jc w:val="both"/>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案例六:2025年“6·26”国际禁毒日暨全民禁毒宣传月活动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38</w:t>
      </w:r>
    </w:p>
    <w:p w14:paraId="10CFAA62">
      <w:pPr>
        <w:keepNext w:val="0"/>
        <w:keepLines w:val="0"/>
        <w:pageBreakBefore w:val="0"/>
        <w:widowControl w:val="0"/>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案例七：“生命有光，成长有彩”心理健康活动月活动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39</w:t>
      </w:r>
    </w:p>
    <w:p w14:paraId="18E10130">
      <w:pPr>
        <w:pStyle w:val="9"/>
        <w:keepNext w:val="0"/>
        <w:keepLines w:val="0"/>
        <w:pageBreakBefore w:val="0"/>
        <w:widowControl w:val="0"/>
        <w:tabs>
          <w:tab w:val="right" w:leader="dot" w:pos="8820"/>
        </w:tabs>
        <w:kinsoku/>
        <w:wordWrap/>
        <w:overflowPunct/>
        <w:topLinePunct w:val="0"/>
        <w:autoSpaceDE/>
        <w:autoSpaceDN/>
        <w:bidi w:val="0"/>
        <w:adjustRightInd/>
        <w:snapToGrid/>
        <w:spacing w:line="500" w:lineRule="exact"/>
        <w:ind w:left="1280" w:leftChars="0" w:hanging="1280" w:hangingChars="400"/>
        <w:jc w:val="both"/>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案例八：“传承红色基因，勇担时代使命”三下乡实践活动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40</w:t>
      </w:r>
    </w:p>
    <w:p w14:paraId="2CBE2258">
      <w:pPr>
        <w:pStyle w:val="9"/>
        <w:keepNext w:val="0"/>
        <w:keepLines w:val="0"/>
        <w:pageBreakBefore w:val="0"/>
        <w:tabs>
          <w:tab w:val="right" w:leader="dot" w:pos="8820"/>
        </w:tabs>
        <w:kinsoku/>
        <w:wordWrap/>
        <w:overflowPunct/>
        <w:topLinePunct w:val="0"/>
        <w:autoSpaceDE/>
        <w:autoSpaceDN/>
        <w:bidi w:val="0"/>
        <w:adjustRightInd/>
        <w:snapToGrid/>
        <w:spacing w:line="500" w:lineRule="exact"/>
        <w:ind w:left="0" w:leftChars="0" w:firstLine="0" w:firstLineChars="0"/>
        <w:jc w:val="both"/>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案例九：组织开展志愿服务活动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41</w:t>
      </w:r>
    </w:p>
    <w:p w14:paraId="0064B415">
      <w:pPr>
        <w:pStyle w:val="9"/>
        <w:keepNext w:val="0"/>
        <w:keepLines w:val="0"/>
        <w:pageBreakBefore w:val="0"/>
        <w:tabs>
          <w:tab w:val="right" w:leader="dot" w:pos="8820"/>
        </w:tabs>
        <w:kinsoku/>
        <w:wordWrap/>
        <w:overflowPunct/>
        <w:topLinePunct w:val="0"/>
        <w:autoSpaceDE/>
        <w:autoSpaceDN/>
        <w:bidi w:val="0"/>
        <w:adjustRightInd/>
        <w:snapToGrid/>
        <w:spacing w:line="500" w:lineRule="exact"/>
        <w:ind w:left="0" w:leftChars="0" w:firstLine="0" w:firstLineChars="0"/>
        <w:jc w:val="both"/>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案例十：弘扬红色精神，践行公益使命，助力教育事业发展</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56</w:t>
      </w:r>
    </w:p>
    <w:p w14:paraId="3B1A18C4">
      <w:pPr>
        <w:pStyle w:val="9"/>
        <w:keepNext w:val="0"/>
        <w:keepLines w:val="0"/>
        <w:pageBreakBefore w:val="0"/>
        <w:widowControl w:val="0"/>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案例十一：创新实践载体，丰富红色教育体验</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57</w:t>
      </w:r>
    </w:p>
    <w:p w14:paraId="7E30E777">
      <w:pPr>
        <w:keepNext w:val="0"/>
        <w:keepLines w:val="0"/>
        <w:pageBreakBefore w:val="0"/>
        <w:widowControl w:val="0"/>
        <w:tabs>
          <w:tab w:val="right" w:leader="dot" w:pos="8820"/>
        </w:tabs>
        <w:kinsoku/>
        <w:wordWrap/>
        <w:overflowPunct/>
        <w:topLinePunct w:val="0"/>
        <w:autoSpaceDE/>
        <w:autoSpaceDN/>
        <w:bidi w:val="0"/>
        <w:adjustRightInd/>
        <w:snapToGrid/>
        <w:spacing w:line="500" w:lineRule="exact"/>
        <w:ind w:left="0" w:leftChars="0" w:right="0" w:firstLine="0" w:firstLineChars="0"/>
        <w:jc w:val="both"/>
        <w:textAlignment w:val="auto"/>
        <w:rPr>
          <w:rFonts w:hint="eastAsia" w:ascii="仿宋_GB2312" w:hAnsi="仿宋_GB2312" w:eastAsia="仿宋_GB2312" w:cs="仿宋_GB2312"/>
          <w:b w:val="0"/>
          <w:bCs/>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案例十二 ：“多彩三月三 共聚民族情”——三月三系列活动</w:t>
      </w:r>
      <w:r>
        <w:rPr>
          <w:rFonts w:hint="eastAsia" w:ascii="仿宋_GB2312" w:hAnsi="仿宋_GB2312" w:eastAsia="仿宋_GB2312" w:cs="仿宋_GB2312"/>
          <w:b w:val="0"/>
          <w:bCs/>
          <w:color w:val="000000" w:themeColor="text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b w:val="0"/>
          <w:bCs/>
          <w:color w:val="000000" w:themeColor="text1"/>
          <w:kern w:val="2"/>
          <w:sz w:val="32"/>
          <w:szCs w:val="32"/>
          <w:highlight w:val="none"/>
          <w:lang w:val="en-US" w:eastAsia="zh-CN" w:bidi="ar-SA"/>
          <w14:textFill>
            <w14:solidFill>
              <w14:schemeClr w14:val="tx1"/>
            </w14:solidFill>
          </w14:textFill>
        </w:rPr>
        <w:t>61</w:t>
      </w:r>
    </w:p>
    <w:p w14:paraId="2CB5A37F">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tabs>
          <w:tab w:val="right" w:leader="dot" w:pos="8820"/>
        </w:tabs>
        <w:kinsoku/>
        <w:wordWrap/>
        <w:overflowPunct/>
        <w:topLinePunct w:val="0"/>
        <w:autoSpaceDE/>
        <w:autoSpaceDN/>
        <w:bidi w:val="0"/>
        <w:adjustRightInd/>
        <w:snapToGrid/>
        <w:spacing w:before="0" w:beforeAutospacing="0" w:after="0" w:afterAutospacing="0" w:line="500" w:lineRule="exact"/>
        <w:ind w:left="0" w:leftChars="0" w:right="0" w:firstLine="0" w:firstLineChars="0"/>
        <w:jc w:val="both"/>
        <w:textAlignment w:val="auto"/>
        <w:rPr>
          <w:rFonts w:hint="eastAsia" w:ascii="仿宋_GB2312" w:hAnsi="仿宋_GB2312" w:eastAsia="仿宋_GB2312" w:cs="仿宋_GB2312"/>
          <w:b w:val="0"/>
          <w:bCs/>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案例十三：弘扬中华传统文化，传承端午民俗魅力</w:t>
      </w:r>
      <w:r>
        <w:rPr>
          <w:rFonts w:hint="eastAsia" w:ascii="仿宋_GB2312" w:hAnsi="仿宋_GB2312" w:eastAsia="仿宋_GB2312" w:cs="仿宋_GB2312"/>
          <w:b w:val="0"/>
          <w:bCs/>
          <w:color w:val="000000" w:themeColor="text1"/>
          <w:kern w:val="2"/>
          <w:sz w:val="32"/>
          <w:szCs w:val="32"/>
          <w:highlight w:val="none"/>
          <w:lang w:val="en-US" w:eastAsia="zh-CN" w:bidi="ar-SA"/>
          <w14:textFill>
            <w14:solidFill>
              <w14:schemeClr w14:val="tx1"/>
            </w14:solidFill>
          </w14:textFill>
        </w:rPr>
        <w:tab/>
      </w:r>
      <w:r>
        <w:rPr>
          <w:rFonts w:hint="eastAsia" w:ascii="仿宋_GB2312" w:hAnsi="仿宋_GB2312" w:eastAsia="仿宋_GB2312" w:cs="仿宋_GB2312"/>
          <w:b w:val="0"/>
          <w:bCs/>
          <w:color w:val="000000" w:themeColor="text1"/>
          <w:kern w:val="2"/>
          <w:sz w:val="32"/>
          <w:szCs w:val="32"/>
          <w:highlight w:val="none"/>
          <w:lang w:val="en-US" w:eastAsia="zh-CN" w:bidi="ar-SA"/>
          <w14:textFill>
            <w14:solidFill>
              <w14:schemeClr w14:val="tx1"/>
            </w14:solidFill>
          </w14:textFill>
        </w:rPr>
        <w:t>63</w:t>
      </w:r>
    </w:p>
    <w:p w14:paraId="59A1C2C1">
      <w:pPr>
        <w:keepNext w:val="0"/>
        <w:keepLines w:val="0"/>
        <w:pageBreakBefore w:val="0"/>
        <w:widowControl/>
        <w:suppressLineNumbers w:val="0"/>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案例十四：融入地方文化建设、助力文化传承</w:t>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66</w:t>
      </w:r>
    </w:p>
    <w:p w14:paraId="1554D44F">
      <w:pPr>
        <w:keepNext w:val="0"/>
        <w:keepLines w:val="0"/>
        <w:pageBreakBefore w:val="0"/>
        <w:widowControl w:val="0"/>
        <w:numPr>
          <w:ilvl w:val="0"/>
          <w:numId w:val="0"/>
        </w:numPr>
        <w:pBdr>
          <w:bottom w:val="single" w:color="FFFFFF" w:sz="4" w:space="16"/>
        </w:pBdr>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案例十五：开展形式多样的校园文化活动</w:t>
      </w:r>
      <w:r>
        <w:rPr>
          <w:rFonts w:hint="eastAsia" w:ascii="仿宋_GB2312" w:hAnsi="仿宋_GB2312" w:eastAsia="仿宋_GB2312" w:cs="仿宋_GB2312"/>
          <w:b w:val="0"/>
          <w:bCs/>
          <w:color w:val="000000" w:themeColor="text1"/>
          <w:spacing w:val="-1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pacing w:val="-11"/>
          <w:sz w:val="32"/>
          <w:szCs w:val="32"/>
          <w:highlight w:val="none"/>
          <w:lang w:val="en-US" w:eastAsia="zh-CN"/>
          <w14:textFill>
            <w14:solidFill>
              <w14:schemeClr w14:val="tx1"/>
            </w14:solidFill>
          </w14:textFill>
        </w:rPr>
        <w:t>67</w:t>
      </w:r>
    </w:p>
    <w:p w14:paraId="3AF344B1">
      <w:pPr>
        <w:keepNext w:val="0"/>
        <w:keepLines w:val="0"/>
        <w:pageBreakBefore w:val="0"/>
        <w:widowControl w:val="0"/>
        <w:numPr>
          <w:ilvl w:val="0"/>
          <w:numId w:val="0"/>
        </w:numPr>
        <w:pBdr>
          <w:bottom w:val="single" w:color="FFFFFF" w:sz="4" w:space="16"/>
        </w:pBdr>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案例十六 ：构建“党建+”育人格局，引领全面发展</w:t>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ab/>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77</w:t>
      </w:r>
    </w:p>
    <w:p w14:paraId="04C904E5">
      <w:pPr>
        <w:keepNext w:val="0"/>
        <w:keepLines w:val="0"/>
        <w:pageBreakBefore w:val="0"/>
        <w:widowControl w:val="0"/>
        <w:numPr>
          <w:ilvl w:val="0"/>
          <w:numId w:val="0"/>
        </w:numPr>
        <w:pBdr>
          <w:bottom w:val="single" w:color="FFFFFF" w:sz="4" w:space="16"/>
        </w:pBdr>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案例十七：组织师生开展同上一堂“八桂楷模 大思政课”活动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78</w:t>
      </w:r>
    </w:p>
    <w:p w14:paraId="4D9AA641">
      <w:pPr>
        <w:keepNext w:val="0"/>
        <w:keepLines w:val="0"/>
        <w:pageBreakBefore w:val="0"/>
        <w:widowControl w:val="0"/>
        <w:numPr>
          <w:ilvl w:val="0"/>
          <w:numId w:val="0"/>
        </w:numPr>
        <w:pBdr>
          <w:bottom w:val="single" w:color="FFFFFF" w:sz="4" w:space="16"/>
        </w:pBdr>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14:textFill>
            <w14:solidFill>
              <w14:schemeClr w14:val="tx1"/>
            </w14:solidFill>
          </w14:textFill>
        </w:rPr>
        <w:t>案例</w:t>
      </w:r>
      <w:r>
        <w:rPr>
          <w:rFonts w:hint="eastAsia" w:ascii="仿宋_GB2312" w:hAnsi="仿宋_GB2312" w:eastAsia="仿宋_GB2312" w:cs="仿宋_GB2312"/>
          <w:b w:val="0"/>
          <w:bCs/>
          <w:color w:val="000000" w:themeColor="text1"/>
          <w:sz w:val="32"/>
          <w:szCs w:val="32"/>
          <w:lang w:val="en-US" w:eastAsia="zh-CN"/>
          <w14:textFill>
            <w14:solidFill>
              <w14:schemeClr w14:val="tx1"/>
            </w14:solidFill>
          </w14:textFill>
        </w:rPr>
        <w:t>十八</w:t>
      </w:r>
      <w:r>
        <w:rPr>
          <w:rFonts w:hint="eastAsia" w:ascii="仿宋_GB2312" w:hAnsi="仿宋_GB2312" w:eastAsia="仿宋_GB2312" w:cs="仿宋_GB2312"/>
          <w:b w:val="0"/>
          <w:bCs/>
          <w:color w:val="000000" w:themeColor="text1"/>
          <w:sz w:val="32"/>
          <w:szCs w:val="32"/>
          <w14:textFill>
            <w14:solidFill>
              <w14:schemeClr w14:val="tx1"/>
            </w14:solidFill>
          </w14:textFill>
        </w:rPr>
        <w:t> ：案例十八：以“党建+”模式推动工作融合发展</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79</w:t>
      </w:r>
    </w:p>
    <w:p w14:paraId="51CF9A3C">
      <w:pPr>
        <w:keepNext w:val="0"/>
        <w:keepLines w:val="0"/>
        <w:pageBreakBefore w:val="0"/>
        <w:widowControl w:val="0"/>
        <w:numPr>
          <w:ilvl w:val="0"/>
          <w:numId w:val="0"/>
        </w:numPr>
        <w:pBdr>
          <w:bottom w:val="single" w:color="FFFFFF" w:sz="4" w:space="16"/>
        </w:pBdr>
        <w:tabs>
          <w:tab w:val="right" w:leader="dot" w:pos="8820"/>
        </w:tabs>
        <w:kinsoku/>
        <w:wordWrap/>
        <w:overflowPunct/>
        <w:topLinePunct w:val="0"/>
        <w:autoSpaceDE/>
        <w:autoSpaceDN/>
        <w:bidi w:val="0"/>
        <w:adjustRightInd/>
        <w:snapToGrid/>
        <w:spacing w:line="500" w:lineRule="exact"/>
        <w:ind w:left="0" w:leftChars="0" w:firstLine="0" w:firstLineChars="0"/>
        <w:jc w:val="both"/>
        <w:textAlignment w:val="auto"/>
        <w:rPr>
          <w:rFonts w:hint="eastAsia" w:ascii="方正小标宋简体" w:hAnsi="方正小标宋简体" w:eastAsia="方正小标宋简体" w:cs="方正小标宋简体"/>
          <w:b w:val="0"/>
          <w:bCs w:val="0"/>
          <w:color w:val="000000" w:themeColor="text1"/>
          <w:spacing w:val="-7"/>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案例十九：</w:t>
      </w:r>
      <w:r>
        <w:rPr>
          <w:rFonts w:hint="eastAsia" w:ascii="仿宋_GB2312" w:hAnsi="仿宋_GB2312" w:eastAsia="仿宋_GB2312" w:cs="仿宋_GB2312"/>
          <w:b w:val="0"/>
          <w:bCs/>
          <w:color w:val="000000" w:themeColor="text1"/>
          <w:sz w:val="32"/>
          <w:szCs w:val="32"/>
          <w14:textFill>
            <w14:solidFill>
              <w14:schemeClr w14:val="tx1"/>
            </w14:solidFill>
          </w14:textFill>
        </w:rPr>
        <w:t>强化理论学习，激发爱党爱国爱校情怀</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ab/>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80</w:t>
      </w:r>
    </w:p>
    <w:p w14:paraId="6BB80761">
      <w:pPr>
        <w:pStyle w:val="9"/>
        <w:keepNext w:val="0"/>
        <w:keepLines w:val="0"/>
        <w:pageBreakBefore w:val="0"/>
        <w:kinsoku/>
        <w:wordWrap/>
        <w:overflowPunct/>
        <w:topLinePunct w:val="0"/>
        <w:autoSpaceDE/>
        <w:autoSpaceDN/>
        <w:bidi w:val="0"/>
        <w:adjustRightInd/>
        <w:snapToGrid/>
        <w:spacing w:line="500" w:lineRule="exact"/>
        <w:ind w:left="0" w:leftChars="0" w:firstLine="640" w:firstLineChars="200"/>
        <w:rPr>
          <w:rFonts w:hint="eastAsia" w:ascii="楷体" w:hAnsi="楷体" w:eastAsia="楷体" w:cs="楷体"/>
          <w:color w:val="000000" w:themeColor="text1"/>
          <w:sz w:val="32"/>
          <w:szCs w:val="32"/>
          <w:highlight w:val="none"/>
          <w:lang w:val="en-US" w:eastAsia="en-US"/>
          <w14:textFill>
            <w14:solidFill>
              <w14:schemeClr w14:val="tx1"/>
            </w14:solidFill>
          </w14:textFill>
        </w:rPr>
        <w:sectPr>
          <w:footerReference r:id="rId4" w:type="default"/>
          <w:pgSz w:w="11906" w:h="16838"/>
          <w:pgMar w:top="2098" w:right="1417" w:bottom="2041" w:left="1531"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7F151485">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1.</w:t>
      </w: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学校概况</w:t>
      </w:r>
    </w:p>
    <w:p w14:paraId="49877C28">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14:textFill>
            <w14:solidFill>
              <w14:schemeClr w14:val="tx1"/>
            </w14:solidFill>
          </w14:textFill>
        </w:rPr>
        <w:t>1.1基本情况</w:t>
      </w:r>
    </w:p>
    <w:p w14:paraId="2306E048">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 w:eastAsia="仿宋_GB2312" w:cs="Times New Roman"/>
          <w:color w:val="000000" w:themeColor="text1"/>
          <w:sz w:val="32"/>
          <w:szCs w:val="32"/>
          <w:highlight w:val="none"/>
          <w:lang w:val="en-US" w:eastAsia="zh-CN"/>
          <w14:textFill>
            <w14:solidFill>
              <w14:schemeClr w14:val="tx1"/>
            </w14:solidFill>
          </w14:textFill>
        </w:rPr>
      </w:pPr>
      <w:r>
        <w:rPr>
          <w:rFonts w:hint="eastAsia" w:ascii="仿宋_GB2312" w:hAnsi="仿宋" w:eastAsia="仿宋_GB2312" w:cs="Times New Roman"/>
          <w:color w:val="000000" w:themeColor="text1"/>
          <w:sz w:val="32"/>
          <w:szCs w:val="32"/>
          <w:lang w:val="en-US" w:eastAsia="zh-CN"/>
          <w14:textFill>
            <w14:solidFill>
              <w14:schemeClr w14:val="tx1"/>
            </w14:solidFill>
          </w14:textFill>
        </w:rPr>
        <w:t>广西工程职业学院创办于2006年，2007年正式招生，是经广西壮族自治区人民政府批准设立、教育部核准备案，面向全国招生的一所以理工科为主的具有鲜明特色的全日制普通高等学校。学校</w:t>
      </w:r>
      <w:r>
        <w:rPr>
          <w:rFonts w:hint="eastAsia" w:ascii="仿宋_GB2312" w:hAnsi="仿宋" w:eastAsia="仿宋_GB2312" w:cs="Times New Roman"/>
          <w:color w:val="000000" w:themeColor="text1"/>
          <w:sz w:val="32"/>
          <w:szCs w:val="32"/>
          <w:highlight w:val="none"/>
          <w:lang w:val="en-US" w:eastAsia="zh-CN"/>
          <w14:textFill>
            <w14:solidFill>
              <w14:schemeClr w14:val="tx1"/>
            </w14:solidFill>
          </w14:textFill>
        </w:rPr>
        <w:t>设有马克思主义学院、土木工程学院、汽车与机电学院、经济管理学院、艺术设计学院、铁道与航空学院、国防科技学院、教育学院、继续教育与培训学院等9个二级学院。建有建筑材料检测实训中心、汽车与机电实验实训中心等7个校内实验实训中心， 建有1个大学生创新创业中心、76个校外实践教学基地。教学科研仪器设备总值1.82亿元，馆藏纸质图书129.05万册、电子图书135.82万册。</w:t>
      </w:r>
    </w:p>
    <w:p w14:paraId="0D6CF170">
      <w:pPr>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 w:eastAsia="仿宋_GB2312" w:cs="Times New Roman"/>
          <w:color w:val="000000" w:themeColor="text1"/>
          <w:sz w:val="32"/>
          <w:szCs w:val="32"/>
          <w:highlight w:val="none"/>
          <w:lang w:val="en-US" w:eastAsia="zh-CN"/>
          <w14:textFill>
            <w14:solidFill>
              <w14:schemeClr w14:val="tx1"/>
            </w14:solidFill>
          </w14:textFill>
        </w:rPr>
      </w:pPr>
      <w:r>
        <w:rPr>
          <w:rFonts w:hint="eastAsia" w:ascii="仿宋_GB2312" w:hAnsi="仿宋" w:eastAsia="仿宋_GB2312" w:cs="Times New Roman"/>
          <w:color w:val="000000" w:themeColor="text1"/>
          <w:sz w:val="32"/>
          <w:szCs w:val="32"/>
          <w:highlight w:val="none"/>
          <w:lang w:val="en-US" w:eastAsia="zh-CN"/>
          <w14:textFill>
            <w14:solidFill>
              <w14:schemeClr w14:val="tx1"/>
            </w14:solidFill>
          </w14:textFill>
        </w:rPr>
        <w:t>学校获得2018年职业教育国家级教学成果二等奖1项，广西职业教育自治区级教学成果一等奖1项；学生参加全国、全区各类竞赛，先后获奖1000多项，</w:t>
      </w:r>
      <w:r>
        <w:rPr>
          <w:rFonts w:hint="eastAsia" w:ascii="仿宋_GB2312" w:hAnsi="仿宋" w:eastAsia="仿宋_GB2312" w:cs="Times New Roman"/>
          <w:color w:val="auto"/>
          <w:sz w:val="32"/>
          <w:szCs w:val="32"/>
          <w:highlight w:val="none"/>
          <w:lang w:val="en-US" w:eastAsia="zh-CN"/>
        </w:rPr>
        <w:t>其中荣获区级及以上技能竞赛391项；取得专利、咨询报告等科技服务地方特色成果100多项。</w:t>
      </w:r>
      <w:r>
        <w:rPr>
          <w:rFonts w:hint="eastAsia" w:ascii="仿宋_GB2312" w:hAnsi="仿宋" w:eastAsia="仿宋_GB2312" w:cs="Times New Roman"/>
          <w:color w:val="000000" w:themeColor="text1"/>
          <w:sz w:val="32"/>
          <w:szCs w:val="32"/>
          <w:highlight w:val="none"/>
          <w:lang w:val="en-US" w:eastAsia="zh-CN"/>
          <w14:textFill>
            <w14:solidFill>
              <w14:schemeClr w14:val="tx1"/>
            </w14:solidFill>
          </w14:textFill>
        </w:rPr>
        <w:t>取得专利、咨询报告等科技服务地方特色成果100多项。学校先后荣获广西普通高校毕业生就业工作突出单位、全区普通高等学校就业创业工作突出单位、全区普通高等学校留桂就业工作贡献突出单位、自治区依法治校达标校、广西脱贫帮扶捐资助力单位、广西职业教育培训基地、自治区“两新”组织党建工作示范点、广西高校和百色市创先争优先进基层党组织、全区高校思想政治工作先进单位优秀奖、全区高校校园文化建设优秀奖、广西“森林校园”、自治区“美丽校园先锋先行”、最具专业特色高职学院、创平果教育品牌突出贡献奖等100多项荣誉。</w:t>
      </w:r>
    </w:p>
    <w:p w14:paraId="47BCA084">
      <w:pPr>
        <w:pStyle w:val="13"/>
        <w:keepNext w:val="0"/>
        <w:keepLines w:val="0"/>
        <w:pageBreakBefore w:val="0"/>
        <w:widowControl w:val="0"/>
        <w:kinsoku/>
        <w:wordWrap/>
        <w:overflowPunct/>
        <w:topLinePunct w:val="0"/>
        <w:autoSpaceDE/>
        <w:autoSpaceDN/>
        <w:bidi w:val="0"/>
        <w:adjustRightInd/>
        <w:snapToGrid/>
        <w:spacing w:line="540" w:lineRule="exact"/>
        <w:ind w:firstLine="640" w:firstLineChars="200"/>
        <w:jc w:val="both"/>
        <w:textAlignment w:val="auto"/>
        <w:rPr>
          <w:rFonts w:hint="eastAsia" w:ascii="仿宋_GB2312" w:hAnsi="仿宋" w:eastAsia="仿宋_GB2312" w:cs="Times New Roman"/>
          <w:color w:val="000000" w:themeColor="text1"/>
          <w:kern w:val="2"/>
          <w:sz w:val="32"/>
          <w:szCs w:val="32"/>
          <w:highlight w:val="none"/>
          <w:lang w:val="en-US" w:eastAsia="zh-CN" w:bidi="ar-SA"/>
          <w14:textFill>
            <w14:solidFill>
              <w14:schemeClr w14:val="tx1"/>
            </w14:solidFill>
          </w14:textFill>
        </w:rPr>
      </w:pPr>
      <w:r>
        <w:rPr>
          <w:rFonts w:hint="eastAsia" w:ascii="仿宋_GB2312" w:hAnsi="仿宋" w:eastAsia="仿宋_GB2312" w:cs="Times New Roman"/>
          <w:color w:val="000000" w:themeColor="text1"/>
          <w:kern w:val="2"/>
          <w:sz w:val="32"/>
          <w:szCs w:val="32"/>
          <w:highlight w:val="none"/>
          <w:lang w:val="en-US" w:eastAsia="zh-CN" w:bidi="ar-SA"/>
          <w14:textFill>
            <w14:solidFill>
              <w14:schemeClr w14:val="tx1"/>
            </w14:solidFill>
          </w14:textFill>
        </w:rPr>
        <w:t>建校以来，学校坚持“厚德博学 至材健行”校训，培养从事服务建筑业、交通运输业等适应生产、建设、管理、服务一线需要的具有社会责任感、良好职业素养、工匠精神、创新精神和实践能力的高素质技术技能人才。</w:t>
      </w:r>
    </w:p>
    <w:p w14:paraId="2CDA6638">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14:textFill>
            <w14:solidFill>
              <w14:schemeClr w14:val="tx1"/>
            </w14:solidFill>
          </w14:textFill>
        </w:rPr>
        <w:t>1.2</w:t>
      </w: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专业设置</w:t>
      </w:r>
    </w:p>
    <w:p w14:paraId="69E52B8F">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leftChars="0" w:firstLine="640" w:firstLineChars="200"/>
        <w:jc w:val="both"/>
        <w:textAlignment w:val="auto"/>
        <w:rPr>
          <w:rFonts w:hint="eastAsia" w:ascii="仿宋_GB2312" w:hAnsi="仿宋_GB2312" w:eastAsia="仿宋_GB2312" w:cs="仿宋_GB2312"/>
          <w:color w:val="000000" w:themeColor="text1"/>
          <w:sz w:val="32"/>
          <w:szCs w:val="32"/>
          <w14:textFill>
            <w14:solidFill>
              <w14:schemeClr w14:val="tx1"/>
            </w14:solidFill>
          </w14:textFill>
        </w:rPr>
      </w:pPr>
      <w:bookmarkStart w:id="0" w:name="OLE_LINK4"/>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广西工程职业学院紧密围绕新一代信息技术、装备制造、新能源等重点产业发展需求，以产业发展为牵引，不断优化专业结构，形成了与区域经济社会发展高度契合的专业体系。目前，学校开设了工业机器人技术、电气自动化技术、电子信息工程技术、网络营销与直播电商、金属智能加工技术技术等44个专业（方向），涵盖资源环境与安全、能源动力与材料、土木建筑、装备制造、交通运输、电子与信息、医药卫生、财经商贸、旅游、文化艺术、教育与体育、公共管理与服务等12个专业大类，形成了“植根百色、立足广西、服务产业、工科为主、多科协同”的办学格局。</w:t>
      </w:r>
    </w:p>
    <w:p w14:paraId="702093C9">
      <w:pPr>
        <w:pStyle w:val="9"/>
        <w:keepNext w:val="0"/>
        <w:keepLines w:val="0"/>
        <w:pageBreakBefore w:val="0"/>
        <w:kinsoku/>
        <w:wordWrap/>
        <w:bidi w:val="0"/>
        <w:spacing w:line="520" w:lineRule="exact"/>
        <w:jc w:val="center"/>
        <w:rPr>
          <w:rFonts w:hint="eastAsia" w:ascii="仿宋_GB2312" w:hAnsi="仿宋_GB2312" w:eastAsia="仿宋_GB2312" w:cs="仿宋_GB2312"/>
          <w:b w:val="0"/>
          <w:bCs w:val="0"/>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t>表1  学校专业设置情况一览表</w:t>
      </w:r>
      <w:bookmarkEnd w:id="0"/>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31"/>
        <w:gridCol w:w="1243"/>
        <w:gridCol w:w="4980"/>
      </w:tblGrid>
      <w:tr w14:paraId="0D32C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2431" w:type="dxa"/>
            <w:shd w:val="clear" w:color="auto" w:fill="9CC2E5" w:themeFill="accent1" w:themeFillTint="99"/>
            <w:vAlign w:val="center"/>
          </w:tcPr>
          <w:p w14:paraId="1B66A41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专业大类</w:t>
            </w:r>
          </w:p>
        </w:tc>
        <w:tc>
          <w:tcPr>
            <w:tcW w:w="1243" w:type="dxa"/>
            <w:shd w:val="clear" w:color="auto" w:fill="9CC2E5" w:themeFill="accent1" w:themeFillTint="99"/>
            <w:vAlign w:val="center"/>
          </w:tcPr>
          <w:p w14:paraId="36FDB36B">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eastAsia="zh-CN"/>
                <w14:textFill>
                  <w14:solidFill>
                    <w14:schemeClr w14:val="tx1"/>
                  </w14:solidFill>
                </w14:textFill>
              </w:rPr>
              <w:t>专业数</w:t>
            </w:r>
          </w:p>
        </w:tc>
        <w:tc>
          <w:tcPr>
            <w:tcW w:w="4980" w:type="dxa"/>
            <w:shd w:val="clear" w:color="auto" w:fill="9CC2E5" w:themeFill="accent1" w:themeFillTint="99"/>
            <w:vAlign w:val="center"/>
          </w:tcPr>
          <w:p w14:paraId="5E0E97F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专业名称</w:t>
            </w:r>
          </w:p>
        </w:tc>
      </w:tr>
      <w:tr w14:paraId="56A3CE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42" w:hRule="atLeast"/>
          <w:jc w:val="center"/>
        </w:trPr>
        <w:tc>
          <w:tcPr>
            <w:tcW w:w="2431" w:type="dxa"/>
            <w:vAlign w:val="center"/>
          </w:tcPr>
          <w:p w14:paraId="36B5678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交通运输大类</w:t>
            </w:r>
          </w:p>
        </w:tc>
        <w:tc>
          <w:tcPr>
            <w:tcW w:w="1243" w:type="dxa"/>
            <w:vAlign w:val="center"/>
          </w:tcPr>
          <w:p w14:paraId="32EEC30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8</w:t>
            </w:r>
          </w:p>
        </w:tc>
        <w:tc>
          <w:tcPr>
            <w:tcW w:w="4980" w:type="dxa"/>
            <w:vAlign w:val="center"/>
          </w:tcPr>
          <w:p w14:paraId="6BFA8189">
            <w:pPr>
              <w:pStyle w:val="9"/>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汽车检测与维修技术、汽车技术服务与营销、城市轨道交通运营管理、城市轨道交通工程技术、空中乘务、高速铁路施工与维护、高速铁路客运服务、道路与桥梁工程技术</w:t>
            </w:r>
          </w:p>
        </w:tc>
      </w:tr>
      <w:tr w14:paraId="02524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139D84A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土木建筑大类</w:t>
            </w:r>
          </w:p>
        </w:tc>
        <w:tc>
          <w:tcPr>
            <w:tcW w:w="1243" w:type="dxa"/>
            <w:vAlign w:val="center"/>
          </w:tcPr>
          <w:p w14:paraId="5EB873A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7</w:t>
            </w:r>
          </w:p>
        </w:tc>
        <w:tc>
          <w:tcPr>
            <w:tcW w:w="4980" w:type="dxa"/>
            <w:vAlign w:val="center"/>
          </w:tcPr>
          <w:p w14:paraId="33719214">
            <w:pPr>
              <w:pStyle w:val="9"/>
              <w:keepNext w:val="0"/>
              <w:keepLines w:val="0"/>
              <w:pageBreakBefore w:val="0"/>
              <w:widowControl w:val="0"/>
              <w:kinsoku/>
              <w:wordWrap/>
              <w:overflowPunct/>
              <w:topLinePunct w:val="0"/>
              <w:autoSpaceDE/>
              <w:autoSpaceDN/>
              <w:bidi w:val="0"/>
              <w:adjustRightInd/>
              <w:snapToGrid/>
              <w:spacing w:line="320" w:lineRule="exact"/>
              <w:jc w:val="left"/>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工程造价、建设工程管理、建筑工程技术、土木工程检测技术、现代物业管理、建筑室内设计、建筑设计</w:t>
            </w:r>
          </w:p>
        </w:tc>
      </w:tr>
      <w:tr w14:paraId="4F4C0A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381B557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财经商贸大类</w:t>
            </w:r>
          </w:p>
        </w:tc>
        <w:tc>
          <w:tcPr>
            <w:tcW w:w="1243" w:type="dxa"/>
            <w:vAlign w:val="center"/>
          </w:tcPr>
          <w:p w14:paraId="31893E6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6</w:t>
            </w:r>
          </w:p>
        </w:tc>
        <w:tc>
          <w:tcPr>
            <w:tcW w:w="4980" w:type="dxa"/>
            <w:vAlign w:val="center"/>
          </w:tcPr>
          <w:p w14:paraId="3B0FAE8E">
            <w:pPr>
              <w:pStyle w:val="9"/>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大数据与会计、大数据与财务管理、电子商务、网络营销与直播电商、市场营销、国际经济与贸易</w:t>
            </w:r>
          </w:p>
        </w:tc>
      </w:tr>
      <w:tr w14:paraId="368F4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0120CA2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装备制造大类</w:t>
            </w:r>
          </w:p>
        </w:tc>
        <w:tc>
          <w:tcPr>
            <w:tcW w:w="1243" w:type="dxa"/>
            <w:vAlign w:val="center"/>
          </w:tcPr>
          <w:p w14:paraId="77EBA2B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4</w:t>
            </w:r>
          </w:p>
        </w:tc>
        <w:tc>
          <w:tcPr>
            <w:tcW w:w="4980" w:type="dxa"/>
            <w:vAlign w:val="center"/>
          </w:tcPr>
          <w:p w14:paraId="4F9E4626">
            <w:pPr>
              <w:pStyle w:val="9"/>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数控技术、模具设计与制造、电气自动化技术、工业机器人技术</w:t>
            </w:r>
          </w:p>
        </w:tc>
      </w:tr>
      <w:tr w14:paraId="05BC7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05B8BDD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电子与信息大类</w:t>
            </w:r>
          </w:p>
        </w:tc>
        <w:tc>
          <w:tcPr>
            <w:tcW w:w="1243" w:type="dxa"/>
            <w:vAlign w:val="center"/>
          </w:tcPr>
          <w:p w14:paraId="294CA04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w:t>
            </w:r>
          </w:p>
        </w:tc>
        <w:tc>
          <w:tcPr>
            <w:tcW w:w="4980" w:type="dxa"/>
            <w:vAlign w:val="center"/>
          </w:tcPr>
          <w:p w14:paraId="77CC3D8A">
            <w:pPr>
              <w:pStyle w:val="9"/>
              <w:keepNext w:val="0"/>
              <w:keepLines w:val="0"/>
              <w:pageBreakBefore w:val="0"/>
              <w:widowControl w:val="0"/>
              <w:kinsoku/>
              <w:wordWrap/>
              <w:overflowPunct/>
              <w:topLinePunct w:val="0"/>
              <w:autoSpaceDE/>
              <w:autoSpaceDN/>
              <w:bidi w:val="0"/>
              <w:adjustRightInd/>
              <w:snapToGrid/>
              <w:spacing w:line="360" w:lineRule="exact"/>
              <w:jc w:val="left"/>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pacing w:val="-6"/>
                <w:sz w:val="24"/>
                <w:szCs w:val="24"/>
                <w:highlight w:val="none"/>
                <w:lang w:val="en-US" w:eastAsia="zh-CN"/>
                <w14:textFill>
                  <w14:solidFill>
                    <w14:schemeClr w14:val="tx1"/>
                  </w14:solidFill>
                </w14:textFill>
              </w:rPr>
              <w:t>电子信息工程技术、应用电子技术、大数据技术</w:t>
            </w:r>
          </w:p>
        </w:tc>
      </w:tr>
      <w:tr w14:paraId="1E028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4D4C57D6">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资源环境与安全大类</w:t>
            </w:r>
          </w:p>
        </w:tc>
        <w:tc>
          <w:tcPr>
            <w:tcW w:w="1243" w:type="dxa"/>
            <w:vAlign w:val="center"/>
          </w:tcPr>
          <w:p w14:paraId="6389CA1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w:t>
            </w:r>
          </w:p>
        </w:tc>
        <w:tc>
          <w:tcPr>
            <w:tcW w:w="4980" w:type="dxa"/>
            <w:vAlign w:val="center"/>
          </w:tcPr>
          <w:p w14:paraId="45E8F6C9">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国土资源调查与管理、环境工程技术、工程测量技术</w:t>
            </w:r>
          </w:p>
        </w:tc>
      </w:tr>
      <w:tr w14:paraId="7802B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63BFF24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文化艺术大类</w:t>
            </w:r>
          </w:p>
        </w:tc>
        <w:tc>
          <w:tcPr>
            <w:tcW w:w="1243" w:type="dxa"/>
            <w:vAlign w:val="center"/>
          </w:tcPr>
          <w:p w14:paraId="1627967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w:t>
            </w:r>
          </w:p>
        </w:tc>
        <w:tc>
          <w:tcPr>
            <w:tcW w:w="4980" w:type="dxa"/>
            <w:vAlign w:val="center"/>
          </w:tcPr>
          <w:p w14:paraId="4191C543">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产品艺术设计、广告艺术设计、美容美体艺术</w:t>
            </w:r>
          </w:p>
        </w:tc>
      </w:tr>
      <w:tr w14:paraId="01E6C7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01A7AE94">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能源动力与材料大类</w:t>
            </w:r>
          </w:p>
        </w:tc>
        <w:tc>
          <w:tcPr>
            <w:tcW w:w="1243" w:type="dxa"/>
            <w:vAlign w:val="center"/>
          </w:tcPr>
          <w:p w14:paraId="0307F46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w:t>
            </w:r>
          </w:p>
        </w:tc>
        <w:tc>
          <w:tcPr>
            <w:tcW w:w="4980" w:type="dxa"/>
            <w:vAlign w:val="center"/>
          </w:tcPr>
          <w:p w14:paraId="0E82BB83">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金属智能加工技术技术、建筑材料工程技术</w:t>
            </w:r>
          </w:p>
        </w:tc>
      </w:tr>
      <w:tr w14:paraId="68FCA0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7CF596B9">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教育与体育大类</w:t>
            </w:r>
          </w:p>
        </w:tc>
        <w:tc>
          <w:tcPr>
            <w:tcW w:w="1243" w:type="dxa"/>
            <w:vAlign w:val="center"/>
          </w:tcPr>
          <w:p w14:paraId="3478E85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w:t>
            </w:r>
          </w:p>
        </w:tc>
        <w:tc>
          <w:tcPr>
            <w:tcW w:w="4980" w:type="dxa"/>
            <w:vAlign w:val="center"/>
          </w:tcPr>
          <w:p w14:paraId="04F7D0FF">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学前教育、艺术教育</w:t>
            </w:r>
          </w:p>
        </w:tc>
      </w:tr>
      <w:tr w14:paraId="3EF928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20E88635">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公共管理与服务大类</w:t>
            </w:r>
          </w:p>
        </w:tc>
        <w:tc>
          <w:tcPr>
            <w:tcW w:w="1243" w:type="dxa"/>
            <w:vAlign w:val="center"/>
          </w:tcPr>
          <w:p w14:paraId="6FD761F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w:t>
            </w:r>
          </w:p>
        </w:tc>
        <w:tc>
          <w:tcPr>
            <w:tcW w:w="4980" w:type="dxa"/>
            <w:vAlign w:val="center"/>
          </w:tcPr>
          <w:p w14:paraId="2FD9B14A">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6"/>
                <w:sz w:val="24"/>
                <w:szCs w:val="24"/>
                <w:highlight w:val="none"/>
                <w:lang w:val="en-US" w:eastAsia="zh-CN"/>
                <w14:textFill>
                  <w14:solidFill>
                    <w14:schemeClr w14:val="tx1"/>
                  </w14:solidFill>
                </w14:textFill>
              </w:rPr>
              <w:t>现代家政服务与管理、智慧健康养老服务与管理</w:t>
            </w:r>
          </w:p>
        </w:tc>
      </w:tr>
      <w:tr w14:paraId="1EF60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2238312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医药卫生大类</w:t>
            </w:r>
          </w:p>
        </w:tc>
        <w:tc>
          <w:tcPr>
            <w:tcW w:w="1243" w:type="dxa"/>
            <w:vAlign w:val="center"/>
          </w:tcPr>
          <w:p w14:paraId="25D169A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w:t>
            </w:r>
          </w:p>
        </w:tc>
        <w:tc>
          <w:tcPr>
            <w:tcW w:w="4980" w:type="dxa"/>
            <w:vAlign w:val="center"/>
          </w:tcPr>
          <w:p w14:paraId="6E28872A">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婴幼儿托育服务与管理</w:t>
            </w:r>
          </w:p>
        </w:tc>
      </w:tr>
      <w:tr w14:paraId="77F79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2395663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旅游大类</w:t>
            </w:r>
          </w:p>
        </w:tc>
        <w:tc>
          <w:tcPr>
            <w:tcW w:w="1243" w:type="dxa"/>
            <w:vAlign w:val="center"/>
          </w:tcPr>
          <w:p w14:paraId="0ED0D67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w:t>
            </w:r>
          </w:p>
        </w:tc>
        <w:tc>
          <w:tcPr>
            <w:tcW w:w="4980" w:type="dxa"/>
            <w:vAlign w:val="center"/>
          </w:tcPr>
          <w:p w14:paraId="33B2D378">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酒店管理与数字化运营</w:t>
            </w:r>
          </w:p>
        </w:tc>
      </w:tr>
      <w:tr w14:paraId="07A5AB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31" w:type="dxa"/>
            <w:vAlign w:val="center"/>
          </w:tcPr>
          <w:p w14:paraId="1698879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合计</w:t>
            </w:r>
          </w:p>
        </w:tc>
        <w:tc>
          <w:tcPr>
            <w:tcW w:w="1243" w:type="dxa"/>
            <w:vAlign w:val="center"/>
          </w:tcPr>
          <w:p w14:paraId="1E7BADD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both"/>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42</w:t>
            </w:r>
          </w:p>
        </w:tc>
        <w:tc>
          <w:tcPr>
            <w:tcW w:w="4980" w:type="dxa"/>
            <w:vAlign w:val="center"/>
          </w:tcPr>
          <w:p w14:paraId="31BE42C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eastAsia="zh-CN"/>
                <w14:textFill>
                  <w14:solidFill>
                    <w14:schemeClr w14:val="tx1"/>
                  </w14:solidFill>
                </w14:textFill>
              </w:rPr>
            </w:pPr>
          </w:p>
        </w:tc>
      </w:tr>
    </w:tbl>
    <w:p w14:paraId="0C962239">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 w:hAnsi="楷体" w:eastAsia="楷体" w:cs="楷体"/>
          <w:color w:val="000000" w:themeColor="text1"/>
          <w:sz w:val="32"/>
          <w:szCs w:val="32"/>
          <w:highlight w:val="none"/>
          <w:lang w:val="en-US" w:eastAsia="zh-CN"/>
          <w14:textFill>
            <w14:solidFill>
              <w14:schemeClr w14:val="tx1"/>
            </w14:solidFill>
          </w14:textFill>
        </w:rPr>
      </w:pPr>
      <w:r>
        <w:rPr>
          <w:rFonts w:hint="eastAsia" w:ascii="楷体" w:hAnsi="楷体" w:eastAsia="楷体" w:cs="楷体"/>
          <w:color w:val="000000" w:themeColor="text1"/>
          <w:sz w:val="32"/>
          <w:szCs w:val="32"/>
          <w:highlight w:val="none"/>
          <w14:textFill>
            <w14:solidFill>
              <w14:schemeClr w14:val="tx1"/>
            </w14:solidFill>
          </w14:textFill>
        </w:rPr>
        <w:t>1.3</w:t>
      </w:r>
      <w:r>
        <w:rPr>
          <w:rFonts w:hint="eastAsia" w:ascii="楷体" w:hAnsi="楷体" w:eastAsia="楷体" w:cs="楷体"/>
          <w:color w:val="000000" w:themeColor="text1"/>
          <w:sz w:val="32"/>
          <w:szCs w:val="32"/>
          <w:highlight w:val="none"/>
          <w:lang w:val="en-US" w:eastAsia="zh-CN"/>
          <w14:textFill>
            <w14:solidFill>
              <w14:schemeClr w14:val="tx1"/>
            </w14:solidFill>
          </w14:textFill>
        </w:rPr>
        <w:t>师资队伍</w:t>
      </w:r>
    </w:p>
    <w:p w14:paraId="1608D5E2">
      <w:pPr>
        <w:keepNext w:val="0"/>
        <w:keepLines w:val="0"/>
        <w:pageBreakBefore w:val="0"/>
        <w:widowControl w:val="0"/>
        <w:kinsoku/>
        <w:wordWrap/>
        <w:overflowPunct/>
        <w:topLinePunct w:val="0"/>
        <w:autoSpaceDE/>
        <w:autoSpaceDN/>
        <w:bidi w:val="0"/>
        <w:spacing w:line="520" w:lineRule="exact"/>
        <w:ind w:firstLine="640" w:firstLineChars="200"/>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学校教师队伍规模稳中有升，2</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024</w:t>
      </w: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—202</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5</w:t>
      </w: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学年，</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学</w:t>
      </w:r>
      <w:r>
        <w:rPr>
          <w:rFonts w:hint="eastAsia" w:ascii="仿宋_GB2312" w:hAnsi="仿宋_GB2312" w:eastAsia="仿宋_GB2312" w:cs="仿宋_GB2312"/>
          <w:b w:val="0"/>
          <w:bCs w:val="0"/>
          <w:color w:val="000000" w:themeColor="text1"/>
          <w:spacing w:val="0"/>
          <w:w w:val="100"/>
          <w:sz w:val="32"/>
          <w:szCs w:val="32"/>
          <w:highlight w:val="none"/>
          <w:lang w:val="en-US" w:eastAsia="zh-CN"/>
          <w14:textFill>
            <w14:solidFill>
              <w14:schemeClr w14:val="tx1"/>
            </w14:solidFill>
          </w14:textFill>
        </w:rPr>
        <w:t>校</w:t>
      </w:r>
      <w:r>
        <w:rPr>
          <w:rFonts w:hint="eastAsia" w:ascii="仿宋_GB2312" w:hAnsi="仿宋_GB2312" w:eastAsia="仿宋_GB2312" w:cs="仿宋_GB2312"/>
          <w:color w:val="000000" w:themeColor="text1"/>
          <w:spacing w:val="0"/>
          <w:w w:val="100"/>
          <w:sz w:val="32"/>
          <w:szCs w:val="32"/>
          <w:highlight w:val="none"/>
          <w:lang w:val="en-US" w:eastAsia="zh-CN"/>
          <w14:textFill>
            <w14:solidFill>
              <w14:schemeClr w14:val="tx1"/>
            </w14:solidFill>
          </w14:textFill>
        </w:rPr>
        <w:t>专任教师935人，兼职教师154人，折合教师数1012人，其中具有研究生学位教师109人，高级专业技术职务教师161人，“双师型”专业课教师97人，配有专职辅导员107人，专职思政课教师61人，专职心理健康教师6人，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为教学质量与人才培养提供了基本保障。</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具体详见下表：</w:t>
      </w:r>
    </w:p>
    <w:tbl>
      <w:tblPr>
        <w:tblStyle w:val="14"/>
        <w:tblW w:w="0" w:type="auto"/>
        <w:jc w:val="center"/>
        <w:tblLayout w:type="fixed"/>
        <w:tblCellMar>
          <w:top w:w="0" w:type="dxa"/>
          <w:left w:w="0" w:type="dxa"/>
          <w:bottom w:w="0" w:type="dxa"/>
          <w:right w:w="0" w:type="dxa"/>
        </w:tblCellMar>
      </w:tblPr>
      <w:tblGrid>
        <w:gridCol w:w="853"/>
        <w:gridCol w:w="30"/>
        <w:gridCol w:w="240"/>
        <w:gridCol w:w="986"/>
        <w:gridCol w:w="55"/>
        <w:gridCol w:w="61"/>
        <w:gridCol w:w="631"/>
        <w:gridCol w:w="10"/>
        <w:gridCol w:w="616"/>
        <w:gridCol w:w="557"/>
        <w:gridCol w:w="139"/>
        <w:gridCol w:w="301"/>
        <w:gridCol w:w="379"/>
        <w:gridCol w:w="20"/>
        <w:gridCol w:w="1004"/>
        <w:gridCol w:w="131"/>
        <w:gridCol w:w="177"/>
        <w:gridCol w:w="634"/>
        <w:gridCol w:w="29"/>
        <w:gridCol w:w="38"/>
        <w:gridCol w:w="1569"/>
        <w:gridCol w:w="74"/>
      </w:tblGrid>
      <w:tr w14:paraId="32785A28">
        <w:tblPrEx>
          <w:tblCellMar>
            <w:top w:w="0" w:type="dxa"/>
            <w:left w:w="0" w:type="dxa"/>
            <w:bottom w:w="0" w:type="dxa"/>
            <w:right w:w="0" w:type="dxa"/>
          </w:tblCellMar>
        </w:tblPrEx>
        <w:trPr>
          <w:gridAfter w:val="1"/>
          <w:wAfter w:w="74" w:type="dxa"/>
          <w:trHeight w:val="567" w:hRule="atLeast"/>
          <w:jc w:val="center"/>
        </w:trPr>
        <w:tc>
          <w:tcPr>
            <w:tcW w:w="8460" w:type="dxa"/>
            <w:gridSpan w:val="21"/>
            <w:tcBorders>
              <w:bottom w:val="single" w:color="auto" w:sz="4" w:space="0"/>
            </w:tcBorders>
            <w:noWrap w:val="0"/>
            <w:vAlign w:val="center"/>
          </w:tcPr>
          <w:p w14:paraId="10340B08">
            <w:pPr>
              <w:pStyle w:val="24"/>
              <w:tabs>
                <w:tab w:val="left" w:pos="784"/>
              </w:tabs>
              <w:spacing w:before="31"/>
              <w:ind w:right="1"/>
              <w:jc w:val="center"/>
              <w:rPr>
                <w:rFonts w:hint="eastAsia" w:ascii="仿宋" w:eastAsia="仿宋"/>
                <w:b w:val="0"/>
                <w:bCs/>
                <w:color w:val="000000" w:themeColor="text1"/>
                <w:sz w:val="24"/>
                <w:highlight w:val="none"/>
                <w14:textFill>
                  <w14:solidFill>
                    <w14:schemeClr w14:val="tx1"/>
                  </w14:solidFill>
                </w14:textFill>
              </w:rPr>
            </w:pPr>
            <w:r>
              <w:rPr>
                <w:rFonts w:hint="eastAsia" w:ascii="仿宋_GB2312" w:hAnsi="仿宋_GB2312" w:eastAsia="仿宋_GB2312" w:cs="仿宋_GB2312"/>
                <w:b w:val="0"/>
                <w:bCs/>
                <w:color w:val="000000" w:themeColor="text1"/>
                <w:sz w:val="28"/>
                <w:szCs w:val="28"/>
                <w:highlight w:val="none"/>
                <w14:textFill>
                  <w14:solidFill>
                    <w14:schemeClr w14:val="tx1"/>
                  </w14:solidFill>
                </w14:textFill>
              </w:rPr>
              <w:t>表</w:t>
            </w:r>
            <w:r>
              <w:rPr>
                <w:rFonts w:hint="eastAsia" w:ascii="仿宋_GB2312" w:hAnsi="仿宋_GB2312" w:eastAsia="仿宋_GB2312" w:cs="仿宋_GB2312"/>
                <w:b w:val="0"/>
                <w:bCs/>
                <w:color w:val="000000" w:themeColor="text1"/>
                <w:sz w:val="28"/>
                <w:szCs w:val="28"/>
                <w:highlight w:val="none"/>
                <w:lang w:val="en-US" w:eastAsia="zh-CN"/>
                <w14:textFill>
                  <w14:solidFill>
                    <w14:schemeClr w14:val="tx1"/>
                  </w14:solidFill>
                </w14:textFill>
              </w:rPr>
              <w:t>2 校内</w:t>
            </w:r>
            <w:r>
              <w:rPr>
                <w:rFonts w:hint="eastAsia" w:ascii="仿宋_GB2312" w:hAnsi="仿宋_GB2312" w:eastAsia="仿宋_GB2312" w:cs="仿宋_GB2312"/>
                <w:b w:val="0"/>
                <w:bCs/>
                <w:color w:val="000000" w:themeColor="text1"/>
                <w:sz w:val="28"/>
                <w:szCs w:val="28"/>
                <w:highlight w:val="none"/>
                <w14:textFill>
                  <w14:solidFill>
                    <w14:schemeClr w14:val="tx1"/>
                  </w14:solidFill>
                </w14:textFill>
              </w:rPr>
              <w:t>专任教师学历结构</w:t>
            </w:r>
          </w:p>
        </w:tc>
      </w:tr>
      <w:tr w14:paraId="7370DDC6">
        <w:tblPrEx>
          <w:tblCellMar>
            <w:top w:w="0" w:type="dxa"/>
            <w:left w:w="0" w:type="dxa"/>
            <w:bottom w:w="0" w:type="dxa"/>
            <w:right w:w="0" w:type="dxa"/>
          </w:tblCellMar>
        </w:tblPrEx>
        <w:trPr>
          <w:gridAfter w:val="1"/>
          <w:wAfter w:w="74" w:type="dxa"/>
          <w:trHeight w:val="490" w:hRule="atLeast"/>
          <w:jc w:val="center"/>
        </w:trPr>
        <w:tc>
          <w:tcPr>
            <w:tcW w:w="1123" w:type="dxa"/>
            <w:gridSpan w:val="3"/>
            <w:vMerge w:val="restart"/>
            <w:tcBorders>
              <w:top w:val="single" w:color="auto" w:sz="4" w:space="0"/>
              <w:left w:val="single" w:color="auto" w:sz="4" w:space="0"/>
              <w:right w:val="single" w:color="auto" w:sz="4" w:space="0"/>
            </w:tcBorders>
            <w:noWrap w:val="0"/>
            <w:vAlign w:val="center"/>
          </w:tcPr>
          <w:p w14:paraId="6D5FFAD2">
            <w:pPr>
              <w:pStyle w:val="24"/>
              <w:spacing w:before="31"/>
              <w:ind w:left="50"/>
              <w:jc w:val="center"/>
              <w:rPr>
                <w:rFonts w:hint="eastAsia" w:ascii="仿宋"/>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总人数</w:t>
            </w:r>
          </w:p>
        </w:tc>
        <w:tc>
          <w:tcPr>
            <w:tcW w:w="2359" w:type="dxa"/>
            <w:gridSpan w:val="6"/>
            <w:tcBorders>
              <w:top w:val="single" w:color="auto" w:sz="4" w:space="0"/>
              <w:left w:val="single" w:color="auto" w:sz="4" w:space="0"/>
              <w:bottom w:val="single" w:color="auto" w:sz="4" w:space="0"/>
              <w:right w:val="single" w:color="auto" w:sz="4" w:space="0"/>
            </w:tcBorders>
            <w:shd w:val="clear" w:color="auto" w:fill="FFFFFF" w:themeFill="background1"/>
            <w:noWrap w:val="0"/>
            <w:vAlign w:val="center"/>
          </w:tcPr>
          <w:p w14:paraId="0C311ACE">
            <w:pPr>
              <w:pStyle w:val="24"/>
              <w:spacing w:before="31"/>
              <w:ind w:left="50"/>
              <w:jc w:val="center"/>
              <w:rPr>
                <w:rFonts w:hint="eastAsia" w:ascii="仿宋"/>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博士研究生</w:t>
            </w:r>
          </w:p>
        </w:tc>
        <w:tc>
          <w:tcPr>
            <w:tcW w:w="2400" w:type="dxa"/>
            <w:gridSpan w:val="6"/>
            <w:tcBorders>
              <w:top w:val="single" w:color="auto" w:sz="4" w:space="0"/>
              <w:left w:val="single" w:color="auto" w:sz="4" w:space="0"/>
              <w:bottom w:val="single" w:color="auto" w:sz="4" w:space="0"/>
              <w:right w:val="single" w:color="auto" w:sz="4" w:space="0"/>
            </w:tcBorders>
            <w:shd w:val="clear" w:color="auto" w:fill="FFFFFF" w:themeFill="background1"/>
            <w:noWrap w:val="0"/>
            <w:vAlign w:val="center"/>
          </w:tcPr>
          <w:p w14:paraId="105EEA4E">
            <w:pPr>
              <w:pStyle w:val="24"/>
              <w:spacing w:before="31"/>
              <w:ind w:left="50"/>
              <w:jc w:val="center"/>
              <w:rPr>
                <w:rFonts w:hint="eastAsia" w:ascii="仿宋"/>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硕士研究生</w:t>
            </w:r>
          </w:p>
        </w:tc>
        <w:tc>
          <w:tcPr>
            <w:tcW w:w="2578" w:type="dxa"/>
            <w:gridSpan w:val="6"/>
            <w:tcBorders>
              <w:top w:val="single" w:color="auto" w:sz="4" w:space="0"/>
              <w:left w:val="single" w:color="auto" w:sz="4" w:space="0"/>
              <w:bottom w:val="single" w:color="auto" w:sz="4" w:space="0"/>
              <w:right w:val="single" w:color="auto" w:sz="4" w:space="0"/>
            </w:tcBorders>
            <w:shd w:val="clear" w:color="auto" w:fill="FFFFFF" w:themeFill="background1"/>
            <w:noWrap w:val="0"/>
            <w:vAlign w:val="center"/>
          </w:tcPr>
          <w:p w14:paraId="5A5BCFF2">
            <w:pPr>
              <w:pStyle w:val="24"/>
              <w:spacing w:before="31"/>
              <w:ind w:left="50"/>
              <w:jc w:val="center"/>
              <w:rPr>
                <w:rFonts w:hint="eastAsia" w:ascii="仿宋"/>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大学本科</w:t>
            </w:r>
          </w:p>
        </w:tc>
      </w:tr>
      <w:tr w14:paraId="2E662BEE">
        <w:tblPrEx>
          <w:tblCellMar>
            <w:top w:w="0" w:type="dxa"/>
            <w:left w:w="0" w:type="dxa"/>
            <w:bottom w:w="0" w:type="dxa"/>
            <w:right w:w="0" w:type="dxa"/>
          </w:tblCellMar>
        </w:tblPrEx>
        <w:trPr>
          <w:gridAfter w:val="1"/>
          <w:wAfter w:w="74" w:type="dxa"/>
          <w:trHeight w:val="554" w:hRule="atLeast"/>
          <w:jc w:val="center"/>
        </w:trPr>
        <w:tc>
          <w:tcPr>
            <w:tcW w:w="1123" w:type="dxa"/>
            <w:gridSpan w:val="3"/>
            <w:vMerge w:val="continue"/>
            <w:tcBorders>
              <w:left w:val="single" w:color="auto" w:sz="4" w:space="0"/>
              <w:bottom w:val="single" w:color="auto" w:sz="4" w:space="0"/>
              <w:right w:val="single" w:color="auto" w:sz="4" w:space="0"/>
            </w:tcBorders>
            <w:noWrap w:val="0"/>
            <w:vAlign w:val="center"/>
          </w:tcPr>
          <w:p w14:paraId="6153388B">
            <w:pPr>
              <w:pStyle w:val="24"/>
              <w:spacing w:line="254" w:lineRule="exact"/>
              <w:ind w:left="116" w:right="104"/>
              <w:jc w:val="center"/>
              <w:rPr>
                <w:rFonts w:hint="eastAsia" w:ascii="仿宋" w:eastAsia="仿宋"/>
                <w:b w:val="0"/>
                <w:bCs/>
                <w:color w:val="000000" w:themeColor="text1"/>
                <w:sz w:val="24"/>
                <w:highlight w:val="none"/>
                <w14:textFill>
                  <w14:solidFill>
                    <w14:schemeClr w14:val="tx1"/>
                  </w14:solidFill>
                </w14:textFill>
              </w:rPr>
            </w:pPr>
          </w:p>
        </w:tc>
        <w:tc>
          <w:tcPr>
            <w:tcW w:w="986" w:type="dxa"/>
            <w:tcBorders>
              <w:top w:val="single" w:color="auto" w:sz="4" w:space="0"/>
              <w:left w:val="single" w:color="auto" w:sz="4" w:space="0"/>
              <w:bottom w:val="single" w:color="auto" w:sz="4" w:space="0"/>
              <w:right w:val="single" w:color="auto" w:sz="4" w:space="0"/>
            </w:tcBorders>
            <w:noWrap w:val="0"/>
            <w:vAlign w:val="center"/>
          </w:tcPr>
          <w:p w14:paraId="7D7CCDC2">
            <w:pPr>
              <w:pStyle w:val="24"/>
              <w:spacing w:before="131" w:line="304" w:lineRule="exact"/>
              <w:ind w:left="104" w:right="49"/>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373" w:type="dxa"/>
            <w:gridSpan w:val="5"/>
            <w:tcBorders>
              <w:top w:val="single" w:color="auto" w:sz="4" w:space="0"/>
              <w:left w:val="single" w:color="auto" w:sz="4" w:space="0"/>
              <w:bottom w:val="single" w:color="auto" w:sz="4" w:space="0"/>
              <w:right w:val="single" w:color="auto" w:sz="4" w:space="0"/>
            </w:tcBorders>
            <w:noWrap w:val="0"/>
            <w:vAlign w:val="center"/>
          </w:tcPr>
          <w:p w14:paraId="7AA6A02F">
            <w:pPr>
              <w:pStyle w:val="24"/>
              <w:spacing w:before="131" w:line="304" w:lineRule="exact"/>
              <w:ind w:left="48" w:right="48"/>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997" w:type="dxa"/>
            <w:gridSpan w:val="3"/>
            <w:tcBorders>
              <w:top w:val="single" w:color="auto" w:sz="4" w:space="0"/>
              <w:left w:val="single" w:color="auto" w:sz="4" w:space="0"/>
              <w:bottom w:val="single" w:color="auto" w:sz="4" w:space="0"/>
              <w:right w:val="single" w:color="auto" w:sz="4" w:space="0"/>
            </w:tcBorders>
            <w:noWrap w:val="0"/>
            <w:vAlign w:val="center"/>
          </w:tcPr>
          <w:p w14:paraId="7DF4D966">
            <w:pPr>
              <w:pStyle w:val="24"/>
              <w:spacing w:before="131" w:line="304" w:lineRule="exact"/>
              <w:ind w:left="50" w:right="49"/>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403" w:type="dxa"/>
            <w:gridSpan w:val="3"/>
            <w:tcBorders>
              <w:top w:val="single" w:color="auto" w:sz="4" w:space="0"/>
              <w:left w:val="single" w:color="auto" w:sz="4" w:space="0"/>
              <w:bottom w:val="single" w:color="auto" w:sz="4" w:space="0"/>
              <w:right w:val="single" w:color="auto" w:sz="4" w:space="0"/>
            </w:tcBorders>
            <w:noWrap w:val="0"/>
            <w:vAlign w:val="center"/>
          </w:tcPr>
          <w:p w14:paraId="6AAED2C2">
            <w:pPr>
              <w:pStyle w:val="24"/>
              <w:spacing w:before="131" w:line="304" w:lineRule="exact"/>
              <w:ind w:left="46" w:right="14"/>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942" w:type="dxa"/>
            <w:gridSpan w:val="3"/>
            <w:tcBorders>
              <w:top w:val="single" w:color="auto" w:sz="4" w:space="0"/>
              <w:left w:val="single" w:color="auto" w:sz="4" w:space="0"/>
              <w:bottom w:val="single" w:color="auto" w:sz="4" w:space="0"/>
              <w:right w:val="single" w:color="auto" w:sz="4" w:space="0"/>
            </w:tcBorders>
            <w:noWrap w:val="0"/>
            <w:vAlign w:val="center"/>
          </w:tcPr>
          <w:p w14:paraId="583A73D3">
            <w:pPr>
              <w:pStyle w:val="24"/>
              <w:spacing w:before="131" w:line="304" w:lineRule="exact"/>
              <w:ind w:left="31"/>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636" w:type="dxa"/>
            <w:gridSpan w:val="3"/>
            <w:tcBorders>
              <w:top w:val="single" w:color="auto" w:sz="4" w:space="0"/>
              <w:left w:val="single" w:color="auto" w:sz="4" w:space="0"/>
              <w:bottom w:val="single" w:color="auto" w:sz="4" w:space="0"/>
              <w:right w:val="single" w:color="auto" w:sz="4" w:space="0"/>
            </w:tcBorders>
            <w:noWrap w:val="0"/>
            <w:vAlign w:val="center"/>
          </w:tcPr>
          <w:p w14:paraId="600732B0">
            <w:pPr>
              <w:pStyle w:val="24"/>
              <w:spacing w:before="131" w:line="304" w:lineRule="exact"/>
              <w:ind w:left="46" w:leftChars="0" w:right="14" w:rightChars="0"/>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r>
      <w:tr w14:paraId="71686D36">
        <w:tblPrEx>
          <w:tblCellMar>
            <w:top w:w="0" w:type="dxa"/>
            <w:left w:w="0" w:type="dxa"/>
            <w:bottom w:w="0" w:type="dxa"/>
            <w:right w:w="0" w:type="dxa"/>
          </w:tblCellMar>
        </w:tblPrEx>
        <w:trPr>
          <w:gridAfter w:val="1"/>
          <w:wAfter w:w="74" w:type="dxa"/>
          <w:trHeight w:val="622" w:hRule="atLeast"/>
          <w:jc w:val="center"/>
        </w:trPr>
        <w:tc>
          <w:tcPr>
            <w:tcW w:w="1123" w:type="dxa"/>
            <w:gridSpan w:val="3"/>
            <w:tcBorders>
              <w:top w:val="single" w:color="auto" w:sz="4" w:space="0"/>
              <w:left w:val="single" w:color="auto" w:sz="4" w:space="0"/>
              <w:bottom w:val="single" w:color="auto" w:sz="4" w:space="0"/>
              <w:right w:val="single" w:color="auto" w:sz="4" w:space="0"/>
            </w:tcBorders>
            <w:noWrap w:val="0"/>
            <w:vAlign w:val="center"/>
          </w:tcPr>
          <w:p w14:paraId="448315BC">
            <w:pPr>
              <w:pStyle w:val="24"/>
              <w:spacing w:before="31"/>
              <w:ind w:left="114" w:right="104"/>
              <w:jc w:val="center"/>
              <w:rPr>
                <w:rFonts w:hint="default" w:ascii="仿宋"/>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935</w:t>
            </w:r>
          </w:p>
        </w:tc>
        <w:tc>
          <w:tcPr>
            <w:tcW w:w="986" w:type="dxa"/>
            <w:tcBorders>
              <w:top w:val="single" w:color="auto" w:sz="4" w:space="0"/>
              <w:left w:val="single" w:color="auto" w:sz="4" w:space="0"/>
              <w:bottom w:val="single" w:color="auto" w:sz="4" w:space="0"/>
              <w:right w:val="single" w:color="auto" w:sz="4" w:space="0"/>
            </w:tcBorders>
            <w:noWrap w:val="0"/>
            <w:vAlign w:val="center"/>
          </w:tcPr>
          <w:p w14:paraId="41060F2A">
            <w:pPr>
              <w:pStyle w:val="24"/>
              <w:spacing w:before="31"/>
              <w:ind w:left="5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4</w:t>
            </w:r>
          </w:p>
        </w:tc>
        <w:tc>
          <w:tcPr>
            <w:tcW w:w="1373" w:type="dxa"/>
            <w:gridSpan w:val="5"/>
            <w:tcBorders>
              <w:top w:val="single" w:color="auto" w:sz="4" w:space="0"/>
              <w:left w:val="single" w:color="auto" w:sz="4" w:space="0"/>
              <w:bottom w:val="single" w:color="auto" w:sz="4" w:space="0"/>
              <w:right w:val="single" w:color="auto" w:sz="4" w:space="0"/>
            </w:tcBorders>
            <w:noWrap w:val="0"/>
            <w:vAlign w:val="center"/>
          </w:tcPr>
          <w:p w14:paraId="3660DF1D">
            <w:pPr>
              <w:pStyle w:val="24"/>
              <w:spacing w:before="31"/>
              <w:ind w:left="48" w:right="48"/>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0.43</w:t>
            </w:r>
          </w:p>
        </w:tc>
        <w:tc>
          <w:tcPr>
            <w:tcW w:w="997" w:type="dxa"/>
            <w:gridSpan w:val="3"/>
            <w:tcBorders>
              <w:top w:val="single" w:color="auto" w:sz="4" w:space="0"/>
              <w:left w:val="single" w:color="auto" w:sz="4" w:space="0"/>
              <w:bottom w:val="single" w:color="auto" w:sz="4" w:space="0"/>
              <w:right w:val="single" w:color="auto" w:sz="4" w:space="0"/>
            </w:tcBorders>
            <w:noWrap w:val="0"/>
            <w:vAlign w:val="center"/>
          </w:tcPr>
          <w:p w14:paraId="7FE0CE38">
            <w:pPr>
              <w:pStyle w:val="24"/>
              <w:spacing w:before="31"/>
              <w:ind w:left="48" w:right="49"/>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126</w:t>
            </w:r>
          </w:p>
        </w:tc>
        <w:tc>
          <w:tcPr>
            <w:tcW w:w="1403" w:type="dxa"/>
            <w:gridSpan w:val="3"/>
            <w:tcBorders>
              <w:top w:val="single" w:color="auto" w:sz="4" w:space="0"/>
              <w:left w:val="single" w:color="auto" w:sz="4" w:space="0"/>
              <w:bottom w:val="single" w:color="auto" w:sz="4" w:space="0"/>
              <w:right w:val="single" w:color="auto" w:sz="4" w:space="0"/>
            </w:tcBorders>
            <w:noWrap w:val="0"/>
            <w:vAlign w:val="center"/>
          </w:tcPr>
          <w:p w14:paraId="1C929E44">
            <w:pPr>
              <w:pStyle w:val="24"/>
              <w:spacing w:before="31"/>
              <w:ind w:left="46" w:right="14"/>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13.48</w:t>
            </w:r>
          </w:p>
        </w:tc>
        <w:tc>
          <w:tcPr>
            <w:tcW w:w="942" w:type="dxa"/>
            <w:gridSpan w:val="3"/>
            <w:tcBorders>
              <w:top w:val="single" w:color="auto" w:sz="4" w:space="0"/>
              <w:left w:val="single" w:color="auto" w:sz="4" w:space="0"/>
              <w:bottom w:val="single" w:color="auto" w:sz="4" w:space="0"/>
              <w:right w:val="single" w:color="auto" w:sz="4" w:space="0"/>
            </w:tcBorders>
            <w:noWrap w:val="0"/>
            <w:vAlign w:val="center"/>
          </w:tcPr>
          <w:p w14:paraId="0E405583">
            <w:pPr>
              <w:pStyle w:val="24"/>
              <w:spacing w:before="31"/>
              <w:ind w:left="273"/>
              <w:jc w:val="both"/>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805</w:t>
            </w:r>
          </w:p>
        </w:tc>
        <w:tc>
          <w:tcPr>
            <w:tcW w:w="1636" w:type="dxa"/>
            <w:gridSpan w:val="3"/>
            <w:tcBorders>
              <w:top w:val="single" w:color="auto" w:sz="4" w:space="0"/>
              <w:left w:val="single" w:color="auto" w:sz="4" w:space="0"/>
              <w:bottom w:val="single" w:color="auto" w:sz="4" w:space="0"/>
              <w:right w:val="single" w:color="auto" w:sz="4" w:space="0"/>
            </w:tcBorders>
            <w:noWrap w:val="0"/>
            <w:vAlign w:val="center"/>
          </w:tcPr>
          <w:p w14:paraId="34910A3B">
            <w:pPr>
              <w:pStyle w:val="24"/>
              <w:spacing w:before="31"/>
              <w:ind w:left="46" w:leftChars="0" w:right="14"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86.10</w:t>
            </w:r>
          </w:p>
        </w:tc>
      </w:tr>
      <w:tr w14:paraId="192C2EDB">
        <w:tblPrEx>
          <w:tblCellMar>
            <w:top w:w="0" w:type="dxa"/>
            <w:left w:w="0" w:type="dxa"/>
            <w:bottom w:w="0" w:type="dxa"/>
            <w:right w:w="0" w:type="dxa"/>
          </w:tblCellMar>
        </w:tblPrEx>
        <w:trPr>
          <w:gridAfter w:val="1"/>
          <w:wAfter w:w="74" w:type="dxa"/>
          <w:trHeight w:val="617" w:hRule="atLeast"/>
          <w:jc w:val="center"/>
        </w:trPr>
        <w:tc>
          <w:tcPr>
            <w:tcW w:w="8460" w:type="dxa"/>
            <w:gridSpan w:val="21"/>
            <w:tcBorders>
              <w:top w:val="single" w:color="auto" w:sz="4" w:space="0"/>
            </w:tcBorders>
            <w:noWrap w:val="0"/>
            <w:vAlign w:val="top"/>
          </w:tcPr>
          <w:p w14:paraId="403C3DB3">
            <w:pPr>
              <w:pStyle w:val="9"/>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pPr>
            <w:r>
              <w:rPr>
                <w:rFonts w:hint="eastAsia" w:ascii="仿宋" w:eastAsia="仿宋"/>
                <w:b w:val="0"/>
                <w:bCs/>
                <w:color w:val="000000" w:themeColor="text1"/>
                <w:sz w:val="21"/>
                <w:highlight w:val="none"/>
                <w14:textFill>
                  <w14:solidFill>
                    <w14:schemeClr w14:val="tx1"/>
                  </w14:solidFill>
                </w14:textFill>
              </w:rPr>
              <w:t>数据来源：</w:t>
            </w:r>
            <w:r>
              <w:rPr>
                <w:rFonts w:hint="eastAsia" w:ascii="仿宋" w:eastAsia="仿宋"/>
                <w:b w:val="0"/>
                <w:bCs/>
                <w:color w:val="000000" w:themeColor="text1"/>
                <w:sz w:val="21"/>
                <w:highlight w:val="none"/>
                <w:lang w:eastAsia="zh-CN"/>
                <w14:textFill>
                  <w14:solidFill>
                    <w14:schemeClr w14:val="tx1"/>
                  </w14:solidFill>
                </w14:textFill>
              </w:rPr>
              <w:t>全国高等职业学校人才培养工作状态数据采集与管理平台</w:t>
            </w: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广西工程职业学院</w:t>
            </w:r>
          </w:p>
          <w:p w14:paraId="70A09971">
            <w:pPr>
              <w:pStyle w:val="24"/>
              <w:spacing w:before="39"/>
              <w:ind w:left="14"/>
              <w:jc w:val="center"/>
              <w:rPr>
                <w:rFonts w:hint="eastAsia" w:ascii="仿宋" w:eastAsia="仿宋"/>
                <w:b w:val="0"/>
                <w:bCs/>
                <w:color w:val="000000" w:themeColor="text1"/>
                <w:sz w:val="21"/>
                <w:highlight w:val="none"/>
                <w:lang w:eastAsia="zh-CN"/>
                <w14:textFill>
                  <w14:solidFill>
                    <w14:schemeClr w14:val="tx1"/>
                  </w14:solidFill>
                </w14:textFill>
              </w:rPr>
            </w:pP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2025年状态数据。</w:t>
            </w:r>
          </w:p>
        </w:tc>
      </w:tr>
      <w:tr w14:paraId="33DF09BB">
        <w:tblPrEx>
          <w:tblCellMar>
            <w:top w:w="0" w:type="dxa"/>
            <w:left w:w="0" w:type="dxa"/>
            <w:bottom w:w="0" w:type="dxa"/>
            <w:right w:w="0" w:type="dxa"/>
          </w:tblCellMar>
        </w:tblPrEx>
        <w:trPr>
          <w:gridAfter w:val="1"/>
          <w:wAfter w:w="74" w:type="dxa"/>
          <w:trHeight w:val="642" w:hRule="atLeast"/>
          <w:jc w:val="center"/>
        </w:trPr>
        <w:tc>
          <w:tcPr>
            <w:tcW w:w="8460" w:type="dxa"/>
            <w:gridSpan w:val="21"/>
            <w:tcBorders>
              <w:bottom w:val="single" w:color="auto" w:sz="4" w:space="0"/>
            </w:tcBorders>
            <w:noWrap w:val="0"/>
            <w:vAlign w:val="center"/>
          </w:tcPr>
          <w:p w14:paraId="3F5AFA41">
            <w:pPr>
              <w:pStyle w:val="24"/>
              <w:tabs>
                <w:tab w:val="left" w:pos="788"/>
              </w:tabs>
              <w:spacing w:before="31"/>
              <w:ind w:left="3"/>
              <w:jc w:val="center"/>
              <w:rPr>
                <w:rFonts w:hint="eastAsia" w:ascii="仿宋" w:eastAsia="仿宋"/>
                <w:b w:val="0"/>
                <w:bCs/>
                <w:color w:val="000000" w:themeColor="text1"/>
                <w:sz w:val="24"/>
                <w:highlight w:val="none"/>
                <w14:textFill>
                  <w14:solidFill>
                    <w14:schemeClr w14:val="tx1"/>
                  </w14:solidFill>
                </w14:textFill>
              </w:rPr>
            </w:pPr>
            <w:r>
              <w:rPr>
                <w:rFonts w:hint="eastAsia" w:ascii="仿宋_GB2312" w:hAnsi="仿宋_GB2312" w:eastAsia="仿宋_GB2312" w:cs="仿宋_GB2312"/>
                <w:b w:val="0"/>
                <w:bCs/>
                <w:color w:val="000000" w:themeColor="text1"/>
                <w:sz w:val="28"/>
                <w:szCs w:val="28"/>
                <w:highlight w:val="none"/>
                <w14:textFill>
                  <w14:solidFill>
                    <w14:schemeClr w14:val="tx1"/>
                  </w14:solidFill>
                </w14:textFill>
              </w:rPr>
              <w:t>表</w:t>
            </w:r>
            <w:r>
              <w:rPr>
                <w:rFonts w:hint="eastAsia" w:ascii="仿宋_GB2312" w:hAnsi="仿宋_GB2312" w:eastAsia="仿宋_GB2312" w:cs="仿宋_GB2312"/>
                <w:b w:val="0"/>
                <w:bCs/>
                <w:color w:val="000000" w:themeColor="text1"/>
                <w:sz w:val="28"/>
                <w:szCs w:val="28"/>
                <w:highlight w:val="none"/>
                <w:lang w:val="en-US" w:eastAsia="zh-CN"/>
                <w14:textFill>
                  <w14:solidFill>
                    <w14:schemeClr w14:val="tx1"/>
                  </w14:solidFill>
                </w14:textFill>
              </w:rPr>
              <w:t>3  校内</w:t>
            </w:r>
            <w:r>
              <w:rPr>
                <w:rFonts w:hint="eastAsia" w:ascii="仿宋_GB2312" w:hAnsi="仿宋_GB2312" w:eastAsia="仿宋_GB2312" w:cs="仿宋_GB2312"/>
                <w:b w:val="0"/>
                <w:bCs/>
                <w:color w:val="000000" w:themeColor="text1"/>
                <w:sz w:val="28"/>
                <w:szCs w:val="28"/>
                <w:highlight w:val="none"/>
                <w14:textFill>
                  <w14:solidFill>
                    <w14:schemeClr w14:val="tx1"/>
                  </w14:solidFill>
                </w14:textFill>
              </w:rPr>
              <w:t>专任教师职称结构</w:t>
            </w:r>
          </w:p>
        </w:tc>
      </w:tr>
      <w:tr w14:paraId="4AA7EA92">
        <w:tblPrEx>
          <w:tblCellMar>
            <w:top w:w="0" w:type="dxa"/>
            <w:left w:w="0" w:type="dxa"/>
            <w:bottom w:w="0" w:type="dxa"/>
            <w:right w:w="0" w:type="dxa"/>
          </w:tblCellMar>
        </w:tblPrEx>
        <w:trPr>
          <w:gridAfter w:val="1"/>
          <w:wAfter w:w="74" w:type="dxa"/>
          <w:trHeight w:val="530" w:hRule="atLeast"/>
          <w:jc w:val="center"/>
        </w:trPr>
        <w:tc>
          <w:tcPr>
            <w:tcW w:w="2164" w:type="dxa"/>
            <w:gridSpan w:val="5"/>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42883560">
            <w:pPr>
              <w:pStyle w:val="24"/>
              <w:spacing w:before="19"/>
              <w:ind w:left="-22"/>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高级</w:t>
            </w:r>
          </w:p>
        </w:tc>
        <w:tc>
          <w:tcPr>
            <w:tcW w:w="2014" w:type="dxa"/>
            <w:gridSpan w:val="6"/>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0B2737CF">
            <w:pPr>
              <w:pStyle w:val="24"/>
              <w:spacing w:before="19"/>
              <w:ind w:left="-19"/>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中级</w:t>
            </w:r>
          </w:p>
        </w:tc>
        <w:tc>
          <w:tcPr>
            <w:tcW w:w="2012" w:type="dxa"/>
            <w:gridSpan w:val="6"/>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16AA7562">
            <w:pPr>
              <w:pStyle w:val="24"/>
              <w:spacing w:before="19"/>
              <w:ind w:left="-19"/>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初级</w:t>
            </w:r>
          </w:p>
        </w:tc>
        <w:tc>
          <w:tcPr>
            <w:tcW w:w="2270" w:type="dxa"/>
            <w:gridSpan w:val="4"/>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43B9BA31">
            <w:pPr>
              <w:pStyle w:val="24"/>
              <w:spacing w:before="19"/>
              <w:ind w:left="-14"/>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其它</w:t>
            </w:r>
          </w:p>
        </w:tc>
      </w:tr>
      <w:tr w14:paraId="47B500D7">
        <w:tblPrEx>
          <w:tblCellMar>
            <w:top w:w="0" w:type="dxa"/>
            <w:left w:w="0" w:type="dxa"/>
            <w:bottom w:w="0" w:type="dxa"/>
            <w:right w:w="0" w:type="dxa"/>
          </w:tblCellMar>
        </w:tblPrEx>
        <w:trPr>
          <w:gridAfter w:val="1"/>
          <w:wAfter w:w="74" w:type="dxa"/>
          <w:trHeight w:val="654" w:hRule="atLeast"/>
          <w:jc w:val="center"/>
        </w:trPr>
        <w:tc>
          <w:tcPr>
            <w:tcW w:w="853" w:type="dxa"/>
            <w:tcBorders>
              <w:top w:val="single" w:color="auto" w:sz="4" w:space="0"/>
              <w:left w:val="single" w:color="auto" w:sz="4" w:space="0"/>
              <w:bottom w:val="single" w:color="auto" w:sz="4" w:space="0"/>
              <w:right w:val="single" w:color="auto" w:sz="4" w:space="0"/>
            </w:tcBorders>
            <w:noWrap w:val="0"/>
            <w:vAlign w:val="center"/>
          </w:tcPr>
          <w:p w14:paraId="76864DB1">
            <w:pPr>
              <w:pStyle w:val="24"/>
              <w:spacing w:before="38"/>
              <w:ind w:left="163" w:right="84"/>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311" w:type="dxa"/>
            <w:gridSpan w:val="4"/>
            <w:tcBorders>
              <w:top w:val="single" w:color="auto" w:sz="4" w:space="0"/>
              <w:left w:val="single" w:color="auto" w:sz="4" w:space="0"/>
              <w:bottom w:val="single" w:color="auto" w:sz="4" w:space="0"/>
              <w:right w:val="single" w:color="auto" w:sz="4" w:space="0"/>
            </w:tcBorders>
            <w:noWrap w:val="0"/>
            <w:vAlign w:val="center"/>
          </w:tcPr>
          <w:p w14:paraId="23E4A507">
            <w:pPr>
              <w:pStyle w:val="24"/>
              <w:spacing w:before="38"/>
              <w:ind w:left="103"/>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702" w:type="dxa"/>
            <w:gridSpan w:val="3"/>
            <w:tcBorders>
              <w:top w:val="single" w:color="auto" w:sz="4" w:space="0"/>
              <w:left w:val="single" w:color="auto" w:sz="4" w:space="0"/>
              <w:bottom w:val="single" w:color="auto" w:sz="4" w:space="0"/>
              <w:right w:val="single" w:color="auto" w:sz="4" w:space="0"/>
            </w:tcBorders>
            <w:noWrap w:val="0"/>
            <w:vAlign w:val="center"/>
          </w:tcPr>
          <w:p w14:paraId="6D213B41">
            <w:pPr>
              <w:pStyle w:val="24"/>
              <w:spacing w:before="38"/>
              <w:ind w:right="100"/>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312" w:type="dxa"/>
            <w:gridSpan w:val="3"/>
            <w:tcBorders>
              <w:top w:val="single" w:color="auto" w:sz="4" w:space="0"/>
              <w:left w:val="single" w:color="auto" w:sz="4" w:space="0"/>
              <w:bottom w:val="single" w:color="auto" w:sz="4" w:space="0"/>
              <w:right w:val="single" w:color="auto" w:sz="4" w:space="0"/>
            </w:tcBorders>
            <w:noWrap w:val="0"/>
            <w:vAlign w:val="center"/>
          </w:tcPr>
          <w:p w14:paraId="2E389C1A">
            <w:pPr>
              <w:pStyle w:val="24"/>
              <w:spacing w:before="38"/>
              <w:ind w:left="105"/>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700" w:type="dxa"/>
            <w:gridSpan w:val="3"/>
            <w:tcBorders>
              <w:top w:val="single" w:color="auto" w:sz="4" w:space="0"/>
              <w:left w:val="single" w:color="auto" w:sz="4" w:space="0"/>
              <w:bottom w:val="single" w:color="auto" w:sz="4" w:space="0"/>
              <w:right w:val="single" w:color="auto" w:sz="4" w:space="0"/>
            </w:tcBorders>
            <w:noWrap w:val="0"/>
            <w:vAlign w:val="center"/>
          </w:tcPr>
          <w:p w14:paraId="00487BBC">
            <w:pPr>
              <w:pStyle w:val="24"/>
              <w:spacing w:before="38"/>
              <w:ind w:left="83" w:right="78"/>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312" w:type="dxa"/>
            <w:gridSpan w:val="3"/>
            <w:tcBorders>
              <w:top w:val="single" w:color="auto" w:sz="4" w:space="0"/>
              <w:left w:val="single" w:color="auto" w:sz="4" w:space="0"/>
              <w:bottom w:val="single" w:color="auto" w:sz="4" w:space="0"/>
              <w:right w:val="single" w:color="auto" w:sz="4" w:space="0"/>
            </w:tcBorders>
            <w:noWrap w:val="0"/>
            <w:vAlign w:val="center"/>
          </w:tcPr>
          <w:p w14:paraId="4E5A2D59">
            <w:pPr>
              <w:pStyle w:val="24"/>
              <w:spacing w:before="38"/>
              <w:ind w:left="106"/>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701" w:type="dxa"/>
            <w:gridSpan w:val="3"/>
            <w:tcBorders>
              <w:top w:val="single" w:color="auto" w:sz="4" w:space="0"/>
              <w:left w:val="single" w:color="auto" w:sz="4" w:space="0"/>
              <w:bottom w:val="single" w:color="auto" w:sz="4" w:space="0"/>
              <w:right w:val="single" w:color="auto" w:sz="4" w:space="0"/>
            </w:tcBorders>
            <w:noWrap w:val="0"/>
            <w:vAlign w:val="center"/>
          </w:tcPr>
          <w:p w14:paraId="4C452989">
            <w:pPr>
              <w:pStyle w:val="24"/>
              <w:spacing w:before="38"/>
              <w:ind w:left="84" w:right="73"/>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569" w:type="dxa"/>
            <w:tcBorders>
              <w:top w:val="single" w:color="auto" w:sz="4" w:space="0"/>
              <w:left w:val="single" w:color="auto" w:sz="4" w:space="0"/>
              <w:bottom w:val="single" w:color="auto" w:sz="4" w:space="0"/>
              <w:right w:val="single" w:color="auto" w:sz="4" w:space="0"/>
            </w:tcBorders>
            <w:noWrap w:val="0"/>
            <w:vAlign w:val="center"/>
          </w:tcPr>
          <w:p w14:paraId="17E05A8B">
            <w:pPr>
              <w:pStyle w:val="24"/>
              <w:spacing w:before="38"/>
              <w:ind w:left="109"/>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r>
      <w:tr w14:paraId="0E735AC5">
        <w:tblPrEx>
          <w:tblCellMar>
            <w:top w:w="0" w:type="dxa"/>
            <w:left w:w="0" w:type="dxa"/>
            <w:bottom w:w="0" w:type="dxa"/>
            <w:right w:w="0" w:type="dxa"/>
          </w:tblCellMar>
        </w:tblPrEx>
        <w:trPr>
          <w:gridAfter w:val="1"/>
          <w:wAfter w:w="74" w:type="dxa"/>
          <w:trHeight w:val="642" w:hRule="atLeast"/>
          <w:jc w:val="center"/>
        </w:trPr>
        <w:tc>
          <w:tcPr>
            <w:tcW w:w="853" w:type="dxa"/>
            <w:tcBorders>
              <w:top w:val="single" w:color="auto" w:sz="4" w:space="0"/>
              <w:left w:val="single" w:color="auto" w:sz="4" w:space="0"/>
              <w:bottom w:val="single" w:color="auto" w:sz="4" w:space="0"/>
              <w:right w:val="single" w:color="auto" w:sz="4" w:space="0"/>
            </w:tcBorders>
            <w:noWrap w:val="0"/>
            <w:vAlign w:val="center"/>
          </w:tcPr>
          <w:p w14:paraId="4A6C49FB">
            <w:pPr>
              <w:pStyle w:val="24"/>
              <w:spacing w:before="31"/>
              <w:ind w:left="158" w:right="84"/>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161</w:t>
            </w:r>
          </w:p>
        </w:tc>
        <w:tc>
          <w:tcPr>
            <w:tcW w:w="1311" w:type="dxa"/>
            <w:gridSpan w:val="4"/>
            <w:tcBorders>
              <w:top w:val="single" w:color="auto" w:sz="4" w:space="0"/>
              <w:left w:val="single" w:color="auto" w:sz="4" w:space="0"/>
              <w:bottom w:val="single" w:color="auto" w:sz="4" w:space="0"/>
              <w:right w:val="single" w:color="auto" w:sz="4" w:space="0"/>
            </w:tcBorders>
            <w:noWrap w:val="0"/>
            <w:vAlign w:val="center"/>
          </w:tcPr>
          <w:p w14:paraId="46E3BCD8">
            <w:pPr>
              <w:pStyle w:val="24"/>
              <w:spacing w:before="31"/>
              <w:ind w:left="345"/>
              <w:jc w:val="both"/>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17.22</w:t>
            </w:r>
          </w:p>
        </w:tc>
        <w:tc>
          <w:tcPr>
            <w:tcW w:w="702" w:type="dxa"/>
            <w:gridSpan w:val="3"/>
            <w:tcBorders>
              <w:top w:val="single" w:color="auto" w:sz="4" w:space="0"/>
              <w:left w:val="single" w:color="auto" w:sz="4" w:space="0"/>
              <w:bottom w:val="single" w:color="auto" w:sz="4" w:space="0"/>
              <w:right w:val="single" w:color="auto" w:sz="4" w:space="0"/>
            </w:tcBorders>
            <w:noWrap w:val="0"/>
            <w:vAlign w:val="center"/>
          </w:tcPr>
          <w:p w14:paraId="5E3FF89A">
            <w:pPr>
              <w:pStyle w:val="24"/>
              <w:spacing w:before="31"/>
              <w:ind w:right="163"/>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293</w:t>
            </w:r>
          </w:p>
        </w:tc>
        <w:tc>
          <w:tcPr>
            <w:tcW w:w="1312" w:type="dxa"/>
            <w:gridSpan w:val="3"/>
            <w:tcBorders>
              <w:top w:val="single" w:color="auto" w:sz="4" w:space="0"/>
              <w:left w:val="single" w:color="auto" w:sz="4" w:space="0"/>
              <w:bottom w:val="single" w:color="auto" w:sz="4" w:space="0"/>
              <w:right w:val="single" w:color="auto" w:sz="4" w:space="0"/>
            </w:tcBorders>
            <w:noWrap w:val="0"/>
            <w:vAlign w:val="center"/>
          </w:tcPr>
          <w:p w14:paraId="5836C39F">
            <w:pPr>
              <w:pStyle w:val="24"/>
              <w:spacing w:before="31"/>
              <w:ind w:left="408"/>
              <w:jc w:val="both"/>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31.34</w:t>
            </w:r>
          </w:p>
        </w:tc>
        <w:tc>
          <w:tcPr>
            <w:tcW w:w="700" w:type="dxa"/>
            <w:gridSpan w:val="3"/>
            <w:tcBorders>
              <w:top w:val="single" w:color="auto" w:sz="4" w:space="0"/>
              <w:left w:val="single" w:color="auto" w:sz="4" w:space="0"/>
              <w:bottom w:val="single" w:color="auto" w:sz="4" w:space="0"/>
              <w:right w:val="single" w:color="auto" w:sz="4" w:space="0"/>
            </w:tcBorders>
            <w:noWrap w:val="0"/>
            <w:vAlign w:val="center"/>
          </w:tcPr>
          <w:p w14:paraId="1EE0BD9C">
            <w:pPr>
              <w:pStyle w:val="24"/>
              <w:spacing w:before="31"/>
              <w:ind w:left="83" w:right="78"/>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233</w:t>
            </w:r>
          </w:p>
        </w:tc>
        <w:tc>
          <w:tcPr>
            <w:tcW w:w="1312" w:type="dxa"/>
            <w:gridSpan w:val="3"/>
            <w:tcBorders>
              <w:top w:val="single" w:color="auto" w:sz="4" w:space="0"/>
              <w:left w:val="single" w:color="auto" w:sz="4" w:space="0"/>
              <w:bottom w:val="single" w:color="auto" w:sz="4" w:space="0"/>
              <w:right w:val="single" w:color="auto" w:sz="4" w:space="0"/>
            </w:tcBorders>
            <w:noWrap w:val="0"/>
            <w:vAlign w:val="center"/>
          </w:tcPr>
          <w:p w14:paraId="7E4C6753">
            <w:pPr>
              <w:pStyle w:val="24"/>
              <w:spacing w:before="31"/>
              <w:ind w:left="409"/>
              <w:jc w:val="both"/>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24.92</w:t>
            </w:r>
          </w:p>
        </w:tc>
        <w:tc>
          <w:tcPr>
            <w:tcW w:w="701" w:type="dxa"/>
            <w:gridSpan w:val="3"/>
            <w:tcBorders>
              <w:top w:val="single" w:color="auto" w:sz="4" w:space="0"/>
              <w:left w:val="single" w:color="auto" w:sz="4" w:space="0"/>
              <w:bottom w:val="single" w:color="auto" w:sz="4" w:space="0"/>
              <w:right w:val="single" w:color="auto" w:sz="4" w:space="0"/>
            </w:tcBorders>
            <w:noWrap w:val="0"/>
            <w:vAlign w:val="center"/>
          </w:tcPr>
          <w:p w14:paraId="1A2DF31B">
            <w:pPr>
              <w:pStyle w:val="24"/>
              <w:spacing w:before="31"/>
              <w:ind w:left="11"/>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248</w:t>
            </w:r>
          </w:p>
        </w:tc>
        <w:tc>
          <w:tcPr>
            <w:tcW w:w="1569" w:type="dxa"/>
            <w:tcBorders>
              <w:top w:val="single" w:color="auto" w:sz="4" w:space="0"/>
              <w:left w:val="single" w:color="auto" w:sz="4" w:space="0"/>
              <w:bottom w:val="single" w:color="auto" w:sz="4" w:space="0"/>
              <w:right w:val="single" w:color="auto" w:sz="4" w:space="0"/>
            </w:tcBorders>
            <w:noWrap w:val="0"/>
            <w:vAlign w:val="center"/>
          </w:tcPr>
          <w:p w14:paraId="27C752AC">
            <w:pPr>
              <w:pStyle w:val="24"/>
              <w:spacing w:before="31"/>
              <w:ind w:left="411"/>
              <w:jc w:val="both"/>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26.52</w:t>
            </w:r>
          </w:p>
        </w:tc>
      </w:tr>
      <w:tr w14:paraId="0A4ECB96">
        <w:tblPrEx>
          <w:tblCellMar>
            <w:top w:w="0" w:type="dxa"/>
            <w:left w:w="0" w:type="dxa"/>
            <w:bottom w:w="0" w:type="dxa"/>
            <w:right w:w="0" w:type="dxa"/>
          </w:tblCellMar>
        </w:tblPrEx>
        <w:trPr>
          <w:gridAfter w:val="1"/>
          <w:wAfter w:w="74" w:type="dxa"/>
          <w:trHeight w:val="591" w:hRule="atLeast"/>
          <w:jc w:val="center"/>
        </w:trPr>
        <w:tc>
          <w:tcPr>
            <w:tcW w:w="8460" w:type="dxa"/>
            <w:gridSpan w:val="21"/>
            <w:tcBorders>
              <w:top w:val="single" w:color="auto" w:sz="4" w:space="0"/>
            </w:tcBorders>
            <w:noWrap w:val="0"/>
            <w:vAlign w:val="center"/>
          </w:tcPr>
          <w:p w14:paraId="5E689E45">
            <w:pPr>
              <w:pStyle w:val="9"/>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pPr>
            <w:r>
              <w:rPr>
                <w:rFonts w:hint="eastAsia" w:ascii="仿宋" w:eastAsia="仿宋"/>
                <w:b w:val="0"/>
                <w:bCs/>
                <w:color w:val="000000" w:themeColor="text1"/>
                <w:sz w:val="21"/>
                <w:highlight w:val="none"/>
                <w14:textFill>
                  <w14:solidFill>
                    <w14:schemeClr w14:val="tx1"/>
                  </w14:solidFill>
                </w14:textFill>
              </w:rPr>
              <w:t>数据来源：</w:t>
            </w:r>
            <w:r>
              <w:rPr>
                <w:rFonts w:hint="eastAsia" w:ascii="仿宋" w:eastAsia="仿宋"/>
                <w:b w:val="0"/>
                <w:bCs/>
                <w:color w:val="000000" w:themeColor="text1"/>
                <w:sz w:val="21"/>
                <w:highlight w:val="none"/>
                <w:lang w:eastAsia="zh-CN"/>
                <w14:textFill>
                  <w14:solidFill>
                    <w14:schemeClr w14:val="tx1"/>
                  </w14:solidFill>
                </w14:textFill>
              </w:rPr>
              <w:t>全国高等职业学校人才培养工作状态数据采集与管理平台</w:t>
            </w: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广西工程职业学院</w:t>
            </w:r>
          </w:p>
          <w:p w14:paraId="6EA20C24">
            <w:pPr>
              <w:pStyle w:val="24"/>
              <w:spacing w:before="37"/>
              <w:ind w:left="14"/>
              <w:jc w:val="center"/>
              <w:rPr>
                <w:rFonts w:hint="eastAsia" w:ascii="仿宋" w:eastAsia="仿宋"/>
                <w:b w:val="0"/>
                <w:bCs/>
                <w:color w:val="000000" w:themeColor="text1"/>
                <w:sz w:val="21"/>
                <w:highlight w:val="none"/>
                <w14:textFill>
                  <w14:solidFill>
                    <w14:schemeClr w14:val="tx1"/>
                  </w14:solidFill>
                </w14:textFill>
              </w:rPr>
            </w:pP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2025年状态数据。</w:t>
            </w:r>
          </w:p>
        </w:tc>
      </w:tr>
      <w:tr w14:paraId="475F2DDC">
        <w:tblPrEx>
          <w:tblCellMar>
            <w:top w:w="0" w:type="dxa"/>
            <w:left w:w="0" w:type="dxa"/>
            <w:bottom w:w="0" w:type="dxa"/>
            <w:right w:w="0" w:type="dxa"/>
          </w:tblCellMar>
        </w:tblPrEx>
        <w:trPr>
          <w:trHeight w:val="561" w:hRule="atLeast"/>
          <w:jc w:val="center"/>
        </w:trPr>
        <w:tc>
          <w:tcPr>
            <w:tcW w:w="8534" w:type="dxa"/>
            <w:gridSpan w:val="22"/>
            <w:tcBorders>
              <w:top w:val="nil"/>
              <w:left w:val="nil"/>
              <w:bottom w:val="single" w:color="auto" w:sz="4" w:space="0"/>
              <w:right w:val="nil"/>
            </w:tcBorders>
            <w:noWrap w:val="0"/>
            <w:vAlign w:val="center"/>
          </w:tcPr>
          <w:p w14:paraId="1E7EC4AD">
            <w:pPr>
              <w:pStyle w:val="9"/>
              <w:spacing w:before="175" w:line="350" w:lineRule="auto"/>
              <w:ind w:right="1796"/>
              <w:jc w:val="center"/>
              <w:rPr>
                <w:rFonts w:hint="eastAsia" w:ascii="仿宋" w:eastAsia="仿宋"/>
                <w:b w:val="0"/>
                <w:bCs/>
                <w:color w:val="000000" w:themeColor="text1"/>
                <w:sz w:val="24"/>
                <w:highlight w:val="none"/>
                <w14:textFill>
                  <w14:solidFill>
                    <w14:schemeClr w14:val="tx1"/>
                  </w14:solidFill>
                </w14:textFill>
              </w:rPr>
            </w:pPr>
            <w:r>
              <w:rPr>
                <w:rFonts w:hint="eastAsia"/>
                <w:b w:val="0"/>
                <w:bCs/>
                <w:color w:val="000000" w:themeColor="text1"/>
                <w:sz w:val="24"/>
                <w:highlight w:val="none"/>
                <w:lang w:val="en-US" w:eastAsia="zh-CN"/>
                <w14:textFill>
                  <w14:solidFill>
                    <w14:schemeClr w14:val="tx1"/>
                  </w14:solidFill>
                </w14:textFill>
              </w:rPr>
              <w:t xml:space="preserve">            </w:t>
            </w:r>
            <w:r>
              <w:rPr>
                <w:rFonts w:hint="eastAsia" w:ascii="仿宋_GB2312" w:hAnsi="仿宋_GB2312" w:eastAsia="仿宋_GB2312" w:cs="仿宋_GB2312"/>
                <w:b w:val="0"/>
                <w:bCs/>
                <w:color w:val="000000" w:themeColor="text1"/>
                <w:sz w:val="28"/>
                <w:szCs w:val="28"/>
                <w:highlight w:val="none"/>
                <w:lang w:val="en-US" w:eastAsia="zh-CN"/>
                <w14:textFill>
                  <w14:solidFill>
                    <w14:schemeClr w14:val="tx1"/>
                  </w14:solidFill>
                </w14:textFill>
              </w:rPr>
              <w:t xml:space="preserve">     </w:t>
            </w:r>
            <w:r>
              <w:rPr>
                <w:rFonts w:hint="eastAsia" w:ascii="仿宋_GB2312" w:hAnsi="仿宋_GB2312" w:eastAsia="仿宋_GB2312" w:cs="仿宋_GB2312"/>
                <w:b w:val="0"/>
                <w:bCs/>
                <w:color w:val="000000" w:themeColor="text1"/>
                <w:sz w:val="28"/>
                <w:szCs w:val="28"/>
                <w:highlight w:val="none"/>
                <w14:textFill>
                  <w14:solidFill>
                    <w14:schemeClr w14:val="tx1"/>
                  </w14:solidFill>
                </w14:textFill>
              </w:rPr>
              <w:t>表</w:t>
            </w:r>
            <w:r>
              <w:rPr>
                <w:rFonts w:hint="eastAsia" w:ascii="仿宋_GB2312" w:hAnsi="仿宋_GB2312" w:eastAsia="仿宋_GB2312" w:cs="仿宋_GB2312"/>
                <w:b w:val="0"/>
                <w:bCs/>
                <w:color w:val="000000" w:themeColor="text1"/>
                <w:sz w:val="28"/>
                <w:szCs w:val="28"/>
                <w:highlight w:val="none"/>
                <w:lang w:val="en-US" w:eastAsia="zh-CN"/>
                <w14:textFill>
                  <w14:solidFill>
                    <w14:schemeClr w14:val="tx1"/>
                  </w14:solidFill>
                </w14:textFill>
              </w:rPr>
              <w:t xml:space="preserve">4  </w:t>
            </w:r>
            <w:r>
              <w:rPr>
                <w:rFonts w:hint="eastAsia" w:ascii="仿宋_GB2312" w:hAnsi="仿宋_GB2312" w:eastAsia="仿宋_GB2312" w:cs="仿宋_GB2312"/>
                <w:b w:val="0"/>
                <w:bCs/>
                <w:color w:val="000000" w:themeColor="text1"/>
                <w:sz w:val="28"/>
                <w:szCs w:val="28"/>
                <w:highlight w:val="none"/>
                <w14:textFill>
                  <w14:solidFill>
                    <w14:schemeClr w14:val="tx1"/>
                  </w14:solidFill>
                </w14:textFill>
              </w:rPr>
              <w:t>专任教师年龄结构</w:t>
            </w:r>
          </w:p>
        </w:tc>
      </w:tr>
      <w:tr w14:paraId="07E59F26">
        <w:tblPrEx>
          <w:tblCellMar>
            <w:top w:w="0" w:type="dxa"/>
            <w:left w:w="0" w:type="dxa"/>
            <w:bottom w:w="0" w:type="dxa"/>
            <w:right w:w="0" w:type="dxa"/>
          </w:tblCellMar>
        </w:tblPrEx>
        <w:trPr>
          <w:trHeight w:val="561" w:hRule="atLeast"/>
          <w:jc w:val="center"/>
        </w:trPr>
        <w:tc>
          <w:tcPr>
            <w:tcW w:w="2225" w:type="dxa"/>
            <w:gridSpan w:val="6"/>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60F46785">
            <w:pPr>
              <w:pStyle w:val="24"/>
              <w:spacing w:before="31"/>
              <w:ind w:left="357"/>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35 岁及以下</w:t>
            </w:r>
          </w:p>
        </w:tc>
        <w:tc>
          <w:tcPr>
            <w:tcW w:w="1814" w:type="dxa"/>
            <w:gridSpan w:val="4"/>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43C894D6">
            <w:pPr>
              <w:pStyle w:val="24"/>
              <w:spacing w:before="31"/>
              <w:ind w:left="398"/>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36－45 岁</w:t>
            </w:r>
          </w:p>
        </w:tc>
        <w:tc>
          <w:tcPr>
            <w:tcW w:w="1974" w:type="dxa"/>
            <w:gridSpan w:val="6"/>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662B733D">
            <w:pPr>
              <w:pStyle w:val="24"/>
              <w:spacing w:before="31"/>
              <w:ind w:left="397"/>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46－60 岁</w:t>
            </w:r>
          </w:p>
        </w:tc>
        <w:tc>
          <w:tcPr>
            <w:tcW w:w="2521" w:type="dxa"/>
            <w:gridSpan w:val="6"/>
            <w:tcBorders>
              <w:top w:val="single" w:color="auto" w:sz="4" w:space="0"/>
              <w:left w:val="single" w:color="auto" w:sz="4" w:space="0"/>
              <w:bottom w:val="single" w:color="auto" w:sz="4" w:space="0"/>
              <w:right w:val="single" w:color="auto" w:sz="4" w:space="0"/>
            </w:tcBorders>
            <w:shd w:val="clear" w:color="auto" w:fill="9CC2E5" w:themeFill="accent1" w:themeFillTint="99"/>
            <w:noWrap w:val="0"/>
            <w:vAlign w:val="center"/>
          </w:tcPr>
          <w:p w14:paraId="100DE922">
            <w:pPr>
              <w:pStyle w:val="24"/>
              <w:spacing w:before="31"/>
              <w:ind w:left="280"/>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61 岁及以上</w:t>
            </w:r>
          </w:p>
        </w:tc>
      </w:tr>
      <w:tr w14:paraId="1DF98F51">
        <w:tblPrEx>
          <w:tblCellMar>
            <w:top w:w="0" w:type="dxa"/>
            <w:left w:w="0" w:type="dxa"/>
            <w:bottom w:w="0" w:type="dxa"/>
            <w:right w:w="0" w:type="dxa"/>
          </w:tblCellMar>
        </w:tblPrEx>
        <w:trPr>
          <w:trHeight w:val="619" w:hRule="atLeast"/>
          <w:jc w:val="center"/>
        </w:trPr>
        <w:tc>
          <w:tcPr>
            <w:tcW w:w="883" w:type="dxa"/>
            <w:gridSpan w:val="2"/>
            <w:tcBorders>
              <w:top w:val="single" w:color="auto" w:sz="4" w:space="0"/>
              <w:left w:val="single" w:color="auto" w:sz="4" w:space="0"/>
              <w:bottom w:val="single" w:color="auto" w:sz="4" w:space="0"/>
              <w:right w:val="single" w:color="auto" w:sz="4" w:space="0"/>
            </w:tcBorders>
            <w:noWrap w:val="0"/>
            <w:vAlign w:val="center"/>
          </w:tcPr>
          <w:p w14:paraId="1300A332">
            <w:pPr>
              <w:pStyle w:val="24"/>
              <w:spacing w:before="31"/>
              <w:ind w:left="161" w:right="85"/>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342" w:type="dxa"/>
            <w:gridSpan w:val="4"/>
            <w:tcBorders>
              <w:top w:val="single" w:color="auto" w:sz="4" w:space="0"/>
              <w:left w:val="single" w:color="auto" w:sz="4" w:space="0"/>
              <w:bottom w:val="single" w:color="auto" w:sz="4" w:space="0"/>
              <w:right w:val="single" w:color="auto" w:sz="4" w:space="0"/>
            </w:tcBorders>
            <w:noWrap w:val="0"/>
            <w:vAlign w:val="center"/>
          </w:tcPr>
          <w:p w14:paraId="1F586834">
            <w:pPr>
              <w:pStyle w:val="24"/>
              <w:spacing w:before="31"/>
              <w:ind w:left="83" w:right="83"/>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631" w:type="dxa"/>
            <w:tcBorders>
              <w:top w:val="single" w:color="auto" w:sz="4" w:space="0"/>
              <w:left w:val="single" w:color="auto" w:sz="4" w:space="0"/>
              <w:bottom w:val="single" w:color="auto" w:sz="4" w:space="0"/>
              <w:right w:val="single" w:color="auto" w:sz="4" w:space="0"/>
            </w:tcBorders>
            <w:noWrap w:val="0"/>
            <w:vAlign w:val="center"/>
          </w:tcPr>
          <w:p w14:paraId="6B15415E">
            <w:pPr>
              <w:pStyle w:val="24"/>
              <w:spacing w:before="31"/>
              <w:ind w:right="103"/>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183" w:type="dxa"/>
            <w:gridSpan w:val="3"/>
            <w:tcBorders>
              <w:top w:val="single" w:color="auto" w:sz="4" w:space="0"/>
              <w:left w:val="single" w:color="auto" w:sz="4" w:space="0"/>
              <w:bottom w:val="single" w:color="auto" w:sz="4" w:space="0"/>
              <w:right w:val="single" w:color="auto" w:sz="4" w:space="0"/>
            </w:tcBorders>
            <w:noWrap w:val="0"/>
            <w:vAlign w:val="center"/>
          </w:tcPr>
          <w:p w14:paraId="05690D30">
            <w:pPr>
              <w:pStyle w:val="24"/>
              <w:spacing w:before="31"/>
              <w:ind w:left="84" w:right="84"/>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819" w:type="dxa"/>
            <w:gridSpan w:val="3"/>
            <w:tcBorders>
              <w:top w:val="single" w:color="auto" w:sz="4" w:space="0"/>
              <w:left w:val="single" w:color="auto" w:sz="4" w:space="0"/>
              <w:bottom w:val="single" w:color="auto" w:sz="4" w:space="0"/>
              <w:right w:val="single" w:color="auto" w:sz="4" w:space="0"/>
            </w:tcBorders>
            <w:noWrap w:val="0"/>
            <w:vAlign w:val="center"/>
          </w:tcPr>
          <w:p w14:paraId="6A39D8CB">
            <w:pPr>
              <w:pStyle w:val="24"/>
              <w:spacing w:before="31"/>
              <w:ind w:left="78" w:right="79"/>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155" w:type="dxa"/>
            <w:gridSpan w:val="3"/>
            <w:tcBorders>
              <w:top w:val="single" w:color="auto" w:sz="4" w:space="0"/>
              <w:left w:val="single" w:color="auto" w:sz="4" w:space="0"/>
              <w:bottom w:val="single" w:color="auto" w:sz="4" w:space="0"/>
              <w:right w:val="single" w:color="auto" w:sz="4" w:space="0"/>
            </w:tcBorders>
            <w:noWrap w:val="0"/>
            <w:vAlign w:val="center"/>
          </w:tcPr>
          <w:p w14:paraId="4452271D">
            <w:pPr>
              <w:pStyle w:val="24"/>
              <w:spacing w:before="31"/>
              <w:ind w:left="84" w:right="85"/>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c>
          <w:tcPr>
            <w:tcW w:w="840" w:type="dxa"/>
            <w:gridSpan w:val="3"/>
            <w:tcBorders>
              <w:top w:val="single" w:color="auto" w:sz="4" w:space="0"/>
              <w:left w:val="single" w:color="auto" w:sz="4" w:space="0"/>
              <w:bottom w:val="single" w:color="auto" w:sz="4" w:space="0"/>
              <w:right w:val="single" w:color="auto" w:sz="4" w:space="0"/>
            </w:tcBorders>
            <w:noWrap w:val="0"/>
            <w:vAlign w:val="center"/>
          </w:tcPr>
          <w:p w14:paraId="2E251684">
            <w:pPr>
              <w:pStyle w:val="24"/>
              <w:spacing w:before="31"/>
              <w:ind w:left="86" w:right="85"/>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人数</w:t>
            </w:r>
          </w:p>
        </w:tc>
        <w:tc>
          <w:tcPr>
            <w:tcW w:w="1681" w:type="dxa"/>
            <w:gridSpan w:val="3"/>
            <w:tcBorders>
              <w:top w:val="single" w:color="auto" w:sz="4" w:space="0"/>
              <w:left w:val="single" w:color="auto" w:sz="4" w:space="0"/>
              <w:bottom w:val="single" w:color="auto" w:sz="4" w:space="0"/>
              <w:right w:val="single" w:color="auto" w:sz="4" w:space="0"/>
            </w:tcBorders>
            <w:noWrap w:val="0"/>
            <w:vAlign w:val="center"/>
          </w:tcPr>
          <w:p w14:paraId="5F92A50E">
            <w:pPr>
              <w:pStyle w:val="24"/>
              <w:spacing w:before="31"/>
              <w:ind w:left="83" w:right="6"/>
              <w:jc w:val="center"/>
              <w:rPr>
                <w:rFonts w:hint="eastAsia" w:ascii="仿宋" w:eastAsia="仿宋"/>
                <w:b w:val="0"/>
                <w:bCs/>
                <w:color w:val="000000" w:themeColor="text1"/>
                <w:sz w:val="24"/>
                <w:highlight w:val="none"/>
                <w14:textFill>
                  <w14:solidFill>
                    <w14:schemeClr w14:val="tx1"/>
                  </w14:solidFill>
                </w14:textFill>
              </w:rPr>
            </w:pPr>
            <w:r>
              <w:rPr>
                <w:rFonts w:hint="eastAsia" w:ascii="仿宋" w:eastAsia="仿宋"/>
                <w:b w:val="0"/>
                <w:bCs/>
                <w:color w:val="000000" w:themeColor="text1"/>
                <w:sz w:val="24"/>
                <w:highlight w:val="none"/>
                <w14:textFill>
                  <w14:solidFill>
                    <w14:schemeClr w14:val="tx1"/>
                  </w14:solidFill>
                </w14:textFill>
              </w:rPr>
              <w:t>比例（%）</w:t>
            </w:r>
          </w:p>
        </w:tc>
      </w:tr>
      <w:tr w14:paraId="3F61D2D7">
        <w:tblPrEx>
          <w:tblCellMar>
            <w:top w:w="0" w:type="dxa"/>
            <w:left w:w="0" w:type="dxa"/>
            <w:bottom w:w="0" w:type="dxa"/>
            <w:right w:w="0" w:type="dxa"/>
          </w:tblCellMar>
        </w:tblPrEx>
        <w:trPr>
          <w:trHeight w:val="561" w:hRule="atLeast"/>
          <w:jc w:val="center"/>
        </w:trPr>
        <w:tc>
          <w:tcPr>
            <w:tcW w:w="883" w:type="dxa"/>
            <w:gridSpan w:val="2"/>
            <w:tcBorders>
              <w:top w:val="single" w:color="auto" w:sz="4" w:space="0"/>
              <w:left w:val="single" w:color="auto" w:sz="4" w:space="0"/>
              <w:bottom w:val="single" w:color="auto" w:sz="4" w:space="0"/>
              <w:right w:val="single" w:color="auto" w:sz="4" w:space="0"/>
            </w:tcBorders>
            <w:noWrap w:val="0"/>
            <w:vAlign w:val="center"/>
          </w:tcPr>
          <w:p w14:paraId="7A5914CE">
            <w:pPr>
              <w:pStyle w:val="24"/>
              <w:spacing w:before="31"/>
              <w:ind w:left="161" w:leftChars="0" w:right="85"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437</w:t>
            </w:r>
          </w:p>
        </w:tc>
        <w:tc>
          <w:tcPr>
            <w:tcW w:w="1342" w:type="dxa"/>
            <w:gridSpan w:val="4"/>
            <w:tcBorders>
              <w:top w:val="single" w:color="auto" w:sz="4" w:space="0"/>
              <w:left w:val="single" w:color="auto" w:sz="4" w:space="0"/>
              <w:bottom w:val="single" w:color="auto" w:sz="4" w:space="0"/>
              <w:right w:val="single" w:color="auto" w:sz="4" w:space="0"/>
            </w:tcBorders>
            <w:noWrap w:val="0"/>
            <w:vAlign w:val="center"/>
          </w:tcPr>
          <w:p w14:paraId="6AC8CE62">
            <w:pPr>
              <w:pStyle w:val="24"/>
              <w:spacing w:before="31"/>
              <w:ind w:left="83" w:leftChars="0" w:right="83"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46.74</w:t>
            </w:r>
          </w:p>
        </w:tc>
        <w:tc>
          <w:tcPr>
            <w:tcW w:w="631" w:type="dxa"/>
            <w:tcBorders>
              <w:top w:val="single" w:color="auto" w:sz="4" w:space="0"/>
              <w:left w:val="single" w:color="auto" w:sz="4" w:space="0"/>
              <w:bottom w:val="single" w:color="auto" w:sz="4" w:space="0"/>
              <w:right w:val="single" w:color="auto" w:sz="4" w:space="0"/>
            </w:tcBorders>
            <w:noWrap w:val="0"/>
            <w:vAlign w:val="center"/>
          </w:tcPr>
          <w:p w14:paraId="7027161A">
            <w:pPr>
              <w:pStyle w:val="24"/>
              <w:spacing w:before="31"/>
              <w:ind w:right="165"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355</w:t>
            </w:r>
          </w:p>
        </w:tc>
        <w:tc>
          <w:tcPr>
            <w:tcW w:w="1183" w:type="dxa"/>
            <w:gridSpan w:val="3"/>
            <w:tcBorders>
              <w:top w:val="single" w:color="auto" w:sz="4" w:space="0"/>
              <w:left w:val="single" w:color="auto" w:sz="4" w:space="0"/>
              <w:bottom w:val="single" w:color="auto" w:sz="4" w:space="0"/>
              <w:right w:val="single" w:color="auto" w:sz="4" w:space="0"/>
            </w:tcBorders>
            <w:noWrap w:val="0"/>
            <w:vAlign w:val="center"/>
          </w:tcPr>
          <w:p w14:paraId="65016755">
            <w:pPr>
              <w:pStyle w:val="24"/>
              <w:spacing w:before="31"/>
              <w:ind w:left="83" w:leftChars="0" w:right="84"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37.97</w:t>
            </w:r>
          </w:p>
        </w:tc>
        <w:tc>
          <w:tcPr>
            <w:tcW w:w="819" w:type="dxa"/>
            <w:gridSpan w:val="3"/>
            <w:tcBorders>
              <w:top w:val="single" w:color="auto" w:sz="4" w:space="0"/>
              <w:left w:val="single" w:color="auto" w:sz="4" w:space="0"/>
              <w:bottom w:val="single" w:color="auto" w:sz="4" w:space="0"/>
              <w:right w:val="single" w:color="auto" w:sz="4" w:space="0"/>
            </w:tcBorders>
            <w:noWrap w:val="0"/>
            <w:vAlign w:val="center"/>
          </w:tcPr>
          <w:p w14:paraId="5C4774CC">
            <w:pPr>
              <w:pStyle w:val="24"/>
              <w:spacing w:before="31"/>
              <w:ind w:left="78" w:leftChars="0" w:right="79"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107</w:t>
            </w:r>
          </w:p>
        </w:tc>
        <w:tc>
          <w:tcPr>
            <w:tcW w:w="1155" w:type="dxa"/>
            <w:gridSpan w:val="3"/>
            <w:tcBorders>
              <w:top w:val="single" w:color="auto" w:sz="4" w:space="0"/>
              <w:left w:val="single" w:color="auto" w:sz="4" w:space="0"/>
              <w:bottom w:val="single" w:color="auto" w:sz="4" w:space="0"/>
              <w:right w:val="single" w:color="auto" w:sz="4" w:space="0"/>
            </w:tcBorders>
            <w:noWrap w:val="0"/>
            <w:vAlign w:val="center"/>
          </w:tcPr>
          <w:p w14:paraId="44BE3FE3">
            <w:pPr>
              <w:pStyle w:val="24"/>
              <w:spacing w:before="31"/>
              <w:ind w:left="83" w:leftChars="0" w:right="85"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11.44</w:t>
            </w:r>
          </w:p>
        </w:tc>
        <w:tc>
          <w:tcPr>
            <w:tcW w:w="840" w:type="dxa"/>
            <w:gridSpan w:val="3"/>
            <w:tcBorders>
              <w:top w:val="single" w:color="auto" w:sz="4" w:space="0"/>
              <w:left w:val="single" w:color="auto" w:sz="4" w:space="0"/>
              <w:bottom w:val="single" w:color="auto" w:sz="4" w:space="0"/>
              <w:right w:val="single" w:color="auto" w:sz="4" w:space="0"/>
            </w:tcBorders>
            <w:noWrap w:val="0"/>
            <w:vAlign w:val="center"/>
          </w:tcPr>
          <w:p w14:paraId="44BE6ABE">
            <w:pPr>
              <w:pStyle w:val="24"/>
              <w:spacing w:before="31"/>
              <w:ind w:right="1" w:righ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36</w:t>
            </w:r>
          </w:p>
        </w:tc>
        <w:tc>
          <w:tcPr>
            <w:tcW w:w="1681" w:type="dxa"/>
            <w:gridSpan w:val="3"/>
            <w:tcBorders>
              <w:top w:val="single" w:color="auto" w:sz="4" w:space="0"/>
              <w:left w:val="single" w:color="auto" w:sz="4" w:space="0"/>
              <w:bottom w:val="single" w:color="auto" w:sz="4" w:space="0"/>
              <w:right w:val="single" w:color="auto" w:sz="4" w:space="0"/>
            </w:tcBorders>
            <w:noWrap w:val="0"/>
            <w:vAlign w:val="center"/>
          </w:tcPr>
          <w:p w14:paraId="07D271A3">
            <w:pPr>
              <w:pStyle w:val="24"/>
              <w:spacing w:before="31"/>
              <w:ind w:left="77" w:leftChars="0"/>
              <w:jc w:val="center"/>
              <w:rPr>
                <w:rFonts w:hint="default" w:ascii="仿宋" w:eastAsia="宋体"/>
                <w:b w:val="0"/>
                <w:bCs/>
                <w:color w:val="000000" w:themeColor="text1"/>
                <w:sz w:val="24"/>
                <w:highlight w:val="none"/>
                <w:lang w:val="en-US" w:eastAsia="zh-CN"/>
                <w14:textFill>
                  <w14:solidFill>
                    <w14:schemeClr w14:val="tx1"/>
                  </w14:solidFill>
                </w14:textFill>
              </w:rPr>
            </w:pPr>
            <w:r>
              <w:rPr>
                <w:rFonts w:hint="eastAsia" w:ascii="仿宋"/>
                <w:b w:val="0"/>
                <w:bCs/>
                <w:color w:val="000000" w:themeColor="text1"/>
                <w:sz w:val="24"/>
                <w:highlight w:val="none"/>
                <w:lang w:val="en-US" w:eastAsia="zh-CN"/>
                <w14:textFill>
                  <w14:solidFill>
                    <w14:schemeClr w14:val="tx1"/>
                  </w14:solidFill>
                </w14:textFill>
              </w:rPr>
              <w:t>3.85</w:t>
            </w:r>
          </w:p>
        </w:tc>
      </w:tr>
      <w:tr w14:paraId="3CD52FAB">
        <w:tblPrEx>
          <w:tblCellMar>
            <w:top w:w="0" w:type="dxa"/>
            <w:left w:w="0" w:type="dxa"/>
            <w:bottom w:w="0" w:type="dxa"/>
            <w:right w:w="0" w:type="dxa"/>
          </w:tblCellMar>
        </w:tblPrEx>
        <w:trPr>
          <w:trHeight w:val="523" w:hRule="atLeast"/>
          <w:jc w:val="center"/>
        </w:trPr>
        <w:tc>
          <w:tcPr>
            <w:tcW w:w="8534" w:type="dxa"/>
            <w:gridSpan w:val="22"/>
            <w:tcBorders>
              <w:top w:val="single" w:color="auto" w:sz="4" w:space="0"/>
            </w:tcBorders>
            <w:noWrap w:val="0"/>
            <w:vAlign w:val="center"/>
          </w:tcPr>
          <w:p w14:paraId="5F5AEFF5">
            <w:pPr>
              <w:pStyle w:val="9"/>
              <w:keepNext w:val="0"/>
              <w:keepLines w:val="0"/>
              <w:pageBreakBefore w:val="0"/>
              <w:widowControl w:val="0"/>
              <w:kinsoku/>
              <w:wordWrap/>
              <w:overflowPunct/>
              <w:topLinePunct w:val="0"/>
              <w:autoSpaceDE/>
              <w:autoSpaceDN/>
              <w:bidi w:val="0"/>
              <w:adjustRightInd/>
              <w:snapToGrid/>
              <w:spacing w:line="360" w:lineRule="exact"/>
              <w:textAlignment w:val="auto"/>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pPr>
            <w:r>
              <w:rPr>
                <w:rFonts w:hint="eastAsia" w:ascii="仿宋" w:eastAsia="仿宋"/>
                <w:b w:val="0"/>
                <w:bCs/>
                <w:color w:val="000000" w:themeColor="text1"/>
                <w:sz w:val="21"/>
                <w:highlight w:val="none"/>
                <w14:textFill>
                  <w14:solidFill>
                    <w14:schemeClr w14:val="tx1"/>
                  </w14:solidFill>
                </w14:textFill>
              </w:rPr>
              <w:t>数据来源：</w:t>
            </w:r>
            <w:r>
              <w:rPr>
                <w:rFonts w:hint="eastAsia" w:ascii="仿宋" w:eastAsia="仿宋"/>
                <w:b w:val="0"/>
                <w:bCs/>
                <w:color w:val="000000" w:themeColor="text1"/>
                <w:sz w:val="21"/>
                <w:highlight w:val="none"/>
                <w:lang w:eastAsia="zh-CN"/>
                <w14:textFill>
                  <w14:solidFill>
                    <w14:schemeClr w14:val="tx1"/>
                  </w14:solidFill>
                </w14:textFill>
              </w:rPr>
              <w:t>全国高等职业学校人才培养工作状态数据采集与管理平台</w:t>
            </w: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广西工程职业学院</w:t>
            </w:r>
          </w:p>
          <w:p w14:paraId="1DB1CD6D">
            <w:pPr>
              <w:pStyle w:val="24"/>
              <w:spacing w:before="39"/>
              <w:ind w:left="14"/>
              <w:jc w:val="center"/>
              <w:rPr>
                <w:rFonts w:hint="eastAsia" w:ascii="仿宋" w:eastAsia="仿宋"/>
                <w:b w:val="0"/>
                <w:bCs/>
                <w:color w:val="000000" w:themeColor="text1"/>
                <w:sz w:val="21"/>
                <w:highlight w:val="none"/>
                <w14:textFill>
                  <w14:solidFill>
                    <w14:schemeClr w14:val="tx1"/>
                  </w14:solidFill>
                </w14:textFill>
              </w:rPr>
            </w:pP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2025年状态数据。</w:t>
            </w:r>
          </w:p>
        </w:tc>
      </w:tr>
    </w:tbl>
    <w:p w14:paraId="6E0D3457">
      <w:pPr>
        <w:pStyle w:val="9"/>
        <w:keepNext w:val="0"/>
        <w:keepLines w:val="0"/>
        <w:pageBreakBefore w:val="0"/>
        <w:kinsoku/>
        <w:wordWrap/>
        <w:bidi w:val="0"/>
        <w:spacing w:line="520" w:lineRule="exact"/>
        <w:ind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1.4学生规模</w:t>
      </w:r>
    </w:p>
    <w:p w14:paraId="06F205AD">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我校高职专科学生人数为20451人，其中2024级5757人、2023级7876人、2022级6818人。</w:t>
      </w:r>
    </w:p>
    <w:p w14:paraId="7DC9D074">
      <w:pPr>
        <w:pStyle w:val="9"/>
        <w:keepNext w:val="0"/>
        <w:keepLines w:val="0"/>
        <w:pageBreakBefore w:val="0"/>
        <w:kinsoku/>
        <w:wordWrap/>
        <w:bidi w:val="0"/>
        <w:spacing w:line="520" w:lineRule="exact"/>
        <w:ind w:left="0" w:leftChars="0" w:firstLine="482" w:firstLineChars="200"/>
        <w:jc w:val="cente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表5  在校生情况一览表</w:t>
      </w:r>
    </w:p>
    <w:tbl>
      <w:tblPr>
        <w:tblStyle w:val="1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07"/>
        <w:gridCol w:w="1423"/>
        <w:gridCol w:w="1644"/>
        <w:gridCol w:w="1434"/>
        <w:gridCol w:w="1296"/>
      </w:tblGrid>
      <w:tr w14:paraId="72AEBB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Merge w:val="restart"/>
            <w:shd w:val="clear" w:color="auto" w:fill="9CC2E5" w:themeFill="accent1" w:themeFillTint="99"/>
            <w:vAlign w:val="center"/>
          </w:tcPr>
          <w:p w14:paraId="1C808EB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学院</w:t>
            </w:r>
          </w:p>
        </w:tc>
        <w:tc>
          <w:tcPr>
            <w:tcW w:w="1423" w:type="dxa"/>
            <w:vMerge w:val="restart"/>
            <w:shd w:val="clear" w:color="auto" w:fill="9CC2E5" w:themeFill="accent1" w:themeFillTint="99"/>
            <w:vAlign w:val="center"/>
          </w:tcPr>
          <w:p w14:paraId="72BCC31C">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总人数</w:t>
            </w:r>
          </w:p>
        </w:tc>
        <w:tc>
          <w:tcPr>
            <w:tcW w:w="4374" w:type="dxa"/>
            <w:gridSpan w:val="3"/>
            <w:shd w:val="clear" w:color="auto" w:fill="9CC2E5" w:themeFill="accent1" w:themeFillTint="99"/>
            <w:vAlign w:val="center"/>
          </w:tcPr>
          <w:p w14:paraId="1D8852A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年级</w:t>
            </w:r>
          </w:p>
        </w:tc>
      </w:tr>
      <w:tr w14:paraId="401A1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Merge w:val="continue"/>
            <w:shd w:val="clear" w:color="auto" w:fill="9CC2E5" w:themeFill="accent1" w:themeFillTint="99"/>
            <w:vAlign w:val="center"/>
          </w:tcPr>
          <w:p w14:paraId="4482DBA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p>
        </w:tc>
        <w:tc>
          <w:tcPr>
            <w:tcW w:w="1423" w:type="dxa"/>
            <w:vMerge w:val="continue"/>
            <w:shd w:val="clear" w:color="auto" w:fill="9CC2E5" w:themeFill="accent1" w:themeFillTint="99"/>
            <w:vAlign w:val="center"/>
          </w:tcPr>
          <w:p w14:paraId="2D3946E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p>
        </w:tc>
        <w:tc>
          <w:tcPr>
            <w:tcW w:w="1644" w:type="dxa"/>
            <w:shd w:val="clear" w:color="auto" w:fill="9CC2E5" w:themeFill="accent1" w:themeFillTint="99"/>
            <w:vAlign w:val="center"/>
          </w:tcPr>
          <w:p w14:paraId="5FA62EC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2" w:firstLineChars="20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2022级</w:t>
            </w:r>
          </w:p>
        </w:tc>
        <w:tc>
          <w:tcPr>
            <w:tcW w:w="1434" w:type="dxa"/>
            <w:shd w:val="clear" w:color="auto" w:fill="9CC2E5" w:themeFill="accent1" w:themeFillTint="99"/>
            <w:vAlign w:val="center"/>
          </w:tcPr>
          <w:p w14:paraId="4B074197">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2023级</w:t>
            </w:r>
          </w:p>
        </w:tc>
        <w:tc>
          <w:tcPr>
            <w:tcW w:w="1296" w:type="dxa"/>
            <w:shd w:val="clear" w:color="auto" w:fill="9CC2E5" w:themeFill="accent1" w:themeFillTint="99"/>
            <w:vAlign w:val="center"/>
          </w:tcPr>
          <w:p w14:paraId="2D1ED09D">
            <w:pPr>
              <w:pStyle w:val="9"/>
              <w:keepNext w:val="0"/>
              <w:keepLines w:val="0"/>
              <w:pageBreakBefore w:val="0"/>
              <w:widowControl w:val="0"/>
              <w:kinsoku/>
              <w:wordWrap/>
              <w:overflowPunct/>
              <w:topLinePunct w:val="0"/>
              <w:autoSpaceDE/>
              <w:autoSpaceDN/>
              <w:bidi w:val="0"/>
              <w:adjustRightInd/>
              <w:snapToGrid/>
              <w:spacing w:line="360" w:lineRule="exact"/>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2024级</w:t>
            </w:r>
          </w:p>
        </w:tc>
      </w:tr>
      <w:tr w14:paraId="5B411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Align w:val="center"/>
          </w:tcPr>
          <w:p w14:paraId="51DBA3E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教育学院</w:t>
            </w:r>
          </w:p>
        </w:tc>
        <w:tc>
          <w:tcPr>
            <w:tcW w:w="1423" w:type="dxa"/>
            <w:vAlign w:val="center"/>
          </w:tcPr>
          <w:p w14:paraId="25E377E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3841</w:t>
            </w:r>
          </w:p>
        </w:tc>
        <w:tc>
          <w:tcPr>
            <w:tcW w:w="1644" w:type="dxa"/>
            <w:vAlign w:val="center"/>
          </w:tcPr>
          <w:p w14:paraId="447673A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1580</w:t>
            </w:r>
          </w:p>
        </w:tc>
        <w:tc>
          <w:tcPr>
            <w:tcW w:w="1434" w:type="dxa"/>
            <w:vAlign w:val="center"/>
          </w:tcPr>
          <w:p w14:paraId="2A74860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1620</w:t>
            </w:r>
          </w:p>
        </w:tc>
        <w:tc>
          <w:tcPr>
            <w:tcW w:w="1296" w:type="dxa"/>
            <w:vAlign w:val="center"/>
          </w:tcPr>
          <w:p w14:paraId="1FFA243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641</w:t>
            </w:r>
          </w:p>
        </w:tc>
      </w:tr>
      <w:tr w14:paraId="3AB1F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Align w:val="center"/>
          </w:tcPr>
          <w:p w14:paraId="65575A2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经济管理学院</w:t>
            </w:r>
          </w:p>
        </w:tc>
        <w:tc>
          <w:tcPr>
            <w:tcW w:w="1423" w:type="dxa"/>
            <w:vAlign w:val="center"/>
          </w:tcPr>
          <w:p w14:paraId="65CF0A0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2626</w:t>
            </w:r>
          </w:p>
        </w:tc>
        <w:tc>
          <w:tcPr>
            <w:tcW w:w="1644" w:type="dxa"/>
            <w:vAlign w:val="center"/>
          </w:tcPr>
          <w:p w14:paraId="6A94752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771</w:t>
            </w:r>
          </w:p>
        </w:tc>
        <w:tc>
          <w:tcPr>
            <w:tcW w:w="1434" w:type="dxa"/>
            <w:vAlign w:val="center"/>
          </w:tcPr>
          <w:p w14:paraId="42BC60E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1119</w:t>
            </w:r>
          </w:p>
        </w:tc>
        <w:tc>
          <w:tcPr>
            <w:tcW w:w="1296" w:type="dxa"/>
            <w:vAlign w:val="center"/>
          </w:tcPr>
          <w:p w14:paraId="7095FCE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736</w:t>
            </w:r>
          </w:p>
        </w:tc>
      </w:tr>
      <w:tr w14:paraId="14B9BE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Align w:val="center"/>
          </w:tcPr>
          <w:p w14:paraId="1CF9D92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艺术设计学院</w:t>
            </w:r>
          </w:p>
        </w:tc>
        <w:tc>
          <w:tcPr>
            <w:tcW w:w="1423" w:type="dxa"/>
            <w:vAlign w:val="center"/>
          </w:tcPr>
          <w:p w14:paraId="7447C7B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2463</w:t>
            </w:r>
          </w:p>
        </w:tc>
        <w:tc>
          <w:tcPr>
            <w:tcW w:w="1644" w:type="dxa"/>
            <w:vAlign w:val="center"/>
          </w:tcPr>
          <w:p w14:paraId="0257481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1029</w:t>
            </w:r>
          </w:p>
        </w:tc>
        <w:tc>
          <w:tcPr>
            <w:tcW w:w="1434" w:type="dxa"/>
            <w:vAlign w:val="center"/>
          </w:tcPr>
          <w:p w14:paraId="2ECEC67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1017</w:t>
            </w:r>
          </w:p>
        </w:tc>
        <w:tc>
          <w:tcPr>
            <w:tcW w:w="1296" w:type="dxa"/>
            <w:vAlign w:val="center"/>
          </w:tcPr>
          <w:p w14:paraId="167A983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417</w:t>
            </w:r>
          </w:p>
        </w:tc>
      </w:tr>
      <w:tr w14:paraId="6679E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Align w:val="center"/>
          </w:tcPr>
          <w:p w14:paraId="465EF74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铁道与航空学院</w:t>
            </w:r>
          </w:p>
        </w:tc>
        <w:tc>
          <w:tcPr>
            <w:tcW w:w="1423" w:type="dxa"/>
            <w:vAlign w:val="center"/>
          </w:tcPr>
          <w:p w14:paraId="206419D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2416</w:t>
            </w:r>
          </w:p>
        </w:tc>
        <w:tc>
          <w:tcPr>
            <w:tcW w:w="1644" w:type="dxa"/>
            <w:vAlign w:val="center"/>
          </w:tcPr>
          <w:p w14:paraId="7C6E052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607</w:t>
            </w:r>
          </w:p>
        </w:tc>
        <w:tc>
          <w:tcPr>
            <w:tcW w:w="1434" w:type="dxa"/>
            <w:vAlign w:val="center"/>
          </w:tcPr>
          <w:p w14:paraId="0F9B28E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951</w:t>
            </w:r>
          </w:p>
        </w:tc>
        <w:tc>
          <w:tcPr>
            <w:tcW w:w="1296" w:type="dxa"/>
            <w:vAlign w:val="center"/>
          </w:tcPr>
          <w:p w14:paraId="7A29BB9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858</w:t>
            </w:r>
          </w:p>
        </w:tc>
      </w:tr>
      <w:tr w14:paraId="45870E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Align w:val="center"/>
          </w:tcPr>
          <w:p w14:paraId="5F4C5E9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土木工程学院</w:t>
            </w:r>
          </w:p>
        </w:tc>
        <w:tc>
          <w:tcPr>
            <w:tcW w:w="1423" w:type="dxa"/>
            <w:vAlign w:val="center"/>
          </w:tcPr>
          <w:p w14:paraId="6C49E1D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3420</w:t>
            </w:r>
          </w:p>
        </w:tc>
        <w:tc>
          <w:tcPr>
            <w:tcW w:w="1644" w:type="dxa"/>
            <w:vAlign w:val="center"/>
          </w:tcPr>
          <w:p w14:paraId="1D05190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1399</w:t>
            </w:r>
          </w:p>
        </w:tc>
        <w:tc>
          <w:tcPr>
            <w:tcW w:w="1434" w:type="dxa"/>
            <w:vAlign w:val="center"/>
          </w:tcPr>
          <w:p w14:paraId="0A520BA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1196</w:t>
            </w:r>
          </w:p>
        </w:tc>
        <w:tc>
          <w:tcPr>
            <w:tcW w:w="1296" w:type="dxa"/>
            <w:vAlign w:val="center"/>
          </w:tcPr>
          <w:p w14:paraId="2D67EB9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825</w:t>
            </w:r>
          </w:p>
        </w:tc>
      </w:tr>
      <w:tr w14:paraId="1646B5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1" w:hRule="atLeast"/>
          <w:jc w:val="center"/>
        </w:trPr>
        <w:tc>
          <w:tcPr>
            <w:tcW w:w="2607" w:type="dxa"/>
            <w:vAlign w:val="center"/>
          </w:tcPr>
          <w:p w14:paraId="4E8BB17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汽车与机电学院</w:t>
            </w:r>
          </w:p>
        </w:tc>
        <w:tc>
          <w:tcPr>
            <w:tcW w:w="1423" w:type="dxa"/>
            <w:vAlign w:val="center"/>
          </w:tcPr>
          <w:p w14:paraId="505CD3F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5685</w:t>
            </w:r>
          </w:p>
        </w:tc>
        <w:tc>
          <w:tcPr>
            <w:tcW w:w="1644" w:type="dxa"/>
            <w:vAlign w:val="center"/>
          </w:tcPr>
          <w:p w14:paraId="54E842C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1432</w:t>
            </w:r>
          </w:p>
        </w:tc>
        <w:tc>
          <w:tcPr>
            <w:tcW w:w="1434" w:type="dxa"/>
            <w:vAlign w:val="center"/>
          </w:tcPr>
          <w:p w14:paraId="6E2E068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1973</w:t>
            </w:r>
          </w:p>
        </w:tc>
        <w:tc>
          <w:tcPr>
            <w:tcW w:w="1296" w:type="dxa"/>
            <w:vAlign w:val="center"/>
          </w:tcPr>
          <w:p w14:paraId="449F42C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2280</w:t>
            </w:r>
          </w:p>
        </w:tc>
      </w:tr>
      <w:tr w14:paraId="4A4520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2" w:hRule="atLeast"/>
          <w:jc w:val="center"/>
        </w:trPr>
        <w:tc>
          <w:tcPr>
            <w:tcW w:w="2607" w:type="dxa"/>
            <w:vAlign w:val="center"/>
          </w:tcPr>
          <w:p w14:paraId="3757377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合计</w:t>
            </w:r>
          </w:p>
        </w:tc>
        <w:tc>
          <w:tcPr>
            <w:tcW w:w="1423" w:type="dxa"/>
            <w:vAlign w:val="center"/>
          </w:tcPr>
          <w:p w14:paraId="6F14EFF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20451</w:t>
            </w:r>
          </w:p>
        </w:tc>
        <w:tc>
          <w:tcPr>
            <w:tcW w:w="1644" w:type="dxa"/>
            <w:vAlign w:val="center"/>
          </w:tcPr>
          <w:p w14:paraId="0113A18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6818</w:t>
            </w:r>
          </w:p>
        </w:tc>
        <w:tc>
          <w:tcPr>
            <w:tcW w:w="1434" w:type="dxa"/>
            <w:vAlign w:val="center"/>
          </w:tcPr>
          <w:p w14:paraId="7D24DD4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7876</w:t>
            </w:r>
          </w:p>
        </w:tc>
        <w:tc>
          <w:tcPr>
            <w:tcW w:w="1296" w:type="dxa"/>
            <w:vAlign w:val="center"/>
          </w:tcPr>
          <w:p w14:paraId="7555C42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80" w:firstLineChars="20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5757</w:t>
            </w:r>
          </w:p>
        </w:tc>
      </w:tr>
    </w:tbl>
    <w:p w14:paraId="4B1C136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20" w:firstLineChars="200"/>
        <w:textAlignment w:val="auto"/>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数据来源：</w:t>
      </w:r>
      <w:r>
        <w:rPr>
          <w:rFonts w:hint="eastAsia" w:ascii="仿宋_GB2312" w:hAnsi="仿宋_GB2312" w:eastAsia="仿宋_GB2312" w:cs="仿宋_GB2312"/>
          <w:color w:val="000000" w:themeColor="text1"/>
          <w:sz w:val="21"/>
          <w:szCs w:val="21"/>
          <w:highlight w:val="none"/>
          <w14:textFill>
            <w14:solidFill>
              <w14:schemeClr w14:val="tx1"/>
            </w14:solidFill>
          </w14:textFill>
        </w:rPr>
        <w:t>全国高等职业学校人才培养工作状态数据采集与管理平台</w:t>
      </w: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广西工程职业学院</w:t>
      </w:r>
    </w:p>
    <w:p w14:paraId="743675E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420" w:firstLineChars="200"/>
        <w:textAlignment w:val="auto"/>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highlight w:val="none"/>
          <w:lang w:val="en-US" w:eastAsia="zh-CN"/>
          <w14:textFill>
            <w14:solidFill>
              <w14:schemeClr w14:val="tx1"/>
            </w14:solidFill>
          </w14:textFill>
        </w:rPr>
        <w:t>2025年状态数据。</w:t>
      </w:r>
    </w:p>
    <w:p w14:paraId="126E2D9E">
      <w:pPr>
        <w:pStyle w:val="9"/>
        <w:keepNext w:val="0"/>
        <w:keepLines w:val="0"/>
        <w:pageBreakBefore w:val="0"/>
        <w:widowControl w:val="0"/>
        <w:kinsoku/>
        <w:wordWrap/>
        <w:overflowPunct/>
        <w:topLinePunct w:val="0"/>
        <w:autoSpaceDE/>
        <w:autoSpaceDN/>
        <w:bidi w:val="0"/>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1.5办学</w:t>
      </w:r>
      <w:r>
        <w:rPr>
          <w:rFonts w:hint="eastAsia" w:ascii="楷体_GB2312" w:hAnsi="楷体_GB2312" w:eastAsia="楷体_GB2312" w:cs="楷体_GB2312"/>
          <w:color w:val="000000" w:themeColor="text1"/>
          <w:sz w:val="32"/>
          <w:szCs w:val="32"/>
          <w:highlight w:val="none"/>
          <w14:textFill>
            <w14:solidFill>
              <w14:schemeClr w14:val="tx1"/>
            </w14:solidFill>
          </w14:textFill>
        </w:rPr>
        <w:t>条件</w:t>
      </w:r>
    </w:p>
    <w:p w14:paraId="78E976C1">
      <w:pPr>
        <w:pStyle w:val="9"/>
        <w:keepNext w:val="0"/>
        <w:keepLines w:val="0"/>
        <w:pageBreakBefore w:val="0"/>
        <w:widowControl w:val="0"/>
        <w:kinsoku/>
        <w:wordWrap/>
        <w:overflowPunct/>
        <w:topLinePunct w:val="0"/>
        <w:autoSpaceDE/>
        <w:autoSpaceDN/>
        <w:bidi w:val="0"/>
        <w:spacing w:line="520" w:lineRule="exact"/>
        <w:ind w:left="0" w:leftChars="0" w:firstLine="640" w:firstLineChars="200"/>
        <w:jc w:val="both"/>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依据《广西壮族自治区高等职业学校办学条件监测指标体系》(以下简称“监测指标”)，学校对各项指标进行了全面、客观的自我监测与评估。</w:t>
      </w:r>
    </w:p>
    <w:p w14:paraId="49E50D92">
      <w:pPr>
        <w:keepNext w:val="0"/>
        <w:keepLines w:val="0"/>
        <w:pageBreakBefore w:val="0"/>
        <w:widowControl w:val="0"/>
        <w:numPr>
          <w:ilvl w:val="0"/>
          <w:numId w:val="0"/>
        </w:numPr>
        <w:shd w:val="clear"/>
        <w:kinsoku/>
        <w:wordWrap/>
        <w:overflowPunct/>
        <w:topLinePunct w:val="0"/>
        <w:autoSpaceDE/>
        <w:autoSpaceDN/>
        <w:bidi w:val="0"/>
        <w:adjustRightInd w:val="0"/>
        <w:snapToGrid w:val="0"/>
        <w:spacing w:line="520" w:lineRule="exact"/>
        <w:ind w:right="0" w:rightChars="0" w:firstLine="640" w:firstLineChars="200"/>
        <w:jc w:val="both"/>
        <w:textAlignment w:val="auto"/>
        <w:outlineLvl w:val="9"/>
        <w:rPr>
          <w:rFonts w:hint="eastAsia" w:ascii="仿宋_GB2312" w:hAnsi="仿宋_GB2312" w:eastAsia="仿宋_GB2312" w:cs="仿宋_GB2312"/>
          <w:color w:val="000000" w:themeColor="text1"/>
          <w:spacing w:val="0"/>
          <w:w w:val="100"/>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基本监测点涵盖校园建设、教学条件、师资队伍、经费保障等核心领域共25项指标。</w:t>
      </w:r>
      <w:r>
        <w:rPr>
          <w:rFonts w:hint="eastAsia" w:ascii="仿宋_GB2312" w:hAnsi="仿宋_GB2312" w:eastAsia="仿宋_GB2312" w:cs="仿宋_GB2312"/>
          <w:color w:val="000000" w:themeColor="text1"/>
          <w:spacing w:val="0"/>
          <w:w w:val="100"/>
          <w:sz w:val="32"/>
          <w:szCs w:val="32"/>
          <w:highlight w:val="none"/>
          <w:lang w:val="en-US" w:eastAsia="zh-CN"/>
          <w14:textFill>
            <w14:solidFill>
              <w14:schemeClr w14:val="tx1"/>
            </w14:solidFill>
          </w14:textFill>
        </w:rPr>
        <w:t>结合民办高校办学实际，我校财政收入以学费收入为主要来源。生均财政拨款水平指标并非学校自主可控范畴，该指标不纳入未达标项统计。经对24个基本监测点逐一对照核查，我校达标指标共12项，未达标指标共12项。</w:t>
      </w:r>
    </w:p>
    <w:p w14:paraId="48F51886">
      <w:pPr>
        <w:keepNext w:val="0"/>
        <w:keepLines w:val="0"/>
        <w:pageBreakBefore w:val="0"/>
        <w:widowControl w:val="0"/>
        <w:numPr>
          <w:ilvl w:val="0"/>
          <w:numId w:val="0"/>
        </w:numPr>
        <w:shd w:val="clear"/>
        <w:kinsoku/>
        <w:wordWrap/>
        <w:overflowPunct/>
        <w:topLinePunct w:val="0"/>
        <w:autoSpaceDE/>
        <w:autoSpaceDN/>
        <w:bidi w:val="0"/>
        <w:adjustRightInd w:val="0"/>
        <w:snapToGrid w:val="0"/>
        <w:spacing w:line="520" w:lineRule="exact"/>
        <w:ind w:right="0" w:rightChars="0" w:firstLine="640" w:firstLineChars="200"/>
        <w:jc w:val="both"/>
        <w:textAlignment w:val="auto"/>
        <w:outlineLvl w:val="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达标指标聚焦办学基础条件与育人核心要求，覆盖办学硬件配置、教学经费投入等关键维度，筑牢办学基本底线，契合以生为本、提质育人的办学导向。体现对办学基本条件的底线要求，也彰显了以学生发展为中心、以质量提升为核心的办学追求，为培养符合社会需求的高素质人才提供了全方位、标准化的保障。</w:t>
      </w:r>
    </w:p>
    <w:p w14:paraId="5C8C47A3">
      <w:pPr>
        <w:keepNext w:val="0"/>
        <w:keepLines w:val="0"/>
        <w:pageBreakBefore w:val="0"/>
        <w:widowControl w:val="0"/>
        <w:numPr>
          <w:ilvl w:val="0"/>
          <w:numId w:val="0"/>
        </w:numPr>
        <w:shd w:val="clear"/>
        <w:kinsoku/>
        <w:wordWrap/>
        <w:overflowPunct/>
        <w:topLinePunct w:val="0"/>
        <w:autoSpaceDE/>
        <w:autoSpaceDN/>
        <w:bidi w:val="0"/>
        <w:adjustRightInd w:val="0"/>
        <w:snapToGrid w:val="0"/>
        <w:spacing w:line="520" w:lineRule="exact"/>
        <w:ind w:right="0" w:rightChars="0" w:firstLine="640" w:firstLineChars="200"/>
        <w:jc w:val="both"/>
        <w:textAlignment w:val="auto"/>
        <w:outlineLvl w:val="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未达标指标主要为生均场地面积、生师比、</w:t>
      </w:r>
      <w:r>
        <w:rPr>
          <w:rFonts w:hint="eastAsia" w:ascii="仿宋_GB2312" w:hAnsi="仿宋_GB2312" w:eastAsia="仿宋_GB2312" w:cs="仿宋_GB2312"/>
          <w:b w:val="0"/>
          <w:bCs w:val="0"/>
          <w:color w:val="000000" w:themeColor="text1"/>
          <w:spacing w:val="0"/>
          <w:w w:val="100"/>
          <w:sz w:val="32"/>
          <w:szCs w:val="32"/>
          <w:highlight w:val="none"/>
          <w:lang w:val="en-US" w:eastAsia="zh-CN"/>
          <w14:textFill>
            <w14:solidFill>
              <w14:schemeClr w14:val="tx1"/>
            </w14:solidFill>
          </w14:textFill>
        </w:rPr>
        <w:t>虚拟仿真实训基地</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w:t>
      </w:r>
    </w:p>
    <w:p w14:paraId="1A3377F9">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2.人才培养</w:t>
      </w:r>
    </w:p>
    <w:p w14:paraId="458376A0">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2.1立德树人</w:t>
      </w:r>
    </w:p>
    <w:p w14:paraId="2C8BD439">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kern w:val="0"/>
          <w:sz w:val="32"/>
          <w:szCs w:val="32"/>
          <w:lang w:val="en-US" w:eastAsia="zh-CN" w:bidi="ar"/>
          <w14:textFill>
            <w14:solidFill>
              <w14:schemeClr w14:val="tx1"/>
            </w14:solidFill>
          </w14:textFill>
        </w:rPr>
        <w:t>学校始终坚持社会主义办学方向，以习近平新时代中国特色社会主义思想为指导，落实立德树人根本任务，将价值引领贯穿人才培养全过程，构建“党建引领、多维融合、实践赋能”的育人体系，健全“三全育人”工作机制，</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引导学生坚定理想信念、厚植爱国情怀，</w:t>
      </w:r>
      <w:r>
        <w:rPr>
          <w:rFonts w:hint="eastAsia" w:ascii="仿宋_GB2312" w:hAnsi="仿宋_GB2312" w:eastAsia="仿宋_GB2312" w:cs="仿宋_GB2312"/>
          <w:color w:val="000000" w:themeColor="text1"/>
          <w:kern w:val="0"/>
          <w:sz w:val="32"/>
          <w:szCs w:val="32"/>
          <w:lang w:val="en-US" w:eastAsia="zh-CN" w:bidi="ar"/>
          <w14:textFill>
            <w14:solidFill>
              <w14:schemeClr w14:val="tx1"/>
            </w14:solidFill>
          </w14:textFill>
        </w:rPr>
        <w:t>着力培养</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拥护中国共产党的领导</w:t>
      </w:r>
      <w:r>
        <w:rPr>
          <w:rFonts w:hint="eastAsia" w:ascii="仿宋_GB2312" w:hAnsi="仿宋_GB2312" w:eastAsia="仿宋_GB2312" w:cs="仿宋_GB2312"/>
          <w:color w:val="000000" w:themeColor="text1"/>
          <w:kern w:val="0"/>
          <w:sz w:val="32"/>
          <w:szCs w:val="32"/>
          <w:lang w:val="en-US" w:eastAsia="zh-CN" w:bidi="ar"/>
          <w14:textFill>
            <w14:solidFill>
              <w14:schemeClr w14:val="tx1"/>
            </w14:solidFill>
          </w14:textFill>
        </w:rPr>
        <w:t>、适应区域经济社会发展需要的德智体美劳全面发展的高素质技术技能人才。</w:t>
      </w:r>
    </w:p>
    <w:p w14:paraId="06DB89B7">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b w:val="0"/>
          <w:bCs w:val="0"/>
          <w:color w:val="000000" w:themeColor="text1"/>
          <w:sz w:val="32"/>
          <w:szCs w:val="32"/>
          <w14:textFill>
            <w14:solidFill>
              <w14:schemeClr w14:val="tx1"/>
            </w14:solidFill>
          </w14:textFill>
        </w:rPr>
      </w:pPr>
      <w:r>
        <w:rPr>
          <w:rFonts w:hint="eastAsia" w:ascii="仿宋_GB2312" w:hAnsi="仿宋_GB2312" w:eastAsia="仿宋_GB2312" w:cs="仿宋_GB2312"/>
          <w:b w:val="0"/>
          <w:bCs w:val="0"/>
          <w:color w:val="000000" w:themeColor="text1"/>
          <w:sz w:val="32"/>
          <w:szCs w:val="32"/>
          <w14:textFill>
            <w14:solidFill>
              <w14:schemeClr w14:val="tx1"/>
            </w14:solidFill>
          </w14:textFill>
        </w:rPr>
        <w:t>（一）强化党建引领，筑牢育人政治根基</w:t>
      </w:r>
    </w:p>
    <w:p w14:paraId="197028A4">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 xml:space="preserve">学校始终坚持党对教育工作的全面领导，牢牢把握社会主义办学方向，充分发挥党组织在学校发展中的政治核心作用与监督保障职能，将党的领导贯穿办学治校、教育教学全过程各方面。以基层党组织标准化规范化建设为抓手，不断健全 </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三会一课</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rPr>
        <w:t>、组织生活会等制度体系，推动党性教育主题活动常态化、长效化开展，让基层党组织成为教书育人的坚强战斗堡垒。</w:t>
      </w:r>
    </w:p>
    <w:p w14:paraId="0A4BAB1E">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sz w:val="32"/>
          <w:szCs w:val="32"/>
        </w:rPr>
        <w:t>创新学习形式，深化理论武装</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sz w:val="32"/>
          <w:szCs w:val="32"/>
          <w:lang w:val="en-US" w:eastAsia="zh-CN"/>
        </w:rPr>
        <w:t>聚焦思想引领核心任务，构建多维度、立体化学习体系，推动党的创新理论入脑入心。通过举办专家宣讲报告会、专题主题培训会，系统解读习近平新时代中国特色社会主义思想、党的二十大和二十届历次全会精神；依托 “青年大学习”网上主题团课平台，结合线下研讨交流，扩大理论学习覆盖面；精心实施2025年 “青年马克思主义者培养工程”培训班，将政治锻造摆在首位，为党培养信仰坚定、能力突出的青年政治骨干，同时借鉴“行走党课” 理念，创新开展体验式学习活动，让理论学习从“说教式”向“体验式”转变，切实落实习近平总书记关于青年工作的重要思想，引领师生筑牢信仰之基、勇担时代使命。</w:t>
      </w:r>
    </w:p>
    <w:p w14:paraId="2358378E">
      <w:pPr>
        <w:keepNext w:val="0"/>
        <w:keepLines w:val="0"/>
        <w:pageBreakBefore w:val="0"/>
        <w:widowControl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color w:val="1F2329"/>
          <w:sz w:val="32"/>
          <w:szCs w:val="32"/>
        </w:rPr>
      </w:pPr>
      <w:r>
        <w:rPr>
          <w:rFonts w:hint="eastAsia" w:ascii="仿宋_GB2312" w:hAnsi="仿宋_GB2312" w:eastAsia="仿宋_GB2312" w:cs="仿宋_GB2312"/>
          <w:sz w:val="32"/>
          <w:szCs w:val="32"/>
        </w:rPr>
        <w:t>强化实践成效，夯实育人根基</w:t>
      </w:r>
      <w:r>
        <w:rPr>
          <w:rFonts w:hint="eastAsia" w:ascii="仿宋_GB2312" w:hAnsi="仿宋_GB2312" w:eastAsia="仿宋_GB2312" w:cs="仿宋_GB2312"/>
          <w:sz w:val="32"/>
          <w:szCs w:val="32"/>
          <w:lang w:eastAsia="zh-CN"/>
        </w:rPr>
        <w:t>。</w:t>
      </w:r>
      <w:r>
        <w:rPr>
          <w:rFonts w:hint="eastAsia" w:ascii="仿宋_GB2312" w:hAnsi="仿宋_GB2312" w:eastAsia="仿宋_GB2312" w:cs="仿宋_GB2312"/>
          <w:color w:val="1F2329"/>
          <w:kern w:val="0"/>
          <w:sz w:val="32"/>
          <w:szCs w:val="32"/>
          <w:lang w:val="en-US" w:eastAsia="zh-CN" w:bidi="ar"/>
        </w:rPr>
        <w:t>本学年，学校党委精心组织专题培训12场，内容涵盖政策解读、党性修养、业务提升等多个维度；各基层党组织开展主题党日活动98次，通过学习研讨、志愿服务、红色教育等多样形式，提升青年学生的理论素养和实践能力，不少学生党员在志愿服务、基层实践中主动担当作为，展现出新时代青年的责任与风采。党建工作与立德树人根本任务深度融合，为学校高质量发展提供坚强的政治保障和组织保障。</w:t>
      </w:r>
    </w:p>
    <w:p w14:paraId="6F465CDD">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22290" cy="3117850"/>
            <wp:effectExtent l="0" t="0" r="16510" b="635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8"/>
                    <a:stretch>
                      <a:fillRect/>
                    </a:stretch>
                  </pic:blipFill>
                  <pic:spPr>
                    <a:xfrm>
                      <a:off x="0" y="0"/>
                      <a:ext cx="5622290" cy="3117850"/>
                    </a:xfrm>
                    <a:prstGeom prst="rect">
                      <a:avLst/>
                    </a:prstGeom>
                    <a:noFill/>
                    <a:ln>
                      <a:noFill/>
                    </a:ln>
                  </pic:spPr>
                </pic:pic>
              </a:graphicData>
            </a:graphic>
          </wp:inline>
        </w:drawing>
      </w:r>
    </w:p>
    <w:p w14:paraId="56638DD1">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仿宋_GB2312" w:hAnsi="仿宋_GB2312" w:eastAsia="仿宋_GB2312" w:cs="仿宋_GB2312"/>
          <w:i w:val="0"/>
          <w:caps w:val="0"/>
          <w:color w:val="000000" w:themeColor="text1"/>
          <w:spacing w:val="0"/>
          <w:sz w:val="28"/>
          <w:szCs w:val="28"/>
          <w:highlight w:val="none"/>
          <w:shd w:val="clear" w:fill="FFFFFF"/>
          <w14:textFill>
            <w14:solidFill>
              <w14:schemeClr w14:val="tx1"/>
            </w14:solidFill>
          </w14:textFill>
        </w:rPr>
      </w:pPr>
      <w:r>
        <w:rPr>
          <w:rFonts w:hint="eastAsia" w:ascii="仿宋_GB2312" w:hAnsi="仿宋_GB2312" w:eastAsia="仿宋_GB2312" w:cs="仿宋_GB2312"/>
          <w:i w:val="0"/>
          <w:caps w:val="0"/>
          <w:color w:val="000000" w:themeColor="text1"/>
          <w:spacing w:val="0"/>
          <w:sz w:val="28"/>
          <w:szCs w:val="28"/>
          <w:highlight w:val="none"/>
          <w:shd w:val="clear" w:fill="FFFFFF"/>
          <w:lang w:val="en-US" w:eastAsia="zh-CN"/>
          <w14:textFill>
            <w14:solidFill>
              <w14:schemeClr w14:val="tx1"/>
            </w14:solidFill>
          </w14:textFill>
        </w:rPr>
        <w:t>图1  2024年</w:t>
      </w:r>
      <w:r>
        <w:rPr>
          <w:rFonts w:hint="eastAsia" w:ascii="仿宋_GB2312" w:hAnsi="仿宋_GB2312" w:eastAsia="仿宋_GB2312" w:cs="仿宋_GB2312"/>
          <w:i w:val="0"/>
          <w:caps w:val="0"/>
          <w:color w:val="000000" w:themeColor="text1"/>
          <w:spacing w:val="0"/>
          <w:sz w:val="28"/>
          <w:szCs w:val="28"/>
          <w:highlight w:val="none"/>
          <w:shd w:val="clear" w:fill="FFFFFF"/>
          <w14:textFill>
            <w14:solidFill>
              <w14:schemeClr w14:val="tx1"/>
            </w14:solidFill>
          </w14:textFill>
        </w:rPr>
        <w:t>9月30日</w:t>
      </w:r>
      <w:r>
        <w:rPr>
          <w:rFonts w:hint="eastAsia" w:ascii="仿宋_GB2312" w:hAnsi="仿宋_GB2312" w:eastAsia="仿宋_GB2312" w:cs="仿宋_GB2312"/>
          <w:i w:val="0"/>
          <w:caps w:val="0"/>
          <w:color w:val="000000" w:themeColor="text1"/>
          <w:spacing w:val="0"/>
          <w:sz w:val="28"/>
          <w:szCs w:val="28"/>
          <w:highlight w:val="none"/>
          <w:shd w:val="clear" w:fill="FFFFFF"/>
          <w:lang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28"/>
          <w:szCs w:val="28"/>
          <w:highlight w:val="none"/>
          <w:shd w:val="clear" w:fill="FFFFFF"/>
          <w:lang w:val="en-US" w:eastAsia="zh-CN"/>
          <w14:textFill>
            <w14:solidFill>
              <w14:schemeClr w14:val="tx1"/>
            </w14:solidFill>
          </w14:textFill>
        </w:rPr>
        <w:t>学校组织师生参加</w:t>
      </w:r>
      <w:r>
        <w:rPr>
          <w:rFonts w:hint="eastAsia" w:ascii="仿宋_GB2312" w:hAnsi="仿宋_GB2312" w:eastAsia="仿宋_GB2312" w:cs="仿宋_GB2312"/>
          <w:i w:val="0"/>
          <w:caps w:val="0"/>
          <w:color w:val="000000" w:themeColor="text1"/>
          <w:spacing w:val="0"/>
          <w:sz w:val="28"/>
          <w:szCs w:val="28"/>
          <w:highlight w:val="none"/>
          <w:shd w:val="clear" w:fill="FFFFFF"/>
          <w14:textFill>
            <w14:solidFill>
              <w14:schemeClr w14:val="tx1"/>
            </w14:solidFill>
          </w14:textFill>
        </w:rPr>
        <w:t>学习贯彻党的二十届三中</w:t>
      </w:r>
    </w:p>
    <w:p w14:paraId="2350CEA6">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仿宋_GB2312" w:hAnsi="仿宋_GB2312" w:eastAsia="仿宋_GB2312" w:cs="仿宋_GB2312"/>
          <w:i w:val="0"/>
          <w:caps w:val="0"/>
          <w:color w:val="000000" w:themeColor="text1"/>
          <w:spacing w:val="0"/>
          <w:sz w:val="28"/>
          <w:szCs w:val="28"/>
          <w:highlight w:val="none"/>
          <w:shd w:val="clear" w:fill="FFFFFF"/>
          <w14:textFill>
            <w14:solidFill>
              <w14:schemeClr w14:val="tx1"/>
            </w14:solidFill>
          </w14:textFill>
        </w:rPr>
      </w:pPr>
      <w:r>
        <w:rPr>
          <w:rFonts w:hint="eastAsia" w:ascii="仿宋_GB2312" w:hAnsi="仿宋_GB2312" w:eastAsia="仿宋_GB2312" w:cs="仿宋_GB2312"/>
          <w:i w:val="0"/>
          <w:caps w:val="0"/>
          <w:color w:val="000000" w:themeColor="text1"/>
          <w:spacing w:val="0"/>
          <w:sz w:val="28"/>
          <w:szCs w:val="28"/>
          <w:highlight w:val="none"/>
          <w:shd w:val="clear" w:fill="FFFFFF"/>
          <w14:textFill>
            <w14:solidFill>
              <w14:schemeClr w14:val="tx1"/>
            </w14:solidFill>
          </w14:textFill>
        </w:rPr>
        <w:t>全会精神宣讲报告会</w:t>
      </w:r>
    </w:p>
    <w:p w14:paraId="2694598D">
      <w:pPr>
        <w:pStyle w:val="7"/>
        <w:ind w:left="0" w:leftChars="0" w:firstLine="0" w:firstLineChars="0"/>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76900" cy="3375660"/>
            <wp:effectExtent l="0" t="0" r="0" b="15240"/>
            <wp:docPr id="6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
                    <pic:cNvPicPr>
                      <a:picLocks noChangeAspect="1"/>
                    </pic:cNvPicPr>
                  </pic:nvPicPr>
                  <pic:blipFill>
                    <a:blip r:embed="rId9"/>
                    <a:stretch>
                      <a:fillRect/>
                    </a:stretch>
                  </pic:blipFill>
                  <pic:spPr>
                    <a:xfrm>
                      <a:off x="0" y="0"/>
                      <a:ext cx="5676900" cy="3375660"/>
                    </a:xfrm>
                    <a:prstGeom prst="rect">
                      <a:avLst/>
                    </a:prstGeom>
                    <a:noFill/>
                    <a:ln>
                      <a:noFill/>
                    </a:ln>
                  </pic:spPr>
                </pic:pic>
              </a:graphicData>
            </a:graphic>
          </wp:inline>
        </w:drawing>
      </w:r>
    </w:p>
    <w:p w14:paraId="3337FC92">
      <w:pPr>
        <w:pStyle w:val="7"/>
        <w:ind w:left="0" w:leftChars="0" w:firstLine="0" w:firstLineChars="0"/>
        <w:jc w:val="center"/>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bookmarkStart w:id="1" w:name="OLE_LINK17"/>
      <w:r>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图2 </w:t>
      </w: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 xml:space="preserve"> </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202</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年</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3</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月</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18日</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学校</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党委书记蒙本曼</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传达学习全国两会精神</w:t>
      </w:r>
    </w:p>
    <w:bookmarkEnd w:id="1"/>
    <w:p w14:paraId="3EAA0EFB">
      <w:pPr>
        <w:pStyle w:val="9"/>
        <w:keepNext w:val="0"/>
        <w:keepLines w:val="0"/>
        <w:pageBreakBefore w:val="0"/>
        <w:kinsoku/>
        <w:wordWrap/>
        <w:bidi w:val="0"/>
        <w:spacing w:line="520" w:lineRule="exact"/>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p>
    <w:p w14:paraId="09841D28">
      <w:pPr>
        <w:keepNext w:val="0"/>
        <w:keepLines w:val="0"/>
        <w:pageBreakBefore w:val="0"/>
        <w:widowControl w:val="0"/>
        <w:kinsoku/>
        <w:wordWrap/>
        <w:overflowPunct/>
        <w:topLinePunct w:val="0"/>
        <w:autoSpaceDE/>
        <w:autoSpaceDN/>
        <w:bidi w:val="0"/>
        <w:adjustRightInd/>
        <w:snapToGrid/>
        <w:spacing w:line="520" w:lineRule="exact"/>
        <w:textAlignment w:val="auto"/>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67456" behindDoc="0" locked="0" layoutInCell="1" allowOverlap="1">
            <wp:simplePos x="0" y="0"/>
            <wp:positionH relativeFrom="column">
              <wp:posOffset>57150</wp:posOffset>
            </wp:positionH>
            <wp:positionV relativeFrom="paragraph">
              <wp:posOffset>156845</wp:posOffset>
            </wp:positionV>
            <wp:extent cx="5686425" cy="3588385"/>
            <wp:effectExtent l="0" t="0" r="9525" b="12065"/>
            <wp:wrapNone/>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10"/>
                    <a:stretch>
                      <a:fillRect/>
                    </a:stretch>
                  </pic:blipFill>
                  <pic:spPr>
                    <a:xfrm>
                      <a:off x="0" y="0"/>
                      <a:ext cx="5686425" cy="3588385"/>
                    </a:xfrm>
                    <a:prstGeom prst="rect">
                      <a:avLst/>
                    </a:prstGeom>
                    <a:noFill/>
                    <a:ln>
                      <a:noFill/>
                    </a:ln>
                  </pic:spPr>
                </pic:pic>
              </a:graphicData>
            </a:graphic>
          </wp:anchor>
        </w:drawing>
      </w:r>
    </w:p>
    <w:p w14:paraId="71684EC9">
      <w:pPr>
        <w:pStyle w:val="2"/>
        <w:rPr>
          <w:color w:val="000000" w:themeColor="text1"/>
          <w:highlight w:val="none"/>
          <w14:textFill>
            <w14:solidFill>
              <w14:schemeClr w14:val="tx1"/>
            </w14:solidFill>
          </w14:textFill>
        </w:rPr>
      </w:pPr>
    </w:p>
    <w:p w14:paraId="548693C6">
      <w:pPr>
        <w:pStyle w:val="2"/>
        <w:rPr>
          <w:color w:val="000000" w:themeColor="text1"/>
          <w:highlight w:val="none"/>
          <w14:textFill>
            <w14:solidFill>
              <w14:schemeClr w14:val="tx1"/>
            </w14:solidFill>
          </w14:textFill>
        </w:rPr>
      </w:pPr>
    </w:p>
    <w:p w14:paraId="1EE45D7D">
      <w:pPr>
        <w:pStyle w:val="2"/>
        <w:rPr>
          <w:color w:val="000000" w:themeColor="text1"/>
          <w:highlight w:val="none"/>
          <w14:textFill>
            <w14:solidFill>
              <w14:schemeClr w14:val="tx1"/>
            </w14:solidFill>
          </w14:textFill>
        </w:rPr>
      </w:pPr>
    </w:p>
    <w:p w14:paraId="5F32BDE4">
      <w:pPr>
        <w:pStyle w:val="2"/>
        <w:rPr>
          <w:rFonts w:hint="eastAsia"/>
          <w:color w:val="000000" w:themeColor="text1"/>
          <w:highlight w:val="none"/>
          <w:lang w:val="en-US" w:eastAsia="zh-CN"/>
          <w14:textFill>
            <w14:solidFill>
              <w14:schemeClr w14:val="tx1"/>
            </w14:solidFill>
          </w14:textFill>
        </w:rPr>
      </w:pPr>
    </w:p>
    <w:p w14:paraId="0DE07393">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p>
    <w:p w14:paraId="5558F590">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p>
    <w:p w14:paraId="7243EAA5">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p>
    <w:p w14:paraId="79ADCAB0">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案例：组织师生开展同上一堂“八桂楷模.大思政课”活动</w:t>
      </w:r>
    </w:p>
    <w:p w14:paraId="1C5AE897">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学校始终深耕 “大思政课” 建设，坚持推动思政小课堂与</w:t>
      </w:r>
    </w:p>
    <w:p w14:paraId="19099477">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ED48746">
      <w:pPr>
        <w:keepNext w:val="0"/>
        <w:keepLines w:val="0"/>
        <w:pageBreakBefore w:val="0"/>
        <w:widowControl w:val="0"/>
        <w:kinsoku/>
        <w:wordWrap/>
        <w:overflowPunct/>
        <w:topLinePunct w:val="0"/>
        <w:autoSpaceDE/>
        <w:autoSpaceDN/>
        <w:bidi w:val="0"/>
        <w:adjustRightInd/>
        <w:snapToGrid/>
        <w:spacing w:line="520" w:lineRule="exact"/>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F26C7F5">
      <w:pPr>
        <w:keepNext w:val="0"/>
        <w:keepLines w:val="0"/>
        <w:pageBreakBefore w:val="0"/>
        <w:widowControl w:val="0"/>
        <w:kinsoku/>
        <w:wordWrap/>
        <w:overflowPunct/>
        <w:topLinePunct w:val="0"/>
        <w:autoSpaceDE/>
        <w:autoSpaceDN/>
        <w:bidi w:val="0"/>
        <w:adjustRightInd/>
        <w:snapToGrid/>
        <w:spacing w:line="500" w:lineRule="exact"/>
        <w:ind w:firstLine="560" w:firstLineChars="200"/>
        <w:jc w:val="center"/>
        <w:textAlignment w:val="auto"/>
        <w:rPr>
          <w:rFonts w:hint="eastAsia" w:ascii="仿宋_GB2312" w:hAnsi="仿宋_GB2312" w:eastAsia="仿宋_GB2312" w:cs="仿宋_GB2312"/>
          <w:b/>
          <w:bCs/>
          <w:color w:val="000000" w:themeColor="text1"/>
          <w:sz w:val="32"/>
          <w:szCs w:val="32"/>
          <w14:textFill>
            <w14:solidFill>
              <w14:schemeClr w14:val="tx1"/>
            </w14:solidFill>
          </w14:textFill>
        </w:rPr>
      </w:pPr>
      <w:r>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图3  2025年6月10日，学校在图文信息大楼一楼学术报告厅举行2025年“青年马克思主义者培养工程”开班仪式</w:t>
      </w:r>
    </w:p>
    <w:p w14:paraId="7D9DFDC1">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b w:val="0"/>
          <w:bCs w:val="0"/>
          <w:color w:val="000000" w:themeColor="text1"/>
          <w:sz w:val="32"/>
          <w:szCs w:val="32"/>
          <w14:textFill>
            <w14:solidFill>
              <w14:schemeClr w14:val="tx1"/>
            </w14:solidFill>
          </w14:textFill>
        </w:rPr>
      </w:pPr>
      <w:r>
        <w:rPr>
          <w:rFonts w:hint="eastAsia" w:ascii="仿宋_GB2312" w:hAnsi="仿宋_GB2312" w:eastAsia="仿宋_GB2312" w:cs="仿宋_GB2312"/>
          <w:b w:val="0"/>
          <w:bCs w:val="0"/>
          <w:color w:val="000000" w:themeColor="text1"/>
          <w:sz w:val="32"/>
          <w:szCs w:val="32"/>
          <w14:textFill>
            <w14:solidFill>
              <w14:schemeClr w14:val="tx1"/>
            </w14:solidFill>
          </w14:textFill>
        </w:rPr>
        <w:t>（二）</w:t>
      </w:r>
      <w:r>
        <w:rPr>
          <w:rFonts w:hint="eastAsia" w:ascii="仿宋_GB2312" w:hAnsi="仿宋_GB2312" w:eastAsia="仿宋_GB2312" w:cs="仿宋_GB2312"/>
          <w:b w:val="0"/>
          <w:bCs w:val="0"/>
          <w:color w:val="000000" w:themeColor="text1"/>
          <w:sz w:val="32"/>
          <w:szCs w:val="32"/>
          <w:lang w:val="en-US" w:eastAsia="zh-CN"/>
          <w14:textFill>
            <w14:solidFill>
              <w14:schemeClr w14:val="tx1"/>
            </w14:solidFill>
          </w14:textFill>
        </w:rPr>
        <w:t>学校积极构建“大思政课”格局</w:t>
      </w:r>
      <w:r>
        <w:rPr>
          <w:rFonts w:hint="eastAsia" w:ascii="仿宋_GB2312" w:hAnsi="仿宋_GB2312" w:eastAsia="仿宋_GB2312" w:cs="仿宋_GB2312"/>
          <w:b w:val="0"/>
          <w:bCs w:val="0"/>
          <w:color w:val="000000" w:themeColor="text1"/>
          <w:sz w:val="32"/>
          <w:szCs w:val="32"/>
          <w14:textFill>
            <w14:solidFill>
              <w14:schemeClr w14:val="tx1"/>
            </w14:solidFill>
          </w14:textFill>
        </w:rPr>
        <w:t>，丰富育人载体形式</w:t>
      </w:r>
    </w:p>
    <w:p w14:paraId="1A960320">
      <w:pPr>
        <w:keepNext w:val="0"/>
        <w:keepLines w:val="0"/>
        <w:pageBreakBefore w:val="0"/>
        <w:widowControl/>
        <w:suppressLineNumbers w:val="0"/>
        <w:kinsoku/>
        <w:wordWrap/>
        <w:overflowPunct/>
        <w:topLinePunct w:val="0"/>
        <w:autoSpaceDE/>
        <w:autoSpaceDN/>
        <w:bidi w:val="0"/>
        <w:adjustRightInd/>
        <w:snapToGrid/>
        <w:spacing w:line="500" w:lineRule="exact"/>
        <w:ind w:firstLine="640" w:firstLineChars="200"/>
        <w:jc w:val="both"/>
        <w:textAlignment w:val="auto"/>
        <w:rPr>
          <w:rFonts w:hint="eastAsia" w:ascii="仿宋_GB2312" w:hAnsi="仿宋_GB2312" w:eastAsia="仿宋_GB2312" w:cs="仿宋_GB2312"/>
          <w:sz w:val="32"/>
          <w:szCs w:val="32"/>
        </w:rPr>
      </w:pPr>
      <w:bookmarkStart w:id="2" w:name="OLE_LINK25"/>
      <w:r>
        <w:rPr>
          <w:rFonts w:hint="eastAsia" w:ascii="仿宋_GB2312" w:hAnsi="仿宋_GB2312" w:eastAsia="仿宋_GB2312" w:cs="仿宋_GB2312"/>
          <w:kern w:val="0"/>
          <w:sz w:val="32"/>
          <w:szCs w:val="32"/>
          <w:lang w:val="en-US" w:eastAsia="zh-CN" w:bidi="ar"/>
        </w:rPr>
        <w:t>深化思政课程改革与课程思政建设，以立德树人为根本任务，构建“大思政”育人格局，将思想政治教育贯穿人才培养全链条，实现价值引领与技能培养有机统一。一是聚焦课堂主阵地，筑牢思政教育根基。以“开学第一课”为重要抓手，由党组织书记、校长主讲，既对全体学生全面发展提出殷切希望，也对教职工以德立身、以德立学、以德施教，争做学生成长引路人和品德示范者提出具体要求。同时，广泛开展诚信教育、“民族团结一家亲”等主题班会，内容覆盖理想信念、国家安全、诚信法治、心理健康等关键领域，同步融入反诈宣传、传染病预防等实用知识普及，实现全校学生教育全覆盖；本学年累计组织专题讲座20余场，有效提升学生思想觉悟与综合素养，引导学生厚植爱党爱国爱社会主义情感，铸牢中华民族共同体意识。二是完善协同育人机制，推动思政教育多点突破。学校将思政教育贯穿立德树人、学科建设、科研创新、队伍培育、社会服务等各领域，健全“思政课程+课程思政+实践育德”协同机制。一方面，强化课程思政内涵建设，开展课程思政示范课申报与评审工作，夯实课程育人基础；另一方面，深化实践育德赋能，本学年与百色纪念馆、平果市禁毒教育基地等5家单位共建实践教学基地，拓展实践育人平台；举办“壮美广西”大学生讲思政课比赛、第三届大学生讲思政课展示活动，通过丰富实践模块教学内容，推动思政教育与职业教育深度融合，让实践模块成为强化思政引领的重要载体。</w:t>
      </w:r>
    </w:p>
    <w:p w14:paraId="5F9BDC37">
      <w:pPr>
        <w:pStyle w:val="2"/>
        <w:rPr>
          <w:rFonts w:hint="eastAsia"/>
          <w:color w:val="000000" w:themeColor="text1"/>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drawing>
          <wp:anchor distT="0" distB="0" distL="114300" distR="114300" simplePos="0" relativeHeight="251668480" behindDoc="0" locked="0" layoutInCell="1" allowOverlap="1">
            <wp:simplePos x="0" y="0"/>
            <wp:positionH relativeFrom="column">
              <wp:posOffset>81280</wp:posOffset>
            </wp:positionH>
            <wp:positionV relativeFrom="paragraph">
              <wp:posOffset>147320</wp:posOffset>
            </wp:positionV>
            <wp:extent cx="5648960" cy="3702050"/>
            <wp:effectExtent l="0" t="0" r="8890" b="12700"/>
            <wp:wrapNone/>
            <wp:docPr id="16" name="图片 16" descr="b472dc7aa6757bd97e615a81a67270ec_8b8e8ce7a92748bbb139fd289dce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b472dc7aa6757bd97e615a81a67270ec_8b8e8ce7a92748bbb139fd289dce6763"/>
                    <pic:cNvPicPr>
                      <a:picLocks noChangeAspect="1"/>
                    </pic:cNvPicPr>
                  </pic:nvPicPr>
                  <pic:blipFill>
                    <a:blip r:embed="rId11"/>
                    <a:stretch>
                      <a:fillRect/>
                    </a:stretch>
                  </pic:blipFill>
                  <pic:spPr>
                    <a:xfrm>
                      <a:off x="0" y="0"/>
                      <a:ext cx="5648960" cy="3702050"/>
                    </a:xfrm>
                    <a:prstGeom prst="rect">
                      <a:avLst/>
                    </a:prstGeom>
                  </pic:spPr>
                </pic:pic>
              </a:graphicData>
            </a:graphic>
          </wp:anchor>
        </w:drawing>
      </w:r>
    </w:p>
    <w:bookmarkEnd w:id="2"/>
    <w:p w14:paraId="0FDDC02C">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4BA422D">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EFD809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8FC109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B54669C">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D080F58">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70228F9">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ADB3892">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52C7BC6">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C3702F7">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CFF25F7">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DDD257A">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图4  2024年9 月25日，学校与田东县右江革命纪念馆共同签署合作共建协议并揭牌</w:t>
      </w:r>
    </w:p>
    <w:p w14:paraId="26A6614B">
      <w:pPr>
        <w:pStyle w:val="9"/>
        <w:keepNext w:val="0"/>
        <w:keepLines w:val="0"/>
        <w:pageBreakBefore w:val="0"/>
        <w:kinsoku/>
        <w:wordWrap/>
        <w:bidi w:val="0"/>
        <w:spacing w:line="520" w:lineRule="exact"/>
        <w:jc w:val="cente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anchor distT="0" distB="0" distL="114300" distR="114300" simplePos="0" relativeHeight="251669504" behindDoc="0" locked="0" layoutInCell="1" allowOverlap="1">
            <wp:simplePos x="0" y="0"/>
            <wp:positionH relativeFrom="column">
              <wp:posOffset>12700</wp:posOffset>
            </wp:positionH>
            <wp:positionV relativeFrom="paragraph">
              <wp:posOffset>148590</wp:posOffset>
            </wp:positionV>
            <wp:extent cx="5720080" cy="3199765"/>
            <wp:effectExtent l="0" t="0" r="13970" b="635"/>
            <wp:wrapTopAndBottom/>
            <wp:docPr id="28" name="图片 28" descr="09b0f73edfee7aad7d5d6d088286e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09b0f73edfee7aad7d5d6d088286e992"/>
                    <pic:cNvPicPr>
                      <a:picLocks noChangeAspect="1"/>
                    </pic:cNvPicPr>
                  </pic:nvPicPr>
                  <pic:blipFill>
                    <a:blip r:embed="rId12"/>
                    <a:stretch>
                      <a:fillRect/>
                    </a:stretch>
                  </pic:blipFill>
                  <pic:spPr>
                    <a:xfrm>
                      <a:off x="0" y="0"/>
                      <a:ext cx="5720080" cy="3199765"/>
                    </a:xfrm>
                    <a:prstGeom prst="rect">
                      <a:avLst/>
                    </a:prstGeom>
                  </pic:spPr>
                </pic:pic>
              </a:graphicData>
            </a:graphic>
          </wp:anchor>
        </w:drawing>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图5  2025年6月6日，学校与平果市禁毒教育基地共建教学基地签约</w:t>
      </w:r>
    </w:p>
    <w:p w14:paraId="6AF72FF5">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anchor distT="0" distB="0" distL="114300" distR="114300" simplePos="0" relativeHeight="251670528" behindDoc="0" locked="0" layoutInCell="1" allowOverlap="1">
            <wp:simplePos x="0" y="0"/>
            <wp:positionH relativeFrom="column">
              <wp:posOffset>-12065</wp:posOffset>
            </wp:positionH>
            <wp:positionV relativeFrom="paragraph">
              <wp:posOffset>79375</wp:posOffset>
            </wp:positionV>
            <wp:extent cx="5729605" cy="3359785"/>
            <wp:effectExtent l="0" t="0" r="4445" b="12065"/>
            <wp:wrapNone/>
            <wp:docPr id="30" name="图片 30" descr="0040e55969bb4f7ce2dccdf9eed6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0040e55969bb4f7ce2dccdf9eed60198"/>
                    <pic:cNvPicPr>
                      <a:picLocks noChangeAspect="1"/>
                    </pic:cNvPicPr>
                  </pic:nvPicPr>
                  <pic:blipFill>
                    <a:blip r:embed="rId13"/>
                    <a:stretch>
                      <a:fillRect/>
                    </a:stretch>
                  </pic:blipFill>
                  <pic:spPr>
                    <a:xfrm>
                      <a:off x="0" y="0"/>
                      <a:ext cx="5729605" cy="3359785"/>
                    </a:xfrm>
                    <a:prstGeom prst="rect">
                      <a:avLst/>
                    </a:prstGeom>
                  </pic:spPr>
                </pic:pic>
              </a:graphicData>
            </a:graphic>
          </wp:anchor>
        </w:drawing>
      </w:r>
    </w:p>
    <w:p w14:paraId="4AB230A6">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53554B9">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04C205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053E4F3">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BA3529B">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D8DB62A">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B156828">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C8C8F3D">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380F61A">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48A9BCB">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881749C">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图6  2025年6月8日，学校与广西平果众天行投资有限公司通天河景区共建实践教学基地</w:t>
      </w:r>
    </w:p>
    <w:p w14:paraId="3B7D97D6">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anchor distT="0" distB="0" distL="114300" distR="114300" simplePos="0" relativeHeight="251671552" behindDoc="0" locked="0" layoutInCell="1" allowOverlap="1">
            <wp:simplePos x="0" y="0"/>
            <wp:positionH relativeFrom="column">
              <wp:posOffset>89535</wp:posOffset>
            </wp:positionH>
            <wp:positionV relativeFrom="paragraph">
              <wp:posOffset>104140</wp:posOffset>
            </wp:positionV>
            <wp:extent cx="5562600" cy="3190875"/>
            <wp:effectExtent l="0" t="0" r="0" b="9525"/>
            <wp:wrapNone/>
            <wp:docPr id="31" name="图片 31" descr="833f433f5c83e430d775f0c40eb14b5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833f433f5c83e430d775f0c40eb14b5c"/>
                    <pic:cNvPicPr>
                      <a:picLocks noChangeAspect="1"/>
                    </pic:cNvPicPr>
                  </pic:nvPicPr>
                  <pic:blipFill>
                    <a:blip r:embed="rId14"/>
                    <a:stretch>
                      <a:fillRect/>
                    </a:stretch>
                  </pic:blipFill>
                  <pic:spPr>
                    <a:xfrm>
                      <a:off x="0" y="0"/>
                      <a:ext cx="5562600" cy="3190875"/>
                    </a:xfrm>
                    <a:prstGeom prst="rect">
                      <a:avLst/>
                    </a:prstGeom>
                  </pic:spPr>
                </pic:pic>
              </a:graphicData>
            </a:graphic>
          </wp:anchor>
        </w:drawing>
      </w:r>
    </w:p>
    <w:p w14:paraId="0F62ABB1">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15899CE">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8186931">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07CAF0B">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0BEEBD2">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E3D64BC">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8AC2F36">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8C14FD4">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F688267">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9BCE81A">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图7  2025年6 月10日，学校与平果市文学艺术界联合会共建</w:t>
      </w:r>
    </w:p>
    <w:p w14:paraId="669C42D7">
      <w:pPr>
        <w:keepNext w:val="0"/>
        <w:keepLines w:val="0"/>
        <w:pageBreakBefore w:val="0"/>
        <w:widowControl w:val="0"/>
        <w:kinsoku/>
        <w:wordWrap/>
        <w:overflowPunct/>
        <w:topLinePunct w:val="0"/>
        <w:autoSpaceDE/>
        <w:autoSpaceDN/>
        <w:bidi w:val="0"/>
        <w:adjustRightInd/>
        <w:snapToGrid/>
        <w:spacing w:line="480" w:lineRule="exact"/>
        <w:ind w:firstLine="560" w:firstLineChars="200"/>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实践教学基地</w:t>
      </w:r>
    </w:p>
    <w:p w14:paraId="766D6AB9">
      <w:pPr>
        <w:pStyle w:val="9"/>
        <w:keepNext w:val="0"/>
        <w:keepLines w:val="0"/>
        <w:pageBreakBefore w:val="0"/>
        <w:kinsoku/>
        <w:wordWrap/>
        <w:bidi w:val="0"/>
        <w:spacing w:line="520" w:lineRule="exact"/>
        <w:ind w:left="0" w:leftChars="0" w:firstLine="62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65408" behindDoc="0" locked="0" layoutInCell="1" allowOverlap="1">
            <wp:simplePos x="0" y="0"/>
            <wp:positionH relativeFrom="column">
              <wp:posOffset>76835</wp:posOffset>
            </wp:positionH>
            <wp:positionV relativeFrom="paragraph">
              <wp:posOffset>25400</wp:posOffset>
            </wp:positionV>
            <wp:extent cx="5447030" cy="3231515"/>
            <wp:effectExtent l="0" t="0" r="1270" b="6985"/>
            <wp:wrapNone/>
            <wp:docPr id="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
                    <pic:cNvPicPr>
                      <a:picLocks noChangeAspect="1"/>
                    </pic:cNvPicPr>
                  </pic:nvPicPr>
                  <pic:blipFill>
                    <a:blip r:embed="rId15"/>
                    <a:stretch>
                      <a:fillRect/>
                    </a:stretch>
                  </pic:blipFill>
                  <pic:spPr>
                    <a:xfrm>
                      <a:off x="0" y="0"/>
                      <a:ext cx="5447030" cy="3231515"/>
                    </a:xfrm>
                    <a:prstGeom prst="rect">
                      <a:avLst/>
                    </a:prstGeom>
                    <a:noFill/>
                    <a:ln>
                      <a:noFill/>
                    </a:ln>
                  </pic:spPr>
                </pic:pic>
              </a:graphicData>
            </a:graphic>
          </wp:anchor>
        </w:drawing>
      </w:r>
    </w:p>
    <w:p w14:paraId="3955214F">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6F93C89">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4341549">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B1E6B36">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7B04402">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C673544">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C9E702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2FE48D8">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50B3EE1">
      <w:pPr>
        <w:pStyle w:val="9"/>
        <w:keepNext w:val="0"/>
        <w:keepLines w:val="0"/>
        <w:pageBreakBefore w:val="0"/>
        <w:kinsoku/>
        <w:wordWrap/>
        <w:bidi w:val="0"/>
        <w:spacing w:line="520" w:lineRule="exact"/>
        <w:jc w:val="cente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pPr>
    </w:p>
    <w:p w14:paraId="4B238F47">
      <w:pPr>
        <w:pStyle w:val="9"/>
        <w:keepNext w:val="0"/>
        <w:keepLines w:val="0"/>
        <w:pageBreakBefore w:val="0"/>
        <w:kinsoku/>
        <w:wordWrap/>
        <w:bidi w:val="0"/>
        <w:spacing w:line="520" w:lineRule="exact"/>
        <w:jc w:val="cente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t>图8 2025年8月29日，学校组织开展同上一堂“八桂楷模</w:t>
      </w:r>
      <w:r>
        <w:rPr>
          <w:rFonts w:hint="eastAsia" w:ascii="微软雅黑" w:hAnsi="微软雅黑" w:eastAsia="微软雅黑" w:cs="微软雅黑"/>
          <w:b w:val="0"/>
          <w:bCs w:val="0"/>
          <w:color w:val="000000" w:themeColor="text1"/>
          <w:sz w:val="28"/>
          <w:szCs w:val="28"/>
          <w:highlight w:val="none"/>
          <w:lang w:val="en-US" w:eastAsia="zh-CN"/>
          <w14:textFill>
            <w14:solidFill>
              <w14:schemeClr w14:val="tx1"/>
            </w14:solidFill>
          </w14:textFill>
        </w:rPr>
        <w:t>·</w:t>
      </w:r>
      <w: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t>大思政课”</w:t>
      </w:r>
    </w:p>
    <w:p w14:paraId="50D0D907">
      <w:pPr>
        <w:pStyle w:val="9"/>
        <w:keepNext w:val="0"/>
        <w:keepLines w:val="0"/>
        <w:pageBreakBefore w:val="0"/>
        <w:kinsoku/>
        <w:wordWrap/>
        <w:bidi w:val="0"/>
        <w:spacing w:line="520" w:lineRule="exact"/>
        <w:jc w:val="cente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t>活动</w:t>
      </w:r>
    </w:p>
    <w:p w14:paraId="7764FE7D">
      <w:pP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br w:type="page"/>
      </w:r>
    </w:p>
    <w:p w14:paraId="5DB97BBA">
      <w:pPr>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eastAsia" w:ascii="仿宋_GB2312" w:hAnsi="仿宋_GB2312" w:eastAsia="仿宋_GB2312" w:cs="仿宋_GB2312"/>
          <w:b/>
          <w:color w:val="000000" w:themeColor="text1"/>
          <w:kern w:val="0"/>
          <w:sz w:val="32"/>
          <w:szCs w:val="32"/>
          <w:lang w:val="en-US" w:eastAsia="zh-CN" w:bidi="ar"/>
          <w14:textFill>
            <w14:solidFill>
              <w14:schemeClr w14:val="tx1"/>
            </w14:solidFill>
          </w14:textFill>
        </w:rPr>
      </w:pPr>
      <w:r>
        <w:rPr>
          <w:rFonts w:hint="eastAsia" w:ascii="仿宋_GB2312" w:hAnsi="仿宋_GB2312" w:eastAsia="仿宋_GB2312" w:cs="仿宋_GB2312"/>
          <w:b/>
          <w:color w:val="000000" w:themeColor="text1"/>
          <w:kern w:val="0"/>
          <w:sz w:val="32"/>
          <w:szCs w:val="32"/>
          <w:lang w:val="en-US" w:eastAsia="zh-CN" w:bidi="ar"/>
          <w14:textFill>
            <w14:solidFill>
              <w14:schemeClr w14:val="tx1"/>
            </w14:solidFill>
          </w14:textFill>
        </w:rPr>
        <w:t>案例一：“开学第一课”启航新征程，一场走心又创新的思政实践</w:t>
      </w:r>
    </w:p>
    <w:p w14:paraId="0CE7FD09">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14:textFill>
            <w14:solidFill>
              <w14:schemeClr w14:val="tx1"/>
            </w14:solidFill>
          </w14:textFill>
        </w:rPr>
      </w:pPr>
      <w:r>
        <w:rPr>
          <w:rFonts w:hint="eastAsia" w:ascii="仿宋_GB2312" w:hAnsi="仿宋_GB2312" w:eastAsia="仿宋_GB2312" w:cs="仿宋_GB2312"/>
          <w:i w:val="0"/>
          <w:iCs w:val="0"/>
          <w:caps w:val="0"/>
          <w:color w:val="000000" w:themeColor="text1"/>
          <w:spacing w:val="0"/>
          <w:sz w:val="32"/>
          <w:szCs w:val="32"/>
          <w:shd w:val="clear" w:color="auto" w:fill="FFFFFF"/>
          <w14:textFill>
            <w14:solidFill>
              <w14:schemeClr w14:val="tx1"/>
            </w14:solidFill>
          </w14:textFill>
        </w:rPr>
        <w:t>2025年春季学期，新学期的开启，因一场场暖心的对话、一幕幕动人的场景而充满温度与深度。</w:t>
      </w:r>
      <w:r>
        <w:rPr>
          <w:rFonts w:hint="eastAsia" w:ascii="仿宋_GB2312" w:hAnsi="仿宋_GB2312" w:eastAsia="仿宋_GB2312" w:cs="仿宋_GB2312"/>
          <w:i w:val="0"/>
          <w:iCs w:val="0"/>
          <w:caps w:val="0"/>
          <w:color w:val="000000" w:themeColor="text1"/>
          <w:spacing w:val="0"/>
          <w:sz w:val="32"/>
          <w:szCs w:val="32"/>
          <w:shd w:val="clear" w:color="auto" w:fill="FFFFFF"/>
          <w:lang w:val="en-US" w:eastAsia="zh-CN"/>
          <w14:textFill>
            <w14:solidFill>
              <w14:schemeClr w14:val="tx1"/>
            </w14:solidFill>
          </w14:textFill>
        </w:rPr>
        <w:t>学校</w:t>
      </w:r>
      <w:r>
        <w:rPr>
          <w:rFonts w:hint="eastAsia" w:ascii="仿宋_GB2312" w:hAnsi="仿宋_GB2312" w:eastAsia="仿宋_GB2312" w:cs="仿宋_GB2312"/>
          <w:i w:val="0"/>
          <w:iCs w:val="0"/>
          <w:caps w:val="0"/>
          <w:color w:val="000000" w:themeColor="text1"/>
          <w:spacing w:val="0"/>
          <w:sz w:val="32"/>
          <w:szCs w:val="32"/>
          <w:shd w:val="clear" w:color="auto" w:fill="FFFFFF"/>
          <w14:textFill>
            <w14:solidFill>
              <w14:schemeClr w14:val="tx1"/>
            </w14:solidFill>
          </w14:textFill>
        </w:rPr>
        <w:t>精心打造的“开学第一课”系列教育活动，已超越传统的课堂说教，成为覆盖全体学生的成长“导航仪”与精神“加油站”。辅导员和老师们走下讲台，走进学生中间，将“技能报国”的大主题，融入一个个鲜活的身边故事与生活道理之中。面对初入校园的2024级新生，</w:t>
      </w:r>
      <w:r>
        <w:rPr>
          <w:rFonts w:hint="eastAsia" w:ascii="仿宋_GB2312" w:hAnsi="仿宋_GB2312" w:eastAsia="仿宋_GB2312" w:cs="仿宋_GB2312"/>
          <w:i w:val="0"/>
          <w:iCs w:val="0"/>
          <w:caps w:val="0"/>
          <w:color w:val="000000" w:themeColor="text1"/>
          <w:spacing w:val="0"/>
          <w:sz w:val="32"/>
          <w:szCs w:val="32"/>
          <w:shd w:val="clear" w:color="auto" w:fill="FFFFFF"/>
          <w:lang w:val="en-US" w:eastAsia="zh-CN"/>
          <w14:textFill>
            <w14:solidFill>
              <w14:schemeClr w14:val="tx1"/>
            </w14:solidFill>
          </w14:textFill>
        </w:rPr>
        <w:t>学校</w:t>
      </w:r>
      <w:r>
        <w:rPr>
          <w:rFonts w:hint="eastAsia" w:ascii="仿宋_GB2312" w:hAnsi="仿宋_GB2312" w:eastAsia="仿宋_GB2312" w:cs="仿宋_GB2312"/>
          <w:i w:val="0"/>
          <w:iCs w:val="0"/>
          <w:caps w:val="0"/>
          <w:color w:val="000000" w:themeColor="text1"/>
          <w:spacing w:val="0"/>
          <w:sz w:val="32"/>
          <w:szCs w:val="32"/>
          <w:shd w:val="clear" w:color="auto" w:fill="FFFFFF"/>
          <w14:textFill>
            <w14:solidFill>
              <w14:schemeClr w14:val="tx1"/>
            </w14:solidFill>
          </w14:textFill>
        </w:rPr>
        <w:t>不再空谈“规划未来”，而是以学长学姐的成长案例、行业先锋的奋斗路径、老师们的悉心指导，共同勾勒出一张贴近实际的“成长地图”。一句“你的潜力超乎想象”，点亮了许多学生眼中的光。而对于高年级学生，课程更聚焦实践与未来——在陆闲老师《字体与标识设计》的课堂上，奥运标志的美学与精神内涵被娓娓道来，</w:t>
      </w:r>
      <w:r>
        <w:rPr>
          <w:rFonts w:hint="eastAsia" w:ascii="仿宋_GB2312" w:hAnsi="仿宋_GB2312" w:eastAsia="仿宋_GB2312" w:cs="仿宋_GB2312"/>
          <w:i w:val="0"/>
          <w:iCs w:val="0"/>
          <w:caps w:val="0"/>
          <w:color w:val="000000" w:themeColor="text1"/>
          <w:spacing w:val="0"/>
          <w:sz w:val="32"/>
          <w:szCs w:val="32"/>
          <w:shd w:val="clear" w:color="auto" w:fill="FFFFFF"/>
          <w:lang w:val="en-US" w:eastAsia="zh-CN"/>
          <w14:textFill>
            <w14:solidFill>
              <w14:schemeClr w14:val="tx1"/>
            </w14:solidFill>
          </w14:textFill>
        </w:rPr>
        <w:t>使</w:t>
      </w:r>
      <w:r>
        <w:rPr>
          <w:rFonts w:hint="eastAsia" w:ascii="仿宋_GB2312" w:hAnsi="仿宋_GB2312" w:eastAsia="仿宋_GB2312" w:cs="仿宋_GB2312"/>
          <w:i w:val="0"/>
          <w:iCs w:val="0"/>
          <w:caps w:val="0"/>
          <w:color w:val="000000" w:themeColor="text1"/>
          <w:spacing w:val="0"/>
          <w:sz w:val="32"/>
          <w:szCs w:val="32"/>
          <w:shd w:val="clear" w:color="auto" w:fill="FFFFFF"/>
          <w14:textFill>
            <w14:solidFill>
              <w14:schemeClr w14:val="tx1"/>
            </w14:solidFill>
          </w14:textFill>
        </w:rPr>
        <w:t>专业技能与家国情怀同频共振；在防范网络诈骗的沉浸式讨论中，真实案例的分析让学生们深刻理解“天上不会掉馅饼”，自我保护意识悄然筑牢。从校长深情寄语、名师生动开讲，到升旗仪式的庄严宣誓、主题班会的热烈探讨，“开学第一课”已形成一个立体多元的育人矩阵。它不仅助力学生实现从假期到学习的平稳过渡，更在他们心中深植理想信念，为持续成长注入源源不断的内在动力。</w:t>
      </w:r>
    </w:p>
    <w:p w14:paraId="7D1F133C">
      <w:pPr>
        <w:keepNext w:val="0"/>
        <w:keepLines w:val="0"/>
        <w:pageBreakBefore w:val="0"/>
        <w:widowControl/>
        <w:suppressLineNumbers w:val="0"/>
        <w:kinsoku/>
        <w:wordWrap/>
        <w:overflowPunct/>
        <w:topLinePunct w:val="0"/>
        <w:autoSpaceDE/>
        <w:autoSpaceDN/>
        <w:bidi w:val="0"/>
        <w:adjustRightInd/>
        <w:snapToGrid/>
        <w:spacing w:beforeAutospacing="0" w:afterAutospacing="0" w:line="240" w:lineRule="auto"/>
        <w:jc w:val="left"/>
        <w:textAlignment w:val="auto"/>
        <w:rPr>
          <w:rFonts w:hint="eastAsia" w:ascii="仿宋_GB2312" w:hAnsi="仿宋_GB2312" w:eastAsia="仿宋_GB2312" w:cs="仿宋_GB2312"/>
          <w:color w:val="000000" w:themeColor="text1"/>
          <w:kern w:val="0"/>
          <w:sz w:val="32"/>
          <w:szCs w:val="32"/>
          <w:lang w:val="en-US" w:eastAsia="zh-CN" w:bidi="ar"/>
          <w14:textFill>
            <w14:solidFill>
              <w14:schemeClr w14:val="tx1"/>
            </w14:solidFill>
          </w14:textFill>
        </w:rPr>
      </w:pPr>
    </w:p>
    <w:p w14:paraId="5AB3AA4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525FFD69">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61032ED1">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1542E9A5">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both"/>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688960" behindDoc="0" locked="0" layoutInCell="1" allowOverlap="1">
            <wp:simplePos x="0" y="0"/>
            <wp:positionH relativeFrom="column">
              <wp:posOffset>12065</wp:posOffset>
            </wp:positionH>
            <wp:positionV relativeFrom="paragraph">
              <wp:posOffset>-1270</wp:posOffset>
            </wp:positionV>
            <wp:extent cx="5610225" cy="3329305"/>
            <wp:effectExtent l="0" t="0" r="9525" b="4445"/>
            <wp:wrapNone/>
            <wp:docPr id="4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6"/>
                    <pic:cNvPicPr>
                      <a:picLocks noChangeAspect="1"/>
                    </pic:cNvPicPr>
                  </pic:nvPicPr>
                  <pic:blipFill>
                    <a:blip r:embed="rId16"/>
                    <a:stretch>
                      <a:fillRect/>
                    </a:stretch>
                  </pic:blipFill>
                  <pic:spPr>
                    <a:xfrm>
                      <a:off x="0" y="0"/>
                      <a:ext cx="5610225" cy="3329305"/>
                    </a:xfrm>
                    <a:prstGeom prst="rect">
                      <a:avLst/>
                    </a:prstGeom>
                    <a:noFill/>
                    <a:ln>
                      <a:noFill/>
                    </a:ln>
                  </pic:spPr>
                </pic:pic>
              </a:graphicData>
            </a:graphic>
          </wp:anchor>
        </w:drawing>
      </w:r>
    </w:p>
    <w:p w14:paraId="0ACF0C6E">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2934A1D9">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720AC43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63D3E39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070C9329">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2EE60138">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174B38C8">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45FB9AF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5D378DF0">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36C4FF8C">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p>
    <w:p w14:paraId="5CB5F02D">
      <w:pPr>
        <w:keepNext w:val="0"/>
        <w:keepLines w:val="0"/>
        <w:pageBreakBefore w:val="0"/>
        <w:widowControl/>
        <w:suppressLineNumbers w:val="0"/>
        <w:kinsoku/>
        <w:wordWrap/>
        <w:overflowPunct/>
        <w:topLinePunct w:val="0"/>
        <w:autoSpaceDE/>
        <w:autoSpaceDN/>
        <w:bidi w:val="0"/>
        <w:adjustRightInd/>
        <w:snapToGrid/>
        <w:spacing w:beforeAutospacing="0" w:afterAutospacing="0" w:line="480" w:lineRule="exact"/>
        <w:jc w:val="center"/>
        <w:textAlignment w:val="auto"/>
        <w:rPr>
          <w:rFonts w:hint="eastAsia" w:ascii="仿宋_GB2312" w:hAnsi="仿宋_GB2312" w:eastAsia="仿宋_GB2312" w:cs="仿宋_GB2312"/>
          <w:color w:val="000000" w:themeColor="text1"/>
          <w:sz w:val="28"/>
          <w:szCs w:val="28"/>
          <w:lang w:eastAsia="zh-CN"/>
          <w14:textFill>
            <w14:solidFill>
              <w14:schemeClr w14:val="tx1"/>
            </w14:solidFill>
          </w14:textFill>
        </w:rPr>
      </w:pPr>
      <w:r>
        <w:rPr>
          <w:rFonts w:hint="eastAsia" w:ascii="仿宋_GB2312" w:hAnsi="仿宋_GB2312" w:eastAsia="仿宋_GB2312" w:cs="仿宋_GB2312"/>
          <w:color w:val="000000" w:themeColor="text1"/>
          <w:sz w:val="28"/>
          <w:szCs w:val="28"/>
          <w:lang w:val="en-US" w:eastAsia="zh-CN"/>
          <w14:textFill>
            <w14:solidFill>
              <w14:schemeClr w14:val="tx1"/>
            </w14:solidFill>
          </w14:textFill>
        </w:rPr>
        <w:t>图9 我校举行2025年秋季学期“开学第一课”主题</w:t>
      </w:r>
      <w:r>
        <w:rPr>
          <w:rFonts w:hint="eastAsia" w:ascii="仿宋_GB2312" w:hAnsi="仿宋_GB2312" w:eastAsia="仿宋_GB2312" w:cs="仿宋_GB2312"/>
          <w:color w:val="000000" w:themeColor="text1"/>
          <w:sz w:val="28"/>
          <w:szCs w:val="28"/>
          <w14:textFill>
            <w14:solidFill>
              <w14:schemeClr w14:val="tx1"/>
            </w14:solidFill>
          </w14:textFill>
        </w:rPr>
        <w:t>升旗仪式</w:t>
      </w:r>
    </w:p>
    <w:p w14:paraId="70522999">
      <w:pPr>
        <w:rPr>
          <w:rFonts w:hint="eastAsia" w:ascii="仿宋_GB2312" w:hAnsi="仿宋_GB2312" w:eastAsia="仿宋_GB2312" w:cs="仿宋_GB2312"/>
          <w:color w:val="000000" w:themeColor="text1"/>
          <w:sz w:val="28"/>
          <w:szCs w:val="28"/>
          <w:lang w:val="en-US" w:eastAsia="zh-CN"/>
          <w14:textFill>
            <w14:solidFill>
              <w14:schemeClr w14:val="tx1"/>
            </w14:solidFill>
          </w14:textFill>
        </w:rPr>
      </w:pPr>
      <w:r>
        <w:rPr>
          <w:rFonts w:hint="eastAsia"/>
          <w:color w:val="000000" w:themeColor="text1"/>
          <w:lang w:eastAsia="zh-CN"/>
          <w14:textFill>
            <w14:solidFill>
              <w14:schemeClr w14:val="tx1"/>
            </w14:solidFill>
          </w14:textFill>
        </w:rPr>
        <w:drawing>
          <wp:inline distT="0" distB="0" distL="114300" distR="114300">
            <wp:extent cx="5650865" cy="3295650"/>
            <wp:effectExtent l="0" t="0" r="6985" b="0"/>
            <wp:docPr id="17" name="图片 4" descr="QQ图片2026010911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descr="QQ图片20260109114043"/>
                    <pic:cNvPicPr>
                      <a:picLocks noChangeAspect="1"/>
                    </pic:cNvPicPr>
                  </pic:nvPicPr>
                  <pic:blipFill>
                    <a:blip r:embed="rId17"/>
                    <a:stretch>
                      <a:fillRect/>
                    </a:stretch>
                  </pic:blipFill>
                  <pic:spPr>
                    <a:xfrm>
                      <a:off x="0" y="0"/>
                      <a:ext cx="5650865" cy="3295650"/>
                    </a:xfrm>
                    <a:prstGeom prst="rect">
                      <a:avLst/>
                    </a:prstGeom>
                    <a:noFill/>
                    <a:ln>
                      <a:noFill/>
                    </a:ln>
                  </pic:spPr>
                </pic:pic>
              </a:graphicData>
            </a:graphic>
          </wp:inline>
        </w:drawing>
      </w:r>
    </w:p>
    <w:p w14:paraId="3EE26385">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color w:val="000000" w:themeColor="text1"/>
          <w14:textFill>
            <w14:solidFill>
              <w14:schemeClr w14:val="tx1"/>
            </w14:solidFill>
          </w14:textFill>
        </w:rPr>
      </w:pPr>
      <w:r>
        <w:rPr>
          <w:rFonts w:hint="eastAsia" w:ascii="仿宋_GB2312" w:hAnsi="仿宋_GB2312" w:eastAsia="仿宋_GB2312" w:cs="仿宋_GB2312"/>
          <w:color w:val="000000" w:themeColor="text1"/>
          <w:sz w:val="28"/>
          <w:szCs w:val="28"/>
          <w:lang w:val="en-US" w:eastAsia="zh-CN"/>
          <w14:textFill>
            <w14:solidFill>
              <w14:schemeClr w14:val="tx1"/>
            </w14:solidFill>
          </w14:textFill>
        </w:rPr>
        <w:t>图10  任课老师将《字体与标识设计》课程与奥运精神相结合，在专业教学中激发学生的爱国情怀与创新思维</w:t>
      </w:r>
    </w:p>
    <w:p w14:paraId="2D600F2A">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p>
    <w:p w14:paraId="1D9106FF">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2.2专业建设</w:t>
      </w:r>
    </w:p>
    <w:p w14:paraId="780819BF">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（1）专业布局对接区域发展需求</w:t>
      </w:r>
    </w:p>
    <w:p w14:paraId="741015ED">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学校聚焦广西“10+5+4”产业体系，紧扣平果铝产业、轨道交通业、人工智能、现代服务业等重点产业发展需求，优化专业布局结构。目前学校共设有44个专业（方向）</w:t>
      </w:r>
      <w:r>
        <w:rPr>
          <w:rFonts w:hint="eastAsia" w:ascii="仿宋_GB2312" w:hAnsi="仿宋" w:eastAsia="仿宋_GB2312" w:cs="Times New Roman"/>
          <w:color w:val="000000" w:themeColor="text1"/>
          <w:sz w:val="32"/>
          <w:szCs w:val="32"/>
          <w:highlight w:val="none"/>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2025年新增金属智能加工技术专业，进一步提升对产业需求的适配度，形成了以工科类专业为核心、多学科专业协调发展的专业格局，持续增强专业设置与地方产业发展的深度契合。</w:t>
      </w:r>
    </w:p>
    <w:p w14:paraId="398C0BFE">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（2）专业建设集群发展强化协同效应</w:t>
      </w:r>
    </w:p>
    <w:p w14:paraId="0AC72DF3">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按照“服务产业、资源整合、优势互补、协同发展”的原则，积极推进以核心专业为引领、相关专业为支撑的专业群建设，提升专业集聚效应和服务产业发展能力，实现群内师资、课程、实训等资源的共建共享，整合了校内实训资源，建成了76综合性实训基地，提升了复合型技术技能人才的培养质量。</w:t>
      </w:r>
    </w:p>
    <w:p w14:paraId="13081D73">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8"/>
          <w:szCs w:val="28"/>
          <w:highlight w:val="none"/>
          <w:lang w:val="en-US" w:eastAsia="zh-CN"/>
          <w14:textFill>
            <w14:solidFill>
              <w14:schemeClr w14:val="tx1"/>
            </w14:solidFill>
          </w14:textFill>
        </w:rPr>
        <w:t>表6  学校专业群设置一览表</w:t>
      </w:r>
    </w:p>
    <w:tbl>
      <w:tblPr>
        <w:tblStyle w:val="15"/>
        <w:tblW w:w="87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56"/>
        <w:gridCol w:w="1975"/>
        <w:gridCol w:w="2238"/>
        <w:gridCol w:w="3742"/>
      </w:tblGrid>
      <w:tr w14:paraId="40F68B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617" w:hRule="atLeast"/>
          <w:jc w:val="center"/>
        </w:trPr>
        <w:tc>
          <w:tcPr>
            <w:tcW w:w="756" w:type="dxa"/>
            <w:shd w:val="clear" w:color="auto" w:fill="9CC2E5" w:themeFill="accent1" w:themeFillTint="99"/>
            <w:vAlign w:val="center"/>
          </w:tcPr>
          <w:p w14:paraId="1689295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序号</w:t>
            </w:r>
          </w:p>
        </w:tc>
        <w:tc>
          <w:tcPr>
            <w:tcW w:w="1975" w:type="dxa"/>
            <w:shd w:val="clear" w:color="auto" w:fill="9CC2E5" w:themeFill="accent1" w:themeFillTint="99"/>
            <w:vAlign w:val="center"/>
          </w:tcPr>
          <w:p w14:paraId="45379A1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学院</w:t>
            </w:r>
          </w:p>
        </w:tc>
        <w:tc>
          <w:tcPr>
            <w:tcW w:w="2238" w:type="dxa"/>
            <w:shd w:val="clear" w:color="auto" w:fill="9CC2E5" w:themeFill="accent1" w:themeFillTint="99"/>
            <w:vAlign w:val="center"/>
          </w:tcPr>
          <w:p w14:paraId="73C1E6D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专业群</w:t>
            </w:r>
          </w:p>
        </w:tc>
        <w:tc>
          <w:tcPr>
            <w:tcW w:w="3742" w:type="dxa"/>
            <w:shd w:val="clear" w:color="auto" w:fill="9CC2E5" w:themeFill="accent1" w:themeFillTint="99"/>
            <w:vAlign w:val="center"/>
          </w:tcPr>
          <w:p w14:paraId="3C86EEB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4"/>
                <w:szCs w:val="24"/>
                <w:highlight w:val="none"/>
                <w:lang w:val="en-US" w:eastAsia="zh-CN"/>
                <w14:textFill>
                  <w14:solidFill>
                    <w14:schemeClr w14:val="tx1"/>
                  </w14:solidFill>
                </w14:textFill>
              </w:rPr>
              <w:t>专业名称</w:t>
            </w:r>
          </w:p>
        </w:tc>
      </w:tr>
      <w:tr w14:paraId="1EC10C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jc w:val="center"/>
        </w:trPr>
        <w:tc>
          <w:tcPr>
            <w:tcW w:w="756" w:type="dxa"/>
            <w:vAlign w:val="center"/>
          </w:tcPr>
          <w:p w14:paraId="43ADE3F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1</w:t>
            </w:r>
          </w:p>
        </w:tc>
        <w:tc>
          <w:tcPr>
            <w:tcW w:w="1975" w:type="dxa"/>
            <w:vAlign w:val="center"/>
          </w:tcPr>
          <w:p w14:paraId="2D511D2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汽车与机电学院</w:t>
            </w:r>
          </w:p>
        </w:tc>
        <w:tc>
          <w:tcPr>
            <w:tcW w:w="2238" w:type="dxa"/>
            <w:vAlign w:val="center"/>
          </w:tcPr>
          <w:p w14:paraId="118E2EF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数控技术专业群</w:t>
            </w:r>
          </w:p>
        </w:tc>
        <w:tc>
          <w:tcPr>
            <w:tcW w:w="3742" w:type="dxa"/>
            <w:vAlign w:val="center"/>
          </w:tcPr>
          <w:p w14:paraId="1FB7DAF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数控技术、模具设计与制造、工业机器人技术</w:t>
            </w:r>
          </w:p>
        </w:tc>
      </w:tr>
      <w:tr w14:paraId="798656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0" w:hRule="atLeast"/>
          <w:jc w:val="center"/>
        </w:trPr>
        <w:tc>
          <w:tcPr>
            <w:tcW w:w="756" w:type="dxa"/>
            <w:vAlign w:val="center"/>
          </w:tcPr>
          <w:p w14:paraId="4AE8391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w:t>
            </w:r>
          </w:p>
        </w:tc>
        <w:tc>
          <w:tcPr>
            <w:tcW w:w="1975" w:type="dxa"/>
            <w:vAlign w:val="center"/>
          </w:tcPr>
          <w:p w14:paraId="30EDCA6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汽车与机电学院</w:t>
            </w:r>
          </w:p>
        </w:tc>
        <w:tc>
          <w:tcPr>
            <w:tcW w:w="2238" w:type="dxa"/>
            <w:vAlign w:val="center"/>
          </w:tcPr>
          <w:p w14:paraId="02A45B4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电子信息工程技术</w:t>
            </w:r>
          </w:p>
        </w:tc>
        <w:tc>
          <w:tcPr>
            <w:tcW w:w="3742" w:type="dxa"/>
            <w:vAlign w:val="center"/>
          </w:tcPr>
          <w:p w14:paraId="3238103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电子信息工程技术、电气自动化技术、应用电子技术、大数据技术</w:t>
            </w:r>
          </w:p>
        </w:tc>
      </w:tr>
      <w:tr w14:paraId="6B242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70" w:hRule="atLeast"/>
          <w:jc w:val="center"/>
        </w:trPr>
        <w:tc>
          <w:tcPr>
            <w:tcW w:w="756" w:type="dxa"/>
            <w:vAlign w:val="center"/>
          </w:tcPr>
          <w:p w14:paraId="4C41617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3</w:t>
            </w:r>
          </w:p>
        </w:tc>
        <w:tc>
          <w:tcPr>
            <w:tcW w:w="1975" w:type="dxa"/>
            <w:vAlign w:val="center"/>
          </w:tcPr>
          <w:p w14:paraId="6A159B9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土木工程学院</w:t>
            </w:r>
          </w:p>
        </w:tc>
        <w:tc>
          <w:tcPr>
            <w:tcW w:w="2238" w:type="dxa"/>
            <w:vAlign w:val="center"/>
          </w:tcPr>
          <w:p w14:paraId="100C0B9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建筑工程技术</w:t>
            </w:r>
          </w:p>
        </w:tc>
        <w:tc>
          <w:tcPr>
            <w:tcW w:w="3742" w:type="dxa"/>
            <w:vAlign w:val="center"/>
          </w:tcPr>
          <w:p w14:paraId="41EF487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建筑工程技术、工程测量技术、建筑材料工程技术、土木工程检测技术、道路与桥梁工程技术</w:t>
            </w:r>
          </w:p>
        </w:tc>
      </w:tr>
      <w:tr w14:paraId="2AA59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6" w:type="dxa"/>
            <w:vAlign w:val="center"/>
          </w:tcPr>
          <w:p w14:paraId="1A61432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4</w:t>
            </w:r>
          </w:p>
        </w:tc>
        <w:tc>
          <w:tcPr>
            <w:tcW w:w="1975" w:type="dxa"/>
            <w:vAlign w:val="center"/>
          </w:tcPr>
          <w:p w14:paraId="4B2F196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土木工程学院</w:t>
            </w:r>
          </w:p>
        </w:tc>
        <w:tc>
          <w:tcPr>
            <w:tcW w:w="2238" w:type="dxa"/>
            <w:vAlign w:val="center"/>
          </w:tcPr>
          <w:p w14:paraId="179AEE6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建设工程管理</w:t>
            </w:r>
          </w:p>
        </w:tc>
        <w:tc>
          <w:tcPr>
            <w:tcW w:w="3742" w:type="dxa"/>
            <w:vAlign w:val="center"/>
          </w:tcPr>
          <w:p w14:paraId="0385099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建设工程管理、工程造价、国土资源调查与管理、高速铁路施工与维护、城市轨道交通工程技术</w:t>
            </w:r>
          </w:p>
        </w:tc>
      </w:tr>
      <w:tr w14:paraId="5912B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6" w:type="dxa"/>
            <w:vAlign w:val="center"/>
          </w:tcPr>
          <w:p w14:paraId="6CC3390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5</w:t>
            </w:r>
          </w:p>
        </w:tc>
        <w:tc>
          <w:tcPr>
            <w:tcW w:w="1975" w:type="dxa"/>
            <w:vAlign w:val="center"/>
          </w:tcPr>
          <w:p w14:paraId="595AD3C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铁道与航空学院</w:t>
            </w:r>
          </w:p>
        </w:tc>
        <w:tc>
          <w:tcPr>
            <w:tcW w:w="2238" w:type="dxa"/>
            <w:vAlign w:val="center"/>
          </w:tcPr>
          <w:p w14:paraId="3AF37A6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城市轨道交通运营管理</w:t>
            </w:r>
          </w:p>
        </w:tc>
        <w:tc>
          <w:tcPr>
            <w:tcW w:w="3742" w:type="dxa"/>
            <w:vAlign w:val="center"/>
          </w:tcPr>
          <w:p w14:paraId="0194C89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城市轨道交通运营管理、汽车技术服务与营销、汽车检测与维修技术、高速铁路客运服务、空中乘务</w:t>
            </w:r>
          </w:p>
        </w:tc>
      </w:tr>
      <w:tr w14:paraId="246F4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6" w:type="dxa"/>
            <w:vAlign w:val="center"/>
          </w:tcPr>
          <w:p w14:paraId="2250AED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6</w:t>
            </w:r>
          </w:p>
        </w:tc>
        <w:tc>
          <w:tcPr>
            <w:tcW w:w="1975" w:type="dxa"/>
            <w:vAlign w:val="center"/>
          </w:tcPr>
          <w:p w14:paraId="1AA34BD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经济管理学院</w:t>
            </w:r>
          </w:p>
        </w:tc>
        <w:tc>
          <w:tcPr>
            <w:tcW w:w="2238" w:type="dxa"/>
            <w:vAlign w:val="center"/>
          </w:tcPr>
          <w:p w14:paraId="462D863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大数据与财务管理</w:t>
            </w:r>
          </w:p>
        </w:tc>
        <w:tc>
          <w:tcPr>
            <w:tcW w:w="3742" w:type="dxa"/>
            <w:vAlign w:val="center"/>
          </w:tcPr>
          <w:p w14:paraId="10C9F1B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大数据与会计、国际经济与贸易、市场营销、电子商务</w:t>
            </w:r>
          </w:p>
        </w:tc>
      </w:tr>
      <w:tr w14:paraId="6CC32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5" w:hRule="atLeast"/>
          <w:jc w:val="center"/>
        </w:trPr>
        <w:tc>
          <w:tcPr>
            <w:tcW w:w="756" w:type="dxa"/>
            <w:vAlign w:val="center"/>
          </w:tcPr>
          <w:p w14:paraId="6B908E3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7</w:t>
            </w:r>
          </w:p>
        </w:tc>
        <w:tc>
          <w:tcPr>
            <w:tcW w:w="1975" w:type="dxa"/>
            <w:vAlign w:val="center"/>
          </w:tcPr>
          <w:p w14:paraId="5E8BE1E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经济管理学院</w:t>
            </w:r>
          </w:p>
        </w:tc>
        <w:tc>
          <w:tcPr>
            <w:tcW w:w="2238" w:type="dxa"/>
            <w:vAlign w:val="center"/>
          </w:tcPr>
          <w:p w14:paraId="176621A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现代家政服务与管理</w:t>
            </w:r>
          </w:p>
        </w:tc>
        <w:tc>
          <w:tcPr>
            <w:tcW w:w="3742" w:type="dxa"/>
            <w:vAlign w:val="center"/>
          </w:tcPr>
          <w:p w14:paraId="1EE1D9E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现代家政服务与管理、酒店管理与数字化运营、智慧健康养老服务与管理</w:t>
            </w:r>
          </w:p>
        </w:tc>
      </w:tr>
      <w:tr w14:paraId="79801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6" w:type="dxa"/>
            <w:vAlign w:val="center"/>
          </w:tcPr>
          <w:p w14:paraId="18AB298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8</w:t>
            </w:r>
          </w:p>
        </w:tc>
        <w:tc>
          <w:tcPr>
            <w:tcW w:w="1975" w:type="dxa"/>
            <w:vAlign w:val="center"/>
          </w:tcPr>
          <w:p w14:paraId="074A7AD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艺术设计学院</w:t>
            </w:r>
          </w:p>
        </w:tc>
        <w:tc>
          <w:tcPr>
            <w:tcW w:w="2238" w:type="dxa"/>
            <w:vAlign w:val="center"/>
          </w:tcPr>
          <w:p w14:paraId="07D6499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建筑设计</w:t>
            </w:r>
          </w:p>
        </w:tc>
        <w:tc>
          <w:tcPr>
            <w:tcW w:w="3742" w:type="dxa"/>
            <w:vAlign w:val="center"/>
          </w:tcPr>
          <w:p w14:paraId="2679FA8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建筑设计、建筑室内设计，产品艺术设计，广告艺术设计，环境工程技术</w:t>
            </w:r>
          </w:p>
        </w:tc>
      </w:tr>
    </w:tbl>
    <w:p w14:paraId="3AF2A581">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截止时间：2025年8月31日之前。</w:t>
      </w:r>
    </w:p>
    <w:p w14:paraId="1A4B6941">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480" w:firstLineChars="200"/>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数据来源：</w:t>
      </w:r>
      <w:r>
        <w:rPr>
          <w:rFonts w:hint="eastAsia" w:ascii="仿宋_GB2312" w:hAnsi="仿宋_GB2312" w:eastAsia="仿宋_GB2312" w:cs="仿宋_GB2312"/>
          <w:color w:val="000000" w:themeColor="text1"/>
          <w:sz w:val="24"/>
          <w:szCs w:val="24"/>
          <w:highlight w:val="none"/>
          <w14:textFill>
            <w14:solidFill>
              <w14:schemeClr w14:val="tx1"/>
            </w14:solidFill>
          </w14:textFill>
        </w:rPr>
        <w:t>全国高等职业学校人才培养工作状态数据采集与管理平台</w:t>
      </w: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广西工程职业学院2025年状态数据。</w:t>
      </w:r>
    </w:p>
    <w:p w14:paraId="46E3CF43">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（3）专业教学标准规范建设，保障教学质量</w:t>
      </w:r>
    </w:p>
    <w:p w14:paraId="2C7593F1">
      <w:pPr>
        <w:pStyle w:val="7"/>
        <w:keepNext w:val="0"/>
        <w:keepLines w:val="0"/>
        <w:pageBreakBefore w:val="0"/>
        <w:widowControl/>
        <w:kinsoku/>
        <w:wordWrap/>
        <w:overflowPunct/>
        <w:topLinePunct w:val="0"/>
        <w:autoSpaceDE/>
        <w:autoSpaceDN/>
        <w:bidi w:val="0"/>
        <w:adjustRightInd w:val="0"/>
        <w:snapToGrid w:val="0"/>
        <w:spacing w:after="0" w:line="520" w:lineRule="exact"/>
        <w:ind w:left="0" w:leftChars="0" w:firstLine="640" w:firstLineChars="200"/>
        <w:jc w:val="both"/>
        <w:textAlignment w:val="auto"/>
        <w:rPr>
          <w:rFonts w:hint="eastAsia" w:ascii="仿宋_GB2312" w:hAnsi="仿宋_GB2312" w:eastAsia="仿宋_GB2312" w:cs="仿宋_GB2312"/>
          <w:i w:val="0"/>
          <w:iCs w:val="0"/>
          <w:caps w:val="0"/>
          <w:color w:val="000000" w:themeColor="text1"/>
          <w:spacing w:val="0"/>
          <w:kern w:val="2"/>
          <w:sz w:val="32"/>
          <w:szCs w:val="32"/>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i w:val="0"/>
          <w:iCs w:val="0"/>
          <w:caps w:val="0"/>
          <w:color w:val="000000" w:themeColor="text1"/>
          <w:spacing w:val="0"/>
          <w:kern w:val="2"/>
          <w:sz w:val="32"/>
          <w:szCs w:val="32"/>
          <w:highlight w:val="none"/>
          <w:shd w:val="clear" w:color="auto" w:fill="FFFFFF"/>
          <w:lang w:val="en-US" w:eastAsia="zh-CN" w:bidi="ar-SA"/>
          <w14:textFill>
            <w14:solidFill>
              <w14:schemeClr w14:val="tx1"/>
            </w14:solidFill>
          </w14:textFill>
        </w:rPr>
        <w:t>认真对标教育部最新发布的专业教学标准，全面厘清各专业的总课时及课时配置情况，重新调整各专业的课程设置，按要求开设好专业核心课、专业基础课、专业拓展课，牵头组织二级学院修订、完善2024级人才培养方案、制定2025级人才培养方案。各二级学院单位根据学校各专业的特点，设计并实施一系列与课程内容紧密相关的实践活动。二级学院针对各专业课程专业实践性强的课程，开展实践活动及专业技能比赛等。</w:t>
      </w:r>
    </w:p>
    <w:p w14:paraId="00E0260B">
      <w:pPr>
        <w:keepNext w:val="0"/>
        <w:keepLines w:val="0"/>
        <w:pageBreakBefore w:val="0"/>
        <w:kinsoku/>
        <w:wordWrap/>
        <w:overflowPunct/>
        <w:topLinePunct w:val="0"/>
        <w:bidi w:val="0"/>
        <w:adjustRightInd/>
        <w:snapToGrid/>
        <w:spacing w:line="520" w:lineRule="exact"/>
        <w:ind w:firstLine="640" w:firstLineChars="200"/>
        <w:rPr>
          <w:rFonts w:hint="eastAsia" w:ascii="仿宋_GB2312" w:hAnsi="仿宋_GB2312" w:eastAsia="仿宋_GB2312" w:cs="仿宋_GB2312"/>
          <w:i w:val="0"/>
          <w:iCs w:val="0"/>
          <w:caps w:val="0"/>
          <w:color w:val="000000" w:themeColor="text1"/>
          <w:spacing w:val="0"/>
          <w:kern w:val="2"/>
          <w:sz w:val="32"/>
          <w:szCs w:val="32"/>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i w:val="0"/>
          <w:iCs w:val="0"/>
          <w:caps w:val="0"/>
          <w:color w:val="000000" w:themeColor="text1"/>
          <w:spacing w:val="0"/>
          <w:kern w:val="2"/>
          <w:sz w:val="32"/>
          <w:szCs w:val="32"/>
          <w:highlight w:val="none"/>
          <w:shd w:val="clear" w:color="auto" w:fill="FFFFFF"/>
          <w:lang w:val="en-US" w:eastAsia="zh-CN" w:bidi="ar-SA"/>
          <w14:textFill>
            <w14:solidFill>
              <w14:schemeClr w14:val="tx1"/>
            </w14:solidFill>
          </w14:textFill>
        </w:rPr>
        <w:t>（4）</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优化专业结构</w:t>
      </w:r>
    </w:p>
    <w:p w14:paraId="308B034A">
      <w:pPr>
        <w:pStyle w:val="23"/>
        <w:keepNext w:val="0"/>
        <w:keepLines w:val="0"/>
        <w:pageBreakBefore w:val="0"/>
        <w:numPr>
          <w:ilvl w:val="0"/>
          <w:numId w:val="0"/>
        </w:numPr>
        <w:kinsoku/>
        <w:wordWrap/>
        <w:overflowPunct/>
        <w:topLinePunct w:val="0"/>
        <w:autoSpaceDE/>
        <w:autoSpaceDN/>
        <w:bidi w:val="0"/>
        <w:spacing w:line="520" w:lineRule="exact"/>
        <w:ind w:firstLine="640" w:firstLineChars="200"/>
        <w:textAlignment w:val="auto"/>
        <w:rPr>
          <w:rFonts w:hint="eastAsia" w:ascii="仿宋_GB2312" w:hAnsi="仿宋_GB2312" w:eastAsia="仿宋_GB2312" w:cs="仿宋_GB2312"/>
          <w:i w:val="0"/>
          <w:iCs w:val="0"/>
          <w:caps w:val="0"/>
          <w:color w:val="000000" w:themeColor="text1"/>
          <w:spacing w:val="0"/>
          <w:kern w:val="2"/>
          <w:sz w:val="32"/>
          <w:szCs w:val="32"/>
          <w:highlight w:val="none"/>
          <w:shd w:val="clear" w:color="auto" w:fill="FFFFFF"/>
          <w:lang w:val="en-US" w:eastAsia="zh-CN" w:bidi="ar-SA"/>
          <w14:textFill>
            <w14:solidFill>
              <w14:schemeClr w14:val="tx1"/>
            </w14:solidFill>
          </w14:textFill>
        </w:rPr>
      </w:pPr>
      <w:r>
        <w:rPr>
          <w:rFonts w:hint="eastAsia" w:ascii="仿宋_GB2312" w:hAnsi="仿宋_GB2312" w:eastAsia="仿宋_GB2312" w:cs="仿宋_GB2312"/>
          <w:i w:val="0"/>
          <w:iCs w:val="0"/>
          <w:caps w:val="0"/>
          <w:color w:val="000000" w:themeColor="text1"/>
          <w:spacing w:val="0"/>
          <w:kern w:val="2"/>
          <w:sz w:val="32"/>
          <w:szCs w:val="32"/>
          <w:highlight w:val="none"/>
          <w:shd w:val="clear" w:color="auto" w:fill="FFFFFF"/>
          <w:lang w:val="en-US" w:eastAsia="zh-CN" w:bidi="ar-SA"/>
          <w14:textFill>
            <w14:solidFill>
              <w14:schemeClr w14:val="tx1"/>
            </w14:solidFill>
          </w14:textFill>
        </w:rPr>
        <w:t>根据《自治区教育厅关于开展第一批广西民办高校高水平专业建设申报工作的通知》精神，组织推荐工业机器人技术、电子商务两个专业为广西民办高校高水平专业建设项目并上报相关材料；根据《自治区教育厅关于做好2026年高职专科和职业本科拟招生专业设置管理工作的通知》文件精神，组织申报智能光电制造技术、智能互联网络技术2个专业为2026年新增专业并报送审批备案。</w:t>
      </w:r>
    </w:p>
    <w:p w14:paraId="6D9DB4C6">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2.3课程建设</w:t>
      </w:r>
    </w:p>
    <w:p w14:paraId="0817C4D5">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（1）课程建设规划与体系建设</w:t>
      </w:r>
    </w:p>
    <w:p w14:paraId="2C13BBC6">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始终将课程建设作为教学工作的基础与关键环节，系统规划、持续推进课程建设，致力于构建适应产业发展需求，以“岗课赛证”综合育人为核心，构建与产业需求精准对接、与技术发展同频共振的课程体系，构建“公共基础课程+专业基础课程+专业核心课程+专业拓展课程+综合素质选修课程”的模块化课程体系。</w:t>
      </w:r>
    </w:p>
    <w:p w14:paraId="1DF8B86C">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（2）课程思政建设</w:t>
      </w:r>
    </w:p>
    <w:p w14:paraId="67053BCF">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坚持立德树人根本任务，全面推进课程思政建设，使各类课程与思想政治理论课同向同行，形成协同效应。制订《广西工程职业学院课程思政示范课程建设与管理办法（试行）》，成立课程思政领导小组，构建教务处牵头抓总、教学部门落实推进、教师全员参与的课程思政建设工作格局。2025年开展课程思政优秀教学案例的评选、课程思政示范课程建设，组织课程思政专题培训与研讨交流活动，推广典型经验。</w:t>
      </w:r>
    </w:p>
    <w:p w14:paraId="4025367F">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（3）在线精品课程建设</w:t>
      </w:r>
    </w:p>
    <w:p w14:paraId="2E71164D">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目前，学校尚未形成体系化的在线精品课程资源，为推动教育数字化转型，提升人才培养质量与行业服务能力，已制订《广西工程职业学院职业教育在线精品课程建设管理办法（试行）》，遵循“岗课赛证融通”建设理念，构建“共性基础+专业特色+实践赋能”的课程体系，打造可共享、可迭代、高质量的在线精品课程资源。</w:t>
      </w:r>
    </w:p>
    <w:p w14:paraId="4B705684">
      <w:pPr>
        <w:pStyle w:val="9"/>
        <w:keepNext w:val="0"/>
        <w:keepLines w:val="0"/>
        <w:pageBreakBefore w:val="0"/>
        <w:kinsoku/>
        <w:wordWrap/>
        <w:bidi w:val="0"/>
        <w:spacing w:line="520" w:lineRule="exact"/>
        <w:jc w:val="both"/>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87936" behindDoc="0" locked="0" layoutInCell="1" allowOverlap="1">
            <wp:simplePos x="0" y="0"/>
            <wp:positionH relativeFrom="column">
              <wp:posOffset>36195</wp:posOffset>
            </wp:positionH>
            <wp:positionV relativeFrom="paragraph">
              <wp:posOffset>38100</wp:posOffset>
            </wp:positionV>
            <wp:extent cx="5622925" cy="3188970"/>
            <wp:effectExtent l="0" t="0" r="15875" b="11430"/>
            <wp:wrapNone/>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18"/>
                    <a:stretch>
                      <a:fillRect/>
                    </a:stretch>
                  </pic:blipFill>
                  <pic:spPr>
                    <a:xfrm>
                      <a:off x="0" y="0"/>
                      <a:ext cx="5622925" cy="3188970"/>
                    </a:xfrm>
                    <a:prstGeom prst="rect">
                      <a:avLst/>
                    </a:prstGeom>
                    <a:noFill/>
                    <a:ln>
                      <a:noFill/>
                    </a:ln>
                  </pic:spPr>
                </pic:pic>
              </a:graphicData>
            </a:graphic>
          </wp:anchor>
        </w:drawing>
      </w:r>
    </w:p>
    <w:p w14:paraId="6672D7B3">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767B5B0D">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34CCC270">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4DA90305">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6E077C9E">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5F096FF7">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222EE64F">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7E283F71">
      <w:pPr>
        <w:pStyle w:val="9"/>
        <w:keepNext w:val="0"/>
        <w:keepLines w:val="0"/>
        <w:pageBreakBefore w:val="0"/>
        <w:kinsoku/>
        <w:wordWrap/>
        <w:bidi w:val="0"/>
        <w:spacing w:line="520" w:lineRule="exact"/>
        <w:ind w:left="0" w:leftChars="0" w:firstLine="480" w:firstLineChars="200"/>
        <w:jc w:val="cente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2BED61CC">
      <w:pPr>
        <w:pStyle w:val="9"/>
        <w:keepNext w:val="0"/>
        <w:keepLines w:val="0"/>
        <w:pageBreakBefore w:val="0"/>
        <w:kinsoku/>
        <w:wordWrap/>
        <w:bidi w:val="0"/>
        <w:spacing w:line="520" w:lineRule="exact"/>
        <w:jc w:val="both"/>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p>
    <w:p w14:paraId="18CC1135">
      <w:pPr>
        <w:pStyle w:val="9"/>
        <w:keepNext w:val="0"/>
        <w:keepLines w:val="0"/>
        <w:pageBreakBefore w:val="0"/>
        <w:kinsoku/>
        <w:wordWrap/>
        <w:bidi w:val="0"/>
        <w:spacing w:line="520" w:lineRule="exact"/>
        <w:jc w:val="center"/>
        <w:rPr>
          <w:rFonts w:hint="eastAsia" w:ascii="仿宋_GB2312" w:hAnsi="仿宋_GB2312" w:eastAsia="仿宋_GB2312" w:cs="仿宋_GB2312"/>
          <w:color w:val="000000" w:themeColor="text1"/>
          <w:sz w:val="28"/>
          <w:szCs w:val="28"/>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图11  2024年9月3日，学校开展2024年秋季学期课程思政培训</w:t>
      </w:r>
    </w:p>
    <w:p w14:paraId="404B37CE">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2.4教材建设</w:t>
      </w:r>
    </w:p>
    <w:p w14:paraId="7091863E">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学校严格遵循国家职业教育教材建设相关政策要求，以高质量教材体系构建为目标，全面推进教材建设规划与管理及教材选用等工作，为人才培养提供坚实支撑。</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严格落实</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凡选必审</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原则，规范教材选用流程，确保优质教材进课堂。</w:t>
      </w:r>
    </w:p>
    <w:p w14:paraId="6D225530">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明确选用原则</w:t>
      </w:r>
    </w:p>
    <w:p w14:paraId="6F78C741">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坚持“选优、选新、实用、适宜、统一”的核心原则，优先选用职业教育国家规划教材、省级规划教材；选用教材原则上为近三年出版的最新版本，确保教材内容紧跟产业技术发展趋势；同一专业同一门课程原则上统一选用同一种教材，保障教学质量的一致性。</w:t>
      </w:r>
    </w:p>
    <w:p w14:paraId="5D8CD015">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规范选用流程</w:t>
      </w:r>
    </w:p>
    <w:p w14:paraId="5F9DF2D9">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建立校级教材选用委员会，明确各教学单位、专业教学团队的选用职责，实行“集体研究—学院审核—校级审批—备案上报”的选用流程。各专业</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教研室</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组织任课教师集体研讨确定选用教材，填写教材</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选用</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审批表，经二级学院教学副院长审核签字后，报教务处汇总</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校教材选用委员会对选用教材的政治性、科学性、适用性进行审核，审核通过后</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提交学校教材选用委员会审议，审议通过后提交校长办公会审议，最后提交学校党委会审定。</w:t>
      </w:r>
    </w:p>
    <w:p w14:paraId="46946262">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强化教材管理</w:t>
      </w:r>
    </w:p>
    <w:p w14:paraId="4F07F710">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对思想政治</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理论课</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必选课程，严格使用国家统编教材；对涉及国家主权、安全、民族、宗教、法律法规等内容的课程教材，实行样书专项送审制度，确保教材内容符合国家相关规定。同时，严禁选用盗版、盗印、境外教材及以岗位培训教材、学术专著取代专业课程教材的行为，切实筑牢教材选用的质量防线。</w:t>
      </w:r>
    </w:p>
    <w:p w14:paraId="5DB3BEF6">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2.5</w:t>
      </w:r>
      <w:bookmarkStart w:id="3" w:name="OLE_LINK6"/>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师资建设</w:t>
      </w:r>
    </w:p>
    <w:bookmarkEnd w:id="3"/>
    <w:p w14:paraId="40FA6DF8">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kern w:val="0"/>
          <w:sz w:val="32"/>
          <w:szCs w:val="32"/>
          <w:highlight w:val="none"/>
          <w:lang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2</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024</w:t>
      </w: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—202</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5</w:t>
      </w: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学年</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学校</w:t>
      </w:r>
      <w:r>
        <w:rPr>
          <w:rFonts w:hint="eastAsia" w:ascii="仿宋_GB2312" w:hAnsi="仿宋_GB2312" w:eastAsia="仿宋_GB2312" w:cs="仿宋_GB2312"/>
          <w:color w:val="000000" w:themeColor="text1"/>
          <w:kern w:val="0"/>
          <w:sz w:val="32"/>
          <w:szCs w:val="32"/>
          <w:highlight w:val="none"/>
          <w:lang w:bidi="ar"/>
          <w14:textFill>
            <w14:solidFill>
              <w14:schemeClr w14:val="tx1"/>
            </w14:solidFill>
          </w14:textFill>
        </w:rPr>
        <w:t>师资建设通过招聘扩充师资、推进教师能力提升等举措，全面优化师资结构与质量，</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常态化地开展理论学习、教师业务能力培训、师德师风、新教师岗前培训，同时</w:t>
      </w:r>
      <w:r>
        <w:rPr>
          <w:rFonts w:hint="eastAsia" w:ascii="仿宋_GB2312" w:hAnsi="仿宋_GB2312" w:eastAsia="仿宋_GB2312" w:cs="仿宋_GB2312"/>
          <w:color w:val="000000" w:themeColor="text1"/>
          <w:kern w:val="0"/>
          <w:sz w:val="32"/>
          <w:szCs w:val="32"/>
          <w:highlight w:val="none"/>
          <w:lang w:eastAsia="zh-CN" w:bidi="ar"/>
          <w14:textFill>
            <w14:solidFill>
              <w14:schemeClr w14:val="tx1"/>
            </w14:solidFill>
          </w14:textFill>
        </w:rPr>
        <w:t>依托广西“职业院校教师素质提高计划”等项目，选派教师参加</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各类</w:t>
      </w:r>
      <w:r>
        <w:rPr>
          <w:rFonts w:hint="eastAsia" w:ascii="仿宋_GB2312" w:hAnsi="仿宋_GB2312" w:eastAsia="仿宋_GB2312" w:cs="仿宋_GB2312"/>
          <w:color w:val="000000" w:themeColor="text1"/>
          <w:kern w:val="0"/>
          <w:sz w:val="32"/>
          <w:szCs w:val="32"/>
          <w:highlight w:val="none"/>
          <w:lang w:eastAsia="zh-CN" w:bidi="ar"/>
          <w14:textFill>
            <w14:solidFill>
              <w14:schemeClr w14:val="tx1"/>
            </w14:solidFill>
          </w14:textFill>
        </w:rPr>
        <w:t>培训班，聚焦课程思政、数智技术应用、校企合作课程开发等核心内容，通过集中培训、实操实践、网络研修等方式，强化教师教学能力</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及职业素养</w:t>
      </w:r>
      <w:r>
        <w:rPr>
          <w:rFonts w:hint="eastAsia" w:ascii="仿宋_GB2312" w:hAnsi="仿宋_GB2312" w:eastAsia="仿宋_GB2312" w:cs="仿宋_GB2312"/>
          <w:color w:val="000000" w:themeColor="text1"/>
          <w:kern w:val="0"/>
          <w:sz w:val="32"/>
          <w:szCs w:val="32"/>
          <w:highlight w:val="none"/>
          <w:lang w:eastAsia="zh-CN" w:bidi="ar"/>
          <w14:textFill>
            <w14:solidFill>
              <w14:schemeClr w14:val="tx1"/>
            </w14:solidFill>
          </w14:textFill>
        </w:rPr>
        <w:t>。</w:t>
      </w:r>
    </w:p>
    <w:p w14:paraId="6F1C81EA">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textAlignment w:val="auto"/>
        <w:rPr>
          <w:rFonts w:hint="default"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bookmarkStart w:id="4" w:name="OLE_LINK3"/>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（1）加强师德师风</w:t>
      </w:r>
      <w:bookmarkEnd w:id="4"/>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建设</w:t>
      </w:r>
    </w:p>
    <w:p w14:paraId="4AEAE49D">
      <w:pPr>
        <w:pStyle w:val="9"/>
        <w:keepNext w:val="0"/>
        <w:keepLines w:val="0"/>
        <w:pageBreakBefore w:val="0"/>
        <w:widowControl w:val="0"/>
        <w:kinsoku/>
        <w:wordWrap/>
        <w:overflowPunct/>
        <w:topLinePunct w:val="0"/>
        <w:autoSpaceDE/>
        <w:autoSpaceDN/>
        <w:bidi w:val="0"/>
        <w:adjustRightInd/>
        <w:snapToGrid/>
        <w:spacing w:line="540" w:lineRule="exact"/>
        <w:ind w:left="0" w:leftChars="0" w:firstLine="640" w:firstLineChars="200"/>
        <w:jc w:val="both"/>
        <w:textAlignment w:val="auto"/>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0"/>
          <w:kern w:val="2"/>
          <w:sz w:val="32"/>
          <w:szCs w:val="32"/>
          <w:highlight w:val="none"/>
          <w:lang w:val="en-US" w:eastAsia="zh-CN" w:bidi="ar-SA"/>
          <w14:textFill>
            <w14:solidFill>
              <w14:schemeClr w14:val="tx1"/>
            </w14:solidFill>
          </w14:textFill>
        </w:rPr>
        <w:t>为深入贯彻落实习近平总书记关于教师队伍建设的重要论述，全面加强我校教师思想政治和师德师风建设，</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提升教师职业道德水平，培养一支业务精良、师德师风过硬的师资队伍</w:t>
      </w:r>
      <w:r>
        <w:rPr>
          <w:rFonts w:hint="eastAsia" w:ascii="仿宋_GB2312" w:hAnsi="仿宋_GB2312" w:eastAsia="仿宋_GB2312" w:cs="仿宋_GB2312"/>
          <w:i w:val="0"/>
          <w:caps w:val="0"/>
          <w:color w:val="000000" w:themeColor="text1"/>
          <w:spacing w:val="0"/>
          <w:sz w:val="32"/>
          <w:szCs w:val="32"/>
          <w:highlight w:val="none"/>
          <w:shd w:val="clear" w:fill="FFFFFF"/>
          <w:lang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32"/>
          <w:szCs w:val="32"/>
          <w:highlight w:val="none"/>
          <w:shd w:val="clear" w:fill="FFFFFF"/>
          <w:lang w:val="en-US" w:eastAsia="zh-CN"/>
          <w14:textFill>
            <w14:solidFill>
              <w14:schemeClr w14:val="tx1"/>
            </w14:solidFill>
          </w14:textFill>
        </w:rPr>
        <w:t>学校印发《关于</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印发</w:t>
      </w:r>
      <w:r>
        <w:rPr>
          <w:rFonts w:hint="eastAsia" w:ascii="仿宋_GB2312" w:hAnsi="仿宋_GB2312" w:eastAsia="仿宋_GB2312" w:cs="仿宋_GB2312"/>
          <w:i w:val="0"/>
          <w:caps w:val="0"/>
          <w:color w:val="000000" w:themeColor="text1"/>
          <w:spacing w:val="0"/>
          <w:sz w:val="32"/>
          <w:szCs w:val="32"/>
          <w:highlight w:val="none"/>
          <w:shd w:val="clear" w:fill="FFFFFF"/>
          <w:lang w:val="en-US"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广西工程职业学院师德师风培训方案</w:t>
      </w:r>
      <w:r>
        <w:rPr>
          <w:rFonts w:hint="eastAsia" w:ascii="仿宋_GB2312" w:hAnsi="仿宋_GB2312" w:eastAsia="仿宋_GB2312" w:cs="仿宋_GB2312"/>
          <w:i w:val="0"/>
          <w:caps w:val="0"/>
          <w:color w:val="000000" w:themeColor="text1"/>
          <w:spacing w:val="0"/>
          <w:sz w:val="32"/>
          <w:szCs w:val="32"/>
          <w:highlight w:val="none"/>
          <w:shd w:val="clear" w:fill="FFFFFF"/>
          <w:lang w:val="en-US" w:eastAsia="zh-CN"/>
          <w14:textFill>
            <w14:solidFill>
              <w14:schemeClr w14:val="tx1"/>
            </w14:solidFill>
          </w14:textFill>
        </w:rPr>
        <w:t>〉的通知》文件，</w:t>
      </w:r>
      <w:r>
        <w:rPr>
          <w:rFonts w:hint="eastAsia" w:ascii="仿宋_GB2312" w:hAnsi="仿宋_GB2312" w:eastAsia="仿宋_GB2312" w:cs="仿宋_GB2312"/>
          <w:color w:val="000000" w:themeColor="text1"/>
          <w:spacing w:val="0"/>
          <w:kern w:val="2"/>
          <w:sz w:val="32"/>
          <w:szCs w:val="32"/>
          <w:highlight w:val="none"/>
          <w:lang w:val="en-US" w:eastAsia="zh-CN" w:bidi="ar-SA"/>
          <w14:textFill>
            <w14:solidFill>
              <w14:schemeClr w14:val="tx1"/>
            </w14:solidFill>
          </w14:textFill>
        </w:rPr>
        <w:t>组织开展师德师风培训，内容包括</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意识形态培训教育</w:t>
      </w:r>
      <w:r>
        <w:rPr>
          <w:rFonts w:hint="eastAsia" w:ascii="仿宋_GB2312" w:hAnsi="仿宋_GB2312" w:eastAsia="仿宋_GB2312" w:cs="仿宋_GB2312"/>
          <w:i w:val="0"/>
          <w:caps w:val="0"/>
          <w:color w:val="000000" w:themeColor="text1"/>
          <w:spacing w:val="0"/>
          <w:sz w:val="32"/>
          <w:szCs w:val="32"/>
          <w:highlight w:val="none"/>
          <w:shd w:val="clear" w:fill="FFFFFF"/>
          <w:lang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师德师风培训</w:t>
      </w:r>
      <w:r>
        <w:rPr>
          <w:rFonts w:hint="eastAsia" w:ascii="仿宋_GB2312" w:hAnsi="仿宋_GB2312" w:eastAsia="仿宋_GB2312" w:cs="仿宋_GB2312"/>
          <w:i w:val="0"/>
          <w:caps w:val="0"/>
          <w:color w:val="000000" w:themeColor="text1"/>
          <w:spacing w:val="0"/>
          <w:sz w:val="32"/>
          <w:szCs w:val="32"/>
          <w:highlight w:val="none"/>
          <w:shd w:val="clear" w:fill="FFFFFF"/>
          <w:lang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32"/>
          <w:szCs w:val="32"/>
          <w:highlight w:val="none"/>
          <w:shd w:val="clear" w:fill="FFFFFF"/>
          <w:lang w:val="en-US" w:eastAsia="zh-CN"/>
          <w14:textFill>
            <w14:solidFill>
              <w14:schemeClr w14:val="tx1"/>
            </w14:solidFill>
          </w14:textFill>
        </w:rPr>
        <w:t>弘扬教育家精神</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加快建设教育强国</w:t>
      </w:r>
      <w:r>
        <w:rPr>
          <w:rFonts w:hint="eastAsia" w:ascii="仿宋_GB2312" w:hAnsi="仿宋_GB2312" w:eastAsia="仿宋_GB2312" w:cs="仿宋_GB2312"/>
          <w:i w:val="0"/>
          <w:caps w:val="0"/>
          <w:color w:val="000000" w:themeColor="text1"/>
          <w:spacing w:val="0"/>
          <w:sz w:val="32"/>
          <w:szCs w:val="32"/>
          <w:highlight w:val="none"/>
          <w:shd w:val="clear" w:fill="FFFFFF"/>
          <w:lang w:val="en-US"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课堂育德培训</w:t>
      </w:r>
      <w:r>
        <w:rPr>
          <w:rFonts w:hint="eastAsia" w:ascii="仿宋_GB2312" w:hAnsi="仿宋_GB2312" w:eastAsia="仿宋_GB2312" w:cs="仿宋_GB2312"/>
          <w:i w:val="0"/>
          <w:caps w:val="0"/>
          <w:color w:val="000000" w:themeColor="text1"/>
          <w:spacing w:val="0"/>
          <w:sz w:val="32"/>
          <w:szCs w:val="32"/>
          <w:highlight w:val="none"/>
          <w:shd w:val="clear" w:fill="FFFFFF"/>
          <w:lang w:eastAsia="zh-CN"/>
          <w14:textFill>
            <w14:solidFill>
              <w14:schemeClr w14:val="tx1"/>
            </w14:solidFill>
          </w14:textFill>
        </w:rPr>
        <w:t>、</w:t>
      </w:r>
      <w:r>
        <w:rPr>
          <w:rFonts w:hint="eastAsia" w:ascii="仿宋_GB2312" w:hAnsi="仿宋_GB2312" w:eastAsia="仿宋_GB2312" w:cs="仿宋_GB2312"/>
          <w:color w:val="000000" w:themeColor="text1"/>
          <w:spacing w:val="0"/>
          <w:kern w:val="2"/>
          <w:sz w:val="32"/>
          <w:szCs w:val="32"/>
          <w:highlight w:val="none"/>
          <w:lang w:val="en-US" w:eastAsia="zh-CN" w:bidi="ar-SA"/>
          <w14:textFill>
            <w14:solidFill>
              <w14:schemeClr w14:val="tx1"/>
            </w14:solidFill>
          </w14:textFill>
        </w:rPr>
        <w:t xml:space="preserve"> </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师德失范警示教育</w:t>
      </w:r>
      <w:r>
        <w:rPr>
          <w:rFonts w:hint="eastAsia" w:ascii="仿宋_GB2312" w:hAnsi="仿宋_GB2312" w:eastAsia="仿宋_GB2312" w:cs="仿宋_GB2312"/>
          <w:i w:val="0"/>
          <w:caps w:val="0"/>
          <w:color w:val="000000" w:themeColor="text1"/>
          <w:spacing w:val="0"/>
          <w:sz w:val="32"/>
          <w:szCs w:val="32"/>
          <w:highlight w:val="none"/>
          <w:shd w:val="clear" w:fill="FFFFFF"/>
          <w:lang w:eastAsia="zh-CN"/>
          <w14:textFill>
            <w14:solidFill>
              <w14:schemeClr w14:val="tx1"/>
            </w14:solidFill>
          </w14:textFill>
        </w:rPr>
        <w:t>、</w:t>
      </w:r>
      <w:r>
        <w:rPr>
          <w:rFonts w:hint="eastAsia" w:ascii="仿宋_GB2312" w:hAnsi="仿宋_GB2312" w:eastAsia="仿宋_GB2312" w:cs="仿宋_GB2312"/>
          <w:i w:val="0"/>
          <w:caps w:val="0"/>
          <w:color w:val="000000" w:themeColor="text1"/>
          <w:spacing w:val="0"/>
          <w:sz w:val="32"/>
          <w:szCs w:val="32"/>
          <w:highlight w:val="none"/>
          <w:shd w:val="clear" w:fill="FFFFFF"/>
          <w14:textFill>
            <w14:solidFill>
              <w14:schemeClr w14:val="tx1"/>
            </w14:solidFill>
          </w14:textFill>
        </w:rPr>
        <w:t>法制教育</w:t>
      </w:r>
      <w:r>
        <w:rPr>
          <w:rFonts w:hint="eastAsia" w:ascii="仿宋_GB2312" w:hAnsi="仿宋_GB2312" w:eastAsia="仿宋_GB2312" w:cs="仿宋_GB2312"/>
          <w:i w:val="0"/>
          <w:caps w:val="0"/>
          <w:color w:val="000000" w:themeColor="text1"/>
          <w:spacing w:val="0"/>
          <w:sz w:val="32"/>
          <w:szCs w:val="32"/>
          <w:highlight w:val="none"/>
          <w:shd w:val="clear" w:fill="FFFFFF"/>
          <w:lang w:val="en-US" w:eastAsia="zh-CN"/>
          <w14:textFill>
            <w14:solidFill>
              <w14:schemeClr w14:val="tx1"/>
            </w14:solidFill>
          </w14:textFill>
        </w:rPr>
        <w:t>等内容，通过学习培训，强化了全体教职工的师德修养和责任担当，全体教职工表示把师德要求融入教育教学全过程，以实际行动诠释教师的责任与担当，为学校高质量发展、培养担当民族复兴大任的时代新人贡献力量。</w:t>
      </w:r>
    </w:p>
    <w:p w14:paraId="6DC73703">
      <w:pPr>
        <w:pStyle w:val="9"/>
        <w:keepNext w:val="0"/>
        <w:keepLines w:val="0"/>
        <w:pageBreakBefore w:val="0"/>
        <w:kinsoku/>
        <w:wordWrap/>
        <w:bidi w:val="0"/>
        <w:spacing w:line="520" w:lineRule="exact"/>
        <w:ind w:left="0" w:leftChars="0" w:firstLine="620"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72576" behindDoc="0" locked="0" layoutInCell="1" allowOverlap="1">
            <wp:simplePos x="0" y="0"/>
            <wp:positionH relativeFrom="column">
              <wp:posOffset>-10795</wp:posOffset>
            </wp:positionH>
            <wp:positionV relativeFrom="paragraph">
              <wp:posOffset>111760</wp:posOffset>
            </wp:positionV>
            <wp:extent cx="5695315" cy="3437255"/>
            <wp:effectExtent l="0" t="0" r="635" b="10795"/>
            <wp:wrapNone/>
            <wp:docPr id="4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8"/>
                    <pic:cNvPicPr>
                      <a:picLocks noChangeAspect="1"/>
                    </pic:cNvPicPr>
                  </pic:nvPicPr>
                  <pic:blipFill>
                    <a:blip r:embed="rId19"/>
                    <a:stretch>
                      <a:fillRect/>
                    </a:stretch>
                  </pic:blipFill>
                  <pic:spPr>
                    <a:xfrm>
                      <a:off x="0" y="0"/>
                      <a:ext cx="5695315" cy="3437255"/>
                    </a:xfrm>
                    <a:prstGeom prst="rect">
                      <a:avLst/>
                    </a:prstGeom>
                    <a:noFill/>
                    <a:ln>
                      <a:noFill/>
                    </a:ln>
                  </pic:spPr>
                </pic:pic>
              </a:graphicData>
            </a:graphic>
          </wp:anchor>
        </w:drawing>
      </w:r>
    </w:p>
    <w:p w14:paraId="2C961B94">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4BC63F26">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6867DAA7">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7B719488">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7CB80AD3">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01A91096">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5C82215F">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6FB49071">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59EEFAA4">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2E5E5407">
      <w:pPr>
        <w:pStyle w:val="9"/>
        <w:keepNext w:val="0"/>
        <w:keepLines w:val="0"/>
        <w:pageBreakBefore w:val="0"/>
        <w:widowControl w:val="0"/>
        <w:kinsoku/>
        <w:wordWrap/>
        <w:overflowPunct/>
        <w:topLinePunct w:val="0"/>
        <w:autoSpaceDE/>
        <w:autoSpaceDN/>
        <w:bidi w:val="0"/>
        <w:adjustRightInd/>
        <w:snapToGrid/>
        <w:spacing w:line="400" w:lineRule="exact"/>
        <w:jc w:val="both"/>
        <w:textAlignment w:val="auto"/>
        <w:rPr>
          <w:rFonts w:hint="eastAsia" w:ascii="仿宋_GB2312" w:hAnsi="仿宋_GB2312" w:eastAsia="仿宋_GB2312" w:cs="仿宋_GB2312"/>
          <w:i w:val="0"/>
          <w:caps w:val="0"/>
          <w:color w:val="000000" w:themeColor="text1"/>
          <w:spacing w:val="23"/>
          <w:sz w:val="28"/>
          <w:szCs w:val="28"/>
          <w:highlight w:val="none"/>
          <w:shd w:val="clear" w:fill="FFFFFF"/>
          <w:lang w:val="en-US" w:eastAsia="zh-CN"/>
          <w14:textFill>
            <w14:solidFill>
              <w14:schemeClr w14:val="tx1"/>
            </w14:solidFill>
          </w14:textFill>
        </w:rPr>
      </w:pPr>
    </w:p>
    <w:p w14:paraId="589D43ED">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图12  2025年 6月10日，学校党委副书记、校长罗艳妮作</w:t>
      </w:r>
      <w:r>
        <w:rPr>
          <w:rFonts w:hint="eastAsia" w:ascii="仿宋_GB2312" w:hAnsi="仿宋_GB2312" w:eastAsia="仿宋_GB2312" w:cs="仿宋_GB2312"/>
          <w:i w:val="0"/>
          <w:caps w:val="0"/>
          <w:color w:val="000000" w:themeColor="text1"/>
          <w:spacing w:val="0"/>
          <w:kern w:val="0"/>
          <w:sz w:val="28"/>
          <w:szCs w:val="28"/>
          <w:highlight w:val="none"/>
          <w:shd w:val="clear" w:fill="FFFFFF"/>
          <w14:textFill>
            <w14:solidFill>
              <w14:schemeClr w14:val="tx1"/>
            </w14:solidFill>
          </w14:textFill>
        </w:rPr>
        <w:t>“坚持以德立身、以德立学、以德施教，做有高尚师德和责任担当</w:t>
      </w:r>
    </w:p>
    <w:p w14:paraId="2B60D60E">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b/>
          <w:bCs/>
          <w:color w:val="000000" w:themeColor="text1"/>
          <w:spacing w:val="0"/>
          <w:kern w:val="0"/>
          <w:sz w:val="28"/>
          <w:szCs w:val="28"/>
          <w:highlight w:val="none"/>
          <w:lang w:val="en-US" w:eastAsia="zh-CN"/>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14:textFill>
            <w14:solidFill>
              <w14:schemeClr w14:val="tx1"/>
            </w14:solidFill>
          </w14:textFill>
        </w:rPr>
        <w:t>的新时代教师”专题培训</w:t>
      </w:r>
    </w:p>
    <w:p w14:paraId="4824178B">
      <w:pPr>
        <w:pStyle w:val="9"/>
        <w:keepNext w:val="0"/>
        <w:keepLines w:val="0"/>
        <w:pageBreakBefore w:val="0"/>
        <w:kinsoku/>
        <w:wordWrap/>
        <w:bidi w:val="0"/>
        <w:spacing w:line="520" w:lineRule="exact"/>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6BE25DD5">
      <w:pPr>
        <w:pStyle w:val="9"/>
        <w:keepNext w:val="0"/>
        <w:keepLines w:val="0"/>
        <w:pageBreakBefore w:val="0"/>
        <w:kinsoku/>
        <w:wordWrap/>
        <w:bidi w:val="0"/>
        <w:spacing w:line="520" w:lineRule="exact"/>
        <w:ind w:left="0" w:leftChars="0" w:firstLine="620"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86912" behindDoc="0" locked="0" layoutInCell="1" allowOverlap="1">
            <wp:simplePos x="0" y="0"/>
            <wp:positionH relativeFrom="column">
              <wp:posOffset>85090</wp:posOffset>
            </wp:positionH>
            <wp:positionV relativeFrom="paragraph">
              <wp:posOffset>109220</wp:posOffset>
            </wp:positionV>
            <wp:extent cx="5684520" cy="4272915"/>
            <wp:effectExtent l="0" t="0" r="11430" b="13335"/>
            <wp:wrapNone/>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pic:cNvPicPr>
                  </pic:nvPicPr>
                  <pic:blipFill>
                    <a:blip r:embed="rId20"/>
                    <a:stretch>
                      <a:fillRect/>
                    </a:stretch>
                  </pic:blipFill>
                  <pic:spPr>
                    <a:xfrm>
                      <a:off x="0" y="0"/>
                      <a:ext cx="5684520" cy="4272915"/>
                    </a:xfrm>
                    <a:prstGeom prst="rect">
                      <a:avLst/>
                    </a:prstGeom>
                    <a:noFill/>
                    <a:ln>
                      <a:noFill/>
                    </a:ln>
                  </pic:spPr>
                </pic:pic>
              </a:graphicData>
            </a:graphic>
          </wp:anchor>
        </w:drawing>
      </w:r>
    </w:p>
    <w:p w14:paraId="092D256F">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5CCABE9B">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1D232CDB">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6EFCE079">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3C0621C0">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5D5181E4">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73EE7025">
      <w:pPr>
        <w:pStyle w:val="9"/>
        <w:keepNext w:val="0"/>
        <w:keepLines w:val="0"/>
        <w:pageBreakBefore w:val="0"/>
        <w:kinsoku/>
        <w:wordWrap/>
        <w:bidi w:val="0"/>
        <w:spacing w:line="520" w:lineRule="exact"/>
        <w:ind w:left="0" w:leftChars="0" w:firstLine="562" w:firstLineChars="200"/>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0D3F3BFF">
      <w:pPr>
        <w:pStyle w:val="9"/>
        <w:keepNext w:val="0"/>
        <w:keepLines w:val="0"/>
        <w:pageBreakBefore w:val="0"/>
        <w:kinsoku/>
        <w:wordWrap/>
        <w:bidi w:val="0"/>
        <w:spacing w:line="520" w:lineRule="exact"/>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p>
    <w:p w14:paraId="4DB8760A">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338FADD4">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14FFCF65">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3668A1E0">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6F7CE08F">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69EAB861">
      <w:pPr>
        <w:pStyle w:val="9"/>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jc w:val="center"/>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图13  2024年9月6日，学校党委副书记黄秋霞为全体教师作“守教育初心·正师德师风”专题培训</w:t>
      </w:r>
    </w:p>
    <w:p w14:paraId="5E269D49">
      <w:pPr>
        <w:pStyle w:val="2"/>
        <w:keepNext w:val="0"/>
        <w:keepLines w:val="0"/>
        <w:pageBreakBefore w:val="0"/>
        <w:widowControl w:val="0"/>
        <w:numPr>
          <w:ilvl w:val="0"/>
          <w:numId w:val="0"/>
        </w:numPr>
        <w:kinsoku/>
        <w:wordWrap/>
        <w:overflowPunct/>
        <w:topLinePunct w:val="0"/>
        <w:autoSpaceDE/>
        <w:autoSpaceDN/>
        <w:bidi w:val="0"/>
        <w:adjustRightInd/>
        <w:snapToGrid/>
        <w:spacing w:after="0" w:line="560" w:lineRule="exact"/>
        <w:ind w:left="105" w:leftChars="50" w:right="0" w:rightChars="0" w:firstLine="640" w:firstLineChars="20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（2）强化“双师型”教师培育，提升实践育人实效</w:t>
      </w:r>
    </w:p>
    <w:p w14:paraId="2D351097">
      <w:pPr>
        <w:pStyle w:val="2"/>
        <w:keepNext w:val="0"/>
        <w:keepLines w:val="0"/>
        <w:pageBreakBefore w:val="0"/>
        <w:widowControl w:val="0"/>
        <w:kinsoku/>
        <w:wordWrap/>
        <w:overflowPunct/>
        <w:topLinePunct w:val="0"/>
        <w:autoSpaceDE/>
        <w:autoSpaceDN/>
        <w:bidi w:val="0"/>
        <w:adjustRightInd/>
        <w:snapToGrid/>
        <w:spacing w:after="0" w:line="560" w:lineRule="exact"/>
        <w:ind w:left="105" w:leftChars="50" w:firstLine="640" w:firstLineChars="20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学校立足职业教育实践育人核心要求，持续强化“双师型”教师培育完善培养机制，2025年新增“双师型”教师45名。</w:t>
      </w:r>
    </w:p>
    <w:p w14:paraId="723B14B2">
      <w:pPr>
        <w:pStyle w:val="2"/>
        <w:keepNext w:val="0"/>
        <w:keepLines w:val="0"/>
        <w:pageBreakBefore w:val="0"/>
        <w:widowControl w:val="0"/>
        <w:kinsoku/>
        <w:wordWrap/>
        <w:overflowPunct/>
        <w:topLinePunct w:val="0"/>
        <w:autoSpaceDE/>
        <w:autoSpaceDN/>
        <w:bidi w:val="0"/>
        <w:adjustRightInd/>
        <w:snapToGrid/>
        <w:spacing w:after="0" w:line="560" w:lineRule="exact"/>
        <w:ind w:left="105" w:leftChars="50" w:firstLine="0" w:firstLineChars="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084CFDF4">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6A2DF3FF">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04F4DDBF">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319100FE">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786B9A23">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both"/>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6A2A93DD">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drawing>
          <wp:anchor distT="0" distB="0" distL="114300" distR="114300" simplePos="0" relativeHeight="251706368" behindDoc="0" locked="0" layoutInCell="1" allowOverlap="1">
            <wp:simplePos x="0" y="0"/>
            <wp:positionH relativeFrom="column">
              <wp:posOffset>154940</wp:posOffset>
            </wp:positionH>
            <wp:positionV relativeFrom="paragraph">
              <wp:posOffset>184785</wp:posOffset>
            </wp:positionV>
            <wp:extent cx="5388610" cy="3669665"/>
            <wp:effectExtent l="0" t="0" r="2540" b="6985"/>
            <wp:wrapNone/>
            <wp:docPr id="10" name="图片 1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
                    <pic:cNvPicPr>
                      <a:picLocks noChangeAspect="1"/>
                    </pic:cNvPicPr>
                  </pic:nvPicPr>
                  <pic:blipFill>
                    <a:blip r:embed="rId21"/>
                    <a:stretch>
                      <a:fillRect/>
                    </a:stretch>
                  </pic:blipFill>
                  <pic:spPr>
                    <a:xfrm>
                      <a:off x="0" y="0"/>
                      <a:ext cx="5388610" cy="3669665"/>
                    </a:xfrm>
                    <a:prstGeom prst="rect">
                      <a:avLst/>
                    </a:prstGeom>
                  </pic:spPr>
                </pic:pic>
              </a:graphicData>
            </a:graphic>
          </wp:anchor>
        </w:drawing>
      </w:r>
    </w:p>
    <w:p w14:paraId="5F96732E">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04D1C3C5">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663EB4EB">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64ED91BF">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758AE6C3">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38F30275">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2CA72BC4">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16665EF8">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3701AB87">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58B8283F">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39FC1D8F">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560" w:firstLineChars="200"/>
        <w:jc w:val="cente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bidi="ar-SA"/>
          <w14:textFill>
            <w14:solidFill>
              <w14:schemeClr w14:val="tx1"/>
            </w14:solidFill>
          </w14:textFill>
        </w:rPr>
      </w:pPr>
    </w:p>
    <w:p w14:paraId="751FD4E7">
      <w:pPr>
        <w:pStyle w:val="2"/>
        <w:keepNext w:val="0"/>
        <w:keepLines w:val="0"/>
        <w:pageBreakBefore w:val="0"/>
        <w:widowControl w:val="0"/>
        <w:kinsoku/>
        <w:wordWrap/>
        <w:overflowPunct/>
        <w:topLinePunct w:val="0"/>
        <w:autoSpaceDE/>
        <w:autoSpaceDN/>
        <w:bidi w:val="0"/>
        <w:adjustRightInd/>
        <w:snapToGrid/>
        <w:spacing w:after="0" w:line="520" w:lineRule="exact"/>
        <w:ind w:left="0" w:leftChars="0" w:firstLine="0" w:firstLineChars="0"/>
        <w:jc w:val="center"/>
        <w:rPr>
          <w:rFonts w:hint="default" w:ascii="仿宋_GB2312" w:hAnsi="仿宋_GB2312" w:eastAsia="仿宋_GB2312" w:cs="仿宋_GB2312"/>
          <w:i w:val="0"/>
          <w:caps w:val="0"/>
          <w:color w:val="000000" w:themeColor="text1"/>
          <w:spacing w:val="0"/>
          <w:kern w:val="0"/>
          <w:sz w:val="28"/>
          <w:szCs w:val="28"/>
          <w:highlight w:val="none"/>
          <w:shd w:val="clear" w:fill="FFFFFF"/>
          <w:lang w:val="en-US" w:eastAsia="zh-CN" w:bidi="ar-SA"/>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bidi="ar-SA"/>
          <w14:textFill>
            <w14:solidFill>
              <w14:schemeClr w14:val="tx1"/>
            </w14:solidFill>
          </w14:textFill>
        </w:rPr>
        <w:t>图14 我校开展“双师型”教师认定申报工作培训</w:t>
      </w:r>
    </w:p>
    <w:p w14:paraId="6D25CF30">
      <w:pPr>
        <w:pStyle w:val="2"/>
        <w:keepNext w:val="0"/>
        <w:keepLines w:val="0"/>
        <w:pageBreakBefore w:val="0"/>
        <w:widowControl w:val="0"/>
        <w:numPr>
          <w:ilvl w:val="0"/>
          <w:numId w:val="0"/>
        </w:numPr>
        <w:kinsoku/>
        <w:wordWrap/>
        <w:overflowPunct/>
        <w:topLinePunct w:val="0"/>
        <w:autoSpaceDE/>
        <w:autoSpaceDN/>
        <w:bidi w:val="0"/>
        <w:adjustRightInd/>
        <w:snapToGrid/>
        <w:spacing w:after="0" w:line="520" w:lineRule="exact"/>
        <w:ind w:right="0" w:rightChars="0" w:firstLine="640" w:firstLineChars="20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（3）健全培养培训体系</w:t>
      </w:r>
    </w:p>
    <w:p w14:paraId="228A2295">
      <w:pPr>
        <w:pStyle w:val="2"/>
        <w:keepNext w:val="0"/>
        <w:keepLines w:val="0"/>
        <w:pageBreakBefore w:val="0"/>
        <w:widowControl w:val="0"/>
        <w:numPr>
          <w:ilvl w:val="0"/>
          <w:numId w:val="0"/>
        </w:numPr>
        <w:kinsoku/>
        <w:wordWrap/>
        <w:overflowPunct/>
        <w:topLinePunct w:val="0"/>
        <w:autoSpaceDE/>
        <w:autoSpaceDN/>
        <w:bidi w:val="0"/>
        <w:adjustRightInd/>
        <w:snapToGrid/>
        <w:spacing w:after="0" w:line="520" w:lineRule="exact"/>
        <w:ind w:right="0" w:rightChars="0" w:firstLine="640" w:firstLineChars="20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全面落实立德树人根本任务，扎实推进新时代教师队伍建设，我校构建“全员覆盖、分层分类</w:t>
      </w:r>
      <w:r>
        <w:rPr>
          <w:rFonts w:hint="default"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w:t>
      </w: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的教师培养培训体系，涵盖师德规范、教学技能、规章制度等核心内容，全年开展教学设计、课程思政等培训20场次，全方位助力教师专业成长。</w:t>
      </w:r>
    </w:p>
    <w:p w14:paraId="2942065E">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案例二：组织开展 2025 年系列教师常规培训</w:t>
      </w:r>
    </w:p>
    <w:p w14:paraId="49C4C56A">
      <w:pPr>
        <w:pStyle w:val="2"/>
        <w:keepNext w:val="0"/>
        <w:keepLines w:val="0"/>
        <w:pageBreakBefore w:val="0"/>
        <w:widowControl w:val="0"/>
        <w:numPr>
          <w:ilvl w:val="0"/>
          <w:numId w:val="0"/>
        </w:numPr>
        <w:kinsoku/>
        <w:wordWrap/>
        <w:overflowPunct/>
        <w:topLinePunct w:val="0"/>
        <w:autoSpaceDE/>
        <w:autoSpaceDN/>
        <w:bidi w:val="0"/>
        <w:adjustRightInd/>
        <w:snapToGrid/>
        <w:spacing w:after="0" w:line="520" w:lineRule="exact"/>
        <w:ind w:right="0" w:rightChars="0" w:firstLine="640" w:firstLineChars="20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为夯实教师教学基本功、更新教育教学理念，我校2025年系统性开展教师常规培训活动，覆盖全体在职教师，构建常态化、多元化的培训格局。培训内容聚焦教学核心需求，设置四大核心模块：一是教学及管理能力提升模块，开展教学设计优化等专题培训，帮助教师夯实教学基础；二是师德师风专题模块，结合优秀教师事迹宣讲、职业行为规范解读，强化教师育人初心。三是信息化教学模块，围绕AI赋能、多媒体课件设计等内容开展实操培训，提升教师数字化教学能力；四是科研能力提升模块，涵盖科研项目申报技巧、论文写作与发表规范等内容，帮助教师掌握科研基本方法，提升科研立项与成果转化能力。系列常规培训的开展，有效提升了教师队伍整体教学水平，为学校教学质量持续提升奠定了坚实基础。</w:t>
      </w:r>
    </w:p>
    <w:p w14:paraId="624BBFDB">
      <w:pPr>
        <w:pStyle w:val="2"/>
        <w:keepNext w:val="0"/>
        <w:keepLines w:val="0"/>
        <w:pageBreakBefore w:val="0"/>
        <w:widowControl w:val="0"/>
        <w:numPr>
          <w:ilvl w:val="0"/>
          <w:numId w:val="0"/>
        </w:numPr>
        <w:kinsoku/>
        <w:wordWrap/>
        <w:overflowPunct/>
        <w:topLinePunct w:val="0"/>
        <w:autoSpaceDE/>
        <w:autoSpaceDN/>
        <w:bidi w:val="0"/>
        <w:adjustRightInd/>
        <w:snapToGrid/>
        <w:spacing w:after="0" w:line="520" w:lineRule="exact"/>
        <w:ind w:right="0" w:rightChars="0" w:firstLine="640" w:firstLineChars="200"/>
        <w:textAlignment w:val="baseline"/>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p>
    <w:p w14:paraId="5A224B86">
      <w:pPr>
        <w:pStyle w:val="9"/>
        <w:keepNext w:val="0"/>
        <w:keepLines w:val="0"/>
        <w:pageBreakBefore w:val="0"/>
        <w:widowControl w:val="0"/>
        <w:kinsoku/>
        <w:wordWrap/>
        <w:overflowPunct/>
        <w:topLinePunct w:val="0"/>
        <w:bidi w:val="0"/>
        <w:adjustRightInd/>
        <w:snapToGrid/>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3803BAD">
      <w:pPr>
        <w:pStyle w:val="9"/>
        <w:keepNext w:val="0"/>
        <w:keepLines w:val="0"/>
        <w:pageBreakBefore w:val="0"/>
        <w:widowControl w:val="0"/>
        <w:kinsoku/>
        <w:wordWrap/>
        <w:overflowPunct/>
        <w:topLinePunct w:val="0"/>
        <w:bidi w:val="0"/>
        <w:adjustRightInd/>
        <w:snapToGrid/>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704320" behindDoc="0" locked="0" layoutInCell="1" allowOverlap="1">
            <wp:simplePos x="0" y="0"/>
            <wp:positionH relativeFrom="column">
              <wp:posOffset>187960</wp:posOffset>
            </wp:positionH>
            <wp:positionV relativeFrom="paragraph">
              <wp:posOffset>-312420</wp:posOffset>
            </wp:positionV>
            <wp:extent cx="5535930" cy="3233420"/>
            <wp:effectExtent l="0" t="0" r="7620" b="5080"/>
            <wp:wrapNone/>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2"/>
                    <a:stretch>
                      <a:fillRect/>
                    </a:stretch>
                  </pic:blipFill>
                  <pic:spPr>
                    <a:xfrm>
                      <a:off x="0" y="0"/>
                      <a:ext cx="5535930" cy="3233420"/>
                    </a:xfrm>
                    <a:prstGeom prst="rect">
                      <a:avLst/>
                    </a:prstGeom>
                    <a:noFill/>
                    <a:ln>
                      <a:noFill/>
                    </a:ln>
                  </pic:spPr>
                </pic:pic>
              </a:graphicData>
            </a:graphic>
          </wp:anchor>
        </w:drawing>
      </w:r>
    </w:p>
    <w:p w14:paraId="706E11D3">
      <w:pPr>
        <w:pStyle w:val="9"/>
        <w:keepNext w:val="0"/>
        <w:keepLines w:val="0"/>
        <w:pageBreakBefore w:val="0"/>
        <w:widowControl w:val="0"/>
        <w:kinsoku/>
        <w:wordWrap/>
        <w:overflowPunct/>
        <w:topLinePunct w:val="0"/>
        <w:bidi w:val="0"/>
        <w:adjustRightInd/>
        <w:snapToGrid/>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7E38B80">
      <w:pPr>
        <w:pStyle w:val="9"/>
        <w:keepNext w:val="0"/>
        <w:keepLines w:val="0"/>
        <w:pageBreakBefore w:val="0"/>
        <w:widowControl w:val="0"/>
        <w:kinsoku/>
        <w:wordWrap/>
        <w:overflowPunct/>
        <w:topLinePunct w:val="0"/>
        <w:bidi w:val="0"/>
        <w:adjustRightInd/>
        <w:snapToGrid/>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FBCC4C7">
      <w:pPr>
        <w:pStyle w:val="9"/>
        <w:keepNext w:val="0"/>
        <w:keepLines w:val="0"/>
        <w:pageBreakBefore w:val="0"/>
        <w:widowControl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E8000C2">
      <w:pPr>
        <w:pStyle w:val="9"/>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BCB1924">
      <w:pPr>
        <w:pStyle w:val="9"/>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9D831B5">
      <w:pPr>
        <w:pStyle w:val="9"/>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9EC7622">
      <w:pPr>
        <w:pStyle w:val="9"/>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074E5F1">
      <w:pPr>
        <w:pStyle w:val="9"/>
        <w:keepNext w:val="0"/>
        <w:keepLines w:val="0"/>
        <w:pageBreakBefore w:val="0"/>
        <w:widowControl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EEB978B">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图15 2024年9月6-8日，我校举行2024年第二期新任教师</w:t>
      </w:r>
    </w:p>
    <w:p w14:paraId="051AF638">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岗前培训开班典礼</w:t>
      </w:r>
    </w:p>
    <w:p w14:paraId="7C52EB27">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6DE0EA71">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64A4B651">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09830289">
      <w:pPr>
        <w:pStyle w:val="9"/>
        <w:keepNext w:val="0"/>
        <w:keepLines w:val="0"/>
        <w:pageBreakBefore w:val="0"/>
        <w:widowControl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p>
    <w:p w14:paraId="0757C617">
      <w:pPr>
        <w:pStyle w:val="9"/>
        <w:keepNext w:val="0"/>
        <w:keepLines w:val="0"/>
        <w:pageBreakBefore w:val="0"/>
        <w:widowControl w:val="0"/>
        <w:kinsoku/>
        <w:wordWrap/>
        <w:overflowPunct/>
        <w:topLinePunct w:val="0"/>
        <w:bidi w:val="0"/>
        <w:adjustRightInd/>
        <w:snapToGrid/>
        <w:spacing w:line="520" w:lineRule="exact"/>
        <w:ind w:left="0" w:leftChars="0" w:firstLine="48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drawing>
          <wp:anchor distT="0" distB="0" distL="114935" distR="114935" simplePos="0" relativeHeight="251705344" behindDoc="0" locked="0" layoutInCell="1" allowOverlap="1">
            <wp:simplePos x="0" y="0"/>
            <wp:positionH relativeFrom="column">
              <wp:posOffset>7620</wp:posOffset>
            </wp:positionH>
            <wp:positionV relativeFrom="paragraph">
              <wp:posOffset>36195</wp:posOffset>
            </wp:positionV>
            <wp:extent cx="5652770" cy="3253105"/>
            <wp:effectExtent l="0" t="0" r="5080" b="4445"/>
            <wp:wrapNone/>
            <wp:docPr id="34"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8" descr="IMG_256"/>
                    <pic:cNvPicPr>
                      <a:picLocks noChangeAspect="1"/>
                    </pic:cNvPicPr>
                  </pic:nvPicPr>
                  <pic:blipFill>
                    <a:blip r:embed="rId23"/>
                    <a:stretch>
                      <a:fillRect/>
                    </a:stretch>
                  </pic:blipFill>
                  <pic:spPr>
                    <a:xfrm>
                      <a:off x="0" y="0"/>
                      <a:ext cx="5652770" cy="3253105"/>
                    </a:xfrm>
                    <a:prstGeom prst="rect">
                      <a:avLst/>
                    </a:prstGeom>
                    <a:noFill/>
                    <a:ln w="9525">
                      <a:noFill/>
                    </a:ln>
                  </pic:spPr>
                </pic:pic>
              </a:graphicData>
            </a:graphic>
          </wp:anchor>
        </w:drawing>
      </w:r>
    </w:p>
    <w:p w14:paraId="78364D51">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757F8FC">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80C8DA8">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951693A">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50D721E">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6E90540">
      <w:pPr>
        <w:pStyle w:val="9"/>
        <w:keepNext w:val="0"/>
        <w:keepLines w:val="0"/>
        <w:pageBreakBefore w:val="0"/>
        <w:widowControl w:val="0"/>
        <w:kinsoku/>
        <w:wordWrap/>
        <w:overflowPunct/>
        <w:topLinePunct w:val="0"/>
        <w:bidi w:val="0"/>
        <w:adjustRightInd/>
        <w:snapToGrid/>
        <w:spacing w:line="520" w:lineRule="exact"/>
        <w:jc w:val="both"/>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35B36B5">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9E3781F">
      <w:pPr>
        <w:pStyle w:val="9"/>
        <w:keepNext w:val="0"/>
        <w:keepLines w:val="0"/>
        <w:pageBreakBefore w:val="0"/>
        <w:widowControl w:val="0"/>
        <w:kinsoku/>
        <w:wordWrap/>
        <w:overflowPunct/>
        <w:topLinePunct w:val="0"/>
        <w:bidi w:val="0"/>
        <w:adjustRightInd/>
        <w:snapToGrid/>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CE333DC">
      <w:pPr>
        <w:pStyle w:val="9"/>
        <w:keepNext w:val="0"/>
        <w:keepLines w:val="0"/>
        <w:pageBreakBefore w:val="0"/>
        <w:widowControl w:val="0"/>
        <w:kinsoku/>
        <w:wordWrap/>
        <w:overflowPunct/>
        <w:topLinePunct w:val="0"/>
        <w:bidi w:val="0"/>
        <w:adjustRightInd/>
        <w:snapToGrid/>
        <w:spacing w:line="520" w:lineRule="exact"/>
        <w:jc w:val="both"/>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1C6F1A3">
      <w:pPr>
        <w:pStyle w:val="9"/>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jc w:val="center"/>
        <w:textAlignment w:val="auto"/>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图16  2024年9月6日，学校举行“高校学生突发事件处置与危机管理”专题培训</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 xml:space="preserve">      </w:t>
      </w:r>
    </w:p>
    <w:p w14:paraId="5E97600F">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drawing>
          <wp:anchor distT="0" distB="0" distL="114300" distR="114300" simplePos="0" relativeHeight="251709440" behindDoc="0" locked="0" layoutInCell="1" allowOverlap="1">
            <wp:simplePos x="0" y="0"/>
            <wp:positionH relativeFrom="column">
              <wp:posOffset>12700</wp:posOffset>
            </wp:positionH>
            <wp:positionV relativeFrom="paragraph">
              <wp:posOffset>198755</wp:posOffset>
            </wp:positionV>
            <wp:extent cx="5558155" cy="3420110"/>
            <wp:effectExtent l="0" t="0" r="4445" b="8890"/>
            <wp:wrapNone/>
            <wp:docPr id="57" name="图片 57"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1"/>
                    <pic:cNvPicPr>
                      <a:picLocks noChangeAspect="1"/>
                    </pic:cNvPicPr>
                  </pic:nvPicPr>
                  <pic:blipFill>
                    <a:blip r:embed="rId24"/>
                    <a:stretch>
                      <a:fillRect/>
                    </a:stretch>
                  </pic:blipFill>
                  <pic:spPr>
                    <a:xfrm>
                      <a:off x="0" y="0"/>
                      <a:ext cx="5558155" cy="3420110"/>
                    </a:xfrm>
                    <a:prstGeom prst="rect">
                      <a:avLst/>
                    </a:prstGeom>
                  </pic:spPr>
                </pic:pic>
              </a:graphicData>
            </a:graphic>
          </wp:anchor>
        </w:drawing>
      </w:r>
    </w:p>
    <w:p w14:paraId="5B79C560">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226A3764">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4984F262">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0FA6DCFE">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4DD5C456">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5CC36AFB">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2178EFC0">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2C9A36A8">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2DAE8E60">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3E02E467">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2BA20519">
      <w:pPr>
        <w:pStyle w:val="9"/>
        <w:keepNext w:val="0"/>
        <w:keepLines w:val="0"/>
        <w:pageBreakBefore w:val="0"/>
        <w:widowControl w:val="0"/>
        <w:kinsoku/>
        <w:wordWrap/>
        <w:overflowPunct/>
        <w:topLinePunct w:val="0"/>
        <w:autoSpaceDE/>
        <w:autoSpaceDN/>
        <w:bidi w:val="0"/>
        <w:adjustRightInd/>
        <w:snapToGrid/>
        <w:spacing w:line="520" w:lineRule="exact"/>
        <w:ind w:firstLine="560" w:firstLineChars="200"/>
        <w:jc w:val="both"/>
        <w:textAlignment w:val="auto"/>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drawing>
          <wp:anchor distT="0" distB="0" distL="114300" distR="114300" simplePos="0" relativeHeight="251707392" behindDoc="0" locked="0" layoutInCell="1" allowOverlap="1">
            <wp:simplePos x="0" y="0"/>
            <wp:positionH relativeFrom="column">
              <wp:posOffset>1240155</wp:posOffset>
            </wp:positionH>
            <wp:positionV relativeFrom="paragraph">
              <wp:posOffset>5786120</wp:posOffset>
            </wp:positionV>
            <wp:extent cx="2286000" cy="1527175"/>
            <wp:effectExtent l="0" t="0" r="0" b="15875"/>
            <wp:wrapNone/>
            <wp:docPr id="58" name="图片 5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2"/>
                    <pic:cNvPicPr>
                      <a:picLocks noChangeAspect="1"/>
                    </pic:cNvPicPr>
                  </pic:nvPicPr>
                  <pic:blipFill>
                    <a:blip r:embed="rId25"/>
                    <a:stretch>
                      <a:fillRect/>
                    </a:stretch>
                  </pic:blipFill>
                  <pic:spPr>
                    <a:xfrm>
                      <a:off x="0" y="0"/>
                      <a:ext cx="2286000" cy="1527175"/>
                    </a:xfrm>
                    <a:prstGeom prst="rect">
                      <a:avLst/>
                    </a:prstGeom>
                  </pic:spPr>
                </pic:pic>
              </a:graphicData>
            </a:graphic>
          </wp:anchor>
        </w:drawing>
      </w: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图17 2025年5月，我校开展AIGC人工智能应用能力提升培训</w:t>
      </w:r>
    </w:p>
    <w:p w14:paraId="5D100851">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drawing>
          <wp:anchor distT="0" distB="0" distL="114300" distR="114300" simplePos="0" relativeHeight="251708416" behindDoc="0" locked="0" layoutInCell="1" allowOverlap="1">
            <wp:simplePos x="0" y="0"/>
            <wp:positionH relativeFrom="column">
              <wp:posOffset>310515</wp:posOffset>
            </wp:positionH>
            <wp:positionV relativeFrom="paragraph">
              <wp:posOffset>69215</wp:posOffset>
            </wp:positionV>
            <wp:extent cx="5400040" cy="3168015"/>
            <wp:effectExtent l="0" t="0" r="10160" b="13335"/>
            <wp:wrapNone/>
            <wp:docPr id="59" name="图片 59"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
                    <pic:cNvPicPr>
                      <a:picLocks noChangeAspect="1"/>
                    </pic:cNvPicPr>
                  </pic:nvPicPr>
                  <pic:blipFill>
                    <a:blip r:embed="rId26"/>
                    <a:stretch>
                      <a:fillRect/>
                    </a:stretch>
                  </pic:blipFill>
                  <pic:spPr>
                    <a:xfrm>
                      <a:off x="0" y="0"/>
                      <a:ext cx="5400040" cy="3168015"/>
                    </a:xfrm>
                    <a:prstGeom prst="rect">
                      <a:avLst/>
                    </a:prstGeom>
                  </pic:spPr>
                </pic:pic>
              </a:graphicData>
            </a:graphic>
          </wp:anchor>
        </w:drawing>
      </w:r>
    </w:p>
    <w:p w14:paraId="521EEB78">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2DF7E520">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562314E0">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6F93F643">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33D57CEE">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7D8EEA7B">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6CD356CD">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4D3FC9C7">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478C006A">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p>
    <w:p w14:paraId="6348739D">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i w:val="0"/>
          <w:caps w:val="0"/>
          <w:color w:val="000000" w:themeColor="text1"/>
          <w:spacing w:val="0"/>
          <w:kern w:val="0"/>
          <w:sz w:val="28"/>
          <w:szCs w:val="28"/>
          <w:highlight w:val="none"/>
          <w:shd w:val="clear" w:fill="FFFFFF"/>
          <w:lang w:val="en-US" w:eastAsia="zh-CN"/>
          <w14:textFill>
            <w14:solidFill>
              <w14:schemeClr w14:val="tx1"/>
            </w14:solidFill>
          </w14:textFill>
        </w:rPr>
        <w:t>图为18 2025年5月，我校开展美育课程实施培训</w:t>
      </w:r>
    </w:p>
    <w:p w14:paraId="6A34DD75">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2.6实训基地建设</w:t>
      </w:r>
    </w:p>
    <w:p w14:paraId="7F15B810">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提升学生岗位适配能力，我校高度重视实训基地建设，稳步推进校内实训基地提质升级与校外实训基地拓展深化，形成了“校内筑基、校外赋能”的多元化实训平台体系。建立校外实习实训基地76个，覆盖所有专业，涵盖建筑施工、轨道交通、机电设备维修等领域，有效解决了高危、高成本、难实施的实训教学难题。</w:t>
      </w:r>
    </w:p>
    <w:p w14:paraId="14F6E3D8">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2.7技能成长</w:t>
      </w:r>
    </w:p>
    <w:p w14:paraId="29E4D8E9">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我校聚焦技术技能型人才培养核心目标，以提升师生技能水平为抓手，通过强化课程建设、深耕赛事赋能等举措，推动技能成长工作取得一定成效，为高素质技术技能人才培养筑牢根基。</w:t>
      </w:r>
    </w:p>
    <w:p w14:paraId="3075B9D0">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在专业课教学质量把控上，严格落实课程标准，强化过程性考核与终结性评价相结合的评价机制，本学年专业课合格率80%以上，充分彰显了我校专业教学的扎实成效。</w:t>
      </w:r>
    </w:p>
    <w:p w14:paraId="5F5590EE">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在职业资格与技能等级证书获取方面，构建“课证融合”培养体系，将证书考核内容融入日常教学，组织开展针对性培训辅导，2024-2025学年积极组织学生参加职业资格证书/职业技能等级证书，毕业生技能竞争力显著增强。</w:t>
      </w:r>
    </w:p>
    <w:p w14:paraId="0456699F">
      <w:pPr>
        <w:pStyle w:val="9"/>
        <w:keepNext w:val="0"/>
        <w:keepLines w:val="0"/>
        <w:pageBreakBefore w:val="0"/>
        <w:kinsoku/>
        <w:wordWrap/>
        <w:bidi w:val="0"/>
        <w:spacing w:line="520" w:lineRule="exact"/>
        <w:ind w:left="0" w:leftChars="0" w:firstLine="643" w:firstLineChars="200"/>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案例三 ：以赛促学、以赛促教、以赛促练</w:t>
      </w:r>
    </w:p>
    <w:p w14:paraId="54A6C73B">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不断强化实践育人，在2024-2025学年学校组织学生积极参加各类专业技能竞赛，累计获奖一百多项，技能赛事赋能作用凸显。持续践行“以赛促教、以赛促学、以赛促改”理念，有效激发了师生钻研技能的热情，推动了教学质量与技能水平的双向提升。</w:t>
      </w:r>
    </w:p>
    <w:p w14:paraId="5A42B318">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14:textFill>
            <w14:solidFill>
              <w14:schemeClr w14:val="tx1"/>
            </w14:solidFill>
          </w14:textFill>
        </w:rPr>
        <w:drawing>
          <wp:anchor distT="0" distB="0" distL="114300" distR="114300" simplePos="0" relativeHeight="251660288" behindDoc="0" locked="0" layoutInCell="1" allowOverlap="1">
            <wp:simplePos x="0" y="0"/>
            <wp:positionH relativeFrom="column">
              <wp:posOffset>59055</wp:posOffset>
            </wp:positionH>
            <wp:positionV relativeFrom="page">
              <wp:posOffset>5069205</wp:posOffset>
            </wp:positionV>
            <wp:extent cx="5490210" cy="3237230"/>
            <wp:effectExtent l="0" t="0" r="15240" b="1270"/>
            <wp:wrapNone/>
            <wp:docPr id="39" name="图片 1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8" descr="IMG_256"/>
                    <pic:cNvPicPr>
                      <a:picLocks noChangeAspect="1"/>
                    </pic:cNvPicPr>
                  </pic:nvPicPr>
                  <pic:blipFill>
                    <a:blip r:embed="rId27"/>
                    <a:stretch>
                      <a:fillRect/>
                    </a:stretch>
                  </pic:blipFill>
                  <pic:spPr>
                    <a:xfrm>
                      <a:off x="0" y="0"/>
                      <a:ext cx="5490210" cy="3237230"/>
                    </a:xfrm>
                    <a:prstGeom prst="rect">
                      <a:avLst/>
                    </a:prstGeom>
                    <a:noFill/>
                    <a:ln w="9525">
                      <a:noFill/>
                    </a:ln>
                  </pic:spPr>
                </pic:pic>
              </a:graphicData>
            </a:graphic>
          </wp:anchor>
        </w:drawing>
      </w:r>
    </w:p>
    <w:p w14:paraId="787F0D58">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7028E1B">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5990920">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D21AF08">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5C7BB94">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BEFDA34">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9C5E23A">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42A5733">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73BCEC1">
      <w:pPr>
        <w:pStyle w:val="9"/>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9FA3F09">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9EA1A0F">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图19  我校学子参加广西</w:t>
      </w:r>
      <w:bookmarkStart w:id="5" w:name="OLE_LINK7"/>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第十四届学生运动会</w:t>
      </w:r>
      <w:bookmarkEnd w:id="5"/>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荣获男子跳高赛项冠军并破纪录</w:t>
      </w:r>
    </w:p>
    <w:p w14:paraId="504CE2F5">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53405" cy="3326130"/>
            <wp:effectExtent l="0" t="0" r="4445" b="7620"/>
            <wp:docPr id="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2"/>
                    <pic:cNvPicPr>
                      <a:picLocks noChangeAspect="1"/>
                    </pic:cNvPicPr>
                  </pic:nvPicPr>
                  <pic:blipFill>
                    <a:blip r:embed="rId28"/>
                    <a:stretch>
                      <a:fillRect/>
                    </a:stretch>
                  </pic:blipFill>
                  <pic:spPr>
                    <a:xfrm>
                      <a:off x="0" y="0"/>
                      <a:ext cx="5653405" cy="3326130"/>
                    </a:xfrm>
                    <a:prstGeom prst="rect">
                      <a:avLst/>
                    </a:prstGeom>
                    <a:noFill/>
                    <a:ln>
                      <a:noFill/>
                    </a:ln>
                  </pic:spPr>
                </pic:pic>
              </a:graphicData>
            </a:graphic>
          </wp:inline>
        </w:drawing>
      </w:r>
    </w:p>
    <w:p w14:paraId="3690C10F">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图20  我校学子参加第十二届“学创杯”全国大学生创业综合模拟演训 </w:t>
      </w:r>
    </w:p>
    <w:p w14:paraId="50F6D385">
      <w:pPr>
        <w:keepNext w:val="0"/>
        <w:keepLines w:val="0"/>
        <w:pageBreakBefore w:val="0"/>
        <w:widowControl w:val="0"/>
        <w:kinsoku/>
        <w:wordWrap/>
        <w:overflowPunct/>
        <w:topLinePunct w:val="0"/>
        <w:autoSpaceDE/>
        <w:autoSpaceDN/>
        <w:bidi w:val="0"/>
        <w:adjustRightInd/>
        <w:snapToGrid/>
        <w:spacing w:line="500" w:lineRule="exact"/>
        <w:jc w:val="center"/>
        <w:textAlignment w:val="auto"/>
        <w:rPr>
          <w:rFonts w:hint="default"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活动总决赛（职教组）并获得特等奖</w:t>
      </w:r>
    </w:p>
    <w:p w14:paraId="4CFBF300">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581650" cy="3352165"/>
            <wp:effectExtent l="0" t="0" r="0" b="635"/>
            <wp:docPr id="5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3"/>
                    <pic:cNvPicPr>
                      <a:picLocks noChangeAspect="1"/>
                    </pic:cNvPicPr>
                  </pic:nvPicPr>
                  <pic:blipFill>
                    <a:blip r:embed="rId29"/>
                    <a:stretch>
                      <a:fillRect/>
                    </a:stretch>
                  </pic:blipFill>
                  <pic:spPr>
                    <a:xfrm>
                      <a:off x="0" y="0"/>
                      <a:ext cx="5581650" cy="3352165"/>
                    </a:xfrm>
                    <a:prstGeom prst="rect">
                      <a:avLst/>
                    </a:prstGeom>
                    <a:noFill/>
                    <a:ln>
                      <a:noFill/>
                    </a:ln>
                  </pic:spPr>
                </pic:pic>
              </a:graphicData>
            </a:graphic>
          </wp:inline>
        </w:drawing>
      </w:r>
    </w:p>
    <w:p w14:paraId="5E42F2CC">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图21 我校学子参加第十二届“学创杯”全国大学生创业综合模拟演训  </w:t>
      </w:r>
    </w:p>
    <w:p w14:paraId="003CC114">
      <w:pPr>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活动总决赛（职教组）并获得一等奖</w:t>
      </w:r>
    </w:p>
    <w:p w14:paraId="05FE2E79">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14:textFill>
            <w14:solidFill>
              <w14:schemeClr w14:val="tx1"/>
            </w14:solidFill>
          </w14:textFill>
        </w:rPr>
        <w:drawing>
          <wp:anchor distT="0" distB="0" distL="114300" distR="114300" simplePos="0" relativeHeight="251662336" behindDoc="0" locked="0" layoutInCell="1" allowOverlap="1">
            <wp:simplePos x="0" y="0"/>
            <wp:positionH relativeFrom="column">
              <wp:posOffset>22860</wp:posOffset>
            </wp:positionH>
            <wp:positionV relativeFrom="page">
              <wp:posOffset>1297940</wp:posOffset>
            </wp:positionV>
            <wp:extent cx="5632450" cy="3286125"/>
            <wp:effectExtent l="0" t="0" r="6350" b="9525"/>
            <wp:wrapNone/>
            <wp:docPr id="14"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IMG_256"/>
                    <pic:cNvPicPr>
                      <a:picLocks noChangeAspect="1"/>
                    </pic:cNvPicPr>
                  </pic:nvPicPr>
                  <pic:blipFill>
                    <a:blip r:embed="rId30"/>
                    <a:stretch>
                      <a:fillRect/>
                    </a:stretch>
                  </pic:blipFill>
                  <pic:spPr>
                    <a:xfrm>
                      <a:off x="0" y="0"/>
                      <a:ext cx="5632450" cy="3286125"/>
                    </a:xfrm>
                    <a:prstGeom prst="rect">
                      <a:avLst/>
                    </a:prstGeom>
                    <a:noFill/>
                    <a:ln w="9525">
                      <a:noFill/>
                    </a:ln>
                  </pic:spPr>
                </pic:pic>
              </a:graphicData>
            </a:graphic>
          </wp:anchor>
        </w:drawing>
      </w:r>
    </w:p>
    <w:p w14:paraId="5733D727">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2F36C65">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79B3AC0">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A8EEC57">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3270F3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E725EAA">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E0FB88A">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CFF60D8">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6BC6DA3">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bookmarkStart w:id="6" w:name="OLE_LINK5"/>
    </w:p>
    <w:p w14:paraId="51F8EBD0">
      <w:pPr>
        <w:pStyle w:val="9"/>
        <w:keepNext w:val="0"/>
        <w:keepLines w:val="0"/>
        <w:pageBreakBefore w:val="0"/>
        <w:kinsoku/>
        <w:wordWrap/>
        <w:bidi w:val="0"/>
        <w:spacing w:line="520" w:lineRule="exact"/>
        <w:ind w:firstLine="280" w:firstLineChars="1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图22  我校学子参加2025年技能大赛“幼儿教育技能组”并获铜奖</w:t>
      </w:r>
      <w:bookmarkEnd w:id="6"/>
    </w:p>
    <w:p w14:paraId="4FA23F7F">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14:textFill>
            <w14:solidFill>
              <w14:schemeClr w14:val="tx1"/>
            </w14:solidFill>
          </w14:textFill>
        </w:rPr>
        <w:drawing>
          <wp:anchor distT="0" distB="0" distL="114300" distR="114300" simplePos="0" relativeHeight="251661312" behindDoc="0" locked="0" layoutInCell="1" allowOverlap="1">
            <wp:simplePos x="0" y="0"/>
            <wp:positionH relativeFrom="column">
              <wp:posOffset>-14605</wp:posOffset>
            </wp:positionH>
            <wp:positionV relativeFrom="page">
              <wp:posOffset>5192395</wp:posOffset>
            </wp:positionV>
            <wp:extent cx="5646420" cy="3272790"/>
            <wp:effectExtent l="0" t="0" r="11430" b="3810"/>
            <wp:wrapNone/>
            <wp:docPr id="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IMG_256"/>
                    <pic:cNvPicPr>
                      <a:picLocks noChangeAspect="1"/>
                    </pic:cNvPicPr>
                  </pic:nvPicPr>
                  <pic:blipFill>
                    <a:blip r:embed="rId31"/>
                    <a:stretch>
                      <a:fillRect/>
                    </a:stretch>
                  </pic:blipFill>
                  <pic:spPr>
                    <a:xfrm>
                      <a:off x="0" y="0"/>
                      <a:ext cx="5646420" cy="3272790"/>
                    </a:xfrm>
                    <a:prstGeom prst="rect">
                      <a:avLst/>
                    </a:prstGeom>
                    <a:noFill/>
                    <a:ln w="9525">
                      <a:noFill/>
                    </a:ln>
                  </pic:spPr>
                </pic:pic>
              </a:graphicData>
            </a:graphic>
          </wp:anchor>
        </w:drawing>
      </w:r>
    </w:p>
    <w:p w14:paraId="0197ACF5">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206F1B1">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F46E5A6">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1BF3EE6">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F105ABF">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EEBCDAE">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62E7831">
      <w:pPr>
        <w:pStyle w:val="9"/>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745F426">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F9D1009">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48ECB3E">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7B173AE">
      <w:pPr>
        <w:pStyle w:val="9"/>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图23 我校学子参加2025年技能大赛“室内空间设计与制作赛项”并</w:t>
      </w:r>
    </w:p>
    <w:p w14:paraId="3C1042E2">
      <w:pPr>
        <w:pStyle w:val="9"/>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获铜奖</w:t>
      </w:r>
    </w:p>
    <w:p w14:paraId="69E407D6">
      <w:pPr>
        <w:rPr>
          <w:color w:val="000000" w:themeColor="text1"/>
          <w:highlight w:val="none"/>
          <w14:textFill>
            <w14:solidFill>
              <w14:schemeClr w14:val="tx1"/>
            </w14:solidFill>
          </w14:textFill>
        </w:rPr>
      </w:pPr>
    </w:p>
    <w:p w14:paraId="63EC692C">
      <w:pP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ascii="宋体" w:hAnsi="宋体" w:eastAsia="宋体" w:cs="宋体"/>
          <w:color w:val="000000" w:themeColor="text1"/>
          <w:sz w:val="24"/>
          <w:szCs w:val="24"/>
          <w14:textFill>
            <w14:solidFill>
              <w14:schemeClr w14:val="tx1"/>
            </w14:solidFill>
          </w14:textFill>
        </w:rPr>
        <w:drawing>
          <wp:inline distT="0" distB="0" distL="114300" distR="114300">
            <wp:extent cx="5686425" cy="3848100"/>
            <wp:effectExtent l="0" t="0" r="9525" b="0"/>
            <wp:docPr id="6"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IMG_256"/>
                    <pic:cNvPicPr>
                      <a:picLocks noChangeAspect="1"/>
                    </pic:cNvPicPr>
                  </pic:nvPicPr>
                  <pic:blipFill>
                    <a:blip r:embed="rId32"/>
                    <a:stretch>
                      <a:fillRect/>
                    </a:stretch>
                  </pic:blipFill>
                  <pic:spPr>
                    <a:xfrm>
                      <a:off x="0" y="0"/>
                      <a:ext cx="5686425" cy="3848100"/>
                    </a:xfrm>
                    <a:prstGeom prst="rect">
                      <a:avLst/>
                    </a:prstGeom>
                    <a:noFill/>
                    <a:ln w="9525">
                      <a:noFill/>
                    </a:ln>
                  </pic:spPr>
                </pic:pic>
              </a:graphicData>
            </a:graphic>
          </wp:inline>
        </w:drawing>
      </w:r>
    </w:p>
    <w:p w14:paraId="36AD615D">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图24  我校学子参加2025年全区师范生教学技能大赛并获三等奖</w:t>
      </w:r>
    </w:p>
    <w:p w14:paraId="123C16B2">
      <w:pPr>
        <w:rPr>
          <w:rFonts w:hint="eastAsia" w:ascii="仿宋_GB2312"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eastAsia="仿宋_GB2312" w:cs="Times New Roman"/>
          <w:b w:val="0"/>
          <w:color w:val="000000" w:themeColor="text1"/>
          <w:kern w:val="0"/>
          <w:sz w:val="32"/>
          <w:szCs w:val="32"/>
          <w:highlight w:val="none"/>
          <w:lang w:val="en-US" w:eastAsia="zh-CN" w:bidi="ar"/>
          <w14:textFill>
            <w14:solidFill>
              <w14:schemeClr w14:val="tx1"/>
            </w14:solidFill>
          </w14:textFill>
        </w:rPr>
        <w:drawing>
          <wp:inline distT="0" distB="0" distL="114300" distR="114300">
            <wp:extent cx="5720715" cy="3100070"/>
            <wp:effectExtent l="0" t="0" r="13335" b="5080"/>
            <wp:docPr id="50" name="图片 50" descr="QQ20250228-101633"/>
            <wp:cNvGraphicFramePr/>
            <a:graphic xmlns:a="http://schemas.openxmlformats.org/drawingml/2006/main">
              <a:graphicData uri="http://schemas.openxmlformats.org/drawingml/2006/picture">
                <pic:pic xmlns:pic="http://schemas.openxmlformats.org/drawingml/2006/picture">
                  <pic:nvPicPr>
                    <pic:cNvPr id="50" name="图片 50" descr="QQ20250228-101633"/>
                    <pic:cNvPicPr/>
                  </pic:nvPicPr>
                  <pic:blipFill>
                    <a:blip r:embed="rId33"/>
                    <a:stretch>
                      <a:fillRect/>
                    </a:stretch>
                  </pic:blipFill>
                  <pic:spPr>
                    <a:xfrm>
                      <a:off x="0" y="0"/>
                      <a:ext cx="5720715" cy="3100070"/>
                    </a:xfrm>
                    <a:prstGeom prst="rect">
                      <a:avLst/>
                    </a:prstGeom>
                  </pic:spPr>
                </pic:pic>
              </a:graphicData>
            </a:graphic>
          </wp:inline>
        </w:drawing>
      </w:r>
    </w:p>
    <w:p w14:paraId="220CC3C7">
      <w:pPr>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图25  2024年12月7日，学校举办第四届CAD技能大赛</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br w:type="page"/>
      </w:r>
    </w:p>
    <w:p w14:paraId="62F82126">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表7 2024-205学年学生在各类竞赛中部分获奖情况</w:t>
      </w:r>
    </w:p>
    <w:tbl>
      <w:tblPr>
        <w:tblStyle w:val="15"/>
        <w:tblW w:w="957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52"/>
        <w:gridCol w:w="5400"/>
        <w:gridCol w:w="1325"/>
        <w:gridCol w:w="1802"/>
      </w:tblGrid>
      <w:tr w14:paraId="0FDA7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6" w:hRule="atLeast"/>
          <w:jc w:val="center"/>
        </w:trPr>
        <w:tc>
          <w:tcPr>
            <w:tcW w:w="1052" w:type="dxa"/>
            <w:shd w:val="clear" w:color="auto" w:fill="9CC2E5" w:themeFill="accent1" w:themeFillTint="99"/>
            <w:vAlign w:val="center"/>
          </w:tcPr>
          <w:p w14:paraId="6F0DD59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级别</w:t>
            </w:r>
          </w:p>
        </w:tc>
        <w:tc>
          <w:tcPr>
            <w:tcW w:w="5400" w:type="dxa"/>
            <w:shd w:val="clear" w:color="auto" w:fill="9CC2E5" w:themeFill="accent1" w:themeFillTint="99"/>
            <w:vAlign w:val="center"/>
          </w:tcPr>
          <w:p w14:paraId="4DF74CE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竞赛名称</w:t>
            </w:r>
          </w:p>
        </w:tc>
        <w:tc>
          <w:tcPr>
            <w:tcW w:w="1325" w:type="dxa"/>
            <w:shd w:val="clear" w:color="auto" w:fill="9CC2E5" w:themeFill="accent1" w:themeFillTint="99"/>
            <w:vAlign w:val="center"/>
          </w:tcPr>
          <w:p w14:paraId="7D5E9A7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获奖等级</w:t>
            </w:r>
          </w:p>
        </w:tc>
        <w:tc>
          <w:tcPr>
            <w:tcW w:w="1802" w:type="dxa"/>
            <w:shd w:val="clear" w:color="auto" w:fill="9CC2E5" w:themeFill="accent1" w:themeFillTint="99"/>
            <w:vAlign w:val="center"/>
          </w:tcPr>
          <w:p w14:paraId="0AA8DA0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获奖学生</w:t>
            </w:r>
          </w:p>
        </w:tc>
      </w:tr>
      <w:tr w14:paraId="66B16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7285B2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4CCD98D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2025年广西职业院校技能大赛高职组教育与体育赛道一幼儿教育技能组赛项团体赛</w:t>
            </w:r>
          </w:p>
        </w:tc>
        <w:tc>
          <w:tcPr>
            <w:tcW w:w="1325" w:type="dxa"/>
            <w:vAlign w:val="center"/>
          </w:tcPr>
          <w:p w14:paraId="2FD2B86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铜奖</w:t>
            </w:r>
          </w:p>
        </w:tc>
        <w:tc>
          <w:tcPr>
            <w:tcW w:w="1802" w:type="dxa"/>
            <w:vAlign w:val="center"/>
          </w:tcPr>
          <w:p w14:paraId="22B8FE5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许婉婷、庞酥记、归丽婧、蒙秋鸿</w:t>
            </w:r>
          </w:p>
        </w:tc>
      </w:tr>
      <w:tr w14:paraId="60270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5DD1E0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53C64BF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2025年广西职业院校技能大赛高职组文化艺术赛道一室内空间设计与制作组赛项团体赛</w:t>
            </w:r>
          </w:p>
        </w:tc>
        <w:tc>
          <w:tcPr>
            <w:tcW w:w="1325" w:type="dxa"/>
            <w:vAlign w:val="center"/>
          </w:tcPr>
          <w:p w14:paraId="397A214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铜奖</w:t>
            </w:r>
          </w:p>
        </w:tc>
        <w:tc>
          <w:tcPr>
            <w:tcW w:w="1802" w:type="dxa"/>
            <w:vAlign w:val="center"/>
          </w:tcPr>
          <w:p w14:paraId="51B3D87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陶东阳、阮盈盈、杨媛、吴思思</w:t>
            </w:r>
          </w:p>
        </w:tc>
      </w:tr>
      <w:tr w14:paraId="7D1D6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36F2A0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39231D4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2025年全区师范生教学技能大赛</w:t>
            </w:r>
          </w:p>
        </w:tc>
        <w:tc>
          <w:tcPr>
            <w:tcW w:w="1325" w:type="dxa"/>
            <w:vAlign w:val="center"/>
          </w:tcPr>
          <w:p w14:paraId="2C15ABB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1541769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归丽婧</w:t>
            </w:r>
          </w:p>
        </w:tc>
      </w:tr>
      <w:tr w14:paraId="716EEA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586E64E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2195967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2025年全区师范生信息化教学应用大赛</w:t>
            </w:r>
          </w:p>
        </w:tc>
        <w:tc>
          <w:tcPr>
            <w:tcW w:w="1325" w:type="dxa"/>
            <w:vAlign w:val="center"/>
          </w:tcPr>
          <w:p w14:paraId="6883D88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5BB6497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黄群贺、赵积博、张曼</w:t>
            </w:r>
          </w:p>
        </w:tc>
      </w:tr>
      <w:tr w14:paraId="2AC9B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5B08014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353FDC1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广西壮族自治区第十四届学生运动会田径项目比赛高职高专男子组跳高</w:t>
            </w:r>
          </w:p>
        </w:tc>
        <w:tc>
          <w:tcPr>
            <w:tcW w:w="1325" w:type="dxa"/>
            <w:vAlign w:val="center"/>
          </w:tcPr>
          <w:p w14:paraId="0F0A66B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第1名</w:t>
            </w:r>
          </w:p>
        </w:tc>
        <w:tc>
          <w:tcPr>
            <w:tcW w:w="1802" w:type="dxa"/>
            <w:vAlign w:val="center"/>
          </w:tcPr>
          <w:p w14:paraId="1F25EA9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莫其炅</w:t>
            </w:r>
          </w:p>
        </w:tc>
      </w:tr>
      <w:tr w14:paraId="20FDAF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65CBAB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国家级</w:t>
            </w:r>
          </w:p>
        </w:tc>
        <w:tc>
          <w:tcPr>
            <w:tcW w:w="5400" w:type="dxa"/>
            <w:vAlign w:val="center"/>
          </w:tcPr>
          <w:p w14:paraId="44B756D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第十一届“学创杯”全国大学生创业综合模拟大赛全国总决赛创业综合模拟赛项</w:t>
            </w:r>
          </w:p>
        </w:tc>
        <w:tc>
          <w:tcPr>
            <w:tcW w:w="1325" w:type="dxa"/>
            <w:vAlign w:val="center"/>
          </w:tcPr>
          <w:p w14:paraId="788ECE1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164022D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陆宇航、王鸿桂、林丽</w:t>
            </w:r>
          </w:p>
        </w:tc>
      </w:tr>
      <w:tr w14:paraId="2F333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35781E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国家级</w:t>
            </w:r>
          </w:p>
        </w:tc>
        <w:tc>
          <w:tcPr>
            <w:tcW w:w="5400" w:type="dxa"/>
            <w:vAlign w:val="center"/>
          </w:tcPr>
          <w:p w14:paraId="5C5C5B2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第十一届“学创杯”全国大学生创业综合模拟大赛全国总决赛数字营销模拟赛项</w:t>
            </w:r>
          </w:p>
        </w:tc>
        <w:tc>
          <w:tcPr>
            <w:tcW w:w="1325" w:type="dxa"/>
            <w:vAlign w:val="center"/>
          </w:tcPr>
          <w:p w14:paraId="6DB3D10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792C6FF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方益元、许婉婷、刘艳梅</w:t>
            </w:r>
          </w:p>
        </w:tc>
      </w:tr>
      <w:tr w14:paraId="5E2A4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E1A9FE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国家级</w:t>
            </w:r>
          </w:p>
        </w:tc>
        <w:tc>
          <w:tcPr>
            <w:tcW w:w="5400" w:type="dxa"/>
            <w:vAlign w:val="center"/>
          </w:tcPr>
          <w:p w14:paraId="30F682F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第六届中华经典诵写讲大赛“诵读中国”经典诵读大赛</w:t>
            </w:r>
          </w:p>
        </w:tc>
        <w:tc>
          <w:tcPr>
            <w:tcW w:w="1325" w:type="dxa"/>
            <w:vAlign w:val="center"/>
          </w:tcPr>
          <w:p w14:paraId="7F312F1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0F943FF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王钊轩</w:t>
            </w:r>
          </w:p>
        </w:tc>
      </w:tr>
      <w:tr w14:paraId="6C22D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70540BF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6DDF35E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广西第十七届中华经典诵读大赛暨2024广西校园中华经典诵读比赛大学生二组</w:t>
            </w:r>
          </w:p>
        </w:tc>
        <w:tc>
          <w:tcPr>
            <w:tcW w:w="1325" w:type="dxa"/>
            <w:vAlign w:val="center"/>
          </w:tcPr>
          <w:p w14:paraId="4473614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一等奖</w:t>
            </w:r>
          </w:p>
        </w:tc>
        <w:tc>
          <w:tcPr>
            <w:tcW w:w="1802" w:type="dxa"/>
            <w:vAlign w:val="center"/>
          </w:tcPr>
          <w:p w14:paraId="68FB4F8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王钊轩</w:t>
            </w:r>
          </w:p>
        </w:tc>
      </w:tr>
      <w:tr w14:paraId="1720BB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1A5BFEC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1FD8F51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广西第十七届中华经典诵读大赛暨2024广西校园中华经典诵读比赛大学生二组</w:t>
            </w:r>
          </w:p>
        </w:tc>
        <w:tc>
          <w:tcPr>
            <w:tcW w:w="1325" w:type="dxa"/>
            <w:vAlign w:val="center"/>
          </w:tcPr>
          <w:p w14:paraId="1A47C45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6DFF19D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胡成超</w:t>
            </w:r>
          </w:p>
        </w:tc>
      </w:tr>
      <w:tr w14:paraId="588011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474A5F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4E70DA8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2024年全区大学生交通安全宣传作品创作大赛</w:t>
            </w:r>
          </w:p>
        </w:tc>
        <w:tc>
          <w:tcPr>
            <w:tcW w:w="1325" w:type="dxa"/>
            <w:vAlign w:val="center"/>
          </w:tcPr>
          <w:p w14:paraId="76EC59C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一等奖</w:t>
            </w:r>
          </w:p>
        </w:tc>
        <w:tc>
          <w:tcPr>
            <w:tcW w:w="1802" w:type="dxa"/>
            <w:vAlign w:val="center"/>
          </w:tcPr>
          <w:p w14:paraId="42C5F0B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周嘉静</w:t>
            </w:r>
          </w:p>
        </w:tc>
      </w:tr>
      <w:tr w14:paraId="4202E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056B74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7C4E645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2024年全区大学生交通安全宣传作品创作大赛</w:t>
            </w:r>
          </w:p>
        </w:tc>
        <w:tc>
          <w:tcPr>
            <w:tcW w:w="1325" w:type="dxa"/>
            <w:vAlign w:val="center"/>
          </w:tcPr>
          <w:p w14:paraId="3D098A8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68C2B8D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叶剑青</w:t>
            </w:r>
          </w:p>
        </w:tc>
      </w:tr>
      <w:tr w14:paraId="6FFE26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027C7A6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2B43938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2024年全区大学生交通安全宣传作品创作大赛</w:t>
            </w:r>
          </w:p>
        </w:tc>
        <w:tc>
          <w:tcPr>
            <w:tcW w:w="1325" w:type="dxa"/>
            <w:vAlign w:val="center"/>
          </w:tcPr>
          <w:p w14:paraId="0AC7BCA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4AE5304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熊远珍</w:t>
            </w:r>
          </w:p>
        </w:tc>
      </w:tr>
      <w:tr w14:paraId="6BDA81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6A2AF8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6224F19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2025年“学创杯”全国大学生创业综合模拟大赛广西赛区选拔赛数字营销模拟赛项（职教组）</w:t>
            </w:r>
          </w:p>
        </w:tc>
        <w:tc>
          <w:tcPr>
            <w:tcW w:w="1325" w:type="dxa"/>
            <w:vAlign w:val="center"/>
          </w:tcPr>
          <w:p w14:paraId="5C3B5E6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特等奖</w:t>
            </w:r>
          </w:p>
        </w:tc>
        <w:tc>
          <w:tcPr>
            <w:tcW w:w="1802" w:type="dxa"/>
            <w:vAlign w:val="center"/>
          </w:tcPr>
          <w:p w14:paraId="0011A13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方益元、许婉婷</w:t>
            </w:r>
          </w:p>
        </w:tc>
      </w:tr>
      <w:tr w14:paraId="1B1B1A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A4374C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5277956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2025年“学创杯”全国大学生创业综合模拟大赛广西赛区选拔赛创业综合模拟赛项（职教组）</w:t>
            </w:r>
          </w:p>
        </w:tc>
        <w:tc>
          <w:tcPr>
            <w:tcW w:w="1325" w:type="dxa"/>
            <w:vAlign w:val="center"/>
          </w:tcPr>
          <w:p w14:paraId="737E260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一等奖</w:t>
            </w:r>
          </w:p>
        </w:tc>
        <w:tc>
          <w:tcPr>
            <w:tcW w:w="1802" w:type="dxa"/>
            <w:vAlign w:val="center"/>
          </w:tcPr>
          <w:p w14:paraId="7222D52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黄菲、敖译之、何泳璋</w:t>
            </w:r>
          </w:p>
        </w:tc>
      </w:tr>
      <w:tr w14:paraId="1037CC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7AB015F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5145221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2025年“学创杯”全国大学生创业综合模拟大赛广西赛区选拔赛数字营销模拟赛项（职教组）</w:t>
            </w:r>
          </w:p>
        </w:tc>
        <w:tc>
          <w:tcPr>
            <w:tcW w:w="1325" w:type="dxa"/>
            <w:vAlign w:val="center"/>
          </w:tcPr>
          <w:p w14:paraId="5F30B20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一等奖</w:t>
            </w:r>
          </w:p>
        </w:tc>
        <w:tc>
          <w:tcPr>
            <w:tcW w:w="1802" w:type="dxa"/>
            <w:vAlign w:val="center"/>
          </w:tcPr>
          <w:p w14:paraId="03CC3ED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郑诚、吴松华、林杭</w:t>
            </w:r>
          </w:p>
        </w:tc>
      </w:tr>
      <w:tr w14:paraId="4C00F0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jc w:val="center"/>
        </w:trPr>
        <w:tc>
          <w:tcPr>
            <w:tcW w:w="1052" w:type="dxa"/>
            <w:vAlign w:val="center"/>
          </w:tcPr>
          <w:p w14:paraId="2BEC06E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0ABA7B9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2025年“学创杯”全国大学生创业综合模拟大赛广西赛区选拔赛财务决策模拟赛项（职教组）</w:t>
            </w:r>
          </w:p>
        </w:tc>
        <w:tc>
          <w:tcPr>
            <w:tcW w:w="1325" w:type="dxa"/>
            <w:vAlign w:val="center"/>
          </w:tcPr>
          <w:p w14:paraId="3D57AE5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637801E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郑月妹、杨秋丽、姚雨莹</w:t>
            </w:r>
          </w:p>
        </w:tc>
      </w:tr>
      <w:tr w14:paraId="27547A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8D6031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69A1368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2025年“学创杯”全国大学生创业综合模拟大赛广西赛区选拔赛财务决策模拟赛项（职教组）</w:t>
            </w:r>
          </w:p>
        </w:tc>
        <w:tc>
          <w:tcPr>
            <w:tcW w:w="1325" w:type="dxa"/>
            <w:vAlign w:val="center"/>
          </w:tcPr>
          <w:p w14:paraId="6E278BD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6CD9DF6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余旭梅、刘艳、梁雪怡</w:t>
            </w:r>
          </w:p>
        </w:tc>
      </w:tr>
      <w:tr w14:paraId="03C6A3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2DA1553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3EC045E5">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2025年“学创杯”全国大学生创业综合模拟大赛广西赛区选拔赛创业综合模拟赛项（职教组）</w:t>
            </w:r>
          </w:p>
        </w:tc>
        <w:tc>
          <w:tcPr>
            <w:tcW w:w="1325" w:type="dxa"/>
            <w:vAlign w:val="center"/>
          </w:tcPr>
          <w:p w14:paraId="71EDB3C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6BDB18E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邓康智、韦世富、曾兆榆</w:t>
            </w:r>
          </w:p>
        </w:tc>
      </w:tr>
      <w:tr w14:paraId="6DD5B9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56E3F5F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30170B4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2025年“学创杯”全国大学生创业综合模拟大赛广西赛区选拔赛创业综合模拟赛项（职教组）</w:t>
            </w:r>
          </w:p>
        </w:tc>
        <w:tc>
          <w:tcPr>
            <w:tcW w:w="1325" w:type="dxa"/>
            <w:vAlign w:val="center"/>
          </w:tcPr>
          <w:p w14:paraId="4E10386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56E41894">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王华铭、韦鹏、钟琪</w:t>
            </w:r>
          </w:p>
        </w:tc>
      </w:tr>
      <w:tr w14:paraId="6AD552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7EEBD63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0A8778C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米兰设计周中国高校设计学科师生优秀作品展广西赛区</w:t>
            </w:r>
          </w:p>
        </w:tc>
        <w:tc>
          <w:tcPr>
            <w:tcW w:w="1325" w:type="dxa"/>
            <w:vAlign w:val="center"/>
          </w:tcPr>
          <w:p w14:paraId="296F896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41F284C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梁业焕</w:t>
            </w:r>
          </w:p>
        </w:tc>
      </w:tr>
      <w:tr w14:paraId="29490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0A29EC5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49EA475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米兰设计周中国高校设计学科师生优秀作品展广西赛区</w:t>
            </w:r>
          </w:p>
        </w:tc>
        <w:tc>
          <w:tcPr>
            <w:tcW w:w="1325" w:type="dxa"/>
            <w:vAlign w:val="center"/>
          </w:tcPr>
          <w:p w14:paraId="78BFA80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62E49E4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黄淑莹、麦星宇</w:t>
            </w:r>
          </w:p>
        </w:tc>
      </w:tr>
      <w:tr w14:paraId="4219F1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0F0422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6460092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第十九届中国好创意暨全国数字艺术设计大赛高职组艺术疗愈类</w:t>
            </w:r>
          </w:p>
        </w:tc>
        <w:tc>
          <w:tcPr>
            <w:tcW w:w="1325" w:type="dxa"/>
            <w:vAlign w:val="center"/>
          </w:tcPr>
          <w:p w14:paraId="7D4C81C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4F66522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农佳欣</w:t>
            </w:r>
          </w:p>
        </w:tc>
      </w:tr>
      <w:tr w14:paraId="696C36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702681B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3643628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第十九届中国好创意暨全国数字艺术设计大赛分赛区高职组艺术疗愈类</w:t>
            </w:r>
          </w:p>
        </w:tc>
        <w:tc>
          <w:tcPr>
            <w:tcW w:w="1325" w:type="dxa"/>
            <w:vAlign w:val="center"/>
          </w:tcPr>
          <w:p w14:paraId="7E3A4D3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603F31E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农佳欣</w:t>
            </w:r>
          </w:p>
        </w:tc>
      </w:tr>
      <w:tr w14:paraId="392A3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95917C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3642C43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第十九届中国好创意暨全国数字艺术设计大赛分赛区高职组空间设计类</w:t>
            </w:r>
          </w:p>
        </w:tc>
        <w:tc>
          <w:tcPr>
            <w:tcW w:w="1325" w:type="dxa"/>
            <w:vAlign w:val="center"/>
          </w:tcPr>
          <w:p w14:paraId="34C1A9F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30FC2BE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蓝斯颖</w:t>
            </w:r>
          </w:p>
        </w:tc>
      </w:tr>
      <w:tr w14:paraId="42CA94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153DD67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1B7E030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第十九届中国好创意暨全国数字艺术设计大赛分赛区高职组空间设计类</w:t>
            </w:r>
          </w:p>
        </w:tc>
        <w:tc>
          <w:tcPr>
            <w:tcW w:w="1325" w:type="dxa"/>
            <w:vAlign w:val="center"/>
          </w:tcPr>
          <w:p w14:paraId="24892B6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1DF7E6C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邓嘉婧</w:t>
            </w:r>
          </w:p>
        </w:tc>
      </w:tr>
      <w:tr w14:paraId="53318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EE2121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78FAFC2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第十九届中国好创意暨全国数字艺术设计大赛分赛区高职组空间设计类</w:t>
            </w:r>
          </w:p>
        </w:tc>
        <w:tc>
          <w:tcPr>
            <w:tcW w:w="1325" w:type="dxa"/>
            <w:vAlign w:val="center"/>
          </w:tcPr>
          <w:p w14:paraId="1D70A67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4AAEECB7">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梁啟育</w:t>
            </w:r>
          </w:p>
        </w:tc>
      </w:tr>
      <w:tr w14:paraId="606597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41F602E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6CA98C3C">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第十九届中国好创意暨全国数字艺术设计大赛分赛区高职组艺术疗愈类</w:t>
            </w:r>
          </w:p>
        </w:tc>
        <w:tc>
          <w:tcPr>
            <w:tcW w:w="1325" w:type="dxa"/>
            <w:vAlign w:val="center"/>
          </w:tcPr>
          <w:p w14:paraId="2A411ED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30C2F1A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郭婷</w:t>
            </w:r>
          </w:p>
        </w:tc>
      </w:tr>
      <w:tr w14:paraId="3BB8E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005F2B96">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0A57991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在第13届未来设计师·全国高校数字艺术设计大赛广西赛区</w:t>
            </w:r>
          </w:p>
        </w:tc>
        <w:tc>
          <w:tcPr>
            <w:tcW w:w="1325" w:type="dxa"/>
            <w:vAlign w:val="center"/>
          </w:tcPr>
          <w:p w14:paraId="215B289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二等奖</w:t>
            </w:r>
          </w:p>
        </w:tc>
        <w:tc>
          <w:tcPr>
            <w:tcW w:w="1802" w:type="dxa"/>
            <w:vAlign w:val="center"/>
          </w:tcPr>
          <w:p w14:paraId="6E65FE1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甘桂宾、宾健强</w:t>
            </w:r>
          </w:p>
        </w:tc>
      </w:tr>
      <w:tr w14:paraId="486D22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0031279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6B46F72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在第13届未来设计师·全国高校数字艺术设计大赛广西赛区</w:t>
            </w:r>
          </w:p>
        </w:tc>
        <w:tc>
          <w:tcPr>
            <w:tcW w:w="1325" w:type="dxa"/>
            <w:vAlign w:val="center"/>
          </w:tcPr>
          <w:p w14:paraId="1175052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一等奖</w:t>
            </w:r>
          </w:p>
        </w:tc>
        <w:tc>
          <w:tcPr>
            <w:tcW w:w="1802" w:type="dxa"/>
            <w:vAlign w:val="center"/>
          </w:tcPr>
          <w:p w14:paraId="221294BF">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黄诗怡</w:t>
            </w:r>
          </w:p>
        </w:tc>
      </w:tr>
      <w:tr w14:paraId="228C93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3299674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7B4B6C7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在第13届未来设计师·全国高校数字艺术设计大赛广西赛区</w:t>
            </w:r>
          </w:p>
        </w:tc>
        <w:tc>
          <w:tcPr>
            <w:tcW w:w="1325" w:type="dxa"/>
            <w:vAlign w:val="center"/>
          </w:tcPr>
          <w:p w14:paraId="3336352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624A3A11">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黄淑莹、麦星宇</w:t>
            </w:r>
          </w:p>
        </w:tc>
      </w:tr>
      <w:tr w14:paraId="4F456B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90E161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2406C530">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在第13届未来设计师·全国高校数字艺术设计大赛广西赛区</w:t>
            </w:r>
          </w:p>
        </w:tc>
        <w:tc>
          <w:tcPr>
            <w:tcW w:w="1325" w:type="dxa"/>
            <w:vAlign w:val="center"/>
          </w:tcPr>
          <w:p w14:paraId="144F64E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48CD83EE">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梁丹婷</w:t>
            </w:r>
          </w:p>
        </w:tc>
      </w:tr>
      <w:tr w14:paraId="4D50D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6A05EF2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0896D67A">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在第13届未来设计师·全国高校数字艺术设计大赛广西赛区</w:t>
            </w:r>
          </w:p>
        </w:tc>
        <w:tc>
          <w:tcPr>
            <w:tcW w:w="1325" w:type="dxa"/>
            <w:vAlign w:val="center"/>
          </w:tcPr>
          <w:p w14:paraId="25C81853">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34DA7E08">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吴思思、杨媛</w:t>
            </w:r>
          </w:p>
        </w:tc>
      </w:tr>
      <w:tr w14:paraId="54A79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52" w:type="dxa"/>
            <w:vAlign w:val="center"/>
          </w:tcPr>
          <w:p w14:paraId="2281C71B">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区级</w:t>
            </w:r>
          </w:p>
        </w:tc>
        <w:tc>
          <w:tcPr>
            <w:tcW w:w="5400" w:type="dxa"/>
            <w:vAlign w:val="center"/>
          </w:tcPr>
          <w:p w14:paraId="732A633D">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在第13届未来设计师·全国高校数字艺术设计大赛全国总决赛</w:t>
            </w:r>
          </w:p>
        </w:tc>
        <w:tc>
          <w:tcPr>
            <w:tcW w:w="1325" w:type="dxa"/>
            <w:vAlign w:val="center"/>
          </w:tcPr>
          <w:p w14:paraId="32371BD9">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三等奖</w:t>
            </w:r>
          </w:p>
        </w:tc>
        <w:tc>
          <w:tcPr>
            <w:tcW w:w="1802" w:type="dxa"/>
            <w:vAlign w:val="center"/>
          </w:tcPr>
          <w:p w14:paraId="7E9E0482">
            <w:pPr>
              <w:pStyle w:val="9"/>
              <w:keepNext w:val="0"/>
              <w:keepLines w:val="0"/>
              <w:pageBreakBefore w:val="0"/>
              <w:widowControl w:val="0"/>
              <w:kinsoku/>
              <w:wordWrap/>
              <w:overflowPunct/>
              <w:topLinePunct w:val="0"/>
              <w:autoSpaceDE/>
              <w:autoSpaceDN/>
              <w:bidi w:val="0"/>
              <w:adjustRightInd/>
              <w:snapToGrid/>
              <w:spacing w:line="360" w:lineRule="exact"/>
              <w:ind w:left="0" w:leftChars="0" w:firstLine="0" w:firstLineChars="0"/>
              <w:jc w:val="center"/>
              <w:textAlignment w:val="auto"/>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highlight w:val="none"/>
                <w:lang w:val="en-US" w:eastAsia="zh-CN"/>
                <w14:textFill>
                  <w14:solidFill>
                    <w14:schemeClr w14:val="tx1"/>
                  </w14:solidFill>
                </w14:textFill>
              </w:rPr>
              <w:t>黄诗怡</w:t>
            </w:r>
          </w:p>
        </w:tc>
      </w:tr>
    </w:tbl>
    <w:p w14:paraId="442F5E66">
      <w:pPr>
        <w:pStyle w:val="9"/>
        <w:keepNext w:val="0"/>
        <w:keepLines w:val="0"/>
        <w:pageBreakBefore w:val="0"/>
        <w:kinsoku/>
        <w:wordWrap/>
        <w:bidi w:val="0"/>
        <w:spacing w:line="520" w:lineRule="exact"/>
        <w:ind w:firstLine="640" w:firstLineChars="200"/>
        <w:rPr>
          <w:rFonts w:hint="eastAsia"/>
          <w:color w:val="000000" w:themeColor="text1"/>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2.8多样成长</w:t>
      </w:r>
    </w:p>
    <w:p w14:paraId="68A7DB6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我校以“五育并举”为核心，紧扣学生全面发展需求，开展各类育人活动，构建覆盖劳育实践、美育浸润、志愿服务、校园生活等多维度的“多样成长”体系。各类活动协同推进、有机融合，为学生搭建多元化成长路径，助力学生综合素质实现显著提升。</w:t>
      </w:r>
    </w:p>
    <w:p w14:paraId="0F1AAF23">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（1）多元活动实践赋能，劳美发展筑根基</w:t>
      </w:r>
    </w:p>
    <w:p w14:paraId="4C41CD38">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整体以劳育与美育创新融合为抓手，构建校内实践与校外拓展实施路径。校内组织校园环境清扫、绿植养护等常态化劳动，让学生在美化校园的过程中增强责任意识与集体观念，开展“守护绿色家园，共建生态文明”主题植树节活动，2025 年3 月12日，全校师生共同参与植树造林，既美化了校园生态，更让学生体会到劳动的创造价值与生态保护的意义；组织2025年“三下乡”社会实践活动，师生团队深入乡村开展生产帮扶、技术支持等工作；走进社区开展便民志愿服务，将劳动技能转化为服务群众的实际能力。此外，还推动劳动教育与爱国主义教育相结合，学生工作处组织二级学院学生志愿者前往平果市革命烈士陵园、邓小平纪念公园等爱国主义教育基地，开展 15 次祭扫与环境卫生清洁志愿活动，学生在打扫陵园、清理杂草的劳动中，表达对先烈的崇敬与缅怀，实现劳动锻炼与思想洗礼的双重提升。</w:t>
      </w:r>
    </w:p>
    <w:p w14:paraId="3DF792E5">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以丰富多样的美育活动为载体，兼顾审美培养与文化传承。举办“声动校庆，梦绘青春”配音大赛、“十八载风华，笔墨绘未来”书画比赛、“弘宪法之光，绘法治蓝图”宪法书画展等艺术赛事，为学生提供展示才艺的平台；打造系列品牌文艺活动，2024 年“迎新生・庆国庆”文艺晚会、2025 年“迎新启航・再谱华章”元旦文艺晚会、“十八芳华育桃李，匠心筑梦新篇章”校庆文艺晚会、“青春正飞扬・逐梦向远方”毕业文艺晚会接连上演，两届校园草地音乐节点燃青春激情，让学生在艺术熏陶中提升审美素养；深入挖掘地域文化资源，组织学生参与歌圩、达努节等民俗文化活动，在民族歌舞、传统技艺的沉浸式体验中，增强文化传承能力。</w:t>
      </w:r>
    </w:p>
    <w:p w14:paraId="02228283">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drawing>
          <wp:anchor distT="0" distB="0" distL="114300" distR="114300" simplePos="0" relativeHeight="251696128" behindDoc="0" locked="0" layoutInCell="1" allowOverlap="1">
            <wp:simplePos x="0" y="0"/>
            <wp:positionH relativeFrom="column">
              <wp:posOffset>62230</wp:posOffset>
            </wp:positionH>
            <wp:positionV relativeFrom="paragraph">
              <wp:posOffset>155575</wp:posOffset>
            </wp:positionV>
            <wp:extent cx="5598795" cy="3624580"/>
            <wp:effectExtent l="0" t="0" r="1905" b="13970"/>
            <wp:wrapNone/>
            <wp:docPr id="27" name="图片 27"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图片1"/>
                    <pic:cNvPicPr>
                      <a:picLocks noChangeAspect="1"/>
                    </pic:cNvPicPr>
                  </pic:nvPicPr>
                  <pic:blipFill>
                    <a:blip r:embed="rId34"/>
                    <a:stretch>
                      <a:fillRect/>
                    </a:stretch>
                  </pic:blipFill>
                  <pic:spPr>
                    <a:xfrm>
                      <a:off x="0" y="0"/>
                      <a:ext cx="5598795" cy="3624580"/>
                    </a:xfrm>
                    <a:prstGeom prst="rect">
                      <a:avLst/>
                    </a:prstGeom>
                  </pic:spPr>
                </pic:pic>
              </a:graphicData>
            </a:graphic>
          </wp:anchor>
        </w:drawing>
      </w:r>
    </w:p>
    <w:p w14:paraId="3191849C">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68EA11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EF124F4">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4EE96E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E075F3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C17C2CF">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B769AE5">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8A2C539">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9223056">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A928086">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图26  组织学生参加2025年爱国卫生运动</w:t>
      </w:r>
    </w:p>
    <w:p w14:paraId="74D50670">
      <w:pPr>
        <w:pStyle w:val="2"/>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DC81F43">
      <w:pPr>
        <w:pStyle w:val="2"/>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7668F2F">
      <w:pPr>
        <w:pStyle w:val="2"/>
        <w:ind w:left="0" w:leftChars="0" w:firstLine="0" w:firstLineChars="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F411AD9">
      <w:pPr>
        <w:pStyle w:val="2"/>
        <w:rPr>
          <w:rFonts w:hint="default"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drawing>
          <wp:anchor distT="0" distB="0" distL="114300" distR="114300" simplePos="0" relativeHeight="251697152" behindDoc="0" locked="0" layoutInCell="1" allowOverlap="1">
            <wp:simplePos x="0" y="0"/>
            <wp:positionH relativeFrom="column">
              <wp:posOffset>132715</wp:posOffset>
            </wp:positionH>
            <wp:positionV relativeFrom="paragraph">
              <wp:posOffset>67945</wp:posOffset>
            </wp:positionV>
            <wp:extent cx="5643880" cy="3639820"/>
            <wp:effectExtent l="0" t="0" r="13970" b="17780"/>
            <wp:wrapNone/>
            <wp:docPr id="46" name="图片 46" descr="QQ20250228-100108"/>
            <wp:cNvGraphicFramePr/>
            <a:graphic xmlns:a="http://schemas.openxmlformats.org/drawingml/2006/main">
              <a:graphicData uri="http://schemas.openxmlformats.org/drawingml/2006/picture">
                <pic:pic xmlns:pic="http://schemas.openxmlformats.org/drawingml/2006/picture">
                  <pic:nvPicPr>
                    <pic:cNvPr id="46" name="图片 46" descr="QQ20250228-100108"/>
                    <pic:cNvPicPr/>
                  </pic:nvPicPr>
                  <pic:blipFill>
                    <a:blip r:embed="rId35"/>
                    <a:stretch>
                      <a:fillRect/>
                    </a:stretch>
                  </pic:blipFill>
                  <pic:spPr>
                    <a:xfrm>
                      <a:off x="0" y="0"/>
                      <a:ext cx="5643880" cy="3639820"/>
                    </a:xfrm>
                    <a:prstGeom prst="rect">
                      <a:avLst/>
                    </a:prstGeom>
                  </pic:spPr>
                </pic:pic>
              </a:graphicData>
            </a:graphic>
          </wp:anchor>
        </w:drawing>
      </w:r>
    </w:p>
    <w:p w14:paraId="3AE025C7">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367C3975">
      <w:pPr>
        <w:pStyle w:val="2"/>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0C15E5E4">
      <w:pPr>
        <w:pStyle w:val="2"/>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40A421A5">
      <w:pPr>
        <w:pStyle w:val="2"/>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5D75DC5F">
      <w:pPr>
        <w:pStyle w:val="2"/>
        <w:ind w:left="0" w:leftChars="0" w:firstLine="0" w:firstLineChars="0"/>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65D30F56">
      <w:pPr>
        <w:pStyle w:val="2"/>
        <w:ind w:left="0" w:leftChars="0" w:firstLine="0" w:firstLineChars="0"/>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0A29F4A4">
      <w:pPr>
        <w:pStyle w:val="2"/>
        <w:ind w:left="0" w:leftChars="0" w:firstLine="0" w:firstLineChars="0"/>
        <w:rPr>
          <w:rFonts w:hint="eastAsia" w:ascii="仿宋_GB2312" w:hAnsi="仿宋_GB2312" w:eastAsia="宋体" w:cs="仿宋_GB2312"/>
          <w:color w:val="000000" w:themeColor="text1"/>
          <w:kern w:val="0"/>
          <w:sz w:val="30"/>
          <w:szCs w:val="30"/>
          <w:highlight w:val="none"/>
          <w:lang w:val="en-US" w:eastAsia="zh-CN" w:bidi="ar"/>
          <w14:textFill>
            <w14:solidFill>
              <w14:schemeClr w14:val="tx1"/>
            </w14:solidFill>
          </w14:textFill>
        </w:rPr>
      </w:pPr>
    </w:p>
    <w:p w14:paraId="4CAE0AE4">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center"/>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t>图27 2024年12月3日，我校举行校园草地音乐节</w:t>
      </w:r>
    </w:p>
    <w:p w14:paraId="37F76A7D">
      <w:pPr>
        <w:rPr>
          <w:rFonts w:hint="eastAsia"/>
          <w:color w:val="000000" w:themeColor="text1"/>
          <w:lang w:val="en-US" w:eastAsia="zh-CN"/>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drawing>
          <wp:anchor distT="0" distB="0" distL="114300" distR="114300" simplePos="0" relativeHeight="251700224" behindDoc="0" locked="0" layoutInCell="1" allowOverlap="1">
            <wp:simplePos x="0" y="0"/>
            <wp:positionH relativeFrom="column">
              <wp:posOffset>77470</wp:posOffset>
            </wp:positionH>
            <wp:positionV relativeFrom="paragraph">
              <wp:posOffset>30480</wp:posOffset>
            </wp:positionV>
            <wp:extent cx="5634355" cy="3130550"/>
            <wp:effectExtent l="0" t="0" r="4445" b="12700"/>
            <wp:wrapNone/>
            <wp:docPr id="24" name="图片 24" descr="f621510d546c52619381e19e73cd9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f621510d546c52619381e19e73cd9fd"/>
                    <pic:cNvPicPr>
                      <a:picLocks noChangeAspect="1"/>
                    </pic:cNvPicPr>
                  </pic:nvPicPr>
                  <pic:blipFill>
                    <a:blip r:embed="rId36"/>
                    <a:stretch>
                      <a:fillRect/>
                    </a:stretch>
                  </pic:blipFill>
                  <pic:spPr>
                    <a:xfrm>
                      <a:off x="0" y="0"/>
                      <a:ext cx="5634355" cy="3130550"/>
                    </a:xfrm>
                    <a:prstGeom prst="rect">
                      <a:avLst/>
                    </a:prstGeom>
                  </pic:spPr>
                </pic:pic>
              </a:graphicData>
            </a:graphic>
          </wp:anchor>
        </w:drawing>
      </w:r>
    </w:p>
    <w:p w14:paraId="5D83F94A">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511459F">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803607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249E99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4281D5A">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48062D4">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7C7DFCE">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55C7A06">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71ED9AD">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383F17C">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60" w:lineRule="exact"/>
        <w:ind w:right="0" w:firstLine="560" w:firstLineChars="200"/>
        <w:jc w:val="center"/>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t>图28 2024年9月25日，广西工程职业学院2024年“迎新生·庆国庆”文艺晚会</w:t>
      </w:r>
    </w:p>
    <w:p w14:paraId="1F09D516">
      <w:pPr>
        <w:rPr>
          <w:rFonts w:hint="eastAsia"/>
          <w:color w:val="000000" w:themeColor="text1"/>
          <w:lang w:val="en-US" w:eastAsia="zh-CN"/>
          <w14:textFill>
            <w14:solidFill>
              <w14:schemeClr w14:val="tx1"/>
            </w14:solidFill>
          </w14:textFill>
        </w:rPr>
      </w:pPr>
    </w:p>
    <w:p w14:paraId="0B68206F">
      <w:pPr>
        <w:pStyle w:val="9"/>
        <w:keepNext w:val="0"/>
        <w:keepLines w:val="0"/>
        <w:pageBreakBefore w:val="0"/>
        <w:widowControl w:val="0"/>
        <w:kinsoku/>
        <w:wordWrap/>
        <w:overflowPunct/>
        <w:topLinePunct w:val="0"/>
        <w:autoSpaceDE/>
        <w:autoSpaceDN/>
        <w:bidi w:val="0"/>
        <w:adjustRightInd/>
        <w:snapToGrid/>
        <w:spacing w:line="50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（2）深耕志愿服务沃土，厚植实践育人根基</w:t>
      </w:r>
    </w:p>
    <w:p w14:paraId="130AC91C">
      <w:pPr>
        <w:pStyle w:val="9"/>
        <w:keepNext w:val="0"/>
        <w:keepLines w:val="0"/>
        <w:pageBreakBefore w:val="0"/>
        <w:widowControl w:val="0"/>
        <w:kinsoku/>
        <w:wordWrap/>
        <w:overflowPunct/>
        <w:topLinePunct w:val="0"/>
        <w:autoSpaceDE/>
        <w:autoSpaceDN/>
        <w:bidi w:val="0"/>
        <w:adjustRightInd/>
        <w:snapToGrid/>
        <w:spacing w:line="50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围绕 “雷锋月”“五四青年节”等重要时间节点，策划开展针对性志愿服务活动。2025年3月，组织“青春志愿行・温暖老人心”主题活动，志愿者前往平果市亿安康养老服务中心开展志愿活动；五四青年节期间，开展“青春薪火传 五四志愿服务暖社区”活动。全年累计开展养老院关爱、无偿献血、慈善助学捐赠、社区服务等各类志愿服务26项，参与学生达3000余人次，累计服务时长超6900小时，形成 “节点有活动、常态有服务”的特色模式。</w:t>
      </w:r>
    </w:p>
    <w:p w14:paraId="4E3A5F5C">
      <w:pPr>
        <w:pStyle w:val="9"/>
        <w:keepNext w:val="0"/>
        <w:keepLines w:val="0"/>
        <w:pageBreakBefore w:val="0"/>
        <w:widowControl w:val="0"/>
        <w:kinsoku/>
        <w:wordWrap/>
        <w:overflowPunct/>
        <w:topLinePunct w:val="0"/>
        <w:autoSpaceDE/>
        <w:autoSpaceDN/>
        <w:bidi w:val="0"/>
        <w:adjustRightInd/>
        <w:snapToGrid/>
        <w:spacing w:line="50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社会实践工作向深度化方向推进，暑期集中组织“三下乡”社会实践活动，师生团队深入乡村、社区开展主题宣讲、文化服务、便民帮扶等工作，撰写实践报告8余篇，实现“实践育人”与“服务地方”的双向赋能，有效锻炼学生解决实际问题的能力。</w:t>
      </w:r>
    </w:p>
    <w:p w14:paraId="3C052882">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drawing>
          <wp:anchor distT="0" distB="0" distL="114300" distR="114300" simplePos="0" relativeHeight="251698176" behindDoc="0" locked="0" layoutInCell="1" allowOverlap="1">
            <wp:simplePos x="0" y="0"/>
            <wp:positionH relativeFrom="column">
              <wp:posOffset>116205</wp:posOffset>
            </wp:positionH>
            <wp:positionV relativeFrom="paragraph">
              <wp:posOffset>141605</wp:posOffset>
            </wp:positionV>
            <wp:extent cx="5445760" cy="3213100"/>
            <wp:effectExtent l="0" t="0" r="2540" b="6350"/>
            <wp:wrapNone/>
            <wp:docPr id="48" name="图片 48" descr="mmexport175101778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mmexport1751017782819"/>
                    <pic:cNvPicPr>
                      <a:picLocks noChangeAspect="1"/>
                    </pic:cNvPicPr>
                  </pic:nvPicPr>
                  <pic:blipFill>
                    <a:blip r:embed="rId37"/>
                    <a:stretch>
                      <a:fillRect/>
                    </a:stretch>
                  </pic:blipFill>
                  <pic:spPr>
                    <a:xfrm>
                      <a:off x="0" y="0"/>
                      <a:ext cx="5445760" cy="3213100"/>
                    </a:xfrm>
                    <a:prstGeom prst="rect">
                      <a:avLst/>
                    </a:prstGeom>
                  </pic:spPr>
                </pic:pic>
              </a:graphicData>
            </a:graphic>
          </wp:anchor>
        </w:drawing>
      </w:r>
    </w:p>
    <w:p w14:paraId="5F187B15">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53FD8B12">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4516ADBB">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02E7D666">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6201A679">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68AC0F06">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5FCAFEEE">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7357AA17">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0B260CD4">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t>图29  组织学生参加献血活动</w:t>
      </w:r>
    </w:p>
    <w:p w14:paraId="3BAE0BA9">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（3）精准为职普融通赋能，多元校园促多样成长</w:t>
      </w:r>
    </w:p>
    <w:p w14:paraId="62023E69">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扎实开展“青马工程”培训、学生干部专题培训等活动，覆盖学生干部500余人，提升学生政治素养与组织管理能力；以发展新团员入团仪式、主题黑板报评比、第十八届学生代表大会等为载体，将职业素养培育与思想引领深度融合，锻造学生团队协作、沟通表达等核心职业能力，为学生未来职业发展筑牢基础。</w:t>
      </w:r>
    </w:p>
    <w:p w14:paraId="44EE2D9E">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打造多元化校园文化活动矩阵。节庆类活动精彩纷呈，端午节“香囊传情·端午寄意”、元旦文艺晚会等活动，让学生在节日氛围中感受文化魅力、增进同学情谊；文体类活动蓬勃开展，“五四杯”篮球比赛、羽毛球比赛、“新生杯”篮球大赛、校园好声音等赛事接连举办，覆盖学生2000余人，展现学生青春风采；心理健康类活动精准落地，以“生命有光，成长有彩”为主题的“3·25”心理健康月活动，通过心理微电影大赛、朋辈心理辅导技能大赛、心理健康主题班会等系列活动，为学生搭建心灵成长平台，助力学生以健康心态奔赴成长之旅；禁毒教育类活动筑牢防线，承办平果市2025年“6·26”国际禁毒日暨全民禁毒宣传月启动仪式，以“防范青少年药物滥用”为主题开展宣传教育，提升师生识毒辨毒、主动拒毒的意识与能力，为学生健康成长保驾护航。</w:t>
      </w:r>
    </w:p>
    <w:p w14:paraId="74B5C6B6">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EC3FCB1">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668F5EC">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F241021">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CCB66E7">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4F670D4">
      <w:pPr>
        <w:rPr>
          <w:rFonts w:hint="eastAsia"/>
          <w:color w:val="000000" w:themeColor="text1"/>
          <w:highlight w:val="none"/>
          <w:lang w:val="en-US" w:eastAsia="zh-CN"/>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drawing>
          <wp:anchor distT="0" distB="0" distL="114300" distR="114300" simplePos="0" relativeHeight="251699200" behindDoc="0" locked="0" layoutInCell="1" allowOverlap="1">
            <wp:simplePos x="0" y="0"/>
            <wp:positionH relativeFrom="column">
              <wp:posOffset>70485</wp:posOffset>
            </wp:positionH>
            <wp:positionV relativeFrom="paragraph">
              <wp:posOffset>66040</wp:posOffset>
            </wp:positionV>
            <wp:extent cx="5574665" cy="3408680"/>
            <wp:effectExtent l="0" t="0" r="6985" b="1270"/>
            <wp:wrapNone/>
            <wp:docPr id="13" name="图片 13" descr="DSC_3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DSC_3662"/>
                    <pic:cNvPicPr>
                      <a:picLocks noChangeAspect="1"/>
                    </pic:cNvPicPr>
                  </pic:nvPicPr>
                  <pic:blipFill>
                    <a:blip r:embed="rId38"/>
                    <a:stretch>
                      <a:fillRect/>
                    </a:stretch>
                  </pic:blipFill>
                  <pic:spPr>
                    <a:xfrm>
                      <a:off x="0" y="0"/>
                      <a:ext cx="5574665" cy="3408680"/>
                    </a:xfrm>
                    <a:prstGeom prst="rect">
                      <a:avLst/>
                    </a:prstGeom>
                  </pic:spPr>
                </pic:pic>
              </a:graphicData>
            </a:graphic>
          </wp:anchor>
        </w:drawing>
      </w:r>
    </w:p>
    <w:p w14:paraId="2551659D">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6A36D89B">
      <w:pP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25E8E4AE">
      <w:pPr>
        <w:pStyle w:val="2"/>
        <w:rPr>
          <w:rFonts w:hint="eastAsia"/>
          <w:color w:val="000000" w:themeColor="text1"/>
          <w:highlight w:val="none"/>
          <w:lang w:val="en-US" w:eastAsia="zh-CN"/>
          <w14:textFill>
            <w14:solidFill>
              <w14:schemeClr w14:val="tx1"/>
            </w14:solidFill>
          </w14:textFill>
        </w:rPr>
      </w:pPr>
    </w:p>
    <w:p w14:paraId="06B15D0D">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7BAD73AA">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281FE72B">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256E5B82">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5D226920">
      <w:pP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663D0EAF">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60" w:lineRule="exact"/>
        <w:ind w:right="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58F54B56">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exact"/>
        <w:ind w:left="1119" w:leftChars="266" w:right="0" w:hanging="560" w:hanging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1F125068">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exact"/>
        <w:ind w:right="0"/>
        <w:jc w:val="center"/>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t>图30  2024年9月24日，学校组织开展广西工程职业学院2024年</w:t>
      </w:r>
    </w:p>
    <w:p w14:paraId="48947F34">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exact"/>
        <w:ind w:right="0"/>
        <w:jc w:val="center"/>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t>“我与祖国共成长·争做时代追梦人”学生干部座谈会</w:t>
      </w:r>
    </w:p>
    <w:p w14:paraId="0F4857BC">
      <w:pPr>
        <w:keepNext w:val="0"/>
        <w:keepLines w:val="0"/>
        <w:pageBreakBefore w:val="0"/>
        <w:widowControl w:val="0"/>
        <w:kinsoku/>
        <w:wordWrap/>
        <w:overflowPunct/>
        <w:topLinePunct w:val="0"/>
        <w:autoSpaceDE/>
        <w:autoSpaceDN/>
        <w:bidi w:val="0"/>
        <w:adjustRightInd/>
        <w:snapToGrid/>
        <w:spacing w:line="520" w:lineRule="exact"/>
        <w:ind w:firstLine="643" w:firstLineChars="200"/>
        <w:jc w:val="both"/>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案例四：组织学生到爱国主义教育基地开展劳动教育实践</w:t>
      </w:r>
    </w:p>
    <w:p w14:paraId="596E6338">
      <w:pPr>
        <w:keepNext w:val="0"/>
        <w:keepLines w:val="0"/>
        <w:pageBreakBefore w:val="0"/>
        <w:widowControl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活动</w:t>
      </w:r>
    </w:p>
    <w:p w14:paraId="034A3E7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推动劳动教育走出校园，与社会服务、爱国主义教育相结合。本年度，学生工作处组织二级学院学生志愿者前往平果市革命烈士陵园、邓小平纪念公园等爱国主义教育基地开展祭扫与环境卫生清洁志愿活动。学生在庄严肃穆的氛围中，通过打扫陵园、清理园区杂草等具体劳动方式，不仅践行了志愿服务精神，更在接受革命传统教育的同时，以劳动表达对先烈的崇敬与缅怀，实现了劳动锻炼与思想洗礼的双重成效。2025年，我校共计组织开展针对校外爱国主义教育基地的劳动教育实践活动15次。</w:t>
      </w:r>
    </w:p>
    <w:p w14:paraId="3B8C0E33">
      <w:pPr>
        <w:keepNext w:val="0"/>
        <w:keepLines w:val="0"/>
        <w:pageBreakBefore w:val="0"/>
        <w:widowControl w:val="0"/>
        <w:kinsoku/>
        <w:wordWrap/>
        <w:overflowPunct/>
        <w:topLinePunct w:val="0"/>
        <w:autoSpaceDE/>
        <w:autoSpaceDN/>
        <w:bidi w:val="0"/>
        <w:adjustRightInd/>
        <w:snapToGrid/>
        <w:spacing w:line="240" w:lineRule="auto"/>
        <w:jc w:val="both"/>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drawing>
          <wp:inline distT="0" distB="0" distL="114300" distR="114300">
            <wp:extent cx="5708015" cy="3541395"/>
            <wp:effectExtent l="0" t="0" r="6985" b="1905"/>
            <wp:docPr id="29" name="图片 29" descr="图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图片7"/>
                    <pic:cNvPicPr>
                      <a:picLocks noChangeAspect="1"/>
                    </pic:cNvPicPr>
                  </pic:nvPicPr>
                  <pic:blipFill>
                    <a:blip r:embed="rId39"/>
                    <a:stretch>
                      <a:fillRect/>
                    </a:stretch>
                  </pic:blipFill>
                  <pic:spPr>
                    <a:xfrm>
                      <a:off x="0" y="0"/>
                      <a:ext cx="5708015" cy="3541395"/>
                    </a:xfrm>
                    <a:prstGeom prst="rect">
                      <a:avLst/>
                    </a:prstGeom>
                  </pic:spPr>
                </pic:pic>
              </a:graphicData>
            </a:graphic>
          </wp:inline>
        </w:drawing>
      </w:r>
    </w:p>
    <w:p w14:paraId="2ADD5809">
      <w:pPr>
        <w:keepNext w:val="0"/>
        <w:keepLines w:val="0"/>
        <w:pageBreakBefore w:val="0"/>
        <w:widowControl w:val="0"/>
        <w:kinsoku/>
        <w:wordWrap/>
        <w:overflowPunct/>
        <w:topLinePunct w:val="0"/>
        <w:autoSpaceDE/>
        <w:autoSpaceDN/>
        <w:bidi w:val="0"/>
        <w:adjustRightInd/>
        <w:snapToGrid/>
        <w:spacing w:line="240" w:lineRule="auto"/>
        <w:ind w:firstLine="840" w:firstLineChars="300"/>
        <w:jc w:val="both"/>
        <w:textAlignment w:val="auto"/>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图31  组织学生到爱国主义教育基地开展劳动教育实践活动</w:t>
      </w:r>
    </w:p>
    <w:p w14:paraId="06425A32">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案例五 ：开展“守护绿色家园·共建生态文明”植树节专题劳动教育实践活动</w:t>
      </w:r>
    </w:p>
    <w:p w14:paraId="6AA437D3">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为深入学习贯彻习近平生态文明思想，响应国家植树造林、绿化祖国的号召，进一步美化校园环境，增强师生生态文明意识和劳动实践能力，2025年3月12日，我校组织开展了以“守护绿色家园·共建生态文明”为主题的植树节活动。活动不仅美化了校园生态，更让学生在实践中深刻体会到劳动的创造价值与生态保护的意义，提升了生态文明素养与实践动手能力，同时进一步提升了广大师生的生态环保意识和社会责任感，弘扬了植绿、爱绿、护绿的文明新风尚。我校将持续深化生态文明教育，将绿色发展理念融入教育教学全过程，引导师生以实际行动守护共同的绿色家园，为建设生态文明贡献智慧和力量。</w:t>
      </w:r>
    </w:p>
    <w:p w14:paraId="7EB5AEA1">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anchor distT="0" distB="0" distL="114300" distR="114300" simplePos="0" relativeHeight="251689984" behindDoc="0" locked="0" layoutInCell="1" allowOverlap="1">
            <wp:simplePos x="0" y="0"/>
            <wp:positionH relativeFrom="column">
              <wp:posOffset>-14605</wp:posOffset>
            </wp:positionH>
            <wp:positionV relativeFrom="paragraph">
              <wp:posOffset>175895</wp:posOffset>
            </wp:positionV>
            <wp:extent cx="5647690" cy="3371850"/>
            <wp:effectExtent l="0" t="0" r="10160" b="0"/>
            <wp:wrapNone/>
            <wp:docPr id="26" name="图片 26" descr="mmexport1744009577644"/>
            <wp:cNvGraphicFramePr/>
            <a:graphic xmlns:a="http://schemas.openxmlformats.org/drawingml/2006/main">
              <a:graphicData uri="http://schemas.openxmlformats.org/drawingml/2006/picture">
                <pic:pic xmlns:pic="http://schemas.openxmlformats.org/drawingml/2006/picture">
                  <pic:nvPicPr>
                    <pic:cNvPr id="26" name="图片 26" descr="mmexport1744009577644"/>
                    <pic:cNvPicPr/>
                  </pic:nvPicPr>
                  <pic:blipFill>
                    <a:blip r:embed="rId40"/>
                    <a:stretch>
                      <a:fillRect/>
                    </a:stretch>
                  </pic:blipFill>
                  <pic:spPr>
                    <a:xfrm>
                      <a:off x="0" y="0"/>
                      <a:ext cx="5647690" cy="3371850"/>
                    </a:xfrm>
                    <a:prstGeom prst="rect">
                      <a:avLst/>
                    </a:prstGeom>
                  </pic:spPr>
                </pic:pic>
              </a:graphicData>
            </a:graphic>
          </wp:anchor>
        </w:drawing>
      </w:r>
    </w:p>
    <w:p w14:paraId="76E7C2B9">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6EE931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CD9F9DF">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D766158">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B700E6F">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0E94B4D">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3525660">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762B30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DDA1B33">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A5D2122">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009C19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图32 “守护绿色家园，共建生态文明”植树节活动现场</w:t>
      </w:r>
    </w:p>
    <w:p w14:paraId="5ED60975">
      <w:pPr>
        <w:pStyle w:val="9"/>
        <w:keepNext w:val="0"/>
        <w:keepLines w:val="0"/>
        <w:pageBreakBefore w:val="0"/>
        <w:kinsoku/>
        <w:wordWrap/>
        <w:bidi w:val="0"/>
        <w:spacing w:line="520" w:lineRule="exact"/>
        <w:ind w:left="0" w:leftChars="0" w:firstLine="575" w:firstLineChars="200"/>
        <w:rPr>
          <w:rFonts w:hint="eastAsia" w:ascii="仿宋_GB2312" w:hAnsi="仿宋_GB2312" w:eastAsia="仿宋_GB2312" w:cs="仿宋_GB2312"/>
          <w:b/>
          <w:bCs/>
          <w:color w:val="000000" w:themeColor="text1"/>
          <w:spacing w:val="-17"/>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pacing w:val="-17"/>
          <w:sz w:val="32"/>
          <w:szCs w:val="32"/>
          <w:highlight w:val="none"/>
          <w:lang w:val="en-US" w:eastAsia="zh-CN"/>
          <w14:textFill>
            <w14:solidFill>
              <w14:schemeClr w14:val="tx1"/>
            </w14:solidFill>
          </w14:textFill>
        </w:rPr>
        <w:t>案例六:2025年“6·26”国际禁毒日暨全民禁毒宣传月活动</w:t>
      </w:r>
    </w:p>
    <w:p w14:paraId="2E6B3CFE">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为守护青少年纯净成长环境，全面提升青年群体识毒辨毒、主动拒毒的意识与能力，6月17日，以“防范青少年药物滥用”为主题的平果市2025年“6·26”国际禁毒日暨全民禁毒宣传月活动启动仪式在广西工程职业学院体育馆举行。禁毒工作承载着维护国家安全、民族兴衰、人民福祉的重任，是社会稳定和经济高质量发展的重要保障。通过宣传学习，提高全体师生保持清醒认识和高度警觉，主动担当、积极作为，坚决打击整治非列管毒品替代物滥用问题，用好用足法律武器，有效压制其蔓延势头，为青年学生健康成长提供良好环境。</w:t>
      </w:r>
    </w:p>
    <w:p w14:paraId="11A1C3ED">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6433124">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CB48B9F">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drawing>
          <wp:anchor distT="0" distB="0" distL="0" distR="0" simplePos="0" relativeHeight="251691008" behindDoc="0" locked="0" layoutInCell="1" allowOverlap="1">
            <wp:simplePos x="0" y="0"/>
            <wp:positionH relativeFrom="column">
              <wp:posOffset>108585</wp:posOffset>
            </wp:positionH>
            <wp:positionV relativeFrom="paragraph">
              <wp:posOffset>114300</wp:posOffset>
            </wp:positionV>
            <wp:extent cx="5527040" cy="3487420"/>
            <wp:effectExtent l="0" t="0" r="16510" b="17780"/>
            <wp:wrapNone/>
            <wp:docPr id="11088649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864955" name="图片 1"/>
                    <pic:cNvPicPr>
                      <a:picLocks noChangeAspect="1" noChangeArrowheads="1"/>
                    </pic:cNvPicPr>
                  </pic:nvPicPr>
                  <pic:blipFill>
                    <a:blip r:embed="rId41"/>
                    <a:srcRect/>
                    <a:stretch>
                      <a:fillRect/>
                    </a:stretch>
                  </pic:blipFill>
                  <pic:spPr>
                    <a:xfrm>
                      <a:off x="0" y="0"/>
                      <a:ext cx="5527040" cy="3487420"/>
                    </a:xfrm>
                    <a:prstGeom prst="rect">
                      <a:avLst/>
                    </a:prstGeom>
                    <a:noFill/>
                    <a:ln>
                      <a:noFill/>
                    </a:ln>
                  </pic:spPr>
                </pic:pic>
              </a:graphicData>
            </a:graphic>
          </wp:anchor>
        </w:drawing>
      </w:r>
    </w:p>
    <w:p w14:paraId="5E4260CA">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E56FBD5">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55DFB0F">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6B42C8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2F9E932">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03F17D9">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97CB958">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CC5EDC1">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EF9BBE9">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B82E28E">
      <w:pPr>
        <w:pStyle w:val="9"/>
        <w:keepNext w:val="0"/>
        <w:keepLines w:val="0"/>
        <w:pageBreakBefore w:val="0"/>
        <w:widowControl w:val="0"/>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AF45C20">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图33 平果市2025年“6·26”国际禁毒日暨“全民禁毒宣传月”启动仪式在我校举行</w:t>
      </w:r>
    </w:p>
    <w:p w14:paraId="559ADCDF">
      <w:pPr>
        <w:pStyle w:val="9"/>
        <w:keepNext w:val="0"/>
        <w:keepLines w:val="0"/>
        <w:pageBreakBefore w:val="0"/>
        <w:kinsoku/>
        <w:wordWrap/>
        <w:bidi w:val="0"/>
        <w:spacing w:line="520" w:lineRule="exact"/>
        <w:ind w:left="0" w:leftChars="0" w:firstLine="643" w:firstLineChars="200"/>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案例七：</w:t>
      </w:r>
      <w:r>
        <w:rPr>
          <w:rFonts w:hint="eastAsia" w:ascii="仿宋_GB2312" w:hAnsi="仿宋_GB2312" w:eastAsia="仿宋_GB2312" w:cs="仿宋_GB2312"/>
          <w:b/>
          <w:bCs/>
          <w:color w:val="000000" w:themeColor="text1"/>
          <w:sz w:val="32"/>
          <w:szCs w:val="32"/>
          <w:highlight w:val="none"/>
          <w14:textFill>
            <w14:solidFill>
              <w14:schemeClr w14:val="tx1"/>
            </w14:solidFill>
          </w14:textFill>
        </w:rPr>
        <w:t>“</w:t>
      </w: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生命有光，成长有彩</w:t>
      </w:r>
      <w:r>
        <w:rPr>
          <w:rFonts w:hint="eastAsia" w:ascii="仿宋_GB2312" w:hAnsi="仿宋_GB2312" w:eastAsia="仿宋_GB2312" w:cs="仿宋_GB2312"/>
          <w:b/>
          <w:bCs/>
          <w:color w:val="000000" w:themeColor="text1"/>
          <w:sz w:val="32"/>
          <w:szCs w:val="32"/>
          <w:highlight w:val="none"/>
          <w14:textFill>
            <w14:solidFill>
              <w14:schemeClr w14:val="tx1"/>
            </w14:solidFill>
          </w14:textFill>
        </w:rPr>
        <w:t>”</w:t>
      </w: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心理健康活动月活动</w:t>
      </w:r>
    </w:p>
    <w:p w14:paraId="037E3D9A">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为普及心理健康知识、营造阳光向上的校园氛围，我校“3·25”心理健康月以“生命有光，成长有彩”为主题，推出系列特色活动，为学子搭建心灵成长平台。2025年4月24日，学校举办2025年“生命有光，成长有彩”“3·25”心理健康教育活动季启动仪式。心理活动季启动后至本学期期末开展心理微电影大赛、朋辈心理辅导技能大赛、心理健康教育主题班会、心理电影赏析等系列活动。3·25心理健康月以春日为契机，用爱与专业点亮心灯，助力学子在温暖氛围中拥抱真实自我，以更从容的姿态奔赴成长之旅。活动围绕学生心理健康需求，以制度指引、活动创新、心理育人为目标，挖掘学生的潜力，助力学生心理健康成长。</w:t>
      </w:r>
    </w:p>
    <w:p w14:paraId="7E43E4E0">
      <w:pPr>
        <w:pStyle w:val="9"/>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drawing>
          <wp:anchor distT="0" distB="0" distL="114300" distR="114300" simplePos="0" relativeHeight="251692032" behindDoc="0" locked="0" layoutInCell="1" allowOverlap="1">
            <wp:simplePos x="0" y="0"/>
            <wp:positionH relativeFrom="column">
              <wp:posOffset>-18415</wp:posOffset>
            </wp:positionH>
            <wp:positionV relativeFrom="paragraph">
              <wp:posOffset>48895</wp:posOffset>
            </wp:positionV>
            <wp:extent cx="5694045" cy="3515995"/>
            <wp:effectExtent l="0" t="0" r="1905" b="8255"/>
            <wp:wrapTopAndBottom/>
            <wp:docPr id="21" name="图片 21" descr="325心理健康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25心理健康月"/>
                    <pic:cNvPicPr>
                      <a:picLocks noChangeAspect="1"/>
                    </pic:cNvPicPr>
                  </pic:nvPicPr>
                  <pic:blipFill>
                    <a:blip r:embed="rId42"/>
                    <a:stretch>
                      <a:fillRect/>
                    </a:stretch>
                  </pic:blipFill>
                  <pic:spPr>
                    <a:xfrm>
                      <a:off x="0" y="0"/>
                      <a:ext cx="5694045" cy="3515995"/>
                    </a:xfrm>
                    <a:prstGeom prst="rect">
                      <a:avLst/>
                    </a:prstGeom>
                  </pic:spPr>
                </pic:pic>
              </a:graphicData>
            </a:graphic>
          </wp:anchor>
        </w:drawing>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图34  2025年“生命健康，成长有彩”</w:t>
      </w:r>
      <w:r>
        <w:rPr>
          <w:rFonts w:hint="eastAsia" w:ascii="仿宋_GB2312" w:hAnsi="仿宋_GB2312" w:eastAsia="仿宋_GB2312" w:cs="仿宋_GB2312"/>
          <w:color w:val="000000" w:themeColor="text1"/>
          <w:sz w:val="28"/>
          <w:szCs w:val="28"/>
          <w:highlight w:val="none"/>
          <w14:textFill>
            <w14:solidFill>
              <w14:schemeClr w14:val="tx1"/>
            </w14:solidFill>
          </w14:textFill>
        </w:rPr>
        <w:t>“3·25”心理健康教育活动季</w:t>
      </w:r>
    </w:p>
    <w:p w14:paraId="7C96D3DA">
      <w:pPr>
        <w:pStyle w:val="9"/>
        <w:keepNext w:val="0"/>
        <w:keepLines w:val="0"/>
        <w:pageBreakBefore w:val="0"/>
        <w:widowControl w:val="0"/>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14:textFill>
            <w14:solidFill>
              <w14:schemeClr w14:val="tx1"/>
            </w14:solidFill>
          </w14:textFill>
        </w:rPr>
        <w:t>启动仪式</w:t>
      </w:r>
    </w:p>
    <w:p w14:paraId="3B4A8F9D">
      <w:pPr>
        <w:keepNext w:val="0"/>
        <w:keepLines w:val="0"/>
        <w:pageBreakBefore w:val="0"/>
        <w:widowControl/>
        <w:suppressLineNumbers w:val="0"/>
        <w:kinsoku/>
        <w:wordWrap/>
        <w:overflowPunct/>
        <w:topLinePunct w:val="0"/>
        <w:autoSpaceDE/>
        <w:autoSpaceDN/>
        <w:bidi w:val="0"/>
        <w:adjustRightInd/>
        <w:snapToGrid/>
        <w:spacing w:line="520" w:lineRule="exact"/>
        <w:ind w:firstLine="643" w:firstLineChars="200"/>
        <w:jc w:val="left"/>
        <w:textAlignment w:val="auto"/>
        <w:rPr>
          <w:rFonts w:hint="eastAsia" w:ascii="仿宋_GB2312" w:hAnsi="Tahoma" w:eastAsia="仿宋_GB2312"/>
          <w:color w:val="000000" w:themeColor="text1"/>
          <w:kern w:val="0"/>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kern w:val="0"/>
          <w:sz w:val="32"/>
          <w:szCs w:val="32"/>
          <w:highlight w:val="none"/>
          <w:lang w:val="en-US" w:eastAsia="zh-CN" w:bidi="ar"/>
          <w14:textFill>
            <w14:solidFill>
              <w14:schemeClr w14:val="tx1"/>
            </w14:solidFill>
          </w14:textFill>
        </w:rPr>
        <w:t>案例八：“传承红色基因，勇担时代使命”三下乡实践活动</w:t>
      </w:r>
    </w:p>
    <w:p w14:paraId="06AF4D5E">
      <w:pPr>
        <w:pStyle w:val="2"/>
        <w:keepNext w:val="0"/>
        <w:keepLines w:val="0"/>
        <w:pageBreakBefore w:val="0"/>
        <w:kinsoku/>
        <w:wordWrap/>
        <w:overflowPunct/>
        <w:topLinePunct w:val="0"/>
        <w:autoSpaceDE/>
        <w:autoSpaceDN/>
        <w:bidi w:val="0"/>
        <w:adjustRightInd/>
        <w:snapToGrid/>
        <w:spacing w:after="0" w:line="520" w:lineRule="exact"/>
        <w:ind w:left="0" w:leftChars="0"/>
        <w:rPr>
          <w:rFonts w:hint="eastAsia" w:ascii="仿宋_GB2312" w:hAnsi="Tahoma" w:eastAsia="仿宋_GB2312"/>
          <w:color w:val="000000" w:themeColor="text1"/>
          <w:kern w:val="0"/>
          <w:sz w:val="32"/>
          <w:szCs w:val="32"/>
          <w:highlight w:val="none"/>
          <w:lang w:val="en-US" w:eastAsia="zh-CN"/>
          <w14:textFill>
            <w14:solidFill>
              <w14:schemeClr w14:val="tx1"/>
            </w14:solidFill>
          </w14:textFill>
        </w:rPr>
      </w:pPr>
      <w:r>
        <w:rPr>
          <w:rFonts w:hint="eastAsia" w:ascii="仿宋_GB2312" w:hAnsi="Tahoma" w:eastAsia="仿宋_GB2312"/>
          <w:color w:val="000000" w:themeColor="text1"/>
          <w:kern w:val="0"/>
          <w:sz w:val="32"/>
          <w:szCs w:val="32"/>
          <w:highlight w:val="none"/>
          <w:lang w:val="en-US" w:eastAsia="zh-CN"/>
          <w14:textFill>
            <w14:solidFill>
              <w14:schemeClr w14:val="tx1"/>
            </w14:solidFill>
          </w14:textFill>
        </w:rPr>
        <w:t>为助力乡村文化振兴，广西工程职业学院“红色研学践初心·青春聚力促振兴”实践团、“青春先锋行，筑梦在基层”服务团走进平果市马头镇布夭屯开展“七彩画笔绘乡村”“情暖童心 ”等特色暑期“三下乡”社会实践活动，广西工程职业学院“青春先锋行，筑梦在基层”服务团走进平果市新兴社区开展暑期公益课堂，将课堂知识与乡村实际相结合，用陪伴点燃童心，用行动传递热爱，让知识在实践中生长，让信念在歌声中扎根，在服务社会、奉献人民的征程中书写更有意义的人生篇章。</w:t>
      </w:r>
    </w:p>
    <w:p w14:paraId="693CF4DF">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18233246">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r>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drawing>
          <wp:anchor distT="0" distB="0" distL="114300" distR="114300" simplePos="0" relativeHeight="251693056" behindDoc="0" locked="0" layoutInCell="1" allowOverlap="1">
            <wp:simplePos x="0" y="0"/>
            <wp:positionH relativeFrom="column">
              <wp:posOffset>-41910</wp:posOffset>
            </wp:positionH>
            <wp:positionV relativeFrom="paragraph">
              <wp:posOffset>100330</wp:posOffset>
            </wp:positionV>
            <wp:extent cx="5761355" cy="3255010"/>
            <wp:effectExtent l="0" t="0" r="10795" b="2540"/>
            <wp:wrapNone/>
            <wp:docPr id="32" name="图片 32" descr="微信图片_2025-10-10_102523_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微信图片_2025-10-10_102523_740"/>
                    <pic:cNvPicPr>
                      <a:picLocks noChangeAspect="1"/>
                    </pic:cNvPicPr>
                  </pic:nvPicPr>
                  <pic:blipFill>
                    <a:blip r:embed="rId43"/>
                    <a:stretch>
                      <a:fillRect/>
                    </a:stretch>
                  </pic:blipFill>
                  <pic:spPr>
                    <a:xfrm>
                      <a:off x="0" y="0"/>
                      <a:ext cx="5761355" cy="3255010"/>
                    </a:xfrm>
                    <a:prstGeom prst="rect">
                      <a:avLst/>
                    </a:prstGeom>
                  </pic:spPr>
                </pic:pic>
              </a:graphicData>
            </a:graphic>
          </wp:anchor>
        </w:drawing>
      </w:r>
    </w:p>
    <w:p w14:paraId="535C42E2">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ind w:leftChars="200"/>
        <w:jc w:val="both"/>
        <w:textAlignment w:val="auto"/>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178D57BF">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ind w:leftChars="200"/>
        <w:jc w:val="both"/>
        <w:textAlignment w:val="auto"/>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1F975DD1">
      <w:pPr>
        <w:pStyle w:val="2"/>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0C261624">
      <w:pPr>
        <w:pStyle w:val="2"/>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65F63DDA">
      <w:pPr>
        <w:pStyle w:val="2"/>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65274601">
      <w:pPr>
        <w:pStyle w:val="2"/>
        <w:rPr>
          <w:rFonts w:hint="default" w:ascii="仿宋_GB2312" w:hAnsi="Tahoma" w:eastAsia="仿宋_GB2312"/>
          <w:color w:val="000000" w:themeColor="text1"/>
          <w:kern w:val="0"/>
          <w:sz w:val="32"/>
          <w:szCs w:val="32"/>
          <w:highlight w:val="none"/>
          <w:lang w:val="en-US" w:eastAsia="zh-CN"/>
          <w14:textFill>
            <w14:solidFill>
              <w14:schemeClr w14:val="tx1"/>
            </w14:solidFill>
          </w14:textFill>
        </w:rPr>
      </w:pPr>
    </w:p>
    <w:p w14:paraId="7110E70E">
      <w:pPr>
        <w:keepNext w:val="0"/>
        <w:keepLines w:val="0"/>
        <w:pageBreakBefore w:val="0"/>
        <w:widowControl/>
        <w:numPr>
          <w:ilvl w:val="0"/>
          <w:numId w:val="0"/>
        </w:numPr>
        <w:suppressLineNumbers w:val="0"/>
        <w:kinsoku/>
        <w:wordWrap/>
        <w:overflowPunct/>
        <w:topLinePunct w:val="0"/>
        <w:autoSpaceDE/>
        <w:autoSpaceDN/>
        <w:bidi w:val="0"/>
        <w:adjustRightInd/>
        <w:snapToGrid/>
        <w:spacing w:line="480" w:lineRule="exact"/>
        <w:jc w:val="both"/>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2DDD80EF">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60" w:lineRule="exact"/>
        <w:ind w:right="0"/>
        <w:jc w:val="center"/>
        <w:textAlignment w:val="auto"/>
        <w:rPr>
          <w:rFonts w:hint="eastAsia" w:ascii="仿宋_GB2312" w:hAnsi="Tahoma" w:eastAsia="仿宋_GB2312"/>
          <w:b w:val="0"/>
          <w:bCs/>
          <w:color w:val="000000" w:themeColor="text1"/>
          <w:kern w:val="0"/>
          <w:sz w:val="28"/>
          <w:szCs w:val="28"/>
          <w:highlight w:val="none"/>
          <w:lang w:val="en-US" w:eastAsia="zh-CN"/>
          <w14:textFill>
            <w14:solidFill>
              <w14:schemeClr w14:val="tx1"/>
            </w14:solidFill>
          </w14:textFill>
        </w:rPr>
      </w:pPr>
      <w:r>
        <w:rPr>
          <w:rFonts w:hint="eastAsia" w:ascii="仿宋_GB2312" w:hAnsi="Tahoma" w:eastAsia="仿宋_GB2312"/>
          <w:b w:val="0"/>
          <w:bCs/>
          <w:color w:val="000000" w:themeColor="text1"/>
          <w:kern w:val="0"/>
          <w:sz w:val="28"/>
          <w:szCs w:val="28"/>
          <w:highlight w:val="none"/>
          <w:lang w:val="en-US" w:eastAsia="zh-CN"/>
          <w14:textFill>
            <w14:solidFill>
              <w14:schemeClr w14:val="tx1"/>
            </w14:solidFill>
          </w14:textFill>
        </w:rPr>
        <w:t>图35 实践团、服务团走进平果市马头镇布夭屯开展“七彩画笔绘乡村”“情暖童心”等特色暑期“三下乡”社会实践活动</w:t>
      </w:r>
    </w:p>
    <w:p w14:paraId="09302A48">
      <w:pPr>
        <w:rPr>
          <w:rFonts w:hint="eastAsia" w:ascii="仿宋_GB2312" w:hAnsi="Tahoma" w:eastAsia="仿宋_GB2312"/>
          <w:b w:val="0"/>
          <w:bCs/>
          <w:color w:val="000000" w:themeColor="text1"/>
          <w:kern w:val="0"/>
          <w:sz w:val="28"/>
          <w:szCs w:val="28"/>
          <w:highlight w:val="none"/>
          <w:lang w:val="en-US" w:eastAsia="zh-CN"/>
          <w14:textFill>
            <w14:solidFill>
              <w14:schemeClr w14:val="tx1"/>
            </w14:solidFill>
          </w14:textFill>
        </w:rPr>
      </w:pPr>
      <w:r>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drawing>
          <wp:anchor distT="0" distB="0" distL="114300" distR="114300" simplePos="0" relativeHeight="251694080" behindDoc="0" locked="0" layoutInCell="1" allowOverlap="1">
            <wp:simplePos x="0" y="0"/>
            <wp:positionH relativeFrom="column">
              <wp:posOffset>-17780</wp:posOffset>
            </wp:positionH>
            <wp:positionV relativeFrom="paragraph">
              <wp:posOffset>91440</wp:posOffset>
            </wp:positionV>
            <wp:extent cx="5738495" cy="3384550"/>
            <wp:effectExtent l="0" t="0" r="14605" b="6350"/>
            <wp:wrapNone/>
            <wp:docPr id="33" name="图片 33" descr="微信图片_2025-10-10_102814_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微信图片_2025-10-10_102814_780"/>
                    <pic:cNvPicPr>
                      <a:picLocks noChangeAspect="1"/>
                    </pic:cNvPicPr>
                  </pic:nvPicPr>
                  <pic:blipFill>
                    <a:blip r:embed="rId44"/>
                    <a:stretch>
                      <a:fillRect/>
                    </a:stretch>
                  </pic:blipFill>
                  <pic:spPr>
                    <a:xfrm>
                      <a:off x="0" y="0"/>
                      <a:ext cx="5738495" cy="3384550"/>
                    </a:xfrm>
                    <a:prstGeom prst="rect">
                      <a:avLst/>
                    </a:prstGeom>
                  </pic:spPr>
                </pic:pic>
              </a:graphicData>
            </a:graphic>
          </wp:anchor>
        </w:drawing>
      </w:r>
    </w:p>
    <w:p w14:paraId="28F65336">
      <w:pPr>
        <w:pStyle w:val="2"/>
        <w:rPr>
          <w:rFonts w:hint="eastAsia"/>
          <w:color w:val="000000" w:themeColor="text1"/>
          <w:lang w:val="en-US" w:eastAsia="zh-CN"/>
          <w14:textFill>
            <w14:solidFill>
              <w14:schemeClr w14:val="tx1"/>
            </w14:solidFill>
          </w14:textFill>
        </w:rPr>
      </w:pPr>
    </w:p>
    <w:p w14:paraId="1DC932FB">
      <w:pPr>
        <w:rPr>
          <w:rFonts w:hint="default"/>
          <w:color w:val="000000" w:themeColor="text1"/>
          <w:highlight w:val="none"/>
          <w:lang w:val="en-US" w:eastAsia="zh-CN"/>
          <w14:textFill>
            <w14:solidFill>
              <w14:schemeClr w14:val="tx1"/>
            </w14:solidFill>
          </w14:textFill>
        </w:rPr>
      </w:pPr>
      <w:r>
        <w:rPr>
          <w:rFonts w:hint="eastAsia" w:ascii="仿宋_GB2312" w:hAnsi="Tahoma" w:eastAsia="仿宋_GB2312"/>
          <w:b w:val="0"/>
          <w:bCs/>
          <w:color w:val="000000" w:themeColor="text1"/>
          <w:kern w:val="0"/>
          <w:sz w:val="28"/>
          <w:szCs w:val="28"/>
          <w:highlight w:val="none"/>
          <w:lang w:val="en-US" w:eastAsia="zh-CN"/>
          <w14:textFill>
            <w14:solidFill>
              <w14:schemeClr w14:val="tx1"/>
            </w14:solidFill>
          </w14:textFill>
        </w:rPr>
        <w:t xml:space="preserve"> </w:t>
      </w:r>
    </w:p>
    <w:p w14:paraId="0315AB0A">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ind w:firstLine="640" w:firstLineChars="200"/>
        <w:jc w:val="both"/>
        <w:textAlignment w:val="auto"/>
        <w:rPr>
          <w:rFonts w:hint="eastAsia" w:ascii="仿宋_GB2312" w:hAnsi="Tahoma" w:eastAsia="仿宋_GB2312"/>
          <w:color w:val="000000" w:themeColor="text1"/>
          <w:kern w:val="0"/>
          <w:sz w:val="32"/>
          <w:szCs w:val="32"/>
          <w:highlight w:val="none"/>
          <w:lang w:val="en-US" w:eastAsia="zh-CN"/>
          <w14:textFill>
            <w14:solidFill>
              <w14:schemeClr w14:val="tx1"/>
            </w14:solidFill>
          </w14:textFill>
        </w:rPr>
      </w:pPr>
    </w:p>
    <w:p w14:paraId="09FCF5FA">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69D4CDC4">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469D8F1C">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7D9AA196">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529DEE8B">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15F81F00">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p>
    <w:p w14:paraId="563751F7">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ind w:firstLine="1400" w:firstLineChars="500"/>
        <w:jc w:val="both"/>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r>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t>图36 实践团、服务团走进社区开展暑期公益课堂</w:t>
      </w:r>
    </w:p>
    <w:p w14:paraId="5A098B86">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kern w:val="0"/>
          <w:sz w:val="28"/>
          <w:szCs w:val="28"/>
          <w:highlight w:val="none"/>
          <w:lang w:val="en-US" w:eastAsia="zh-CN" w:bidi="ar"/>
          <w14:textFill>
            <w14:solidFill>
              <w14:schemeClr w14:val="tx1"/>
            </w14:solidFill>
          </w14:textFill>
        </w:rPr>
        <w:drawing>
          <wp:anchor distT="0" distB="0" distL="114300" distR="114300" simplePos="0" relativeHeight="251695104" behindDoc="0" locked="0" layoutInCell="1" allowOverlap="1">
            <wp:simplePos x="0" y="0"/>
            <wp:positionH relativeFrom="column">
              <wp:posOffset>71120</wp:posOffset>
            </wp:positionH>
            <wp:positionV relativeFrom="paragraph">
              <wp:posOffset>34290</wp:posOffset>
            </wp:positionV>
            <wp:extent cx="5762625" cy="3207385"/>
            <wp:effectExtent l="0" t="0" r="9525" b="12065"/>
            <wp:wrapNone/>
            <wp:docPr id="49" name="图片 49"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640"/>
                    <pic:cNvPicPr>
                      <a:picLocks noChangeAspect="1"/>
                    </pic:cNvPicPr>
                  </pic:nvPicPr>
                  <pic:blipFill>
                    <a:blip r:embed="rId45"/>
                    <a:stretch>
                      <a:fillRect/>
                    </a:stretch>
                  </pic:blipFill>
                  <pic:spPr>
                    <a:xfrm>
                      <a:off x="0" y="0"/>
                      <a:ext cx="5762625" cy="3207385"/>
                    </a:xfrm>
                    <a:prstGeom prst="rect">
                      <a:avLst/>
                    </a:prstGeom>
                  </pic:spPr>
                </pic:pic>
              </a:graphicData>
            </a:graphic>
          </wp:anchor>
        </w:drawing>
      </w:r>
    </w:p>
    <w:p w14:paraId="48987C11">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0C726F00">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6D0848A9">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1FEE7355">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31A9FEC9">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0FC7D192">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478547C5">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579A058D">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2DD537F7">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798A89B1">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041584EB">
      <w:pPr>
        <w:keepNext w:val="0"/>
        <w:keepLines w:val="0"/>
        <w:pageBreakBefore w:val="0"/>
        <w:widowControl w:val="0"/>
        <w:kinsoku/>
        <w:wordWrap/>
        <w:overflowPunct/>
        <w:topLinePunct w:val="0"/>
        <w:autoSpaceDE/>
        <w:autoSpaceDN/>
        <w:bidi w:val="0"/>
        <w:adjustRightInd/>
        <w:snapToGrid/>
        <w:spacing w:line="440" w:lineRule="exac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6E19AA26">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r>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t>图37 实践团成员赴百色市田东县百冠那朗芒果种植基地开展暑期“三下乡”社会实践活动，助力特色农业发展</w:t>
      </w:r>
    </w:p>
    <w:p w14:paraId="00380474">
      <w:pPr>
        <w:rPr>
          <w:rFonts w:hint="eastAsia"/>
          <w:color w:val="000000" w:themeColor="text1"/>
          <w:highlight w:val="none"/>
          <w:lang w:val="en-US" w:eastAsia="en-US"/>
          <w14:textFill>
            <w14:solidFill>
              <w14:schemeClr w14:val="tx1"/>
            </w14:solidFill>
          </w14:textFill>
        </w:rPr>
      </w:pPr>
    </w:p>
    <w:p w14:paraId="492FCF5F">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案例九：组织开展志愿服务活动</w:t>
      </w:r>
    </w:p>
    <w:p w14:paraId="64C5B31B">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学校组织学生志愿者们前往平果市亿安康养老服务中心、城东社区，开展了“青春志愿行·温暖老人心”主题志愿服务、</w:t>
      </w: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“青春薪火传 五四志愿服务暖社区”主题等志愿</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活动。在活动中弘扬“奉献、友爱、互助、进步”的志愿精神，为养老服务中心的老人们和社区居民送去关怀与温暖。通过活动展现了我校青年学子的良好精神风貌，引导更多青年学生积极参与到社会实践中，用实际行动传递爱心，奉献社会，进一步弘扬了中华民族的传统美德。</w:t>
      </w:r>
    </w:p>
    <w:p w14:paraId="38A3957F">
      <w:pPr>
        <w:pStyle w:val="9"/>
        <w:keepNext w:val="0"/>
        <w:keepLines w:val="0"/>
        <w:pageBreakBefore w:val="0"/>
        <w:kinsoku/>
        <w:wordWrap/>
        <w:bidi w:val="0"/>
        <w:spacing w:line="520" w:lineRule="exact"/>
        <w:jc w:val="center"/>
        <w:rPr>
          <w:rFonts w:hint="eastAsia" w:ascii="方正小标宋简体" w:hAnsi="方正小标宋简体" w:eastAsia="方正小标宋简体" w:cs="方正小标宋简体"/>
          <w:b w:val="0"/>
          <w:bCs/>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drawing>
          <wp:anchor distT="0" distB="0" distL="114300" distR="114300" simplePos="0" relativeHeight="251701248" behindDoc="0" locked="0" layoutInCell="1" allowOverlap="1">
            <wp:simplePos x="0" y="0"/>
            <wp:positionH relativeFrom="column">
              <wp:posOffset>-6350</wp:posOffset>
            </wp:positionH>
            <wp:positionV relativeFrom="paragraph">
              <wp:posOffset>67945</wp:posOffset>
            </wp:positionV>
            <wp:extent cx="5636895" cy="3056890"/>
            <wp:effectExtent l="0" t="0" r="1905" b="10160"/>
            <wp:wrapTopAndBottom/>
            <wp:docPr id="15" name="图片 15" descr="mmexport1744016749501"/>
            <wp:cNvGraphicFramePr/>
            <a:graphic xmlns:a="http://schemas.openxmlformats.org/drawingml/2006/main">
              <a:graphicData uri="http://schemas.openxmlformats.org/drawingml/2006/picture">
                <pic:pic xmlns:pic="http://schemas.openxmlformats.org/drawingml/2006/picture">
                  <pic:nvPicPr>
                    <pic:cNvPr id="15" name="图片 15" descr="mmexport1744016749501"/>
                    <pic:cNvPicPr/>
                  </pic:nvPicPr>
                  <pic:blipFill>
                    <a:blip r:embed="rId46"/>
                    <a:stretch>
                      <a:fillRect/>
                    </a:stretch>
                  </pic:blipFill>
                  <pic:spPr>
                    <a:xfrm>
                      <a:off x="0" y="0"/>
                      <a:ext cx="5636895" cy="3056890"/>
                    </a:xfrm>
                    <a:prstGeom prst="rect">
                      <a:avLst/>
                    </a:prstGeom>
                  </pic:spPr>
                </pic:pic>
              </a:graphicData>
            </a:graphic>
          </wp:anchor>
        </w:drawing>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图38  2025年3月26日，学校组织开展青春志愿行·温暖老人心关爱老人志愿服务活动</w:t>
      </w:r>
    </w:p>
    <w:p w14:paraId="7C7F5F09">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default"/>
          <w:color w:val="000000" w:themeColor="text1"/>
          <w:highlight w:val="none"/>
          <w:lang w:val="en-US" w:eastAsia="zh-CN"/>
          <w14:textFill>
            <w14:solidFill>
              <w14:schemeClr w14:val="tx1"/>
            </w14:solidFill>
          </w14:textFill>
        </w:rPr>
        <w:drawing>
          <wp:anchor distT="0" distB="0" distL="114300" distR="114300" simplePos="0" relativeHeight="251702272" behindDoc="0" locked="0" layoutInCell="1" allowOverlap="1">
            <wp:simplePos x="0" y="0"/>
            <wp:positionH relativeFrom="column">
              <wp:posOffset>-33020</wp:posOffset>
            </wp:positionH>
            <wp:positionV relativeFrom="paragraph">
              <wp:posOffset>5715</wp:posOffset>
            </wp:positionV>
            <wp:extent cx="5690870" cy="3476625"/>
            <wp:effectExtent l="0" t="0" r="5080" b="9525"/>
            <wp:wrapNone/>
            <wp:docPr id="56" name="图片 56" descr="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363"/>
                    <pic:cNvPicPr>
                      <a:picLocks noChangeAspect="1"/>
                    </pic:cNvPicPr>
                  </pic:nvPicPr>
                  <pic:blipFill>
                    <a:blip r:embed="rId47"/>
                    <a:stretch>
                      <a:fillRect/>
                    </a:stretch>
                  </pic:blipFill>
                  <pic:spPr>
                    <a:xfrm>
                      <a:off x="0" y="0"/>
                      <a:ext cx="5690870" cy="3476625"/>
                    </a:xfrm>
                    <a:prstGeom prst="rect">
                      <a:avLst/>
                    </a:prstGeom>
                  </pic:spPr>
                </pic:pic>
              </a:graphicData>
            </a:graphic>
          </wp:anchor>
        </w:drawing>
      </w:r>
    </w:p>
    <w:p w14:paraId="1488301D">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1B73806F">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55425072">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2BED683C">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0D664C7F">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3B167333">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175550F4">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1BF147ED">
      <w:pPr>
        <w:numPr>
          <w:ilvl w:val="0"/>
          <w:numId w:val="0"/>
        </w:numPr>
        <w:tabs>
          <w:tab w:val="left" w:pos="778"/>
        </w:tabs>
        <w:bidi w:val="0"/>
        <w:jc w:val="cente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29FF35CC">
      <w:pPr>
        <w:keepNext w:val="0"/>
        <w:keepLines w:val="0"/>
        <w:pageBreakBefore w:val="0"/>
        <w:widowControl/>
        <w:suppressLineNumbers w:val="0"/>
        <w:kinsoku/>
        <w:wordWrap/>
        <w:overflowPunct/>
        <w:topLinePunct w:val="0"/>
        <w:autoSpaceDE/>
        <w:autoSpaceDN/>
        <w:bidi w:val="0"/>
        <w:adjustRightInd/>
        <w:snapToGrid/>
        <w:spacing w:line="520" w:lineRule="atLeast"/>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图39  学校组织开展 “青春薪火传 五四志愿服务暖社区”志愿服务活动</w:t>
      </w:r>
    </w:p>
    <w:p w14:paraId="559BFE10">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60" w:lineRule="exact"/>
        <w:ind w:right="0" w:firstLine="560" w:firstLineChars="20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096728F5">
      <w:pPr>
        <w:ind w:firstLine="640" w:firstLineChars="200"/>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2.9学生发展</w:t>
      </w:r>
    </w:p>
    <w:p w14:paraId="2D0DECD9">
      <w:pPr>
        <w:keepNext w:val="0"/>
        <w:keepLines w:val="0"/>
        <w:pageBreakBefore w:val="0"/>
        <w:widowControl w:val="0"/>
        <w:shd w:val="clear"/>
        <w:kinsoku/>
        <w:wordWrap/>
        <w:overflowPunct/>
        <w:topLinePunct w:val="0"/>
        <w:autoSpaceDE/>
        <w:autoSpaceDN/>
        <w:bidi w:val="0"/>
        <w:adjustRightInd w:val="0"/>
        <w:snapToGrid w:val="0"/>
        <w:spacing w:line="520" w:lineRule="exact"/>
        <w:ind w:right="0" w:firstLine="640" w:firstLineChars="200"/>
        <w:jc w:val="both"/>
        <w:textAlignment w:val="auto"/>
        <w:outlineLvl w:val="9"/>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广西工程职业学院</w:t>
      </w:r>
      <w:r>
        <w:rPr>
          <w:rFonts w:hint="eastAsia" w:ascii="仿宋_GB2312" w:hAnsi="仿宋_GB2312" w:eastAsia="仿宋_GB2312" w:cs="仿宋_GB2312"/>
          <w:color w:val="000000" w:themeColor="text1"/>
          <w:spacing w:val="0"/>
          <w:w w:val="100"/>
          <w:sz w:val="32"/>
          <w:szCs w:val="32"/>
          <w:highlight w:val="none"/>
          <w:lang w:val="en-US" w:eastAsia="zh-CN"/>
          <w14:textFill>
            <w14:solidFill>
              <w14:schemeClr w14:val="tx1"/>
            </w14:solidFill>
          </w14:textFill>
        </w:rPr>
        <w:t>建立了较为完善的就业服务体系，建有就业服务工作站，涵盖项目路演、沙龙交流、直播带岗、面试洽谈、咨询办理等多功能区域，满足学生就业多元化需求。</w:t>
      </w: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组织开展2025届毕业生双选会、组织学生参加2025年专升本考试、创新创业活动，在学生就业、升学、创新创业工作协同推进，形成 “就业质量稳步提升、升学渠道持续拓宽、创新创业活力迸发” 的良好局面。</w:t>
      </w:r>
    </w:p>
    <w:p w14:paraId="4E0B4BFA">
      <w:pPr>
        <w:pStyle w:val="5"/>
        <w:pageBreakBefore w:val="0"/>
        <w:widowControl w:val="0"/>
        <w:kinsoku/>
        <w:wordWrap/>
        <w:overflowPunct/>
        <w:topLinePunct w:val="0"/>
        <w:autoSpaceDE/>
        <w:autoSpaceDN/>
        <w:bidi w:val="0"/>
        <w:adjustRightInd/>
        <w:snapToGrid/>
        <w:spacing w:beforeLines="0" w:afterLines="0" w:line="520" w:lineRule="exact"/>
        <w:textAlignment w:val="auto"/>
        <w:rPr>
          <w:rFonts w:hint="eastAsia" w:ascii="仿宋_GB2312" w:hAnsi="仿宋_GB2312" w:eastAsia="仿宋_GB2312" w:cs="仿宋_GB2312"/>
          <w:b/>
          <w:bCs/>
          <w:color w:val="000000" w:themeColor="text1"/>
          <w:highlight w:val="none"/>
          <w:lang w:val="zh-CN" w:eastAsia="zh-CN"/>
          <w14:textFill>
            <w14:solidFill>
              <w14:schemeClr w14:val="tx1"/>
            </w14:solidFill>
          </w14:textFill>
        </w:rPr>
      </w:pPr>
      <w:bookmarkStart w:id="7" w:name="_Toc199670398"/>
      <w:bookmarkStart w:id="8" w:name="_Toc463756584"/>
      <w:r>
        <w:rPr>
          <w:rFonts w:hint="eastAsia" w:ascii="仿宋_GB2312" w:hAnsi="仿宋_GB2312" w:eastAsia="仿宋_GB2312" w:cs="仿宋_GB2312"/>
          <w:b/>
          <w:bCs/>
          <w:color w:val="000000" w:themeColor="text1"/>
          <w:highlight w:val="none"/>
          <w:lang w:val="en-US" w:eastAsia="zh-CN"/>
          <w14:textFill>
            <w14:solidFill>
              <w14:schemeClr w14:val="tx1"/>
            </w14:solidFill>
          </w14:textFill>
        </w:rPr>
        <w:t>1.</w:t>
      </w:r>
      <w:r>
        <w:rPr>
          <w:rFonts w:hint="eastAsia" w:ascii="仿宋_GB2312" w:hAnsi="仿宋_GB2312" w:eastAsia="仿宋_GB2312" w:cs="仿宋_GB2312"/>
          <w:b/>
          <w:bCs/>
          <w:color w:val="000000" w:themeColor="text1"/>
          <w:highlight w:val="none"/>
          <w:lang w:val="zh-CN" w:eastAsia="zh-CN"/>
          <w14:textFill>
            <w14:solidFill>
              <w14:schemeClr w14:val="tx1"/>
            </w14:solidFill>
          </w14:textFill>
        </w:rPr>
        <w:t>毕业生就业情况</w:t>
      </w:r>
    </w:p>
    <w:p w14:paraId="6626CEE2">
      <w:pPr>
        <w:pStyle w:val="5"/>
        <w:pageBreakBefore w:val="0"/>
        <w:widowControl w:val="0"/>
        <w:kinsoku/>
        <w:wordWrap/>
        <w:overflowPunct/>
        <w:topLinePunct w:val="0"/>
        <w:autoSpaceDE/>
        <w:autoSpaceDN/>
        <w:bidi w:val="0"/>
        <w:spacing w:beforeLines="0" w:afterLines="0" w:line="520" w:lineRule="exact"/>
        <w:textAlignment w:val="auto"/>
        <w:rPr>
          <w:rFonts w:hint="eastAsia" w:ascii="仿宋_GB2312" w:hAnsi="仿宋_GB2312" w:eastAsia="仿宋_GB2312" w:cs="仿宋_GB2312"/>
          <w:color w:val="000000" w:themeColor="text1"/>
          <w:szCs w:val="32"/>
          <w:highlight w:val="none"/>
          <w:lang w:val="zh-CN" w:eastAsia="zh-CN"/>
          <w14:textFill>
            <w14:solidFill>
              <w14:schemeClr w14:val="tx1"/>
            </w14:solidFill>
          </w14:textFill>
        </w:rPr>
      </w:pPr>
      <w:r>
        <w:rPr>
          <w:rFonts w:hint="eastAsia" w:ascii="仿宋_GB2312" w:hAnsi="仿宋_GB2312" w:eastAsia="仿宋_GB2312" w:cs="仿宋_GB2312"/>
          <w:color w:val="000000" w:themeColor="text1"/>
          <w:highlight w:val="none"/>
          <w:lang w:val="en-US" w:eastAsia="zh-CN"/>
          <w14:textFill>
            <w14:solidFill>
              <w14:schemeClr w14:val="tx1"/>
            </w14:solidFill>
          </w14:textFill>
        </w:rPr>
        <w:t>（1）</w:t>
      </w:r>
      <w:r>
        <w:rPr>
          <w:rFonts w:hint="eastAsia" w:ascii="仿宋_GB2312" w:hAnsi="仿宋_GB2312" w:eastAsia="仿宋_GB2312" w:cs="仿宋_GB2312"/>
          <w:color w:val="000000" w:themeColor="text1"/>
          <w:highlight w:val="none"/>
          <w:lang w:val="zh-CN" w:eastAsia="zh-CN"/>
          <w14:textFill>
            <w14:solidFill>
              <w14:schemeClr w14:val="tx1"/>
            </w14:solidFill>
          </w14:textFill>
        </w:rPr>
        <w:t>突出就业优先，建立健全就业工作推进机制</w:t>
      </w:r>
      <w:bookmarkEnd w:id="7"/>
    </w:p>
    <w:p w14:paraId="5B63121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学校坚决落实就业工作“一把手工程”，成立由党委书记、校长任双组长的就业创业工作领导小组，构建“校领导统筹、招生就业处牵头、二级学院主抓、辅导员落实”的四级联动机制。将就业工作成效纳入部门绩效考核、评优评先及干部履职评价体系，形成层层压实责任的工作格局。</w:t>
      </w:r>
    </w:p>
    <w:p w14:paraId="20C1BDD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保障就业工作“机构、人员、经费、场地”四到位，配备专职就业工作人员14人，师生比达1:487，优于国家标准；按学费总收入1%足额安排就业专项经费273万元，保障招聘活动、就业指导、师资培训等工作开展；建成844平方米多功能就业服务工作站，为学生提供一站式就业服务。</w:t>
      </w:r>
    </w:p>
    <w:p w14:paraId="23003167">
      <w:pPr>
        <w:pStyle w:val="5"/>
        <w:pageBreakBefore w:val="0"/>
        <w:widowControl w:val="0"/>
        <w:kinsoku/>
        <w:wordWrap/>
        <w:overflowPunct/>
        <w:topLinePunct w:val="0"/>
        <w:autoSpaceDE/>
        <w:autoSpaceDN/>
        <w:bidi w:val="0"/>
        <w:spacing w:beforeLines="0" w:afterLines="0" w:line="520" w:lineRule="exact"/>
        <w:textAlignment w:val="auto"/>
        <w:rPr>
          <w:rFonts w:hint="eastAsia" w:ascii="仿宋_GB2312" w:hAnsi="仿宋_GB2312" w:eastAsia="仿宋_GB2312" w:cs="仿宋_GB2312"/>
          <w:color w:val="000000" w:themeColor="text1"/>
          <w:highlight w:val="none"/>
          <w:lang w:val="zh-CN" w:eastAsia="zh-CN"/>
          <w14:textFill>
            <w14:solidFill>
              <w14:schemeClr w14:val="tx1"/>
            </w14:solidFill>
          </w14:textFill>
        </w:rPr>
      </w:pPr>
      <w:bookmarkStart w:id="9" w:name="_Toc1490922572"/>
      <w:r>
        <w:rPr>
          <w:rFonts w:hint="eastAsia" w:ascii="仿宋_GB2312" w:hAnsi="仿宋_GB2312" w:eastAsia="仿宋_GB2312" w:cs="仿宋_GB2312"/>
          <w:color w:val="000000" w:themeColor="text1"/>
          <w:highlight w:val="none"/>
          <w:lang w:val="en-US" w:eastAsia="zh-CN"/>
          <w14:textFill>
            <w14:solidFill>
              <w14:schemeClr w14:val="tx1"/>
            </w14:solidFill>
          </w14:textFill>
        </w:rPr>
        <w:t>（2）</w:t>
      </w:r>
      <w:r>
        <w:rPr>
          <w:rFonts w:hint="eastAsia" w:ascii="仿宋_GB2312" w:hAnsi="仿宋_GB2312" w:eastAsia="仿宋_GB2312" w:cs="仿宋_GB2312"/>
          <w:color w:val="000000" w:themeColor="text1"/>
          <w:highlight w:val="none"/>
          <w:lang w:val="zh-CN" w:eastAsia="zh-CN"/>
          <w14:textFill>
            <w14:solidFill>
              <w14:schemeClr w14:val="tx1"/>
            </w14:solidFill>
          </w14:textFill>
        </w:rPr>
        <w:t>突出全过程服务，合力开展促就业专项行动</w:t>
      </w:r>
      <w:bookmarkEnd w:id="9"/>
    </w:p>
    <w:p w14:paraId="4746F83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构建“全程化、专业化、个性化”就业指导服务体系，将就业指导贯穿人才培养全过程。开设《大学生职业发展与就业指导》必修课程，总学时38学时，配备专职教研室主任统筹课程建设，实现教学标准化、系统化。</w:t>
      </w:r>
    </w:p>
    <w:p w14:paraId="301F63BF">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开展多元化就业指导活动，全年组织生涯规划大赛、简历制作大赛、校友报告会等专项活动覆盖近1万人次；针对不同专业特点开展分类指导，涵盖职业生涯规划、简历优化、面试技巧等内容。强化技能提升，实施1+X证书制度，144名毕业生成功考取职业资格证书，4000余名学生参与全国大学生职业规划大赛，3名学生入围自治区网络复赛。</w:t>
      </w:r>
    </w:p>
    <w:p w14:paraId="78A4429F">
      <w:pPr>
        <w:pStyle w:val="5"/>
        <w:pageBreakBefore w:val="0"/>
        <w:widowControl w:val="0"/>
        <w:kinsoku/>
        <w:wordWrap/>
        <w:overflowPunct/>
        <w:topLinePunct w:val="0"/>
        <w:autoSpaceDE/>
        <w:autoSpaceDN/>
        <w:bidi w:val="0"/>
        <w:spacing w:beforeLines="0" w:afterLines="0" w:line="520" w:lineRule="exact"/>
        <w:textAlignment w:val="auto"/>
        <w:rPr>
          <w:rFonts w:hint="eastAsia" w:ascii="仿宋_GB2312" w:hAnsi="仿宋_GB2312" w:eastAsia="仿宋_GB2312" w:cs="仿宋_GB2312"/>
          <w:color w:val="000000" w:themeColor="text1"/>
          <w:highlight w:val="none"/>
          <w:lang w:val="zh-CN" w:eastAsia="zh-CN"/>
          <w14:textFill>
            <w14:solidFill>
              <w14:schemeClr w14:val="tx1"/>
            </w14:solidFill>
          </w14:textFill>
        </w:rPr>
      </w:pPr>
      <w:bookmarkStart w:id="10" w:name="_Toc1096474408"/>
      <w:r>
        <w:rPr>
          <w:rFonts w:hint="eastAsia" w:ascii="仿宋_GB2312" w:hAnsi="仿宋_GB2312" w:eastAsia="仿宋_GB2312" w:cs="仿宋_GB2312"/>
          <w:color w:val="000000" w:themeColor="text1"/>
          <w:highlight w:val="none"/>
          <w:lang w:val="en-US" w:eastAsia="zh-CN"/>
          <w14:textFill>
            <w14:solidFill>
              <w14:schemeClr w14:val="tx1"/>
            </w14:solidFill>
          </w14:textFill>
        </w:rPr>
        <w:t>（3）</w:t>
      </w:r>
      <w:r>
        <w:rPr>
          <w:rFonts w:hint="eastAsia" w:ascii="仿宋_GB2312" w:hAnsi="仿宋_GB2312" w:eastAsia="仿宋_GB2312" w:cs="仿宋_GB2312"/>
          <w:color w:val="000000" w:themeColor="text1"/>
          <w:highlight w:val="none"/>
          <w:lang w:val="zh-CN" w:eastAsia="zh-CN"/>
          <w14:textFill>
            <w14:solidFill>
              <w14:schemeClr w14:val="tx1"/>
            </w14:solidFill>
          </w14:textFill>
        </w:rPr>
        <w:t>突出资源汇集，不断拓宽高校毕业生就业渠道</w:t>
      </w:r>
      <w:bookmarkEnd w:id="10"/>
    </w:p>
    <w:p w14:paraId="25E1E2E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深入实施“书记校长访企拓岗促就业专项行动”，校院两级领导班子累计走访企业146家，与近60家用人单位建立稳定合作关系，新增就业岗位1000余个，共建就业实践基地3家。对接广西人社部门发布的重点企业用工需求，聚焦生产辅助、计算机电子设备制造、汽车制造等热门岗位领域，精准推送岗位信息。</w:t>
      </w:r>
    </w:p>
    <w:p w14:paraId="57E072F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搭建线上线下融合的招聘平台，2024年9月至2025年8月，联合广西人才网举办5场线上招聘会，吸引177家用人单位参与，提供岗位11702个；联合百色市人力资源和社会保障局主办“公共服务进校园”线下招聘会，组织专场招聘、小型精准招聘会等各类线下活动30余场，实现岗位供给与学生需求精准对接。</w:t>
      </w:r>
    </w:p>
    <w:p w14:paraId="6845624D">
      <w:pPr>
        <w:pStyle w:val="5"/>
        <w:pageBreakBefore w:val="0"/>
        <w:widowControl w:val="0"/>
        <w:kinsoku/>
        <w:wordWrap/>
        <w:overflowPunct/>
        <w:topLinePunct w:val="0"/>
        <w:autoSpaceDE/>
        <w:autoSpaceDN/>
        <w:bidi w:val="0"/>
        <w:spacing w:beforeLines="0" w:afterLines="0" w:line="520" w:lineRule="exact"/>
        <w:textAlignment w:val="auto"/>
        <w:rPr>
          <w:rFonts w:hint="eastAsia" w:ascii="仿宋_GB2312" w:hAnsi="仿宋_GB2312" w:eastAsia="仿宋_GB2312" w:cs="仿宋_GB2312"/>
          <w:color w:val="000000" w:themeColor="text1"/>
          <w:szCs w:val="32"/>
          <w:highlight w:val="none"/>
          <w:lang w:val="zh-CN" w:eastAsia="zh-CN"/>
          <w14:textFill>
            <w14:solidFill>
              <w14:schemeClr w14:val="tx1"/>
            </w14:solidFill>
          </w14:textFill>
        </w:rPr>
      </w:pPr>
      <w:bookmarkStart w:id="11" w:name="_Toc888200349"/>
      <w:r>
        <w:rPr>
          <w:rFonts w:hint="eastAsia" w:ascii="仿宋_GB2312" w:hAnsi="仿宋_GB2312" w:eastAsia="仿宋_GB2312" w:cs="仿宋_GB2312"/>
          <w:color w:val="000000" w:themeColor="text1"/>
          <w:highlight w:val="none"/>
          <w:lang w:val="en-US" w:eastAsia="zh-CN"/>
          <w14:textFill>
            <w14:solidFill>
              <w14:schemeClr w14:val="tx1"/>
            </w14:solidFill>
          </w14:textFill>
        </w:rPr>
        <w:t>（4）</w:t>
      </w:r>
      <w:r>
        <w:rPr>
          <w:rFonts w:hint="eastAsia" w:ascii="仿宋_GB2312" w:hAnsi="仿宋_GB2312" w:eastAsia="仿宋_GB2312" w:cs="仿宋_GB2312"/>
          <w:color w:val="000000" w:themeColor="text1"/>
          <w:highlight w:val="none"/>
          <w:lang w:val="zh-CN" w:eastAsia="zh-CN"/>
          <w14:textFill>
            <w14:solidFill>
              <w14:schemeClr w14:val="tx1"/>
            </w14:solidFill>
          </w14:textFill>
        </w:rPr>
        <w:t>突出教育引导，持续激励高校毕业生到基层建功立业</w:t>
      </w:r>
      <w:bookmarkEnd w:id="11"/>
    </w:p>
    <w:p w14:paraId="4226C836">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加强基层就业政策宣传，通过主题班会、政策宣讲会、线上推文等多种形式，解读基层服务项目、参军入伍、乡村振兴相关就业政策，覆盖学生超5000人次。</w:t>
      </w:r>
    </w:p>
    <w:p w14:paraId="0524A281">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深化校地合作，与广西多地市县人社部门、乡镇企业建立合作关系，开发基层就业岗位300余个，重点面向乡村教育、医疗卫生、农业技术、基础设施建设等领域，引导毕业生在基层实践中成长成才，为区域乡村振兴注入人才活力。</w:t>
      </w:r>
    </w:p>
    <w:p w14:paraId="20589E56">
      <w:pPr>
        <w:pStyle w:val="5"/>
        <w:pageBreakBefore w:val="0"/>
        <w:widowControl w:val="0"/>
        <w:kinsoku/>
        <w:wordWrap/>
        <w:overflowPunct/>
        <w:topLinePunct w:val="0"/>
        <w:autoSpaceDE/>
        <w:autoSpaceDN/>
        <w:bidi w:val="0"/>
        <w:spacing w:beforeLines="0" w:afterLines="0" w:line="520" w:lineRule="exact"/>
        <w:textAlignment w:val="auto"/>
        <w:rPr>
          <w:rFonts w:hint="eastAsia" w:ascii="仿宋_GB2312" w:hAnsi="仿宋_GB2312" w:eastAsia="仿宋_GB2312" w:cs="仿宋_GB2312"/>
          <w:color w:val="000000" w:themeColor="text1"/>
          <w:highlight w:val="none"/>
          <w:lang w:val="zh-CN" w:eastAsia="zh-CN"/>
          <w14:textFill>
            <w14:solidFill>
              <w14:schemeClr w14:val="tx1"/>
            </w14:solidFill>
          </w14:textFill>
        </w:rPr>
      </w:pPr>
      <w:bookmarkStart w:id="12" w:name="_Toc824435346"/>
      <w:r>
        <w:rPr>
          <w:rFonts w:hint="eastAsia" w:ascii="仿宋_GB2312" w:hAnsi="仿宋_GB2312" w:eastAsia="仿宋_GB2312" w:cs="仿宋_GB2312"/>
          <w:color w:val="000000" w:themeColor="text1"/>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highlight w:val="none"/>
          <w:lang w:val="zh-CN" w:eastAsia="zh-CN"/>
          <w14:textFill>
            <w14:solidFill>
              <w14:schemeClr w14:val="tx1"/>
            </w14:solidFill>
          </w14:textFill>
        </w:rPr>
        <w:t>突出指导帮扶，大力支持重点群体就业</w:t>
      </w:r>
      <w:bookmarkEnd w:id="12"/>
    </w:p>
    <w:p w14:paraId="7B793B6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建立重点群体毕业生“一生一策”帮扶档案，涵盖家庭经济困难、就业困难、残疾等群体毕业生1583人，实行分类管理、精准帮扶。针对重点群体开展专场招聘活动3场，提供专属岗位3000余个，组织一对一求职指导、简历修改、模拟面试等个性化服务2200余人次。联动政府部门、社会组织落实帮扶政策，为家庭经济困难毕业生申请求职创业补贴，补贴覆盖率达100%；联合企业设立“就业帮扶岗”，优先录用重点群体毕业生，全年重点群体毕业生去向落实率达86.7%，与整体落实率差距进一步缩小，实现“不让一个学生因困难失就业”的目标。</w:t>
      </w:r>
    </w:p>
    <w:bookmarkEnd w:id="8"/>
    <w:p w14:paraId="296AEC4B">
      <w:pPr>
        <w:pStyle w:val="6"/>
        <w:pageBreakBefore w:val="0"/>
        <w:widowControl w:val="0"/>
        <w:kinsoku/>
        <w:wordWrap/>
        <w:overflowPunct/>
        <w:topLinePunct w:val="0"/>
        <w:autoSpaceDE/>
        <w:autoSpaceDN/>
        <w:bidi w:val="0"/>
        <w:adjustRightInd/>
        <w:snapToGrid/>
        <w:spacing w:beforeLines="0" w:afterLines="0" w:line="520" w:lineRule="exact"/>
        <w:textAlignment w:val="auto"/>
        <w:rPr>
          <w:rFonts w:hint="eastAsia" w:ascii="仿宋_GB2312" w:hAnsi="仿宋_GB2312" w:eastAsia="仿宋_GB2312" w:cs="仿宋_GB2312"/>
          <w:color w:val="000000" w:themeColor="text1"/>
          <w:highlight w:val="none"/>
          <w:lang w:val="zh-CN" w:eastAsia="zh-CN"/>
          <w14:textFill>
            <w14:solidFill>
              <w14:schemeClr w14:val="tx1"/>
            </w14:solidFill>
          </w14:textFill>
        </w:rPr>
      </w:pPr>
      <w:bookmarkStart w:id="13" w:name="_Toc1138752325"/>
      <w:r>
        <w:rPr>
          <w:rFonts w:hint="eastAsia" w:ascii="仿宋_GB2312" w:hAnsi="仿宋_GB2312" w:eastAsia="仿宋_GB2312" w:cs="仿宋_GB2312"/>
          <w:color w:val="000000" w:themeColor="text1"/>
          <w:highlight w:val="none"/>
          <w:lang w:val="zh-CN" w:eastAsia="zh-CN"/>
          <w14:textFill>
            <w14:solidFill>
              <w14:schemeClr w14:val="tx1"/>
            </w14:solidFill>
          </w14:textFill>
        </w:rPr>
        <w:t>①初次毕业去向落实率</w:t>
      </w:r>
      <w:bookmarkEnd w:id="13"/>
    </w:p>
    <w:p w14:paraId="003462F8">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宋体" w:eastAsia="仿宋_GB2312"/>
          <w:b w:val="0"/>
          <w:bCs w:val="0"/>
          <w:color w:val="000000" w:themeColor="text1"/>
          <w:sz w:val="28"/>
          <w:szCs w:val="28"/>
          <w:highlight w:val="none"/>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截至2025年8月31日，2025届毕业生初次毕业去向落实率为83.55%，较2024届提升9.52个百分点。其中土木工程学院的签约率为73.24%，国防</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科技</w:t>
      </w: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学院为74.77%，艺术设计学院为82.13%，经济管理学院为85.90%，教育学院也取得了87.09%的签约率，汽车与机电学院高达87.16%，铁道与航空学院则达到了90.59%。</w:t>
      </w:r>
    </w:p>
    <w:p w14:paraId="2050AEB2">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宋体" w:eastAsia="仿宋_GB2312"/>
          <w:b w:val="0"/>
          <w:bCs w:val="0"/>
          <w:color w:val="000000" w:themeColor="text1"/>
          <w:sz w:val="28"/>
          <w:szCs w:val="28"/>
          <w:highlight w:val="none"/>
          <w14:textFill>
            <w14:solidFill>
              <w14:schemeClr w14:val="tx1"/>
            </w14:solidFill>
          </w14:textFill>
        </w:rPr>
        <w:t>表</w:t>
      </w:r>
      <w:r>
        <w:rPr>
          <w:rFonts w:hint="eastAsia" w:ascii="仿宋_GB2312" w:hAnsi="宋体" w:eastAsia="仿宋_GB2312"/>
          <w:b w:val="0"/>
          <w:bCs w:val="0"/>
          <w:color w:val="000000" w:themeColor="text1"/>
          <w:sz w:val="28"/>
          <w:szCs w:val="28"/>
          <w:highlight w:val="none"/>
          <w:lang w:val="en-US" w:eastAsia="zh-CN"/>
          <w14:textFill>
            <w14:solidFill>
              <w14:schemeClr w14:val="tx1"/>
            </w14:solidFill>
          </w14:textFill>
        </w:rPr>
        <w:t xml:space="preserve">8  </w:t>
      </w:r>
      <w:r>
        <w:rPr>
          <w:rFonts w:hint="eastAsia" w:ascii="仿宋_GB2312" w:hAnsi="宋体" w:eastAsia="仿宋_GB2312"/>
          <w:b w:val="0"/>
          <w:bCs w:val="0"/>
          <w:color w:val="000000" w:themeColor="text1"/>
          <w:sz w:val="28"/>
          <w:szCs w:val="28"/>
          <w:highlight w:val="none"/>
          <w:lang w:eastAsia="zh-CN"/>
          <w14:textFill>
            <w14:solidFill>
              <w14:schemeClr w14:val="tx1"/>
            </w14:solidFill>
          </w14:textFill>
        </w:rPr>
        <w:t>202</w:t>
      </w:r>
      <w:r>
        <w:rPr>
          <w:rFonts w:hint="eastAsia" w:ascii="仿宋_GB2312" w:hAnsi="宋体" w:eastAsia="仿宋_GB2312"/>
          <w:b w:val="0"/>
          <w:bCs w:val="0"/>
          <w:color w:val="000000" w:themeColor="text1"/>
          <w:sz w:val="28"/>
          <w:szCs w:val="28"/>
          <w:highlight w:val="none"/>
          <w:lang w:val="en-US" w:eastAsia="zh-CN"/>
          <w14:textFill>
            <w14:solidFill>
              <w14:schemeClr w14:val="tx1"/>
            </w14:solidFill>
          </w14:textFill>
        </w:rPr>
        <w:t>5</w:t>
      </w:r>
      <w:r>
        <w:rPr>
          <w:rFonts w:hint="eastAsia" w:ascii="仿宋_GB2312" w:hAnsi="宋体" w:eastAsia="仿宋_GB2312"/>
          <w:b w:val="0"/>
          <w:bCs w:val="0"/>
          <w:color w:val="000000" w:themeColor="text1"/>
          <w:sz w:val="28"/>
          <w:szCs w:val="28"/>
          <w:highlight w:val="none"/>
          <w:lang w:eastAsia="zh-CN"/>
          <w14:textFill>
            <w14:solidFill>
              <w14:schemeClr w14:val="tx1"/>
            </w14:solidFill>
          </w14:textFill>
        </w:rPr>
        <w:t>届毕业生</w:t>
      </w:r>
      <w:r>
        <w:rPr>
          <w:rFonts w:hint="eastAsia" w:ascii="仿宋_GB2312" w:hAnsi="宋体" w:eastAsia="仿宋_GB2312"/>
          <w:b w:val="0"/>
          <w:bCs w:val="0"/>
          <w:color w:val="000000" w:themeColor="text1"/>
          <w:sz w:val="28"/>
          <w:szCs w:val="28"/>
          <w:highlight w:val="none"/>
          <w:lang w:val="zh-CN" w:eastAsia="zh-CN"/>
          <w14:textFill>
            <w14:solidFill>
              <w14:schemeClr w14:val="tx1"/>
            </w14:solidFill>
          </w14:textFill>
        </w:rPr>
        <w:t>初次毕业去向落实率</w:t>
      </w:r>
    </w:p>
    <w:tbl>
      <w:tblPr>
        <w:tblStyle w:val="14"/>
        <w:tblW w:w="829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99"/>
        <w:gridCol w:w="1852"/>
        <w:gridCol w:w="1848"/>
        <w:gridCol w:w="1848"/>
        <w:gridCol w:w="1850"/>
      </w:tblGrid>
      <w:tr w14:paraId="77349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4" w:hRule="atLeast"/>
          <w:jc w:val="center"/>
        </w:trPr>
        <w:tc>
          <w:tcPr>
            <w:tcW w:w="899"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03CC83B1">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序号</w:t>
            </w:r>
          </w:p>
        </w:tc>
        <w:tc>
          <w:tcPr>
            <w:tcW w:w="1852"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1AB3CA2C">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院系名称</w:t>
            </w:r>
          </w:p>
        </w:tc>
        <w:tc>
          <w:tcPr>
            <w:tcW w:w="1848"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48D70241">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毕业人数</w:t>
            </w:r>
          </w:p>
        </w:tc>
        <w:tc>
          <w:tcPr>
            <w:tcW w:w="1848"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76D3819F">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落实人数</w:t>
            </w:r>
          </w:p>
        </w:tc>
        <w:tc>
          <w:tcPr>
            <w:tcW w:w="1850"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2AA417C4">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落实率</w:t>
            </w:r>
          </w:p>
        </w:tc>
      </w:tr>
      <w:tr w14:paraId="703E8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869A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A1D63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铁道与航空学院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1874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606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BF38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549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A354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90.59%</w:t>
            </w:r>
          </w:p>
        </w:tc>
      </w:tr>
      <w:tr w14:paraId="037519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D2BAA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65EB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汽车与机电学院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695A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B4AA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228BC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87.16%</w:t>
            </w:r>
          </w:p>
        </w:tc>
      </w:tr>
      <w:tr w14:paraId="5D607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3049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1D89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教育学院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48AC9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1572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3A8AE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1369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697F8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87.09%</w:t>
            </w:r>
          </w:p>
        </w:tc>
      </w:tr>
      <w:tr w14:paraId="594A95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C589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696F5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经济管理学院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C206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88BA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646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06FD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85.90%</w:t>
            </w:r>
          </w:p>
        </w:tc>
      </w:tr>
      <w:tr w14:paraId="6CD19D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95D6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7D6C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艺术设计学院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073EE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1BD7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347D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82.13%</w:t>
            </w:r>
          </w:p>
        </w:tc>
      </w:tr>
      <w:tr w14:paraId="061B00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66F8C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C007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国防科技学院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01A9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B2BB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D545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74.77%</w:t>
            </w:r>
          </w:p>
        </w:tc>
      </w:tr>
      <w:tr w14:paraId="5FF4BE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66D3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F8FF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19B6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F5B4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5697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B8D9E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83.55%</w:t>
            </w:r>
          </w:p>
        </w:tc>
      </w:tr>
    </w:tbl>
    <w:p w14:paraId="4DE0DD7D">
      <w:pPr>
        <w:pStyle w:val="6"/>
        <w:pageBreakBefore w:val="0"/>
        <w:widowControl w:val="0"/>
        <w:kinsoku/>
        <w:wordWrap/>
        <w:overflowPunct/>
        <w:topLinePunct w:val="0"/>
        <w:autoSpaceDE/>
        <w:autoSpaceDN/>
        <w:bidi w:val="0"/>
        <w:adjustRightInd/>
        <w:snapToGrid/>
        <w:spacing w:beforeLines="0" w:afterLines="0" w:line="520" w:lineRule="exact"/>
        <w:textAlignment w:val="auto"/>
        <w:rPr>
          <w:rFonts w:hint="eastAsia" w:ascii="仿宋_GB2312" w:hAnsi="仿宋_GB2312" w:eastAsia="仿宋_GB2312" w:cs="仿宋_GB2312"/>
          <w:color w:val="000000" w:themeColor="text1"/>
          <w:highlight w:val="none"/>
          <w:lang w:val="zh-CN" w:eastAsia="zh-CN"/>
          <w14:textFill>
            <w14:solidFill>
              <w14:schemeClr w14:val="tx1"/>
            </w14:solidFill>
          </w14:textFill>
        </w:rPr>
      </w:pPr>
      <w:bookmarkStart w:id="14" w:name="_Toc636064211"/>
      <w:r>
        <w:rPr>
          <w:rFonts w:hint="eastAsia" w:ascii="仿宋_GB2312" w:hAnsi="仿宋_GB2312" w:eastAsia="仿宋_GB2312" w:cs="仿宋_GB2312"/>
          <w:color w:val="000000" w:themeColor="text1"/>
          <w:highlight w:val="none"/>
          <w:lang w:val="zh-CN" w:eastAsia="zh-CN"/>
          <w14:textFill>
            <w14:solidFill>
              <w14:schemeClr w14:val="tx1"/>
            </w14:solidFill>
          </w14:textFill>
        </w:rPr>
        <w:t>②分科类毕业去向落实率</w:t>
      </w:r>
      <w:bookmarkEnd w:id="14"/>
    </w:p>
    <w:p w14:paraId="39D81A2B">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2025届毕业生涵盖13个专业大类，初次毕业去向落实率整体表现良好。其中，落实率前三位的专业大类均实现高比例就业，分别为能源动力与材料大类、电子信息大类、医药卫生大类。</w:t>
      </w:r>
    </w:p>
    <w:p w14:paraId="292BF0F0">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color w:val="000000" w:themeColor="text1"/>
          <w:highlight w:val="none"/>
          <w:lang w:val="zh-CN"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表</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9  </w:t>
      </w: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202</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届毕业生分科类毕业去向落实率</w:t>
      </w:r>
    </w:p>
    <w:tbl>
      <w:tblPr>
        <w:tblStyle w:val="14"/>
        <w:tblW w:w="821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44"/>
        <w:gridCol w:w="3046"/>
        <w:gridCol w:w="1618"/>
        <w:gridCol w:w="1331"/>
        <w:gridCol w:w="1479"/>
      </w:tblGrid>
      <w:tr w14:paraId="68D9DD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78"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2F53A7B4">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序号</w:t>
            </w:r>
          </w:p>
        </w:tc>
        <w:tc>
          <w:tcPr>
            <w:tcW w:w="3046"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6D4F5554">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项目</w:t>
            </w:r>
          </w:p>
        </w:tc>
        <w:tc>
          <w:tcPr>
            <w:tcW w:w="1618"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541144DC">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毕业生人数</w:t>
            </w:r>
          </w:p>
        </w:tc>
        <w:tc>
          <w:tcPr>
            <w:tcW w:w="1331"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27FA270E">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落实人数</w:t>
            </w:r>
          </w:p>
        </w:tc>
        <w:tc>
          <w:tcPr>
            <w:tcW w:w="1479"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30E02615">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落实率</w:t>
            </w:r>
          </w:p>
        </w:tc>
      </w:tr>
      <w:tr w14:paraId="7079BC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3"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79B7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E09F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能源动力与材料大类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0C46A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EF64C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E06D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100.00%</w:t>
            </w:r>
          </w:p>
        </w:tc>
      </w:tr>
      <w:tr w14:paraId="0CD5A8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73B6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7745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电子信息大类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6A40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13A6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B83B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100.00%</w:t>
            </w:r>
          </w:p>
        </w:tc>
      </w:tr>
      <w:tr w14:paraId="6ACBFD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8FF3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7E1E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医药卫生大类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5F68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76</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7C55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852D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89.47%</w:t>
            </w:r>
          </w:p>
        </w:tc>
      </w:tr>
      <w:tr w14:paraId="38DA5E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3"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4DEC9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02BC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公共管理与服务大类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C5FE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26</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030A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23</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C0D41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88.46%</w:t>
            </w:r>
          </w:p>
        </w:tc>
      </w:tr>
      <w:tr w14:paraId="7D14B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CA03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2E3F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装备制造大类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CCB4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690</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0ABE5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609</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7746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88.26%</w:t>
            </w:r>
          </w:p>
        </w:tc>
      </w:tr>
      <w:tr w14:paraId="12131B7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5519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CEAB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交通运输大类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4432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1086</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C0C9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950</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DB2D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87.48%</w:t>
            </w:r>
          </w:p>
        </w:tc>
      </w:tr>
      <w:tr w14:paraId="1D6AF4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A4F7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37A3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教育与体育大类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24458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1504</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4E47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1309</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EBB4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87.03%</w:t>
            </w:r>
          </w:p>
        </w:tc>
      </w:tr>
      <w:tr w14:paraId="2A61A2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437FB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3B5C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财经商贸大类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3DF3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670</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5A84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578</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19326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86.27%</w:t>
            </w:r>
          </w:p>
        </w:tc>
      </w:tr>
      <w:tr w14:paraId="73AA7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F30B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8FFA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文化艺术大类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EA52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504</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728F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425</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4E8D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84.33%</w:t>
            </w:r>
          </w:p>
        </w:tc>
      </w:tr>
      <w:tr w14:paraId="45B669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6415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3EB9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电子与信息大类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5D53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389</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709B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328</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0EBA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84.32%</w:t>
            </w:r>
          </w:p>
        </w:tc>
      </w:tr>
      <w:tr w14:paraId="3F43B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5568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5D79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土木建筑大类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F2CF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1601</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53501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1224</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9DD3E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76.45%</w:t>
            </w:r>
          </w:p>
        </w:tc>
      </w:tr>
      <w:tr w14:paraId="040246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0"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58FE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D7F3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旅游大类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1D793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48</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DDCE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36</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883F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75.00%</w:t>
            </w:r>
          </w:p>
        </w:tc>
      </w:tr>
      <w:tr w14:paraId="2A83860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23"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6747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w:t>
            </w:r>
          </w:p>
        </w:tc>
        <w:tc>
          <w:tcPr>
            <w:tcW w:w="3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D88A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资源环境与安全大类</w:t>
            </w:r>
          </w:p>
        </w:tc>
        <w:tc>
          <w:tcPr>
            <w:tcW w:w="161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ACE3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204</w:t>
            </w:r>
          </w:p>
        </w:tc>
        <w:tc>
          <w:tcPr>
            <w:tcW w:w="13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E91D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126</w:t>
            </w:r>
          </w:p>
        </w:tc>
        <w:tc>
          <w:tcPr>
            <w:tcW w:w="14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9B03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61.76%</w:t>
            </w:r>
          </w:p>
        </w:tc>
      </w:tr>
      <w:tr w14:paraId="3E096A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91" w:hRule="atLeast"/>
          <w:jc w:val="center"/>
        </w:trPr>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EE23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30A38808">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合计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640B0A3A">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6819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414E95C6">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5697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bottom"/>
          </w:tcPr>
          <w:p w14:paraId="274EF0FE">
            <w:pPr>
              <w:keepNext w:val="0"/>
              <w:keepLines w:val="0"/>
              <w:widowControl/>
              <w:suppressLineNumbers w:val="0"/>
              <w:jc w:val="center"/>
              <w:textAlignment w:val="bottom"/>
              <w:rPr>
                <w:rFonts w:hint="default" w:ascii="宋体" w:hAnsi="宋体" w:eastAsia="宋体" w:cs="宋体"/>
                <w:i w:val="0"/>
                <w:iCs w:val="0"/>
                <w:color w:val="000000" w:themeColor="text1"/>
                <w:sz w:val="22"/>
                <w:szCs w:val="22"/>
                <w:highlight w:val="none"/>
                <w:u w:val="none"/>
                <w:lang w:val="en-US"/>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83.55%</w:t>
            </w:r>
          </w:p>
        </w:tc>
      </w:tr>
    </w:tbl>
    <w:p w14:paraId="48915D77">
      <w:pPr>
        <w:pStyle w:val="6"/>
        <w:pageBreakBefore w:val="0"/>
        <w:widowControl w:val="0"/>
        <w:kinsoku/>
        <w:wordWrap/>
        <w:overflowPunct/>
        <w:topLinePunct w:val="0"/>
        <w:autoSpaceDE/>
        <w:autoSpaceDN/>
        <w:bidi w:val="0"/>
        <w:adjustRightInd/>
        <w:snapToGrid/>
        <w:spacing w:beforeLines="0" w:afterLines="0" w:line="520" w:lineRule="exact"/>
        <w:textAlignment w:val="auto"/>
        <w:rPr>
          <w:rFonts w:hint="eastAsia" w:ascii="仿宋_GB2312" w:hAnsi="仿宋_GB2312" w:eastAsia="仿宋_GB2312" w:cs="仿宋_GB2312"/>
          <w:color w:val="000000" w:themeColor="text1"/>
          <w:highlight w:val="none"/>
          <w:lang w:val="zh-CN" w:eastAsia="zh-CN"/>
          <w14:textFill>
            <w14:solidFill>
              <w14:schemeClr w14:val="tx1"/>
            </w14:solidFill>
          </w14:textFill>
        </w:rPr>
      </w:pPr>
      <w:bookmarkStart w:id="15" w:name="_Toc157599511"/>
      <w:r>
        <w:rPr>
          <w:rFonts w:hint="eastAsia" w:ascii="仿宋_GB2312" w:hAnsi="仿宋_GB2312" w:eastAsia="仿宋_GB2312" w:cs="仿宋_GB2312"/>
          <w:color w:val="000000" w:themeColor="text1"/>
          <w:highlight w:val="none"/>
          <w:lang w:val="zh-CN" w:eastAsia="zh-CN"/>
          <w14:textFill>
            <w14:solidFill>
              <w14:schemeClr w14:val="tx1"/>
            </w14:solidFill>
          </w14:textFill>
        </w:rPr>
        <w:t>③专业毕业去向落实率</w:t>
      </w:r>
      <w:bookmarkEnd w:id="15"/>
    </w:p>
    <w:p w14:paraId="74225993">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2"/>
          <w:sz w:val="28"/>
          <w:szCs w:val="28"/>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2025届毕业生涵盖</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38</w:t>
      </w: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个专业，初次毕业去向落实率前10位的专业依次为：建筑材料工程技术、城市轨道交通工程技术、工业机器人技术、城市轨道交通运营管理、高速铁路施工与维护、大数据与会计、高速铁路客运服务、电气自动化技术、婴幼儿托育服务与管理、</w:t>
      </w: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电子信息工程技术</w:t>
      </w: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w:t>
      </w:r>
    </w:p>
    <w:p w14:paraId="003F775D">
      <w:pPr>
        <w:keepNext w:val="0"/>
        <w:keepLines w:val="0"/>
        <w:pageBreakBefore w:val="0"/>
        <w:widowControl w:val="0"/>
        <w:kinsoku/>
        <w:wordWrap/>
        <w:overflowPunct/>
        <w:topLinePunct w:val="0"/>
        <w:autoSpaceDE/>
        <w:autoSpaceDN/>
        <w:bidi w:val="0"/>
        <w:adjustRightInd/>
        <w:snapToGrid/>
        <w:jc w:val="center"/>
        <w:textAlignment w:val="auto"/>
        <w:rPr>
          <w:rFonts w:hint="eastAsia" w:ascii="仿宋_GB2312" w:hAnsi="仿宋_GB2312" w:eastAsia="仿宋_GB2312" w:cs="仿宋_GB2312"/>
          <w:color w:val="000000" w:themeColor="text1"/>
          <w:kern w:val="2"/>
          <w:sz w:val="28"/>
          <w:szCs w:val="28"/>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28"/>
          <w:szCs w:val="28"/>
          <w:highlight w:val="none"/>
          <w:lang w:val="zh-CN" w:eastAsia="zh-CN" w:bidi="ar-SA"/>
          <w14:textFill>
            <w14:solidFill>
              <w14:schemeClr w14:val="tx1"/>
            </w14:solidFill>
          </w14:textFill>
        </w:rPr>
        <w:t>表</w:t>
      </w: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 xml:space="preserve">10  </w:t>
      </w:r>
      <w:r>
        <w:rPr>
          <w:rFonts w:hint="eastAsia" w:ascii="仿宋_GB2312" w:hAnsi="仿宋_GB2312" w:eastAsia="仿宋_GB2312" w:cs="仿宋_GB2312"/>
          <w:color w:val="000000" w:themeColor="text1"/>
          <w:kern w:val="2"/>
          <w:sz w:val="28"/>
          <w:szCs w:val="28"/>
          <w:highlight w:val="none"/>
          <w:lang w:val="zh-CN" w:eastAsia="zh-CN" w:bidi="ar-SA"/>
          <w14:textFill>
            <w14:solidFill>
              <w14:schemeClr w14:val="tx1"/>
            </w14:solidFill>
          </w14:textFill>
        </w:rPr>
        <w:t>202</w:t>
      </w: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5</w:t>
      </w:r>
      <w:r>
        <w:rPr>
          <w:rFonts w:hint="eastAsia" w:ascii="仿宋_GB2312" w:hAnsi="仿宋_GB2312" w:eastAsia="仿宋_GB2312" w:cs="仿宋_GB2312"/>
          <w:color w:val="000000" w:themeColor="text1"/>
          <w:kern w:val="2"/>
          <w:sz w:val="28"/>
          <w:szCs w:val="28"/>
          <w:highlight w:val="none"/>
          <w:lang w:val="zh-CN" w:eastAsia="zh-CN" w:bidi="ar-SA"/>
          <w14:textFill>
            <w14:solidFill>
              <w14:schemeClr w14:val="tx1"/>
            </w14:solidFill>
          </w14:textFill>
        </w:rPr>
        <w:t>届毕业生专业毕业去向落实率</w:t>
      </w:r>
    </w:p>
    <w:tbl>
      <w:tblPr>
        <w:tblStyle w:val="14"/>
        <w:tblW w:w="82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33"/>
        <w:gridCol w:w="2868"/>
        <w:gridCol w:w="1566"/>
        <w:gridCol w:w="1473"/>
        <w:gridCol w:w="1550"/>
      </w:tblGrid>
      <w:tr w14:paraId="0CB0075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5"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348178AD">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序号</w:t>
            </w:r>
          </w:p>
        </w:tc>
        <w:tc>
          <w:tcPr>
            <w:tcW w:w="2868"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26FAE2E2">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专业</w:t>
            </w:r>
          </w:p>
        </w:tc>
        <w:tc>
          <w:tcPr>
            <w:tcW w:w="1566"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0C326EC4">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毕业人数</w:t>
            </w:r>
          </w:p>
        </w:tc>
        <w:tc>
          <w:tcPr>
            <w:tcW w:w="1473"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32CB72CE">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落实人数</w:t>
            </w:r>
          </w:p>
        </w:tc>
        <w:tc>
          <w:tcPr>
            <w:tcW w:w="1550"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799001B7">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落实率</w:t>
            </w:r>
          </w:p>
        </w:tc>
      </w:tr>
      <w:tr w14:paraId="63593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9FE6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79DC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建筑材料工程技术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685B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42D1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0136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95.00%</w:t>
            </w:r>
          </w:p>
        </w:tc>
      </w:tr>
      <w:tr w14:paraId="22D077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075D9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3AE5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城市轨道交通工程技术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1D0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3DA6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127</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87E8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93.38%</w:t>
            </w:r>
          </w:p>
        </w:tc>
      </w:tr>
      <w:tr w14:paraId="04091A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D6D2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60FE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工业机器人技术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23905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108</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1AD5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100</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B217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92.59%</w:t>
            </w:r>
          </w:p>
        </w:tc>
      </w:tr>
      <w:tr w14:paraId="4D98A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2B887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096E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城市轨道交通运营管理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69A6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146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9334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134</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3714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91.78%</w:t>
            </w:r>
          </w:p>
        </w:tc>
      </w:tr>
      <w:tr w14:paraId="57324F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FAF5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CBD2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高速铁路施工与维护</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A39D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90</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B04A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81</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C33C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90.00%</w:t>
            </w:r>
          </w:p>
        </w:tc>
      </w:tr>
      <w:tr w14:paraId="7FB043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5886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1CBC6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大数据与会计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1D58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325</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049A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292</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D25EB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89.85%</w:t>
            </w:r>
          </w:p>
        </w:tc>
      </w:tr>
      <w:tr w14:paraId="42AA77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0456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0EA1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高速铁路客运服务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D2B1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212</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5D53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190</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F437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89.62%</w:t>
            </w:r>
          </w:p>
        </w:tc>
      </w:tr>
      <w:tr w14:paraId="54570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51F1D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5F9B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电气自动化技术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A573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383</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8F93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343</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4E8C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89.56%</w:t>
            </w:r>
          </w:p>
        </w:tc>
      </w:tr>
      <w:tr w14:paraId="62864D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5802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88F2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婴幼儿托育服务与管理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F37E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2ACB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C05B9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89.47%</w:t>
            </w:r>
          </w:p>
        </w:tc>
      </w:tr>
      <w:tr w14:paraId="02D9C3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EB5C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1B20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电子信息工程技术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8208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122</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72370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108</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7496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88.52%</w:t>
            </w:r>
          </w:p>
        </w:tc>
      </w:tr>
      <w:tr w14:paraId="4AC9B8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35E6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12E0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智慧健康养老服务与管理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E202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A2A32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23</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61771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88.46%</w:t>
            </w:r>
          </w:p>
        </w:tc>
      </w:tr>
      <w:tr w14:paraId="093A7D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D03C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B0B7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艺术教育</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2B86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251</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798F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221</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38C0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88.05%</w:t>
            </w:r>
          </w:p>
        </w:tc>
      </w:tr>
      <w:tr w14:paraId="1B1D4A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C180B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3AF70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大数据与财务管理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9EF7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112</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EB19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98</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3E82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87.50%</w:t>
            </w:r>
          </w:p>
        </w:tc>
      </w:tr>
      <w:tr w14:paraId="697C8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0FED7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14</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55A3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汽车技术服务与营销</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5E28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32</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A8C5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28</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EB23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87.50%</w:t>
            </w:r>
          </w:p>
        </w:tc>
      </w:tr>
      <w:tr w14:paraId="22989B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8C00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15</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452E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学前教育</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EF52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1253</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F400E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1088</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A254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86.83%</w:t>
            </w:r>
          </w:p>
        </w:tc>
      </w:tr>
      <w:tr w14:paraId="3FFA80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9180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16</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E8EF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汽车检测与维修技术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7F29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327</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BDE1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280</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21DF4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85.63%</w:t>
            </w:r>
          </w:p>
        </w:tc>
      </w:tr>
      <w:tr w14:paraId="46D57D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67B5D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17</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2B52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产品艺术设计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FF37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256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65B2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219</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D2D3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85.55%</w:t>
            </w:r>
          </w:p>
        </w:tc>
      </w:tr>
      <w:tr w14:paraId="747FB8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7808D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18</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2877E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建筑设计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742F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80</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D1B38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2786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85.00%</w:t>
            </w:r>
          </w:p>
        </w:tc>
      </w:tr>
      <w:tr w14:paraId="7DDB9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45181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F472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数控技术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45AF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138</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D870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117</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DC64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84.78%</w:t>
            </w:r>
          </w:p>
        </w:tc>
      </w:tr>
      <w:tr w14:paraId="7F92D0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098C7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5A2B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大数据技术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84C5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195</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728FD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165</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2555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84.62%</w:t>
            </w:r>
          </w:p>
        </w:tc>
      </w:tr>
      <w:tr w14:paraId="797780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0E7B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21</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ECB6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广告艺术设计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CBF4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248</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147A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206</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2382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83.06%</w:t>
            </w:r>
          </w:p>
        </w:tc>
      </w:tr>
      <w:tr w14:paraId="596196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D13F8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22</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CC874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电子商务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003B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165</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F4EE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135</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7596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81.82%</w:t>
            </w:r>
          </w:p>
        </w:tc>
      </w:tr>
      <w:tr w14:paraId="0AE9A1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6EED6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23</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7BA06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模具设计与制造</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CBC0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52</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CCF8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42</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CF6F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80.77%</w:t>
            </w:r>
          </w:p>
        </w:tc>
      </w:tr>
      <w:tr w14:paraId="69D622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A3D1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24</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EAFD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国际经济与贸易</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2A3F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24</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7D1A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8225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79.17%</w:t>
            </w:r>
          </w:p>
        </w:tc>
      </w:tr>
      <w:tr w14:paraId="178A7E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372A5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25</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510A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空中乘务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947A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24</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06C8A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433D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79.17%</w:t>
            </w:r>
          </w:p>
        </w:tc>
      </w:tr>
      <w:tr w14:paraId="08BB3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5B01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26</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8222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建筑室内设计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6431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445</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75DC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352</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34274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79.10%</w:t>
            </w:r>
          </w:p>
        </w:tc>
      </w:tr>
      <w:tr w14:paraId="5C9FFE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A702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27</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BC53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建筑工程技术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3AA51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335</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F22B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261</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789BB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77.91%</w:t>
            </w:r>
          </w:p>
        </w:tc>
      </w:tr>
      <w:tr w14:paraId="38E35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7B18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28</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038A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市场营销</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7F8A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44</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FEFA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34</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FB69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77.27%</w:t>
            </w:r>
          </w:p>
        </w:tc>
      </w:tr>
      <w:tr w14:paraId="2899B9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800D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29</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C563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应用电子技术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E495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73</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8B1D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56</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B13C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76.71%</w:t>
            </w:r>
          </w:p>
        </w:tc>
      </w:tr>
      <w:tr w14:paraId="1AC7D6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30BC5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30</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3105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工程造价</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2FAA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532</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35BE7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404</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1D67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75.94%</w:t>
            </w:r>
          </w:p>
        </w:tc>
      </w:tr>
      <w:tr w14:paraId="149B3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2B5F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31</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4E4E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酒店管理与数字化运营</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75F9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48</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10E8F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36</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790C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75.00%</w:t>
            </w:r>
          </w:p>
        </w:tc>
      </w:tr>
      <w:tr w14:paraId="07B29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A207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32</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6318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现代物业管理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ED7E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31</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E40A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23</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4D78E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74.19%</w:t>
            </w:r>
          </w:p>
        </w:tc>
      </w:tr>
      <w:tr w14:paraId="5E3CEA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59C6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33</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2E68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道路与桥梁工程技术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4F08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9E66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91</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CA34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72.22%</w:t>
            </w:r>
          </w:p>
        </w:tc>
      </w:tr>
      <w:tr w14:paraId="066A657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C21E6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34</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43F9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工程测量技术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AC27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054B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52</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BA069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68.42%</w:t>
            </w:r>
          </w:p>
        </w:tc>
      </w:tr>
      <w:tr w14:paraId="0FBC42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19F7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35</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9122A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建设工程管理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E88E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134</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7712A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90</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420E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67.16%</w:t>
            </w:r>
          </w:p>
        </w:tc>
      </w:tr>
      <w:tr w14:paraId="457BE5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4531F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36</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5422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环境工程技术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B1AD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35</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3306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23</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9BB9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65.71%</w:t>
            </w:r>
          </w:p>
        </w:tc>
      </w:tr>
      <w:tr w14:paraId="7ABA9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999DC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37</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00D0">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土木工程检测技术</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F401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46</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2EB3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30</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871D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65.22%</w:t>
            </w:r>
          </w:p>
        </w:tc>
      </w:tr>
      <w:tr w14:paraId="6C8A8D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4B6A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38</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859D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国土资源调查与管理</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D904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93</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548BF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55</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874B91">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59.14%</w:t>
            </w:r>
          </w:p>
        </w:tc>
      </w:tr>
      <w:tr w14:paraId="1B9977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40" w:hRule="atLeast"/>
          <w:jc w:val="center"/>
        </w:trPr>
        <w:tc>
          <w:tcPr>
            <w:tcW w:w="8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0DA88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39</w:t>
            </w:r>
          </w:p>
        </w:tc>
        <w:tc>
          <w:tcPr>
            <w:tcW w:w="28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942F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合计</w:t>
            </w:r>
          </w:p>
        </w:tc>
        <w:tc>
          <w:tcPr>
            <w:tcW w:w="156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155D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6819</w:t>
            </w:r>
          </w:p>
        </w:tc>
        <w:tc>
          <w:tcPr>
            <w:tcW w:w="1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0581E">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5697</w:t>
            </w:r>
          </w:p>
        </w:tc>
        <w:tc>
          <w:tcPr>
            <w:tcW w:w="15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22BD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83.55%</w:t>
            </w:r>
          </w:p>
        </w:tc>
      </w:tr>
    </w:tbl>
    <w:p w14:paraId="1B3D83F7">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520" w:lineRule="exact"/>
        <w:ind w:left="0" w:right="0" w:firstLine="640" w:firstLineChars="200"/>
        <w:jc w:val="left"/>
        <w:textAlignment w:val="auto"/>
        <w:rPr>
          <w:rFonts w:hint="eastAsia" w:ascii="仿宋_GB2312" w:hAnsi="仿宋_GB2312" w:eastAsia="仿宋_GB2312" w:cs="仿宋_GB2312"/>
          <w:b w:val="0"/>
          <w:color w:val="000000" w:themeColor="text1"/>
          <w:kern w:val="2"/>
          <w:sz w:val="32"/>
          <w:szCs w:val="24"/>
          <w:highlight w:val="none"/>
          <w:lang w:val="zh-CN" w:eastAsia="zh-CN" w:bidi="ar-SA"/>
          <w14:textFill>
            <w14:solidFill>
              <w14:schemeClr w14:val="tx1"/>
            </w14:solidFill>
          </w14:textFill>
        </w:rPr>
      </w:pPr>
      <w:bookmarkStart w:id="16" w:name="_Toc927644626"/>
      <w:r>
        <w:rPr>
          <w:rFonts w:hint="default" w:ascii="仿宋_GB2312" w:hAnsi="仿宋_GB2312" w:eastAsia="仿宋_GB2312" w:cs="仿宋_GB2312"/>
          <w:b w:val="0"/>
          <w:color w:val="000000" w:themeColor="text1"/>
          <w:kern w:val="2"/>
          <w:sz w:val="32"/>
          <w:szCs w:val="24"/>
          <w:highlight w:val="none"/>
          <w:lang w:val="zh-CN" w:eastAsia="zh-CN" w:bidi="ar-SA"/>
          <w14:textFill>
            <w14:solidFill>
              <w14:schemeClr w14:val="tx1"/>
            </w14:solidFill>
          </w14:textFill>
        </w:rPr>
        <w:t>④</w:t>
      </w:r>
      <w:r>
        <w:rPr>
          <w:rFonts w:hint="eastAsia" w:ascii="仿宋_GB2312" w:hAnsi="仿宋_GB2312" w:eastAsia="仿宋_GB2312" w:cs="仿宋_GB2312"/>
          <w:b w:val="0"/>
          <w:color w:val="000000" w:themeColor="text1"/>
          <w:kern w:val="2"/>
          <w:sz w:val="32"/>
          <w:szCs w:val="24"/>
          <w:highlight w:val="none"/>
          <w:lang w:val="zh-CN" w:eastAsia="zh-CN" w:bidi="ar-SA"/>
          <w14:textFill>
            <w14:solidFill>
              <w14:schemeClr w14:val="tx1"/>
            </w14:solidFill>
          </w14:textFill>
        </w:rPr>
        <w:t>毕业去向分布</w:t>
      </w:r>
      <w:bookmarkEnd w:id="16"/>
    </w:p>
    <w:p w14:paraId="21EE7F1A">
      <w:pPr>
        <w:keepNext w:val="0"/>
        <w:keepLines w:val="0"/>
        <w:pageBreakBefore w:val="0"/>
        <w:widowControl w:val="0"/>
        <w:kinsoku/>
        <w:wordWrap/>
        <w:overflowPunct/>
        <w:topLinePunct w:val="0"/>
        <w:autoSpaceDE/>
        <w:autoSpaceDN/>
        <w:bidi w:val="0"/>
        <w:adjustRightInd/>
        <w:snapToGrid/>
        <w:spacing w:line="520" w:lineRule="exact"/>
        <w:ind w:right="0"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从2025届毕业生毕业去向分布来看，签就业协议形式就业的人数最多，占比达66.95%，是毕业生就业的核心渠道；其次为专科升普通本科，占比11.44%，成为毕业生提升学历、拓宽发展空间的重要选择；签劳动合同形式就业占比10.39%，其他录用形式就业占比9.16%，这两类就业形式共同构成了毕业生受雇就业的重要补充。</w:t>
      </w:r>
    </w:p>
    <w:p w14:paraId="0FCBF6BD">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升学方面，仅专科升普通本科的占比就达11.44%，体现了毕业生较强的深造意愿；自主创业相关去向中，个体工商户创业占比0.23%，创立公司占比0.09%，合计占比0.32%，展现了部分毕业生的创新精神与创业活力；此外，应征义务兵占比1.67%，自由职业占比0.07%，为毕业生去向提供了多元化补充</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w:t>
      </w:r>
    </w:p>
    <w:p w14:paraId="17515214">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color w:val="000000" w:themeColor="text1"/>
          <w:highlight w:val="none"/>
          <w:lang w:val="zh-CN"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表</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11  </w:t>
      </w: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202</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届毕业生毕业去向分布</w:t>
      </w:r>
    </w:p>
    <w:tbl>
      <w:tblPr>
        <w:tblStyle w:val="14"/>
        <w:tblW w:w="805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81"/>
        <w:gridCol w:w="2739"/>
        <w:gridCol w:w="1686"/>
        <w:gridCol w:w="1211"/>
        <w:gridCol w:w="1240"/>
      </w:tblGrid>
      <w:tr w14:paraId="27B12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48" w:hRule="atLeast"/>
          <w:jc w:val="center"/>
        </w:trPr>
        <w:tc>
          <w:tcPr>
            <w:tcW w:w="1181"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26C61B80">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序号</w:t>
            </w:r>
          </w:p>
        </w:tc>
        <w:tc>
          <w:tcPr>
            <w:tcW w:w="2739"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6E45F2D1">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毕业去向</w:t>
            </w:r>
          </w:p>
        </w:tc>
        <w:tc>
          <w:tcPr>
            <w:tcW w:w="1686"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085DD1B9">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毕业去向总人数</w:t>
            </w:r>
          </w:p>
        </w:tc>
        <w:tc>
          <w:tcPr>
            <w:tcW w:w="1211"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0078C1BA">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毕业去向人数</w:t>
            </w:r>
          </w:p>
        </w:tc>
        <w:tc>
          <w:tcPr>
            <w:tcW w:w="1240"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53E3C997">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毕业去向占比</w:t>
            </w:r>
          </w:p>
        </w:tc>
      </w:tr>
      <w:tr w14:paraId="1BE01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6AD4B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0FF2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签就业协议形式就业</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0C46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5697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2F6C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3814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0534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66.95%</w:t>
            </w:r>
          </w:p>
        </w:tc>
      </w:tr>
      <w:tr w14:paraId="56C56CA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F917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B9140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专科升普通本科</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B6AF2">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98816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652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4D4A6C">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11.44%</w:t>
            </w:r>
          </w:p>
        </w:tc>
      </w:tr>
      <w:tr w14:paraId="748172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EBF39">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9277C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签劳动合同形式就业</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49FAA8">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6763D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592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56B9D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10.39%</w:t>
            </w:r>
          </w:p>
        </w:tc>
      </w:tr>
      <w:tr w14:paraId="687E1E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E7A9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3071A">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其他录用形式就业</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0D235">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10FF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522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3058B">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9.16%</w:t>
            </w:r>
          </w:p>
        </w:tc>
      </w:tr>
      <w:tr w14:paraId="6C3D4B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ACCC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1496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应征义务兵</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C601F">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25446F">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1B8DC6">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1.67%</w:t>
            </w:r>
          </w:p>
        </w:tc>
      </w:tr>
      <w:tr w14:paraId="5B4175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29B63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EB5E7">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个体工商户创业</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D248C">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97181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ED0F5">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0.23%</w:t>
            </w:r>
          </w:p>
        </w:tc>
      </w:tr>
      <w:tr w14:paraId="4D86F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3"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4F2">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8E99D">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创立公司</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801E4">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EE9173">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2F04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0.09%</w:t>
            </w:r>
          </w:p>
        </w:tc>
      </w:tr>
      <w:tr w14:paraId="1CF2D6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4"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B3F29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CA03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自由职业</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C13377">
            <w:pPr>
              <w:jc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473C4">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6EF98">
            <w:pPr>
              <w:keepNext w:val="0"/>
              <w:keepLines w:val="0"/>
              <w:widowControl/>
              <w:suppressLineNumbers w:val="0"/>
              <w:jc w:val="center"/>
              <w:textAlignment w:val="center"/>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0.07%</w:t>
            </w:r>
          </w:p>
        </w:tc>
      </w:tr>
    </w:tbl>
    <w:p w14:paraId="6AC218A5">
      <w:pPr>
        <w:pStyle w:val="6"/>
        <w:pageBreakBefore w:val="0"/>
        <w:widowControl w:val="0"/>
        <w:kinsoku/>
        <w:wordWrap/>
        <w:overflowPunct/>
        <w:topLinePunct w:val="0"/>
        <w:autoSpaceDE/>
        <w:autoSpaceDN/>
        <w:bidi w:val="0"/>
        <w:adjustRightInd/>
        <w:snapToGrid/>
        <w:spacing w:beforeLines="0" w:afterLines="0" w:line="520" w:lineRule="exact"/>
        <w:textAlignment w:val="auto"/>
        <w:rPr>
          <w:rFonts w:hint="eastAsia" w:ascii="仿宋_GB2312" w:hAnsi="仿宋_GB2312" w:eastAsia="仿宋_GB2312" w:cs="仿宋_GB2312"/>
          <w:b/>
          <w:bCs/>
          <w:color w:val="000000" w:themeColor="text1"/>
          <w:sz w:val="32"/>
          <w:szCs w:val="32"/>
          <w:highlight w:val="none"/>
          <w:lang w:val="zh-CN" w:eastAsia="zh-CN"/>
          <w14:textFill>
            <w14:solidFill>
              <w14:schemeClr w14:val="tx1"/>
            </w14:solidFill>
          </w14:textFill>
        </w:rPr>
      </w:pPr>
      <w:bookmarkStart w:id="17" w:name="_Toc616187540"/>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2.</w:t>
      </w:r>
      <w:r>
        <w:rPr>
          <w:rFonts w:hint="eastAsia" w:ascii="仿宋_GB2312" w:hAnsi="仿宋_GB2312" w:eastAsia="仿宋_GB2312" w:cs="仿宋_GB2312"/>
          <w:b/>
          <w:bCs/>
          <w:color w:val="000000" w:themeColor="text1"/>
          <w:sz w:val="32"/>
          <w:szCs w:val="32"/>
          <w:highlight w:val="none"/>
          <w:lang w:val="zh-CN" w:eastAsia="zh-CN"/>
          <w14:textFill>
            <w14:solidFill>
              <w14:schemeClr w14:val="tx1"/>
            </w14:solidFill>
          </w14:textFill>
        </w:rPr>
        <w:t>升学情况</w:t>
      </w:r>
      <w:bookmarkEnd w:id="17"/>
    </w:p>
    <w:p w14:paraId="30D53260">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pPr>
      <w:r>
        <w:rPr>
          <w:rFonts w:hint="eastAsia" w:ascii="仿宋_GB2312" w:hAnsi="仿宋_GB2312" w:eastAsia="仿宋_GB2312" w:cs="仿宋_GB2312"/>
          <w:color w:val="000000" w:themeColor="text1"/>
          <w:spacing w:val="0"/>
          <w:sz w:val="32"/>
          <w:szCs w:val="32"/>
          <w:highlight w:val="none"/>
          <w:lang w:val="en-US" w:eastAsia="zh-CN"/>
          <w14:textFill>
            <w14:solidFill>
              <w14:schemeClr w14:val="tx1"/>
            </w14:solidFill>
          </w14:textFill>
        </w:rPr>
        <w:t>本年度组织2025级应届毕业生参与自治区招生考试院组织2025年专升本考试，学校共设有35个考场，992名考生，成绩上线人数达到718人，录取人数651人，录取率为82.41%，上线率为90.89%。</w:t>
      </w: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2025届毕业生国内升学人数615人，升学去向为区内本科院校。升学专业主要集中在机械设计制造及其自动化、土木工程、计算机科学与技术等与原专科专业高度相关的领域，专升本比例高于全国高职平均水平，体现了学校人才培养的连续性和有效性</w:t>
      </w:r>
      <w:r>
        <w:rPr>
          <w:rFonts w:hint="eastAsia" w:ascii="仿宋_GB2312" w:hAnsi="仿宋_GB2312" w:eastAsia="仿宋_GB2312" w:cs="仿宋_GB2312"/>
          <w:color w:val="000000" w:themeColor="text1"/>
          <w:sz w:val="32"/>
          <w:szCs w:val="32"/>
          <w:highlight w:val="none"/>
          <w:lang w:val="zh-CN" w:eastAsia="zh-CN"/>
          <w14:textFill>
            <w14:solidFill>
              <w14:schemeClr w14:val="tx1"/>
            </w14:solidFill>
          </w14:textFill>
        </w:rPr>
        <w:t>。</w:t>
      </w:r>
    </w:p>
    <w:p w14:paraId="29EC376D">
      <w:pPr>
        <w:pageBreakBefore w:val="0"/>
        <w:widowControl w:val="0"/>
        <w:numPr>
          <w:ilvl w:val="0"/>
          <w:numId w:val="0"/>
        </w:numPr>
        <w:kinsoku/>
        <w:wordWrap/>
        <w:overflowPunct/>
        <w:topLinePunct w:val="0"/>
        <w:autoSpaceDE/>
        <w:autoSpaceDN/>
        <w:bidi w:val="0"/>
        <w:adjustRightInd/>
        <w:snapToGrid/>
        <w:spacing w:line="520" w:lineRule="exact"/>
        <w:ind w:left="640" w:leftChars="0"/>
        <w:textAlignment w:val="auto"/>
        <w:rPr>
          <w:rFonts w:hint="eastAsia" w:ascii="仿宋_GB2312" w:hAnsi="仿宋_GB2312" w:eastAsia="仿宋_GB2312" w:cs="仿宋_GB2312"/>
          <w:b/>
          <w:bCs/>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b/>
          <w:bCs/>
          <w:color w:val="000000" w:themeColor="text1"/>
          <w:kern w:val="2"/>
          <w:sz w:val="32"/>
          <w:szCs w:val="32"/>
          <w:highlight w:val="none"/>
          <w:lang w:val="en-US" w:eastAsia="zh-CN" w:bidi="ar-SA"/>
          <w14:textFill>
            <w14:solidFill>
              <w14:schemeClr w14:val="tx1"/>
            </w14:solidFill>
          </w14:textFill>
        </w:rPr>
        <w:t>3.创新创业情况</w:t>
      </w:r>
    </w:p>
    <w:p w14:paraId="50CBA5B1">
      <w:pPr>
        <w:pStyle w:val="9"/>
        <w:keepNext w:val="0"/>
        <w:keepLines w:val="0"/>
        <w:pageBreakBefore w:val="0"/>
        <w:widowControl/>
        <w:kinsoku/>
        <w:wordWrap/>
        <w:overflowPunct/>
        <w:topLinePunct w:val="0"/>
        <w:autoSpaceDE w:val="0"/>
        <w:autoSpaceDN w:val="0"/>
        <w:bidi w:val="0"/>
        <w:adjustRightInd w:val="0"/>
        <w:snapToGrid w:val="0"/>
        <w:spacing w:line="520" w:lineRule="exact"/>
        <w:ind w:left="0" w:leftChars="0" w:firstLine="656" w:firstLineChars="200"/>
        <w:jc w:val="both"/>
        <w:textAlignment w:val="baseline"/>
        <w:rPr>
          <w:rFonts w:hint="eastAsia" w:ascii="仿宋_GB2312" w:hAnsi="仿宋_GB2312" w:eastAsia="仿宋_GB2312" w:cs="仿宋_GB2312"/>
          <w:b w:val="0"/>
          <w:bCs w:val="0"/>
          <w:color w:val="000000" w:themeColor="text1"/>
          <w:spacing w:val="4"/>
          <w:sz w:val="32"/>
          <w:szCs w:val="32"/>
          <w:highlight w:val="none"/>
          <w:lang w:eastAsia="zh-CN"/>
          <w14:textFill>
            <w14:solidFill>
              <w14:schemeClr w14:val="tx1"/>
            </w14:solidFill>
          </w14:textFill>
        </w:rPr>
      </w:pPr>
      <w:r>
        <w:rPr>
          <w:rFonts w:hint="eastAsia" w:ascii="仿宋_GB2312" w:hAnsi="仿宋_GB2312" w:eastAsia="仿宋_GB2312" w:cs="仿宋_GB2312"/>
          <w:b w:val="0"/>
          <w:bCs w:val="0"/>
          <w:color w:val="000000" w:themeColor="text1"/>
          <w:spacing w:val="4"/>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val="0"/>
          <w:color w:val="000000" w:themeColor="text1"/>
          <w:spacing w:val="4"/>
          <w:sz w:val="32"/>
          <w:szCs w:val="32"/>
          <w:highlight w:val="none"/>
          <w:lang w:eastAsia="zh-CN"/>
          <w14:textFill>
            <w14:solidFill>
              <w14:schemeClr w14:val="tx1"/>
            </w14:solidFill>
          </w14:textFill>
        </w:rPr>
        <w:t>高度重视创新创业教育工作，将创新创业教育纳入学校人才培养体系，并成立了大学生就业创业中心和就业创业教研室，负责全校的创新创业教育工作。</w:t>
      </w:r>
    </w:p>
    <w:p w14:paraId="34423DE2">
      <w:pPr>
        <w:pStyle w:val="9"/>
        <w:keepNext w:val="0"/>
        <w:keepLines w:val="0"/>
        <w:pageBreakBefore w:val="0"/>
        <w:widowControl/>
        <w:kinsoku/>
        <w:wordWrap/>
        <w:overflowPunct/>
        <w:topLinePunct w:val="0"/>
        <w:autoSpaceDE w:val="0"/>
        <w:autoSpaceDN w:val="0"/>
        <w:bidi w:val="0"/>
        <w:adjustRightInd w:val="0"/>
        <w:snapToGrid w:val="0"/>
        <w:spacing w:line="520" w:lineRule="exact"/>
        <w:ind w:left="0" w:leftChars="0" w:firstLine="656" w:firstLineChars="200"/>
        <w:jc w:val="both"/>
        <w:textAlignment w:val="baseline"/>
        <w:rPr>
          <w:rFonts w:hint="eastAsia" w:ascii="仿宋_GB2312" w:hAnsi="仿宋_GB2312" w:eastAsia="仿宋_GB2312" w:cs="仿宋_GB2312"/>
          <w:b w:val="0"/>
          <w:bCs w:val="0"/>
          <w:color w:val="000000" w:themeColor="text1"/>
          <w:spacing w:val="4"/>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pacing w:val="4"/>
          <w:sz w:val="32"/>
          <w:szCs w:val="32"/>
          <w:highlight w:val="none"/>
          <w:lang w:val="en-US" w:eastAsia="zh-CN"/>
          <w14:textFill>
            <w14:solidFill>
              <w14:schemeClr w14:val="tx1"/>
            </w14:solidFill>
          </w14:textFill>
        </w:rPr>
        <w:t>为积极响应国家创新驱动发展战略，进一步激发我校学生的创新创业热情，提升创新创业能力，培养具有创新精神和实践能力的高素质技术技能型人才，2024-2025学年，学校开展创新创业比赛，全校共175个创新创业项目参加了初赛，共有60个项目参加了学校的创新创业项目校赛，共推荐5个创新创业项目参加平果市2024年青年创新创业大赛暨第八届大学园区创新创业大赛决赛，并荣获金、银、铜奖各1项，优秀奖2项。</w:t>
      </w:r>
    </w:p>
    <w:p w14:paraId="420EBD60">
      <w:pPr>
        <w:pStyle w:val="9"/>
        <w:keepNext w:val="0"/>
        <w:keepLines w:val="0"/>
        <w:pageBreakBefore w:val="0"/>
        <w:widowControl/>
        <w:kinsoku/>
        <w:wordWrap/>
        <w:overflowPunct/>
        <w:topLinePunct w:val="0"/>
        <w:autoSpaceDE w:val="0"/>
        <w:autoSpaceDN w:val="0"/>
        <w:bidi w:val="0"/>
        <w:adjustRightInd w:val="0"/>
        <w:snapToGrid w:val="0"/>
        <w:spacing w:line="520" w:lineRule="exact"/>
        <w:ind w:left="0" w:leftChars="0" w:firstLine="656" w:firstLineChars="200"/>
        <w:jc w:val="both"/>
        <w:textAlignment w:val="baseline"/>
        <w:rPr>
          <w:rFonts w:hint="default" w:ascii="仿宋_GB2312" w:hAnsi="仿宋_GB2312" w:eastAsia="仿宋_GB2312" w:cs="仿宋_GB2312"/>
          <w:b w:val="0"/>
          <w:bCs w:val="0"/>
          <w:color w:val="000000" w:themeColor="text1"/>
          <w:spacing w:val="4"/>
          <w:sz w:val="32"/>
          <w:szCs w:val="32"/>
          <w:highlight w:val="none"/>
          <w:lang w:val="en-US" w:eastAsia="zh-CN"/>
          <w14:textFill>
            <w14:solidFill>
              <w14:schemeClr w14:val="tx1"/>
            </w14:solidFill>
          </w14:textFill>
        </w:rPr>
      </w:pPr>
    </w:p>
    <w:p w14:paraId="5526332A">
      <w:pPr>
        <w:pageBreakBefore w:val="0"/>
        <w:widowControl w:val="0"/>
        <w:numPr>
          <w:ilvl w:val="0"/>
          <w:numId w:val="0"/>
        </w:numPr>
        <w:kinsoku/>
        <w:wordWrap/>
        <w:overflowPunct/>
        <w:topLinePunct w:val="0"/>
        <w:autoSpaceDE/>
        <w:autoSpaceDN/>
        <w:bidi w:val="0"/>
        <w:adjustRightInd/>
        <w:snapToGrid/>
        <w:spacing w:line="520" w:lineRule="exact"/>
        <w:ind w:left="640" w:leftChars="0"/>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CEA4C3D">
      <w:pPr>
        <w:pageBreakBefore w:val="0"/>
        <w:widowControl w:val="0"/>
        <w:numPr>
          <w:ilvl w:val="0"/>
          <w:numId w:val="0"/>
        </w:numPr>
        <w:kinsoku/>
        <w:wordWrap/>
        <w:overflowPunct/>
        <w:topLinePunct w:val="0"/>
        <w:autoSpaceDE/>
        <w:autoSpaceDN/>
        <w:bidi w:val="0"/>
        <w:adjustRightInd/>
        <w:snapToGrid/>
        <w:spacing w:line="520" w:lineRule="exact"/>
        <w:ind w:left="640" w:leftChars="0"/>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07E36FB">
      <w:pPr>
        <w:pageBreakBefore w:val="0"/>
        <w:widowControl w:val="0"/>
        <w:numPr>
          <w:ilvl w:val="0"/>
          <w:numId w:val="0"/>
        </w:numPr>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15E607C">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bookmarkStart w:id="18" w:name="OLE_LINK18"/>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drawing>
          <wp:anchor distT="0" distB="0" distL="114300" distR="114300" simplePos="0" relativeHeight="251663360" behindDoc="0" locked="0" layoutInCell="1" allowOverlap="1">
            <wp:simplePos x="0" y="0"/>
            <wp:positionH relativeFrom="column">
              <wp:posOffset>52070</wp:posOffset>
            </wp:positionH>
            <wp:positionV relativeFrom="paragraph">
              <wp:posOffset>-450850</wp:posOffset>
            </wp:positionV>
            <wp:extent cx="5748655" cy="3492500"/>
            <wp:effectExtent l="0" t="0" r="4445" b="12700"/>
            <wp:wrapTopAndBottom/>
            <wp:docPr id="8" name="图片 8" descr="毕业双选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毕业双选会"/>
                    <pic:cNvPicPr>
                      <a:picLocks noChangeAspect="1"/>
                    </pic:cNvPicPr>
                  </pic:nvPicPr>
                  <pic:blipFill>
                    <a:blip r:embed="rId48"/>
                    <a:stretch>
                      <a:fillRect/>
                    </a:stretch>
                  </pic:blipFill>
                  <pic:spPr>
                    <a:xfrm>
                      <a:off x="0" y="0"/>
                      <a:ext cx="5748655" cy="3492500"/>
                    </a:xfrm>
                    <a:prstGeom prst="rect">
                      <a:avLst/>
                    </a:prstGeom>
                  </pic:spPr>
                </pic:pic>
              </a:graphicData>
            </a:graphic>
          </wp:anchor>
        </w:drawing>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图40  2025年6月24日，学校举行广西工程职业学院2025届毕业生</w:t>
      </w:r>
    </w:p>
    <w:p w14:paraId="51B408D8">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双选会</w:t>
      </w:r>
    </w:p>
    <w:bookmarkEnd w:id="18"/>
    <w:p w14:paraId="456B72EF">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ascii="宋体" w:hAnsi="宋体" w:eastAsia="宋体" w:cs="宋体"/>
          <w:color w:val="000000" w:themeColor="text1"/>
          <w:sz w:val="28"/>
          <w:szCs w:val="28"/>
          <w:highlight w:val="none"/>
          <w14:textFill>
            <w14:solidFill>
              <w14:schemeClr w14:val="tx1"/>
            </w14:solidFill>
          </w14:textFill>
        </w:rPr>
        <w:drawing>
          <wp:anchor distT="0" distB="0" distL="114300" distR="114300" simplePos="0" relativeHeight="251664384" behindDoc="0" locked="0" layoutInCell="1" allowOverlap="1">
            <wp:simplePos x="0" y="0"/>
            <wp:positionH relativeFrom="column">
              <wp:posOffset>90170</wp:posOffset>
            </wp:positionH>
            <wp:positionV relativeFrom="paragraph">
              <wp:posOffset>46990</wp:posOffset>
            </wp:positionV>
            <wp:extent cx="5753100" cy="3554095"/>
            <wp:effectExtent l="0" t="0" r="0" b="8255"/>
            <wp:wrapTopAndBottom/>
            <wp:docPr id="9"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descr="IMG_256"/>
                    <pic:cNvPicPr>
                      <a:picLocks noChangeAspect="1"/>
                    </pic:cNvPicPr>
                  </pic:nvPicPr>
                  <pic:blipFill>
                    <a:blip r:embed="rId49"/>
                    <a:stretch>
                      <a:fillRect/>
                    </a:stretch>
                  </pic:blipFill>
                  <pic:spPr>
                    <a:xfrm>
                      <a:off x="0" y="0"/>
                      <a:ext cx="5753100" cy="3554095"/>
                    </a:xfrm>
                    <a:prstGeom prst="rect">
                      <a:avLst/>
                    </a:prstGeom>
                    <a:noFill/>
                    <a:ln w="9525">
                      <a:noFill/>
                    </a:ln>
                  </pic:spPr>
                </pic:pic>
              </a:graphicData>
            </a:graphic>
          </wp:anchor>
        </w:drawing>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图41  2025年6月23日广西工程职业学院就业服务站揭牌</w:t>
      </w:r>
    </w:p>
    <w:p w14:paraId="3989FB15">
      <w:pPr>
        <w:pStyle w:val="19"/>
        <w:rPr>
          <w:rFonts w:hint="eastAsia"/>
          <w:color w:val="000000" w:themeColor="text1"/>
          <w:highlight w:val="none"/>
          <w14:textFill>
            <w14:solidFill>
              <w14:schemeClr w14:val="tx1"/>
            </w14:solidFill>
          </w14:textFill>
        </w:rPr>
      </w:pPr>
    </w:p>
    <w:p w14:paraId="66FE8ED4">
      <w:pPr>
        <w:keepNext w:val="0"/>
        <w:keepLines w:val="0"/>
        <w:pageBreakBefore w:val="0"/>
        <w:widowControl/>
        <w:kinsoku w:val="0"/>
        <w:wordWrap/>
        <w:overflowPunct/>
        <w:topLinePunct w:val="0"/>
        <w:autoSpaceDE w:val="0"/>
        <w:autoSpaceDN w:val="0"/>
        <w:bidi w:val="0"/>
        <w:adjustRightInd w:val="0"/>
        <w:snapToGrid w:val="0"/>
        <w:spacing w:line="520" w:lineRule="exact"/>
        <w:ind w:left="0" w:firstLine="480"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r>
        <w:rPr>
          <w:rFonts w:ascii="宋体" w:hAnsi="宋体" w:eastAsia="宋体" w:cs="宋体"/>
          <w:color w:val="000000" w:themeColor="text1"/>
          <w:sz w:val="24"/>
          <w:szCs w:val="24"/>
          <w:highlight w:val="none"/>
          <w14:textFill>
            <w14:solidFill>
              <w14:schemeClr w14:val="tx1"/>
            </w14:solidFill>
          </w14:textFill>
        </w:rPr>
        <w:drawing>
          <wp:anchor distT="0" distB="0" distL="114935" distR="114935" simplePos="0" relativeHeight="251673600" behindDoc="0" locked="0" layoutInCell="1" allowOverlap="1">
            <wp:simplePos x="0" y="0"/>
            <wp:positionH relativeFrom="column">
              <wp:posOffset>-56515</wp:posOffset>
            </wp:positionH>
            <wp:positionV relativeFrom="paragraph">
              <wp:posOffset>197485</wp:posOffset>
            </wp:positionV>
            <wp:extent cx="5720080" cy="3665220"/>
            <wp:effectExtent l="0" t="0" r="13970" b="11430"/>
            <wp:wrapNone/>
            <wp:docPr id="3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IMG_256"/>
                    <pic:cNvPicPr>
                      <a:picLocks noChangeAspect="1"/>
                    </pic:cNvPicPr>
                  </pic:nvPicPr>
                  <pic:blipFill>
                    <a:blip r:embed="rId50"/>
                    <a:stretch>
                      <a:fillRect/>
                    </a:stretch>
                  </pic:blipFill>
                  <pic:spPr>
                    <a:xfrm>
                      <a:off x="0" y="0"/>
                      <a:ext cx="5720080" cy="3665220"/>
                    </a:xfrm>
                    <a:prstGeom prst="rect">
                      <a:avLst/>
                    </a:prstGeom>
                    <a:noFill/>
                    <a:ln w="9525">
                      <a:noFill/>
                    </a:ln>
                  </pic:spPr>
                </pic:pic>
              </a:graphicData>
            </a:graphic>
          </wp:anchor>
        </w:drawing>
      </w:r>
    </w:p>
    <w:p w14:paraId="4606CB24">
      <w:pPr>
        <w:keepNext w:val="0"/>
        <w:keepLines w:val="0"/>
        <w:pageBreakBefore w:val="0"/>
        <w:widowControl/>
        <w:kinsoku w:val="0"/>
        <w:wordWrap/>
        <w:overflowPunct/>
        <w:topLinePunct w:val="0"/>
        <w:autoSpaceDE w:val="0"/>
        <w:autoSpaceDN w:val="0"/>
        <w:bidi w:val="0"/>
        <w:adjustRightInd w:val="0"/>
        <w:snapToGrid w:val="0"/>
        <w:spacing w:line="520" w:lineRule="exact"/>
        <w:ind w:left="0" w:firstLine="644"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p>
    <w:p w14:paraId="41B37424">
      <w:pPr>
        <w:keepNext w:val="0"/>
        <w:keepLines w:val="0"/>
        <w:pageBreakBefore w:val="0"/>
        <w:widowControl/>
        <w:kinsoku w:val="0"/>
        <w:wordWrap/>
        <w:overflowPunct/>
        <w:topLinePunct w:val="0"/>
        <w:autoSpaceDE w:val="0"/>
        <w:autoSpaceDN w:val="0"/>
        <w:bidi w:val="0"/>
        <w:adjustRightInd w:val="0"/>
        <w:snapToGrid w:val="0"/>
        <w:spacing w:line="520" w:lineRule="exact"/>
        <w:ind w:left="0" w:firstLine="644"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p>
    <w:p w14:paraId="6866BCEA">
      <w:pPr>
        <w:keepNext w:val="0"/>
        <w:keepLines w:val="0"/>
        <w:pageBreakBefore w:val="0"/>
        <w:widowControl/>
        <w:kinsoku w:val="0"/>
        <w:wordWrap/>
        <w:overflowPunct/>
        <w:topLinePunct w:val="0"/>
        <w:autoSpaceDE w:val="0"/>
        <w:autoSpaceDN w:val="0"/>
        <w:bidi w:val="0"/>
        <w:adjustRightInd w:val="0"/>
        <w:snapToGrid w:val="0"/>
        <w:spacing w:line="520" w:lineRule="exact"/>
        <w:ind w:left="0" w:firstLine="644"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p>
    <w:p w14:paraId="7EC06639">
      <w:pPr>
        <w:keepNext w:val="0"/>
        <w:keepLines w:val="0"/>
        <w:pageBreakBefore w:val="0"/>
        <w:widowControl/>
        <w:kinsoku w:val="0"/>
        <w:wordWrap/>
        <w:overflowPunct/>
        <w:topLinePunct w:val="0"/>
        <w:autoSpaceDE w:val="0"/>
        <w:autoSpaceDN w:val="0"/>
        <w:bidi w:val="0"/>
        <w:adjustRightInd w:val="0"/>
        <w:snapToGrid w:val="0"/>
        <w:spacing w:line="520" w:lineRule="exact"/>
        <w:ind w:left="0" w:firstLine="644"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p>
    <w:p w14:paraId="49F1A6C4">
      <w:pPr>
        <w:keepNext w:val="0"/>
        <w:keepLines w:val="0"/>
        <w:pageBreakBefore w:val="0"/>
        <w:widowControl/>
        <w:kinsoku w:val="0"/>
        <w:wordWrap/>
        <w:overflowPunct/>
        <w:topLinePunct w:val="0"/>
        <w:autoSpaceDE w:val="0"/>
        <w:autoSpaceDN w:val="0"/>
        <w:bidi w:val="0"/>
        <w:adjustRightInd w:val="0"/>
        <w:snapToGrid w:val="0"/>
        <w:spacing w:line="520" w:lineRule="exact"/>
        <w:ind w:left="0" w:firstLine="644"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p>
    <w:p w14:paraId="47FFDB7B">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5A80BA4">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C028082">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3C1373C">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BB14A49">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94BB287">
      <w:pPr>
        <w:pageBreakBefore w:val="0"/>
        <w:widowControl w:val="0"/>
        <w:numPr>
          <w:ilvl w:val="0"/>
          <w:numId w:val="0"/>
        </w:numPr>
        <w:kinsoku/>
        <w:wordWrap/>
        <w:overflowPunct/>
        <w:topLinePunct w:val="0"/>
        <w:autoSpaceDE/>
        <w:autoSpaceDN/>
        <w:bidi w:val="0"/>
        <w:adjustRightInd/>
        <w:snapToGrid/>
        <w:spacing w:line="52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C53BDDE">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图42  2024年9月27日，学校组织学生参加平果市2024年青年创新</w:t>
      </w:r>
    </w:p>
    <w:p w14:paraId="3B41572A">
      <w:pPr>
        <w:pageBreakBefore w:val="0"/>
        <w:widowControl w:val="0"/>
        <w:numPr>
          <w:ilvl w:val="0"/>
          <w:numId w:val="0"/>
        </w:numPr>
        <w:kinsoku/>
        <w:wordWrap/>
        <w:overflowPunct/>
        <w:topLinePunct w:val="0"/>
        <w:autoSpaceDE/>
        <w:autoSpaceDN/>
        <w:bidi w:val="0"/>
        <w:adjustRightInd/>
        <w:snapToGrid/>
        <w:spacing w:line="520" w:lineRule="exact"/>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创业大赛暨第八届大学园区创新创业大赛决赛</w:t>
      </w:r>
    </w:p>
    <w:p w14:paraId="04890CBE">
      <w:pPr>
        <w:keepNext w:val="0"/>
        <w:keepLines w:val="0"/>
        <w:pageBreakBefore w:val="0"/>
        <w:widowControl/>
        <w:kinsoku w:val="0"/>
        <w:wordWrap/>
        <w:overflowPunct/>
        <w:topLinePunct w:val="0"/>
        <w:autoSpaceDE w:val="0"/>
        <w:autoSpaceDN w:val="0"/>
        <w:bidi w:val="0"/>
        <w:adjustRightInd w:val="0"/>
        <w:snapToGrid w:val="0"/>
        <w:spacing w:line="520" w:lineRule="exact"/>
        <w:ind w:firstLine="644" w:firstLineChars="200"/>
        <w:jc w:val="both"/>
        <w:textAlignment w:val="baseline"/>
        <w:rPr>
          <w:rFonts w:hint="eastAsia" w:ascii="黑体" w:hAnsi="黑体" w:eastAsia="黑体" w:cs="黑体"/>
          <w:b w:val="0"/>
          <w:bCs w:val="0"/>
          <w:color w:val="000000" w:themeColor="text1"/>
          <w:spacing w:val="1"/>
          <w:sz w:val="32"/>
          <w:szCs w:val="32"/>
          <w:highlight w:val="none"/>
          <w14:textFill>
            <w14:solidFill>
              <w14:schemeClr w14:val="tx1"/>
            </w14:solidFill>
          </w14:textFill>
        </w:rPr>
      </w:pPr>
      <w:r>
        <w:rPr>
          <w:rFonts w:hint="eastAsia" w:ascii="黑体" w:hAnsi="黑体" w:eastAsia="黑体" w:cs="黑体"/>
          <w:b w:val="0"/>
          <w:bCs w:val="0"/>
          <w:color w:val="000000" w:themeColor="text1"/>
          <w:spacing w:val="1"/>
          <w:sz w:val="32"/>
          <w:szCs w:val="32"/>
          <w:highlight w:val="none"/>
          <w14:textFill>
            <w14:solidFill>
              <w14:schemeClr w14:val="tx1"/>
            </w14:solidFill>
          </w14:textFill>
        </w:rPr>
        <w:t>3.服务贡献</w:t>
      </w:r>
    </w:p>
    <w:p w14:paraId="26B6436B">
      <w:pPr>
        <w:pStyle w:val="9"/>
        <w:keepNext w:val="0"/>
        <w:keepLines w:val="0"/>
        <w:pageBreakBefore w:val="0"/>
        <w:widowControl/>
        <w:kinsoku w:val="0"/>
        <w:wordWrap/>
        <w:overflowPunct/>
        <w:topLinePunct w:val="0"/>
        <w:autoSpaceDE w:val="0"/>
        <w:autoSpaceDN w:val="0"/>
        <w:bidi w:val="0"/>
        <w:adjustRightInd w:val="0"/>
        <w:snapToGrid w:val="0"/>
        <w:spacing w:line="520" w:lineRule="exact"/>
        <w:ind w:left="0" w:firstLine="656" w:firstLineChars="200"/>
        <w:jc w:val="both"/>
        <w:textAlignment w:val="baseline"/>
        <w:rPr>
          <w:rFonts w:hint="eastAsia" w:ascii="楷体" w:hAnsi="楷体" w:eastAsia="楷体" w:cs="楷体"/>
          <w:b w:val="0"/>
          <w:bCs w:val="0"/>
          <w:color w:val="000000" w:themeColor="text1"/>
          <w:spacing w:val="4"/>
          <w:sz w:val="32"/>
          <w:szCs w:val="32"/>
          <w:highlight w:val="none"/>
          <w:lang w:eastAsia="zh-CN"/>
          <w14:textFill>
            <w14:solidFill>
              <w14:schemeClr w14:val="tx1"/>
            </w14:solidFill>
          </w14:textFill>
        </w:rPr>
      </w:pPr>
      <w:r>
        <w:rPr>
          <w:rFonts w:hint="eastAsia" w:ascii="楷体" w:hAnsi="楷体" w:eastAsia="楷体" w:cs="楷体"/>
          <w:b w:val="0"/>
          <w:bCs w:val="0"/>
          <w:color w:val="000000" w:themeColor="text1"/>
          <w:spacing w:val="4"/>
          <w:sz w:val="32"/>
          <w:szCs w:val="32"/>
          <w:highlight w:val="none"/>
          <w14:textFill>
            <w14:solidFill>
              <w14:schemeClr w14:val="tx1"/>
            </w14:solidFill>
          </w14:textFill>
        </w:rPr>
        <w:t>3.1服务国家战略</w:t>
      </w:r>
    </w:p>
    <w:p w14:paraId="417A1480">
      <w:pPr>
        <w:pStyle w:val="1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20" w:lineRule="exact"/>
        <w:ind w:left="0" w:leftChars="0" w:right="0" w:firstLine="640" w:firstLineChars="200"/>
        <w:textAlignment w:val="auto"/>
        <w:rPr>
          <w:rFonts w:hint="eastAsia" w:ascii="楷体" w:hAnsi="楷体" w:eastAsia="楷体" w:cs="楷体"/>
          <w:b w:val="0"/>
          <w:bCs w:val="0"/>
          <w:color w:val="000000" w:themeColor="text1"/>
          <w:spacing w:val="4"/>
          <w:sz w:val="32"/>
          <w:szCs w:val="32"/>
          <w:highlight w:val="none"/>
          <w:lang w:eastAsia="zh-CN"/>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学校紧密结合国家战略需求，优化专业设置和课程体系，确保人才培养方向与国家战略相一致。其次，加强实践教学，提高学生的实际操作能力和创新精神，为国家战略的实施提供具备实践经验的高素质人才。学校将服务国家战略作为学校的神圣使命。通过深化与企业、行业及地方的合作，积极投身于国家重大战略项目的实施与推进之中。同时，学校亦高度重视学生爱国主义精神和责任感的培育，激励他们为国家的繁荣发展贡献己力。</w:t>
      </w:r>
    </w:p>
    <w:p w14:paraId="784E536F">
      <w:pPr>
        <w:pStyle w:val="9"/>
        <w:keepNext w:val="0"/>
        <w:keepLines w:val="0"/>
        <w:pageBreakBefore w:val="0"/>
        <w:widowControl/>
        <w:kinsoku w:val="0"/>
        <w:wordWrap/>
        <w:overflowPunct/>
        <w:topLinePunct w:val="0"/>
        <w:autoSpaceDE w:val="0"/>
        <w:autoSpaceDN w:val="0"/>
        <w:bidi w:val="0"/>
        <w:adjustRightInd w:val="0"/>
        <w:snapToGrid w:val="0"/>
        <w:spacing w:line="520" w:lineRule="exact"/>
        <w:ind w:left="0" w:firstLine="656" w:firstLineChars="200"/>
        <w:jc w:val="both"/>
        <w:textAlignment w:val="baseline"/>
        <w:rPr>
          <w:rFonts w:hint="eastAsia" w:ascii="楷体_GB2312" w:hAnsi="楷体_GB2312" w:eastAsia="楷体_GB2312" w:cs="楷体_GB2312"/>
          <w:b w:val="0"/>
          <w:bCs w:val="0"/>
          <w:color w:val="000000" w:themeColor="text1"/>
          <w:spacing w:val="4"/>
          <w:sz w:val="32"/>
          <w:szCs w:val="32"/>
          <w:highlight w:val="none"/>
          <w14:textFill>
            <w14:solidFill>
              <w14:schemeClr w14:val="tx1"/>
            </w14:solidFill>
          </w14:textFill>
        </w:rPr>
      </w:pPr>
      <w:r>
        <w:rPr>
          <w:rFonts w:hint="eastAsia" w:ascii="楷体_GB2312" w:hAnsi="楷体_GB2312" w:eastAsia="楷体_GB2312" w:cs="楷体_GB2312"/>
          <w:b w:val="0"/>
          <w:bCs w:val="0"/>
          <w:color w:val="000000" w:themeColor="text1"/>
          <w:spacing w:val="4"/>
          <w:sz w:val="32"/>
          <w:szCs w:val="32"/>
          <w:highlight w:val="none"/>
          <w14:textFill>
            <w14:solidFill>
              <w14:schemeClr w14:val="tx1"/>
            </w14:solidFill>
          </w14:textFill>
        </w:rPr>
        <w:t>3.2服务行业企业</w:t>
      </w:r>
    </w:p>
    <w:p w14:paraId="5E692708">
      <w:pPr>
        <w:keepNext w:val="0"/>
        <w:keepLines w:val="0"/>
        <w:pageBreakBefore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本学年，学校致力于提升服务质量，以满足行业企业的需求。学校优化了课程设置，加强了实践教学，并不断提升师资队伍的专业素质。通过这些措施，学校努力为行业企业提供高质量的人才和技术支持。</w:t>
      </w:r>
    </w:p>
    <w:p w14:paraId="41C8A01E">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从2025届毕业生在不同行业的初次毕业去向落实情况来看（按就业占比排序），就业占比前五位的行业依次是“教育”（18.14%）、“制造业”（17.39%）、“居民服务、修理和其他服务业”（14.17%）、“建筑业”（11.16%）以及“信息传输、软件和信息技术服务业”（8.47%）。</w:t>
      </w:r>
    </w:p>
    <w:p w14:paraId="1F855EF7">
      <w:pPr>
        <w:keepNext w:val="0"/>
        <w:keepLines w:val="0"/>
        <w:pageBreakBefore w:val="0"/>
        <w:widowControl w:val="0"/>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这五大行业覆盖了民生服务、产业制造、基础设施建设、数字技术等关键领域，既契合区域经济发展重点，也与学校以应用技能型人才培养为核心的定位高度匹配，为毕业生提供了稳定且广阔的就业场景。</w:t>
      </w:r>
    </w:p>
    <w:p w14:paraId="5E05F21B">
      <w:pPr>
        <w:keepNext w:val="0"/>
        <w:keepLines w:val="0"/>
        <w:pageBreakBefore w:val="0"/>
        <w:widowControl w:val="0"/>
        <w:kinsoku/>
        <w:wordWrap/>
        <w:overflowPunct/>
        <w:topLinePunct w:val="0"/>
        <w:autoSpaceDE/>
        <w:autoSpaceDN/>
        <w:bidi w:val="0"/>
        <w:adjustRightInd/>
        <w:snapToGrid/>
        <w:spacing w:line="560" w:lineRule="exact"/>
        <w:jc w:val="center"/>
        <w:textAlignment w:val="auto"/>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表</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12  </w:t>
      </w: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202</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28"/>
          <w:szCs w:val="28"/>
          <w:highlight w:val="none"/>
          <w:lang w:val="zh-CN" w:eastAsia="zh-CN"/>
          <w14:textFill>
            <w14:solidFill>
              <w14:schemeClr w14:val="tx1"/>
            </w14:solidFill>
          </w14:textFill>
        </w:rPr>
        <w:t>届毕业生就业行业分布</w:t>
      </w:r>
    </w:p>
    <w:tbl>
      <w:tblPr>
        <w:tblStyle w:val="14"/>
        <w:tblW w:w="825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005"/>
        <w:gridCol w:w="4071"/>
        <w:gridCol w:w="1554"/>
        <w:gridCol w:w="1628"/>
      </w:tblGrid>
      <w:tr w14:paraId="73DC9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713DA58C">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序号</w:t>
            </w:r>
          </w:p>
        </w:tc>
        <w:tc>
          <w:tcPr>
            <w:tcW w:w="4071"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2E06F4DF">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行业名称</w:t>
            </w:r>
          </w:p>
        </w:tc>
        <w:tc>
          <w:tcPr>
            <w:tcW w:w="1554"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04E54336">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签约人数</w:t>
            </w:r>
          </w:p>
        </w:tc>
        <w:tc>
          <w:tcPr>
            <w:tcW w:w="1628" w:type="dxa"/>
            <w:tcBorders>
              <w:top w:val="single" w:color="000000" w:sz="4" w:space="0"/>
              <w:left w:val="single" w:color="000000" w:sz="4" w:space="0"/>
              <w:bottom w:val="single" w:color="000000" w:sz="4" w:space="0"/>
              <w:right w:val="single" w:color="000000" w:sz="4" w:space="0"/>
            </w:tcBorders>
            <w:shd w:val="clear" w:color="auto" w:fill="8DB4E2"/>
            <w:vAlign w:val="center"/>
          </w:tcPr>
          <w:p w14:paraId="37EBA18B">
            <w:pPr>
              <w:keepNext w:val="0"/>
              <w:keepLines w:val="0"/>
              <w:widowControl/>
              <w:suppressLineNumbers w:val="0"/>
              <w:jc w:val="center"/>
              <w:textAlignment w:val="center"/>
              <w:rPr>
                <w:rFonts w:hint="eastAsia" w:ascii="宋体" w:hAnsi="宋体" w:eastAsia="宋体" w:cs="宋体"/>
                <w:b/>
                <w:bCs/>
                <w:i w:val="0"/>
                <w:iCs w:val="0"/>
                <w:color w:val="000000" w:themeColor="text1"/>
                <w:sz w:val="20"/>
                <w:szCs w:val="20"/>
                <w:highlight w:val="none"/>
                <w:u w:val="none"/>
                <w14:textFill>
                  <w14:solidFill>
                    <w14:schemeClr w14:val="tx1"/>
                  </w14:solidFill>
                </w14:textFill>
              </w:rPr>
            </w:pPr>
            <w:r>
              <w:rPr>
                <w:rFonts w:hint="eastAsia" w:ascii="宋体" w:hAnsi="宋体" w:eastAsia="宋体" w:cs="宋体"/>
                <w:b/>
                <w:bCs/>
                <w:i w:val="0"/>
                <w:iCs w:val="0"/>
                <w:color w:val="000000" w:themeColor="text1"/>
                <w:kern w:val="0"/>
                <w:sz w:val="20"/>
                <w:szCs w:val="20"/>
                <w:highlight w:val="none"/>
                <w:u w:val="none"/>
                <w:lang w:val="en-US" w:eastAsia="zh-CN" w:bidi="ar"/>
                <w14:textFill>
                  <w14:solidFill>
                    <w14:schemeClr w14:val="tx1"/>
                  </w14:solidFill>
                </w14:textFill>
              </w:rPr>
              <w:t>签约占比</w:t>
            </w:r>
          </w:p>
        </w:tc>
      </w:tr>
      <w:tr w14:paraId="173944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905991">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7DFEF8">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教育</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EB6060">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897</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935F6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18.14%</w:t>
            </w:r>
          </w:p>
        </w:tc>
      </w:tr>
      <w:tr w14:paraId="2821BA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5C94146">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4067841">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制造业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A3BFD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860</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A9CBC4">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17.39%</w:t>
            </w:r>
          </w:p>
        </w:tc>
      </w:tr>
      <w:tr w14:paraId="2CC724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B31191D">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DE9CC37">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居民服务、修理和其他服务业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2D6BAF4">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701</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0835DC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14.17%</w:t>
            </w:r>
          </w:p>
        </w:tc>
      </w:tr>
      <w:tr w14:paraId="5CC2F5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D1D9D3A">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A9D51B7">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建筑业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A05816">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552</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0416B4C">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11.16%</w:t>
            </w:r>
          </w:p>
        </w:tc>
      </w:tr>
      <w:tr w14:paraId="73E097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AFF636">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F8BC2FF">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信息传输、软件和信息技术服务业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B0BCD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419</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17BFB7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8.47%</w:t>
            </w:r>
          </w:p>
        </w:tc>
      </w:tr>
      <w:tr w14:paraId="16E32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91F125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6</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3CD9F4C">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批发和零售业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C4967FC">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410</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1AFD25A">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8.29%</w:t>
            </w:r>
          </w:p>
        </w:tc>
      </w:tr>
      <w:tr w14:paraId="23FBCE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64308E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7</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9AE8C1">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租赁和商务服务业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7636E4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263</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D5C11A1">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5.32%</w:t>
            </w:r>
          </w:p>
        </w:tc>
      </w:tr>
      <w:tr w14:paraId="14B30C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FF947F">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3C6C28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住宿和餐饮业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766F2F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205</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6D198B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4.14%</w:t>
            </w:r>
          </w:p>
        </w:tc>
      </w:tr>
      <w:tr w14:paraId="0445E3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313B1D">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5E1D14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文化、体育和娱乐业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EF37FA4">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143</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AE01920">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2.89%</w:t>
            </w:r>
          </w:p>
        </w:tc>
      </w:tr>
      <w:tr w14:paraId="5CCFE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7EB337">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1BB9540">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科学研究和技术服务业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979EC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112</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4B43C94">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2.26%</w:t>
            </w:r>
          </w:p>
        </w:tc>
      </w:tr>
      <w:tr w14:paraId="74DE07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6B489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11</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B84ABAB">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交通运输、仓储和邮政业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A25C1C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95</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285E8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1.92%</w:t>
            </w:r>
          </w:p>
        </w:tc>
      </w:tr>
      <w:tr w14:paraId="3D48DB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F058FA">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12</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DB8767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公共管理、社会保障和社会组织</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8E9076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84</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F1AA133">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1.70%</w:t>
            </w:r>
          </w:p>
        </w:tc>
      </w:tr>
      <w:tr w14:paraId="7EEF1F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748FD68">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13</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15C0E7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农、林、牧、渔业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D46D2A1">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51</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70AA6A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1.03%</w:t>
            </w:r>
          </w:p>
        </w:tc>
      </w:tr>
      <w:tr w14:paraId="7B58E4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6CF705C">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14</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290C2F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电力、热力、燃气及水生产和供应业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F7EBCC">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50</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F649FB">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1.01%</w:t>
            </w:r>
          </w:p>
        </w:tc>
      </w:tr>
      <w:tr w14:paraId="2DB71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B45CDDA">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15</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263D17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卫生和社会工作</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72C1DB78">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36</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B5A99D7">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0.73%</w:t>
            </w:r>
          </w:p>
        </w:tc>
      </w:tr>
      <w:tr w14:paraId="71FAF4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5AA511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16</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F7BE986">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房地产业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0B46ABF">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31</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EA1276">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0.63%</w:t>
            </w:r>
          </w:p>
        </w:tc>
      </w:tr>
      <w:tr w14:paraId="46525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C02593F">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17</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7D5C840">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水利、环境和公共设施管理业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AE498E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18</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2827B9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0.36%</w:t>
            </w:r>
          </w:p>
        </w:tc>
      </w:tr>
      <w:tr w14:paraId="5D6B1B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3E5508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18</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35D337B">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金融业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16B3FDB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15</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8A2DDF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0.30%</w:t>
            </w:r>
          </w:p>
        </w:tc>
      </w:tr>
      <w:tr w14:paraId="2A404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3642443A">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19</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00A0851">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采矿业</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28C154D4">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3</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4D453C3E">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0.06%</w:t>
            </w:r>
          </w:p>
        </w:tc>
      </w:tr>
      <w:tr w14:paraId="1980CA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4" w:hRule="atLeast"/>
          <w:jc w:val="center"/>
        </w:trPr>
        <w:tc>
          <w:tcPr>
            <w:tcW w:w="1005"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D05B565">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20</w:t>
            </w:r>
          </w:p>
        </w:tc>
        <w:tc>
          <w:tcPr>
            <w:tcW w:w="4071"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6CCE7FC9">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国际组织</w:t>
            </w:r>
          </w:p>
        </w:tc>
        <w:tc>
          <w:tcPr>
            <w:tcW w:w="1554"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58B34762">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1</w:t>
            </w:r>
          </w:p>
        </w:tc>
        <w:tc>
          <w:tcPr>
            <w:tcW w:w="1628" w:type="dxa"/>
            <w:tcBorders>
              <w:top w:val="single" w:color="000000" w:sz="4" w:space="0"/>
              <w:left w:val="single" w:color="000000" w:sz="4" w:space="0"/>
              <w:bottom w:val="single" w:color="000000" w:sz="4" w:space="0"/>
              <w:right w:val="single" w:color="000000" w:sz="4" w:space="0"/>
            </w:tcBorders>
            <w:shd w:val="clear" w:color="auto" w:fill="auto"/>
            <w:noWrap/>
            <w:vAlign w:val="bottom"/>
          </w:tcPr>
          <w:p w14:paraId="0B2702E0">
            <w:pPr>
              <w:keepNext w:val="0"/>
              <w:keepLines w:val="0"/>
              <w:widowControl/>
              <w:suppressLineNumbers w:val="0"/>
              <w:jc w:val="center"/>
              <w:textAlignment w:val="bottom"/>
              <w:rPr>
                <w:rFonts w:hint="eastAsia" w:ascii="宋体" w:hAnsi="宋体" w:eastAsia="宋体" w:cs="宋体"/>
                <w:i w:val="0"/>
                <w:iCs w:val="0"/>
                <w:color w:val="000000" w:themeColor="text1"/>
                <w:sz w:val="22"/>
                <w:szCs w:val="22"/>
                <w:highlight w:val="none"/>
                <w:u w:val="none"/>
                <w14:textFill>
                  <w14:solidFill>
                    <w14:schemeClr w14:val="tx1"/>
                  </w14:solidFill>
                </w14:textFill>
              </w:rPr>
            </w:pPr>
            <w:r>
              <w:rPr>
                <w:rFonts w:hint="eastAsia" w:ascii="宋体" w:hAnsi="宋体" w:eastAsia="宋体" w:cs="宋体"/>
                <w:i w:val="0"/>
                <w:iCs w:val="0"/>
                <w:color w:val="000000" w:themeColor="text1"/>
                <w:kern w:val="0"/>
                <w:sz w:val="22"/>
                <w:szCs w:val="22"/>
                <w:highlight w:val="none"/>
                <w:u w:val="none"/>
                <w:lang w:val="en-US" w:eastAsia="zh-CN" w:bidi="ar"/>
                <w14:textFill>
                  <w14:solidFill>
                    <w14:schemeClr w14:val="tx1"/>
                  </w14:solidFill>
                </w14:textFill>
              </w:rPr>
              <w:t>0.02%</w:t>
            </w:r>
          </w:p>
        </w:tc>
      </w:tr>
    </w:tbl>
    <w:p w14:paraId="0A947A92">
      <w:pPr>
        <w:pStyle w:val="2"/>
        <w:rPr>
          <w:rFonts w:hint="eastAsia"/>
          <w:color w:val="000000" w:themeColor="text1"/>
          <w:highlight w:val="none"/>
          <w:lang w:val="en-US" w:eastAsia="zh-CN"/>
          <w14:textFill>
            <w14:solidFill>
              <w14:schemeClr w14:val="tx1"/>
            </w14:solidFill>
          </w14:textFill>
        </w:rPr>
      </w:pPr>
    </w:p>
    <w:p w14:paraId="25768A7F">
      <w:pPr>
        <w:pStyle w:val="9"/>
        <w:keepNext w:val="0"/>
        <w:keepLines w:val="0"/>
        <w:pageBreakBefore w:val="0"/>
        <w:widowControl/>
        <w:kinsoku w:val="0"/>
        <w:wordWrap/>
        <w:overflowPunct/>
        <w:topLinePunct w:val="0"/>
        <w:autoSpaceDE w:val="0"/>
        <w:autoSpaceDN w:val="0"/>
        <w:bidi w:val="0"/>
        <w:adjustRightInd w:val="0"/>
        <w:snapToGrid w:val="0"/>
        <w:spacing w:line="520" w:lineRule="exact"/>
        <w:ind w:left="0" w:firstLine="656" w:firstLineChars="200"/>
        <w:jc w:val="both"/>
        <w:textAlignment w:val="baseline"/>
        <w:rPr>
          <w:rFonts w:hint="eastAsia" w:ascii="楷体" w:hAnsi="楷体" w:eastAsia="楷体" w:cs="楷体"/>
          <w:b w:val="0"/>
          <w:bCs w:val="0"/>
          <w:color w:val="000000" w:themeColor="text1"/>
          <w:spacing w:val="4"/>
          <w:sz w:val="32"/>
          <w:szCs w:val="32"/>
          <w:highlight w:val="none"/>
          <w14:textFill>
            <w14:solidFill>
              <w14:schemeClr w14:val="tx1"/>
            </w14:solidFill>
          </w14:textFill>
        </w:rPr>
      </w:pPr>
      <w:r>
        <w:rPr>
          <w:rFonts w:hint="eastAsia" w:ascii="楷体" w:hAnsi="楷体" w:eastAsia="楷体" w:cs="楷体"/>
          <w:b w:val="0"/>
          <w:bCs w:val="0"/>
          <w:color w:val="000000" w:themeColor="text1"/>
          <w:spacing w:val="4"/>
          <w:sz w:val="32"/>
          <w:szCs w:val="32"/>
          <w:highlight w:val="none"/>
          <w14:textFill>
            <w14:solidFill>
              <w14:schemeClr w14:val="tx1"/>
            </w14:solidFill>
          </w14:textFill>
        </w:rPr>
        <w:t>3.3服务地方发展</w:t>
      </w:r>
    </w:p>
    <w:p w14:paraId="2E02004D">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学校始终将服务地方经济社会发展作为自身的重要使命和职责。通过深化与地方政府及企业的合作交流，积极投身于地方经济建设和社会进步的伟大事业中。学校高度重视学生实践能力与创新精神的培养，激励广大学子为地方的繁荣发展贡献自己的智慧和力量。同时，学校还主动参与地方文化的传承与创新工作，致力于推动地方文化的繁荣昌盛和持续发展。</w:t>
      </w:r>
    </w:p>
    <w:p w14:paraId="55B7E8A8">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学校紧密结合地方发展需求，对专业设置和课程安排进行动态调整，以确保教育教学内容与地方产业的发展相匹配。通过定期开展市场调研，了解行业动态和人才需求，以便更有针对性地培养符合地方发展需要的高素质人才。</w:t>
      </w:r>
    </w:p>
    <w:p w14:paraId="13843520">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0" w:firstLineChars="200"/>
        <w:jc w:val="left"/>
        <w:textAlignment w:val="auto"/>
        <w:rPr>
          <w:rFonts w:hint="eastAsia" w:ascii="黑体" w:hAnsi="黑体" w:eastAsia="黑体" w:cs="黑体"/>
          <w:b w:val="0"/>
          <w:bCs w:val="0"/>
          <w:color w:val="000000" w:themeColor="text1"/>
          <w:spacing w:val="1"/>
          <w:sz w:val="32"/>
          <w:szCs w:val="32"/>
          <w:highlight w:val="none"/>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学校重视人才培养质量，以满足地方对不同层次、类型人才的需求。通过优化课程体系，强化实践教学，提高学生的实际操作能力和创新能力。同时，积极推行校企合作、产教融合等人才培养模式，增强学生的综合素质和就业竞争力，为地方经济社会发展提供强有力的人才支撑。</w:t>
      </w:r>
    </w:p>
    <w:p w14:paraId="53F53BEA">
      <w:pPr>
        <w:rPr>
          <w:rFonts w:hint="eastAsia" w:ascii="楷体" w:hAnsi="楷体" w:eastAsia="楷体" w:cs="楷体"/>
          <w:color w:val="000000" w:themeColor="text1"/>
          <w:sz w:val="32"/>
          <w:szCs w:val="32"/>
          <w:highlight w:val="none"/>
          <w:lang w:val="en-US" w:eastAsia="en-US"/>
          <w14:textFill>
            <w14:solidFill>
              <w14:schemeClr w14:val="tx1"/>
            </w14:solidFill>
          </w14:textFill>
        </w:rPr>
      </w:pPr>
      <w:r>
        <w:rPr>
          <w:rFonts w:hint="eastAsia" w:ascii="楷体" w:hAnsi="楷体" w:eastAsia="楷体" w:cs="楷体"/>
          <w:color w:val="000000" w:themeColor="text1"/>
          <w:sz w:val="32"/>
          <w:szCs w:val="32"/>
          <w:highlight w:val="none"/>
          <w:lang w:val="en-US" w:eastAsia="en-US"/>
          <w14:textFill>
            <w14:solidFill>
              <w14:schemeClr w14:val="tx1"/>
            </w14:solidFill>
          </w14:textFill>
        </w:rPr>
        <w:br w:type="page"/>
      </w:r>
    </w:p>
    <w:p w14:paraId="6E61C65E">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4.文化传承</w:t>
      </w:r>
    </w:p>
    <w:p w14:paraId="3D83A9FD">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4.1</w:t>
      </w:r>
      <w:bookmarkStart w:id="19" w:name="OLE_LINK8"/>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工匠精神</w:t>
      </w:r>
    </w:p>
    <w:bookmarkEnd w:id="19"/>
    <w:p w14:paraId="28DA0C6B">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广西工程职业学院立足“服务区域经济发展、培育优秀工程人才”的办学宗旨，以“熔炼工匠精神、铸就一流技艺”为核心文化导向，将工匠精神培育贯穿人才培养全过程，构建起全方位、立体化的工匠精神传承体系，培养了一批兼具扎实技能与职业操守的高素质技术技能人才。学校将工匠精神培育融入人才培养方案，打造“理论认知－技能实践－价值塑造”三位一体的课程体系。一方面，在各专业核心课程中渗透工匠精神内涵，通过案例教学、情景模拟等方式，讲解行业名师的精益求精、攻坚克难事迹；另一方面，会计类专业开设《财经法规与会计职业道德》的相关课程，结合专业特点解读“专注、严谨、创新、担当”的工匠精神内核。同时，开设创新创业教育课程，培养学生的创新思维与实践能力，实现技能提升与精神培育的同频共振。</w:t>
      </w:r>
    </w:p>
    <w:p w14:paraId="577DBD0B">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4.2红色文</w:t>
      </w: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化</w:t>
      </w:r>
    </w:p>
    <w:p w14:paraId="3FCC360D">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t>依托百色市“红色文化之城”的资源优势，深耕红色文化育人，将红色基因融入校园文化建设和人才培养全过程，引导师生传承革命精神、赓续红色血脉。</w:t>
      </w: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课程育人层面，深挖红色思政元素，将百色起义精神、长征精神等融入教学内容，形成“职业知识+红色基因 +工匠精神”的三维课程内容体系。</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拓展红色实践基地。与百色起义纪念馆、右江革命纪念馆、平果市通天河爱国主义教育基地等3家单位签订合作协议，建立校外红色实践育人基地，</w:t>
      </w: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在专业课程教学中，挖掘各学科红色资源，实现红色教育与专业教学同向同行。</w:t>
      </w:r>
    </w:p>
    <w:p w14:paraId="62B4836F">
      <w:pPr>
        <w:keepNext w:val="0"/>
        <w:keepLines w:val="0"/>
        <w:pageBreakBefore w:val="0"/>
        <w:widowControl w:val="0"/>
        <w:numPr>
          <w:ilvl w:val="0"/>
          <w:numId w:val="0"/>
        </w:numPr>
        <w:pBdr>
          <w:bottom w:val="single" w:color="FFFFFF" w:sz="4" w:space="16"/>
        </w:pBdr>
        <w:tabs>
          <w:tab w:val="left" w:pos="7380"/>
        </w:tabs>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_GB2312" w:hAnsi="仿宋_GB2312" w:eastAsia="仿宋_GB2312" w:cs="仿宋_GB2312"/>
          <w:b w:val="0"/>
          <w:bCs w:val="0"/>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1.</w:t>
      </w:r>
      <w:r>
        <w:rPr>
          <w:rFonts w:hint="eastAsia" w:ascii="仿宋_GB2312" w:hAnsi="仿宋_GB2312" w:eastAsia="仿宋_GB2312" w:cs="仿宋_GB2312"/>
          <w:b w:val="0"/>
          <w:bCs w:val="0"/>
          <w:color w:val="000000" w:themeColor="text1"/>
          <w:sz w:val="32"/>
          <w:szCs w:val="32"/>
          <w:highlight w:val="none"/>
          <w14:textFill>
            <w14:solidFill>
              <w14:schemeClr w14:val="tx1"/>
            </w14:solidFill>
          </w14:textFill>
        </w:rPr>
        <w:t>打造红色育人阵地，营造浓厚</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育人</w:t>
      </w:r>
      <w:r>
        <w:rPr>
          <w:rFonts w:hint="eastAsia" w:ascii="仿宋_GB2312" w:hAnsi="仿宋_GB2312" w:eastAsia="仿宋_GB2312" w:cs="仿宋_GB2312"/>
          <w:b w:val="0"/>
          <w:bCs w:val="0"/>
          <w:color w:val="000000" w:themeColor="text1"/>
          <w:sz w:val="32"/>
          <w:szCs w:val="32"/>
          <w:highlight w:val="none"/>
          <w14:textFill>
            <w14:solidFill>
              <w14:schemeClr w14:val="tx1"/>
            </w14:solidFill>
          </w14:textFill>
        </w:rPr>
        <w:t>氛围</w:t>
      </w:r>
    </w:p>
    <w:p w14:paraId="1056ED9F">
      <w:pPr>
        <w:keepNext w:val="0"/>
        <w:keepLines w:val="0"/>
        <w:pageBreakBefore w:val="0"/>
        <w:widowControl w:val="0"/>
        <w:numPr>
          <w:ilvl w:val="0"/>
          <w:numId w:val="0"/>
        </w:numPr>
        <w:pBdr>
          <w:bottom w:val="single" w:color="FFFFFF" w:sz="4" w:space="16"/>
        </w:pBdr>
        <w:tabs>
          <w:tab w:val="left" w:pos="7380"/>
        </w:tabs>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仿宋_GB2312" w:hAnsi="仿宋_GB2312" w:eastAsia="仿宋_GB2312" w:cs="仿宋_GB2312"/>
          <w:color w:val="000000" w:themeColor="text1"/>
          <w:sz w:val="32"/>
          <w:szCs w:val="32"/>
          <w:highlight w:val="none"/>
          <w14:textFill>
            <w14:solidFill>
              <w14:schemeClr w14:val="tx1"/>
            </w14:solidFill>
          </w14:textFill>
        </w:rPr>
      </w:pP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t>在校内高标准建设党建文化长廊、思政红色文化楼道、</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中国共产党人精神谱系</w:t>
      </w: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t>宣传栏等宣传教育阵地，建成党员活动室8间，制作红色文化标识符号10余个、灯箱红色文化牌50余块，让红色元素遍布校园，形成“处处是课堂、时时受教育”的红色育人环境。</w:t>
      </w:r>
    </w:p>
    <w:p w14:paraId="505EC709">
      <w:pPr>
        <w:keepNext w:val="0"/>
        <w:keepLines w:val="0"/>
        <w:pageBreakBefore w:val="0"/>
        <w:widowControl w:val="0"/>
        <w:numPr>
          <w:ilvl w:val="0"/>
          <w:numId w:val="0"/>
        </w:numPr>
        <w:pBdr>
          <w:bottom w:val="single" w:color="FFFFFF" w:sz="4" w:space="16"/>
        </w:pBdr>
        <w:tabs>
          <w:tab w:val="left" w:pos="7380"/>
        </w:tabs>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2.</w:t>
      </w:r>
      <w:r>
        <w:rPr>
          <w:rFonts w:hint="eastAsia" w:ascii="仿宋_GB2312" w:hAnsi="仿宋_GB2312" w:eastAsia="仿宋_GB2312" w:cs="仿宋_GB2312"/>
          <w:b w:val="0"/>
          <w:bCs w:val="0"/>
          <w:color w:val="000000" w:themeColor="text1"/>
          <w:sz w:val="32"/>
          <w:szCs w:val="32"/>
          <w:highlight w:val="none"/>
          <w14:textFill>
            <w14:solidFill>
              <w14:schemeClr w14:val="tx1"/>
            </w14:solidFill>
          </w14:textFill>
        </w:rPr>
        <w:t>开展红色实践教育，强化精神引领</w:t>
      </w:r>
      <w:r>
        <w:rPr>
          <w:rFonts w:hint="eastAsia" w:ascii="仿宋_GB2312" w:hAnsi="仿宋_GB2312" w:eastAsia="仿宋_GB2312" w:cs="仿宋_GB2312"/>
          <w:b w:val="0"/>
          <w:bCs w:val="0"/>
          <w:color w:val="000000" w:themeColor="text1"/>
          <w:sz w:val="32"/>
          <w:szCs w:val="32"/>
          <w:highlight w:val="none"/>
          <w:lang w:val="en-US" w:eastAsia="zh-CN"/>
          <w14:textFill>
            <w14:solidFill>
              <w14:schemeClr w14:val="tx1"/>
            </w14:solidFill>
          </w14:textFill>
        </w:rPr>
        <w:t>铸魂</w:t>
      </w:r>
    </w:p>
    <w:p w14:paraId="7F9CF1D2">
      <w:pPr>
        <w:keepNext w:val="0"/>
        <w:keepLines w:val="0"/>
        <w:pageBreakBefore w:val="0"/>
        <w:widowControl w:val="0"/>
        <w:numPr>
          <w:ilvl w:val="0"/>
          <w:numId w:val="0"/>
        </w:numPr>
        <w:pBdr>
          <w:bottom w:val="single" w:color="FFFFFF" w:sz="4" w:space="16"/>
        </w:pBdr>
        <w:tabs>
          <w:tab w:val="left" w:pos="7380"/>
        </w:tabs>
        <w:kinsoku/>
        <w:wordWrap/>
        <w:overflowPunct/>
        <w:topLinePunct w:val="0"/>
        <w:autoSpaceDE/>
        <w:autoSpaceDN/>
        <w:bidi w:val="0"/>
        <w:adjustRightInd/>
        <w:snapToGrid/>
        <w:spacing w:line="520" w:lineRule="exact"/>
        <w:ind w:left="0" w:leftChars="0" w:firstLine="640" w:firstLineChars="200"/>
        <w:jc w:val="both"/>
        <w:textAlignment w:val="auto"/>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t>组织师生通过党日活动、团日活动</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、研学</w:t>
      </w: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t>等形式，赴中国工农红军第七军军部旧址、百色起义纪念馆、右江工农民主政府旧址、平果市革命烈士陵园、河池东兰县列宁岩、韦拔群故居等红色教育基地开展</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学习教育</w:t>
      </w:r>
      <w:r>
        <w:rPr>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t>，累计参与10000余人次。广泛开展“唱红歌比赛”“讲红色故事”“红色文化书画展”“红色视频拍摄”等特色活动50余场次，引导师生在沉浸式体验中感悟革命先辈的崇高精神，大力唱响红色主旋律。</w:t>
      </w:r>
    </w:p>
    <w:p w14:paraId="251171C1">
      <w:pPr>
        <w:keepNext w:val="0"/>
        <w:keepLines w:val="0"/>
        <w:pageBreakBefore w:val="0"/>
        <w:widowControl w:val="0"/>
        <w:numPr>
          <w:ilvl w:val="0"/>
          <w:numId w:val="0"/>
        </w:numPr>
        <w:pBdr>
          <w:bottom w:val="single" w:color="FFFFFF" w:sz="4" w:space="16"/>
        </w:pBdr>
        <w:tabs>
          <w:tab w:val="left" w:pos="7380"/>
        </w:tabs>
        <w:kinsoku/>
        <w:wordWrap/>
        <w:overflowPunct/>
        <w:topLinePunct w:val="0"/>
        <w:autoSpaceDE/>
        <w:autoSpaceDN/>
        <w:bidi w:val="0"/>
        <w:adjustRightInd/>
        <w:snapToGrid/>
        <w:spacing w:line="520" w:lineRule="exact"/>
        <w:ind w:left="0" w:leftChars="0" w:firstLine="575" w:firstLineChars="200"/>
        <w:jc w:val="both"/>
        <w:textAlignment w:val="auto"/>
        <w:rPr>
          <w:rFonts w:hint="eastAsia" w:ascii="仿宋_GB2312" w:hAnsi="仿宋_GB2312" w:eastAsia="仿宋_GB2312" w:cs="仿宋_GB2312"/>
          <w:b/>
          <w:bCs/>
          <w:color w:val="000000" w:themeColor="text1"/>
          <w:spacing w:val="-17"/>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pacing w:val="-17"/>
          <w:sz w:val="32"/>
          <w:szCs w:val="32"/>
          <w:highlight w:val="none"/>
          <w:lang w:val="en-US" w:eastAsia="zh-CN"/>
          <w14:textFill>
            <w14:solidFill>
              <w14:schemeClr w14:val="tx1"/>
            </w14:solidFill>
          </w14:textFill>
        </w:rPr>
        <w:t>案例十：弘扬红色精神，践行公益使命，助力教育事业发展</w:t>
      </w:r>
    </w:p>
    <w:p w14:paraId="3945635F">
      <w:pPr>
        <w:keepNext w:val="0"/>
        <w:keepLines w:val="0"/>
        <w:pageBreakBefore w:val="0"/>
        <w:widowControl w:val="0"/>
        <w:numPr>
          <w:ilvl w:val="0"/>
          <w:numId w:val="0"/>
        </w:numPr>
        <w:pBdr>
          <w:bottom w:val="single" w:color="FFFFFF" w:sz="4" w:space="16"/>
        </w:pBdr>
        <w:tabs>
          <w:tab w:val="left" w:pos="7380"/>
        </w:tabs>
        <w:kinsoku/>
        <w:wordWrap/>
        <w:overflowPunct/>
        <w:topLinePunct w:val="0"/>
        <w:autoSpaceDE/>
        <w:autoSpaceDN/>
        <w:bidi w:val="0"/>
        <w:adjustRightInd/>
        <w:snapToGrid/>
        <w:spacing w:line="520" w:lineRule="exact"/>
        <w:ind w:left="0" w:leftChars="0" w:firstLine="640" w:firstLineChars="200"/>
        <w:jc w:val="both"/>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2025年4月29日，广西工程职业学院赴平果市吉祥小学开展“弘扬红色文化 传承红色基因”慈</w:t>
      </w: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善助学捐赠活动，捐赠图书及学习用品等，为孩子们送去了学习物资与关怀。此次捐赠活动不仅是一次爱心的传递，也是一次精神的洗礼，更是对教育事业的支持。广西工程职业学院以实际行动弘扬了红色革命精神，践行了社会责任感和担当，为地方教育事业注入了新的活力，激励广大青少年赓续红色血脉，勤奋学习，努力成长为担当民族复兴大任的时代新人。</w:t>
      </w:r>
    </w:p>
    <w:p w14:paraId="4FD4C0DF">
      <w:pPr>
        <w:keepNext w:val="0"/>
        <w:keepLines w:val="0"/>
        <w:pageBreakBefore w:val="0"/>
        <w:widowControl/>
        <w:suppressLineNumbers w:val="0"/>
        <w:kinsoku/>
        <w:wordWrap/>
        <w:overflowPunct/>
        <w:topLinePunct w:val="0"/>
        <w:autoSpaceDE/>
        <w:autoSpaceDN/>
        <w:bidi w:val="0"/>
        <w:adjustRightInd/>
        <w:snapToGrid/>
        <w:spacing w:line="520" w:lineRule="exact"/>
        <w:jc w:val="left"/>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drawing>
          <wp:anchor distT="0" distB="0" distL="114300" distR="114300" simplePos="0" relativeHeight="251674624" behindDoc="0" locked="0" layoutInCell="1" allowOverlap="1">
            <wp:simplePos x="0" y="0"/>
            <wp:positionH relativeFrom="column">
              <wp:posOffset>-78740</wp:posOffset>
            </wp:positionH>
            <wp:positionV relativeFrom="paragraph">
              <wp:posOffset>49530</wp:posOffset>
            </wp:positionV>
            <wp:extent cx="5754370" cy="3791585"/>
            <wp:effectExtent l="0" t="0" r="17780" b="18415"/>
            <wp:wrapNone/>
            <wp:docPr id="4" name="图片 4"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640"/>
                    <pic:cNvPicPr>
                      <a:picLocks noChangeAspect="1"/>
                    </pic:cNvPicPr>
                  </pic:nvPicPr>
                  <pic:blipFill>
                    <a:blip r:embed="rId51"/>
                    <a:srcRect t="2885" b="2576"/>
                    <a:stretch>
                      <a:fillRect/>
                    </a:stretch>
                  </pic:blipFill>
                  <pic:spPr>
                    <a:xfrm>
                      <a:off x="0" y="0"/>
                      <a:ext cx="5754370" cy="3791585"/>
                    </a:xfrm>
                    <a:prstGeom prst="rect">
                      <a:avLst/>
                    </a:prstGeom>
                  </pic:spPr>
                </pic:pic>
              </a:graphicData>
            </a:graphic>
          </wp:anchor>
        </w:drawing>
      </w:r>
    </w:p>
    <w:p w14:paraId="49701E7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254E5BBD">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7C2C29B7">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325FECF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3CB23414">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71C330CA">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05F67013">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012BE5D0">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2FA48939">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747877AC">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0117588C">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宋体" w:eastAsia="仿宋_GB2312" w:cs="Times New Roman"/>
          <w:b/>
          <w:bCs/>
          <w:color w:val="000000" w:themeColor="text1"/>
          <w:kern w:val="0"/>
          <w:sz w:val="32"/>
          <w:szCs w:val="32"/>
          <w:highlight w:val="none"/>
          <w:lang w:val="en-US" w:eastAsia="zh-CN" w:bidi="ar"/>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图43 “</w:t>
      </w:r>
      <w:r>
        <w:rPr>
          <w:rFonts w:hint="default" w:ascii="仿宋_GB2312" w:hAnsi="Verdana" w:eastAsia="仿宋_GB2312" w:cs="宋体"/>
          <w:color w:val="000000" w:themeColor="text1"/>
          <w:kern w:val="0"/>
          <w:sz w:val="28"/>
          <w:szCs w:val="28"/>
          <w:highlight w:val="none"/>
          <w:lang w:val="en-US" w:eastAsia="zh-CN"/>
          <w14:textFill>
            <w14:solidFill>
              <w14:schemeClr w14:val="tx1"/>
            </w14:solidFill>
          </w14:textFill>
        </w:rPr>
        <w:t>弘扬红色文化 传承红色基因</w:t>
      </w: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w:t>
      </w:r>
      <w:r>
        <w:rPr>
          <w:rFonts w:hint="eastAsia" w:ascii="仿宋_GB2312" w:hAnsi="宋体" w:eastAsia="仿宋_GB2312" w:cs="Times New Roman"/>
          <w:b w:val="0"/>
          <w:color w:val="000000" w:themeColor="text1"/>
          <w:kern w:val="0"/>
          <w:sz w:val="28"/>
          <w:szCs w:val="28"/>
          <w:highlight w:val="none"/>
          <w:lang w:val="en-US" w:eastAsia="zh-CN" w:bidi="ar"/>
          <w14:textFill>
            <w14:solidFill>
              <w14:schemeClr w14:val="tx1"/>
            </w14:solidFill>
          </w14:textFill>
        </w:rPr>
        <w:t>慈善助学捐赠活动</w:t>
      </w: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现场</w:t>
      </w:r>
    </w:p>
    <w:p w14:paraId="40743AEF">
      <w:pPr>
        <w:keepNext w:val="0"/>
        <w:keepLines w:val="0"/>
        <w:pageBreakBefore w:val="0"/>
        <w:widowControl w:val="0"/>
        <w:numPr>
          <w:ilvl w:val="0"/>
          <w:numId w:val="0"/>
        </w:numPr>
        <w:kinsoku/>
        <w:wordWrap/>
        <w:overflowPunct/>
        <w:topLinePunct w:val="0"/>
        <w:autoSpaceDE/>
        <w:autoSpaceDN/>
        <w:bidi w:val="0"/>
        <w:adjustRightInd/>
        <w:snapToGrid/>
        <w:spacing w:line="520" w:lineRule="exact"/>
        <w:ind w:firstLine="643" w:firstLineChars="200"/>
        <w:jc w:val="left"/>
        <w:textAlignment w:val="auto"/>
        <w:rPr>
          <w:rFonts w:hint="eastAsia"/>
          <w:color w:val="000000" w:themeColor="text1"/>
          <w:highlight w:val="none"/>
          <w:lang w:val="en-US" w:eastAsia="zh-CN"/>
          <w14:textFill>
            <w14:solidFill>
              <w14:schemeClr w14:val="tx1"/>
            </w14:solidFill>
          </w14:textFill>
        </w:rPr>
      </w:pPr>
      <w:r>
        <w:rPr>
          <w:rFonts w:hint="eastAsia" w:ascii="仿宋_GB2312" w:hAnsi="宋体" w:eastAsia="仿宋_GB2312" w:cs="Times New Roman"/>
          <w:b/>
          <w:bCs/>
          <w:color w:val="000000" w:themeColor="text1"/>
          <w:kern w:val="0"/>
          <w:sz w:val="32"/>
          <w:szCs w:val="32"/>
          <w:highlight w:val="none"/>
          <w:lang w:val="en-US" w:eastAsia="zh-CN" w:bidi="ar"/>
          <w14:textFill>
            <w14:solidFill>
              <w14:schemeClr w14:val="tx1"/>
            </w14:solidFill>
          </w14:textFill>
        </w:rPr>
        <w:t>案例十一：创新实践载体，丰富红色教育体验</w:t>
      </w:r>
    </w:p>
    <w:p w14:paraId="57D88B83">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依托平果市烈士陵园、田东县右江革命纪念馆、东兰县列宁岩等本地红色资源，组织师生开展“行走的思政课”研学活动。本年度重点开展清明节缅怀先烈、“学思践悟砺初心 笃行实干勇担当”主题活动，组织300余名师生赴平果市烈士陵园开展“缅怀革命先烈，弘扬革命精神”主题党日活动，通过敬献花圈、默哀致敬、重温入党誓词、微党课学习等环节，让师生接受深刻的革命传统教育。组织党员赴革命老区东兰县列宁岩、魁星楼、韦拔群故居、壮乡将军纪念馆、韦国清故居等地开展“学思践悟砺初心 笃行实干勇担当”主题党日活动。</w:t>
      </w:r>
    </w:p>
    <w:p w14:paraId="0FF2092F">
      <w:pPr>
        <w:rPr>
          <w:rFonts w:ascii="宋体" w:hAnsi="宋体" w:eastAsia="宋体" w:cs="宋体"/>
          <w:color w:val="000000" w:themeColor="text1"/>
          <w:sz w:val="24"/>
          <w:szCs w:val="24"/>
          <w:highlight w:val="none"/>
          <w:vertAlign w:val="baseline"/>
          <w14:textFill>
            <w14:solidFill>
              <w14:schemeClr w14:val="tx1"/>
            </w14:solidFill>
          </w14:textFill>
        </w:rPr>
      </w:pPr>
      <w:r>
        <w:rPr>
          <w:rFonts w:ascii="宋体" w:hAnsi="宋体" w:eastAsia="宋体" w:cs="宋体"/>
          <w:color w:val="000000" w:themeColor="text1"/>
          <w:sz w:val="24"/>
          <w:szCs w:val="24"/>
          <w:highlight w:val="none"/>
          <w:vertAlign w:val="baseline"/>
          <w14:textFill>
            <w14:solidFill>
              <w14:schemeClr w14:val="tx1"/>
            </w14:solidFill>
          </w14:textFill>
        </w:rPr>
        <w:drawing>
          <wp:inline distT="0" distB="0" distL="114300" distR="114300">
            <wp:extent cx="5669280" cy="3149600"/>
            <wp:effectExtent l="0" t="0" r="7620" b="12700"/>
            <wp:docPr id="51"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 descr="IMG_256"/>
                    <pic:cNvPicPr>
                      <a:picLocks noChangeAspect="1"/>
                    </pic:cNvPicPr>
                  </pic:nvPicPr>
                  <pic:blipFill>
                    <a:blip r:embed="rId52"/>
                    <a:stretch>
                      <a:fillRect/>
                    </a:stretch>
                  </pic:blipFill>
                  <pic:spPr>
                    <a:xfrm>
                      <a:off x="0" y="0"/>
                      <a:ext cx="5669280" cy="3149600"/>
                    </a:xfrm>
                    <a:prstGeom prst="rect">
                      <a:avLst/>
                    </a:prstGeom>
                    <a:noFill/>
                    <a:ln w="9525">
                      <a:noFill/>
                    </a:ln>
                  </pic:spPr>
                </pic:pic>
              </a:graphicData>
            </a:graphic>
          </wp:inline>
        </w:drawing>
      </w:r>
    </w:p>
    <w:p w14:paraId="45CB4154">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图44  学校组织开展“缅怀革命先烈，弘扬革命精神”暨重温入党</w:t>
      </w:r>
    </w:p>
    <w:p w14:paraId="6D5DEF33">
      <w:pPr>
        <w:pStyle w:val="9"/>
        <w:keepNext w:val="0"/>
        <w:keepLines w:val="0"/>
        <w:pageBreakBefore w:val="0"/>
        <w:kinsoku/>
        <w:wordWrap/>
        <w:bidi w:val="0"/>
        <w:spacing w:line="520" w:lineRule="exact"/>
        <w:ind w:left="0" w:leftChars="0" w:firstLine="560" w:firstLineChars="200"/>
        <w:jc w:val="center"/>
        <w:rPr>
          <w:rFonts w:hint="default"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誓词主题党日活动</w:t>
      </w:r>
    </w:p>
    <w:p w14:paraId="4793E80C">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drawing>
          <wp:anchor distT="0" distB="0" distL="114300" distR="114300" simplePos="0" relativeHeight="251675648" behindDoc="0" locked="0" layoutInCell="1" allowOverlap="1">
            <wp:simplePos x="0" y="0"/>
            <wp:positionH relativeFrom="column">
              <wp:posOffset>17780</wp:posOffset>
            </wp:positionH>
            <wp:positionV relativeFrom="paragraph">
              <wp:posOffset>29845</wp:posOffset>
            </wp:positionV>
            <wp:extent cx="5578475" cy="3246120"/>
            <wp:effectExtent l="0" t="0" r="3175" b="11430"/>
            <wp:wrapNone/>
            <wp:docPr id="11" name="图片 11" descr="党日活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党日活动"/>
                    <pic:cNvPicPr>
                      <a:picLocks noChangeAspect="1"/>
                    </pic:cNvPicPr>
                  </pic:nvPicPr>
                  <pic:blipFill>
                    <a:blip r:embed="rId53"/>
                    <a:stretch>
                      <a:fillRect/>
                    </a:stretch>
                  </pic:blipFill>
                  <pic:spPr>
                    <a:xfrm>
                      <a:off x="0" y="0"/>
                      <a:ext cx="5578475" cy="3246120"/>
                    </a:xfrm>
                    <a:prstGeom prst="rect">
                      <a:avLst/>
                    </a:prstGeom>
                  </pic:spPr>
                </pic:pic>
              </a:graphicData>
            </a:graphic>
          </wp:anchor>
        </w:drawing>
      </w:r>
    </w:p>
    <w:p w14:paraId="403A0C80">
      <w:pPr>
        <w:pStyle w:val="9"/>
        <w:keepNext w:val="0"/>
        <w:keepLines w:val="0"/>
        <w:pageBreakBefore w:val="0"/>
        <w:kinsoku/>
        <w:wordWrap/>
        <w:bidi w:val="0"/>
        <w:spacing w:line="520" w:lineRule="exact"/>
        <w:ind w:left="0" w:leftChars="0" w:firstLine="560" w:firstLineChars="200"/>
        <w:jc w:val="cente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FA45C78">
      <w:pPr>
        <w:pStyle w:val="9"/>
        <w:keepNext w:val="0"/>
        <w:keepLines w:val="0"/>
        <w:pageBreakBefore w:val="0"/>
        <w:kinsoku/>
        <w:wordWrap/>
        <w:bidi w:val="0"/>
        <w:spacing w:line="520" w:lineRule="exact"/>
        <w:jc w:val="both"/>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67DF7D5">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79864B8">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F107953">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34F4BE4">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4EA3D0C">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CE553A6">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E6E33E2">
      <w:pPr>
        <w:pStyle w:val="9"/>
        <w:keepNext w:val="0"/>
        <w:keepLines w:val="0"/>
        <w:pageBreakBefore w:val="0"/>
        <w:widowControl w:val="0"/>
        <w:kinsoku/>
        <w:wordWrap/>
        <w:overflowPunct/>
        <w:topLinePunct w:val="0"/>
        <w:autoSpaceDE/>
        <w:autoSpaceDN/>
        <w:bidi w:val="0"/>
        <w:adjustRightInd/>
        <w:snapToGrid/>
        <w:spacing w:line="48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9E08A1F">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710AD73F">
      <w:pPr>
        <w:pStyle w:val="9"/>
        <w:keepNext w:val="0"/>
        <w:keepLines w:val="0"/>
        <w:pageBreakBefore w:val="0"/>
        <w:widowControl w:val="0"/>
        <w:kinsoku/>
        <w:wordWrap/>
        <w:overflowPunct/>
        <w:topLinePunct w:val="0"/>
        <w:autoSpaceDE/>
        <w:autoSpaceDN/>
        <w:bidi w:val="0"/>
        <w:adjustRightInd/>
        <w:snapToGrid/>
        <w:spacing w:line="480" w:lineRule="exact"/>
        <w:ind w:left="0" w:leftChars="0" w:firstLine="560" w:firstLineChars="200"/>
        <w:jc w:val="center"/>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图45 学校组织师生党员到东兰县革命老区开展“学思践悟砺初心 笃行实干勇担当”主题党日活动</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br w:type="page"/>
      </w:r>
    </w:p>
    <w:p w14:paraId="4771E322">
      <w:pP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95315" cy="3271520"/>
            <wp:effectExtent l="0" t="0" r="635" b="5080"/>
            <wp:docPr id="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3"/>
                    <pic:cNvPicPr>
                      <a:picLocks noChangeAspect="1"/>
                    </pic:cNvPicPr>
                  </pic:nvPicPr>
                  <pic:blipFill>
                    <a:blip r:embed="rId54"/>
                    <a:stretch>
                      <a:fillRect/>
                    </a:stretch>
                  </pic:blipFill>
                  <pic:spPr>
                    <a:xfrm>
                      <a:off x="0" y="0"/>
                      <a:ext cx="5695315" cy="3271520"/>
                    </a:xfrm>
                    <a:prstGeom prst="rect">
                      <a:avLst/>
                    </a:prstGeom>
                    <a:noFill/>
                    <a:ln>
                      <a:noFill/>
                    </a:ln>
                  </pic:spPr>
                </pic:pic>
              </a:graphicData>
            </a:graphic>
          </wp:inline>
        </w:drawing>
      </w:r>
    </w:p>
    <w:p w14:paraId="4D97E4B2">
      <w:pP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bookmarkStart w:id="20" w:name="OLE_LINK9"/>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图46  学校组织开展</w:t>
      </w:r>
      <w:bookmarkEnd w:id="20"/>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“学思践悟砺初心 笃行实干勇担当”主题研学活动</w:t>
      </w:r>
    </w:p>
    <w:p w14:paraId="1C072493">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82615" cy="3602355"/>
            <wp:effectExtent l="0" t="0" r="13335" b="17145"/>
            <wp:docPr id="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4"/>
                    <pic:cNvPicPr>
                      <a:picLocks noChangeAspect="1"/>
                    </pic:cNvPicPr>
                  </pic:nvPicPr>
                  <pic:blipFill>
                    <a:blip r:embed="rId55"/>
                    <a:stretch>
                      <a:fillRect/>
                    </a:stretch>
                  </pic:blipFill>
                  <pic:spPr>
                    <a:xfrm>
                      <a:off x="0" y="0"/>
                      <a:ext cx="5682615" cy="3602355"/>
                    </a:xfrm>
                    <a:prstGeom prst="rect">
                      <a:avLst/>
                    </a:prstGeom>
                    <a:noFill/>
                    <a:ln>
                      <a:noFill/>
                    </a:ln>
                  </pic:spPr>
                </pic:pic>
              </a:graphicData>
            </a:graphic>
          </wp:inline>
        </w:drawing>
      </w:r>
    </w:p>
    <w:p w14:paraId="115B1F12">
      <w:pP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图47学校组织开展 “行红色足迹 筑青春梦想” 资助育人研学主题活动</w:t>
      </w:r>
    </w:p>
    <w:p w14:paraId="14E4C034">
      <w:pP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br w:type="page"/>
      </w:r>
    </w:p>
    <w:p w14:paraId="13A3BFD2">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r>
        <w:rPr>
          <w:rFonts w:hint="default"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drawing>
          <wp:anchor distT="0" distB="0" distL="114300" distR="114300" simplePos="0" relativeHeight="251679744" behindDoc="0" locked="0" layoutInCell="1" allowOverlap="1">
            <wp:simplePos x="0" y="0"/>
            <wp:positionH relativeFrom="column">
              <wp:posOffset>27305</wp:posOffset>
            </wp:positionH>
            <wp:positionV relativeFrom="paragraph">
              <wp:posOffset>105410</wp:posOffset>
            </wp:positionV>
            <wp:extent cx="5685155" cy="3433445"/>
            <wp:effectExtent l="0" t="0" r="10795" b="14605"/>
            <wp:wrapNone/>
            <wp:docPr id="68" name="图片 68" descr="cf54c7238c17e78db4fafbb1a1c13994"/>
            <wp:cNvGraphicFramePr/>
            <a:graphic xmlns:a="http://schemas.openxmlformats.org/drawingml/2006/main">
              <a:graphicData uri="http://schemas.openxmlformats.org/drawingml/2006/picture">
                <pic:pic xmlns:pic="http://schemas.openxmlformats.org/drawingml/2006/picture">
                  <pic:nvPicPr>
                    <pic:cNvPr id="68" name="图片 68" descr="cf54c7238c17e78db4fafbb1a1c13994"/>
                    <pic:cNvPicPr/>
                  </pic:nvPicPr>
                  <pic:blipFill>
                    <a:blip r:embed="rId56"/>
                    <a:stretch>
                      <a:fillRect/>
                    </a:stretch>
                  </pic:blipFill>
                  <pic:spPr>
                    <a:xfrm>
                      <a:off x="0" y="0"/>
                      <a:ext cx="5685155" cy="3433445"/>
                    </a:xfrm>
                    <a:prstGeom prst="rect">
                      <a:avLst/>
                    </a:prstGeom>
                  </pic:spPr>
                </pic:pic>
              </a:graphicData>
            </a:graphic>
          </wp:anchor>
        </w:drawing>
      </w:r>
    </w:p>
    <w:p w14:paraId="2054B67B">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73CEA9AC">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1B080D83">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106E55D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70CBFB99">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1D4258DE">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40305BF7">
      <w:pPr>
        <w:keepNext w:val="0"/>
        <w:keepLines w:val="0"/>
        <w:pageBreakBefore w:val="0"/>
        <w:widowControl w:val="0"/>
        <w:numPr>
          <w:ilvl w:val="0"/>
          <w:numId w:val="0"/>
        </w:numPr>
        <w:kinsoku/>
        <w:wordWrap/>
        <w:overflowPunct/>
        <w:topLinePunct w:val="0"/>
        <w:autoSpaceDE/>
        <w:autoSpaceDN/>
        <w:bidi w:val="0"/>
        <w:adjustRightInd/>
        <w:snapToGrid/>
        <w:spacing w:line="240" w:lineRule="auto"/>
        <w:jc w:val="both"/>
        <w:textAlignment w:val="auto"/>
        <w:rPr>
          <w:rFonts w:hint="default" w:ascii="方正仿宋_GB2312" w:hAnsi="方正仿宋_GB2312" w:eastAsia="方正仿宋_GB2312" w:cs="方正仿宋_GB2312"/>
          <w:color w:val="000000" w:themeColor="text1"/>
          <w:sz w:val="32"/>
          <w:szCs w:val="32"/>
          <w:highlight w:val="none"/>
          <w:lang w:val="en-US" w:eastAsia="zh-CN"/>
          <w14:textFill>
            <w14:solidFill>
              <w14:schemeClr w14:val="tx1"/>
            </w14:solidFill>
          </w14:textFill>
        </w:rPr>
      </w:pPr>
    </w:p>
    <w:p w14:paraId="38A1C834">
      <w:pPr>
        <w:pStyle w:val="12"/>
        <w:keepNext w:val="0"/>
        <w:keepLines w:val="0"/>
        <w:pageBreakBefore w:val="0"/>
        <w:widowControl/>
        <w:numPr>
          <w:ilvl w:val="0"/>
          <w:numId w:val="0"/>
        </w:numPr>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240" w:lineRule="auto"/>
        <w:ind w:right="51" w:rightChars="0"/>
        <w:jc w:val="both"/>
        <w:textAlignment w:val="auto"/>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p>
    <w:p w14:paraId="056D67FF">
      <w:pPr>
        <w:pStyle w:val="4"/>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40" w:lineRule="exact"/>
        <w:ind w:left="0" w:right="0" w:firstLine="560" w:firstLineChars="200"/>
        <w:jc w:val="center"/>
        <w:textAlignment w:val="auto"/>
        <w:rPr>
          <w:rFonts w:hint="default"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pPr>
      <w: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t>图48 组织开展“讲好中国故事·传承红色基因”故事大赛</w:t>
      </w:r>
    </w:p>
    <w:p w14:paraId="32306AC6">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718810" cy="3626485"/>
            <wp:effectExtent l="0" t="0" r="15240" b="12065"/>
            <wp:docPr id="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9"/>
                    <pic:cNvPicPr>
                      <a:picLocks noChangeAspect="1"/>
                    </pic:cNvPicPr>
                  </pic:nvPicPr>
                  <pic:blipFill>
                    <a:blip r:embed="rId57"/>
                    <a:stretch>
                      <a:fillRect/>
                    </a:stretch>
                  </pic:blipFill>
                  <pic:spPr>
                    <a:xfrm>
                      <a:off x="0" y="0"/>
                      <a:ext cx="5718810" cy="3626485"/>
                    </a:xfrm>
                    <a:prstGeom prst="rect">
                      <a:avLst/>
                    </a:prstGeom>
                    <a:noFill/>
                    <a:ln>
                      <a:noFill/>
                    </a:ln>
                  </pic:spPr>
                </pic:pic>
              </a:graphicData>
            </a:graphic>
          </wp:inline>
        </w:drawing>
      </w:r>
    </w:p>
    <w:p w14:paraId="07BA4470">
      <w:pPr>
        <w:ind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bookmarkStart w:id="21" w:name="OLE_LINK20"/>
      <w:r>
        <w:rPr>
          <w:rFonts w:hint="eastAsia" w:ascii="仿宋_GB2312" w:hAnsi="仿宋_GB2312" w:eastAsia="仿宋_GB2312" w:cs="仿宋_GB2312"/>
          <w:b w:val="0"/>
          <w:color w:val="000000" w:themeColor="text1"/>
          <w:kern w:val="0"/>
          <w:sz w:val="28"/>
          <w:szCs w:val="28"/>
          <w:highlight w:val="none"/>
          <w:lang w:val="en-US" w:eastAsia="zh-CN" w:bidi="ar"/>
          <w14:textFill>
            <w14:solidFill>
              <w14:schemeClr w14:val="tx1"/>
            </w14:solidFill>
          </w14:textFill>
        </w:rPr>
        <w:t>图49 组织开展师生党员开展弘扬爱国主义精神主题党日活动</w:t>
      </w:r>
      <w:bookmarkEnd w:id="21"/>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br w:type="page"/>
      </w:r>
    </w:p>
    <w:p w14:paraId="606E28E4">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4.3中华优秀传统文化</w:t>
      </w:r>
    </w:p>
    <w:p w14:paraId="02C38525">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color w:val="000000" w:themeColor="text1"/>
          <w:sz w:val="32"/>
          <w:szCs w:val="32"/>
          <w:highlight w:val="none"/>
          <w14:textFill>
            <w14:solidFill>
              <w14:schemeClr w14:val="tx1"/>
            </w14:solidFill>
          </w14:textFill>
        </w:rPr>
        <w:t>深入贯彻习近平总书记关于文化传承发展的重要论述，将中华优秀传统文化融入思政教育与职业教育，以文化人、以文育人，增强学生文化自信与职业竞争力。</w:t>
      </w:r>
    </w:p>
    <w:p w14:paraId="2614B06A">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构建传统文化课程体系，开设《中华优秀传统文化概论》选修课，2025年累计授课</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1500</w:t>
      </w:r>
      <w:r>
        <w:rPr>
          <w:rFonts w:hint="eastAsia" w:ascii="仿宋_GB2312" w:hAnsi="仿宋_GB2312" w:eastAsia="仿宋_GB2312" w:cs="仿宋_GB2312"/>
          <w:color w:val="000000" w:themeColor="text1"/>
          <w:sz w:val="32"/>
          <w:szCs w:val="32"/>
          <w:highlight w:val="none"/>
          <w14:textFill>
            <w14:solidFill>
              <w14:schemeClr w14:val="tx1"/>
            </w14:solidFill>
          </w14:textFill>
        </w:rPr>
        <w:t>人。将儒家“仁爱”“诚信”、道家“道法自然”理念融入现代职业素养培育，在礼仪、创新创业等课程中植入传统礼仪与经营智慧。</w:t>
      </w:r>
    </w:p>
    <w:p w14:paraId="514E720F">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开展</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30</w:t>
      </w:r>
      <w:r>
        <w:rPr>
          <w:rFonts w:hint="eastAsia" w:ascii="仿宋_GB2312" w:hAnsi="仿宋_GB2312" w:eastAsia="仿宋_GB2312" w:cs="仿宋_GB2312"/>
          <w:color w:val="000000" w:themeColor="text1"/>
          <w:sz w:val="32"/>
          <w:szCs w:val="32"/>
          <w:highlight w:val="none"/>
          <w14:textFill>
            <w14:solidFill>
              <w14:schemeClr w14:val="tx1"/>
            </w14:solidFill>
          </w14:textFill>
        </w:rPr>
        <w:t>场次传统文化实践活动，结合“三月三”、端午等传统节日打造育人场景，通过非遗技艺进校园、传承人现场教学等形式，培养学生文化传承意识与动手能力。</w:t>
      </w:r>
    </w:p>
    <w:p w14:paraId="4F285010">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推动传统文化与职业精神融合，挖掘“精益求精”“敬业守信”等传统工匠精神内涵，通过工匠故事、工艺案例教学引导学生潜心钻研，在实习实训中践行“匠心”与行业规范，将传统道德准则转化为职业行为习惯。</w:t>
      </w:r>
    </w:p>
    <w:p w14:paraId="2E2F106E">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2" w:firstLineChars="200"/>
        <w:textAlignment w:val="auto"/>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28"/>
          <w:szCs w:val="28"/>
          <w:highlight w:val="none"/>
          <w:lang w:val="en-US" w:eastAsia="zh-CN"/>
          <w14:textFill>
            <w14:solidFill>
              <w14:schemeClr w14:val="tx1"/>
            </w14:solidFill>
          </w14:textFill>
        </w:rPr>
        <w:t>案例十二 ：“多彩三月三 共聚民族情”——三月三系列活动</w:t>
      </w:r>
    </w:p>
    <w:p w14:paraId="3316E3EA">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0"/>
          <w:szCs w:val="30"/>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为深入挖掘和传承广西丰富的民族文化，增强师生对民族文化的认同感，铸牢中华民族共同体意识，促进各民族之间的团结，2025年3月26日至27日，学校开展了广西三月三民族文化体验系列活动，深入平果市新兴社区参与小区的三月三民俗活动，</w:t>
      </w:r>
      <w:r>
        <w:rPr>
          <w:rFonts w:hint="eastAsia" w:ascii="仿宋_GB2312" w:hAnsi="仿宋_GB2312" w:eastAsia="仿宋_GB2312" w:cs="仿宋_GB2312"/>
          <w:color w:val="000000" w:themeColor="text1"/>
          <w:sz w:val="32"/>
          <w:szCs w:val="32"/>
          <w:highlight w:val="none"/>
          <w:lang w:val="en-US" w:eastAsia="zh"/>
          <w14:textFill>
            <w14:solidFill>
              <w14:schemeClr w14:val="tx1"/>
            </w14:solidFill>
          </w14:textFill>
        </w:rPr>
        <w:t>开展</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三月三壮乡茶品鉴会，由酒店管理与数字化运营专业的学生展示精湛的茶艺，现场邀请师生品壮乡春茶</w:t>
      </w:r>
      <w:r>
        <w:rPr>
          <w:rFonts w:hint="eastAsia" w:ascii="仿宋_GB2312" w:hAnsi="仿宋_GB2312" w:eastAsia="仿宋_GB2312" w:cs="仿宋_GB2312"/>
          <w:color w:val="000000" w:themeColor="text1"/>
          <w:sz w:val="32"/>
          <w:szCs w:val="32"/>
          <w:highlight w:val="none"/>
          <w:lang w:val="en-US" w:eastAsia="zh"/>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不仅体验了茶文化的韵味，更增进对壮族茶文化的了解；在手工DIY活动中，通过亲手制作艾锤和绘画彩蛋手工DIY活动，让同学们体验传统手工艺的乐趣，同时加深对壮族传统手工艺的认识；民族体育竞技及趣味游戏将广西三月三的民俗文化与体育文化完美融合，通过充满趣味的民族传统体育竞技活动和民俗趣味活动，将广西三月三的民俗文化与体育文化完美融合；“潮玩邀你来——三月三篝火晚会”充分展现独特浓郁的壮乡风情，不仅是一场视听盛宴，更是一次民族文化的传承与弘扬。这些活动增进了对民族文化的了解，厚植了民族自豪感与文化认同感，更促进了师生对广西民族文化的认识，为构建和谐校园、增进民族团结奠定了坚实的基础</w:t>
      </w:r>
      <w:r>
        <w:rPr>
          <w:rFonts w:hint="eastAsia" w:ascii="仿宋_GB2312" w:hAnsi="仿宋_GB2312" w:eastAsia="仿宋_GB2312" w:cs="仿宋_GB2312"/>
          <w:color w:val="000000" w:themeColor="text1"/>
          <w:sz w:val="32"/>
          <w:szCs w:val="32"/>
          <w:highlight w:val="none"/>
          <w:lang w:val="en-US" w:eastAsia="zh"/>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为传承和弘扬中华优秀传统文化贡献力量</w:t>
      </w:r>
      <w:r>
        <w:rPr>
          <w:rFonts w:hint="eastAsia" w:ascii="仿宋_GB2312" w:hAnsi="仿宋_GB2312" w:eastAsia="仿宋_GB2312" w:cs="仿宋_GB2312"/>
          <w:color w:val="000000" w:themeColor="text1"/>
          <w:sz w:val="32"/>
          <w:szCs w:val="32"/>
          <w:highlight w:val="none"/>
          <w:lang w:val="en-US" w:eastAsia="zh"/>
          <w14:textFill>
            <w14:solidFill>
              <w14:schemeClr w14:val="tx1"/>
            </w14:solidFill>
          </w14:textFill>
        </w:rPr>
        <w:t>。</w:t>
      </w:r>
    </w:p>
    <w:p w14:paraId="487F47D5">
      <w:pP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76672" behindDoc="0" locked="0" layoutInCell="1" allowOverlap="1">
            <wp:simplePos x="0" y="0"/>
            <wp:positionH relativeFrom="column">
              <wp:posOffset>83185</wp:posOffset>
            </wp:positionH>
            <wp:positionV relativeFrom="paragraph">
              <wp:posOffset>172720</wp:posOffset>
            </wp:positionV>
            <wp:extent cx="5767705" cy="3514725"/>
            <wp:effectExtent l="0" t="0" r="4445" b="9525"/>
            <wp:wrapNone/>
            <wp:docPr id="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5"/>
                    <pic:cNvPicPr>
                      <a:picLocks noChangeAspect="1"/>
                    </pic:cNvPicPr>
                  </pic:nvPicPr>
                  <pic:blipFill>
                    <a:blip r:embed="rId58"/>
                    <a:stretch>
                      <a:fillRect/>
                    </a:stretch>
                  </pic:blipFill>
                  <pic:spPr>
                    <a:xfrm>
                      <a:off x="0" y="0"/>
                      <a:ext cx="5767705" cy="3514725"/>
                    </a:xfrm>
                    <a:prstGeom prst="rect">
                      <a:avLst/>
                    </a:prstGeom>
                    <a:noFill/>
                    <a:ln>
                      <a:noFill/>
                    </a:ln>
                  </pic:spPr>
                </pic:pic>
              </a:graphicData>
            </a:graphic>
          </wp:anchor>
        </w:drawing>
      </w:r>
    </w:p>
    <w:p w14:paraId="3BBFBB86">
      <w:pPr>
        <w:pStyle w:val="1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6D97DEC">
      <w:pP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11EFB5F5">
      <w:pPr>
        <w:pStyle w:val="1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033C6308">
      <w:pP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FBFB50B">
      <w:pPr>
        <w:pStyle w:val="1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D8700B2">
      <w:pP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29BEF0A">
      <w:pPr>
        <w:pStyle w:val="1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E852A7C">
      <w:pP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995B44B">
      <w:pPr>
        <w:pStyle w:val="19"/>
        <w:rPr>
          <w:rFonts w:hint="eastAsia"/>
          <w:color w:val="000000" w:themeColor="text1"/>
          <w:highlight w:val="none"/>
          <w:lang w:val="en-US" w:eastAsia="zh-CN"/>
          <w14:textFill>
            <w14:solidFill>
              <w14:schemeClr w14:val="tx1"/>
            </w14:solidFill>
          </w14:textFill>
        </w:rPr>
      </w:pPr>
    </w:p>
    <w:p w14:paraId="6B31FC7A">
      <w:pPr>
        <w:ind w:firstLine="2240" w:firstLineChars="800"/>
        <w:rPr>
          <w:rFonts w:hint="default"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图50  组织开展广西三月三·奏响非遗韵活动</w:t>
      </w:r>
    </w:p>
    <w:p w14:paraId="4EB22EA3">
      <w:pPr>
        <w:pStyle w:val="19"/>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31C6E89">
      <w:pP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81980" cy="3641725"/>
            <wp:effectExtent l="0" t="0" r="13970" b="15875"/>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59"/>
                    <a:stretch>
                      <a:fillRect/>
                    </a:stretch>
                  </pic:blipFill>
                  <pic:spPr>
                    <a:xfrm>
                      <a:off x="0" y="0"/>
                      <a:ext cx="5681980" cy="3641725"/>
                    </a:xfrm>
                    <a:prstGeom prst="rect">
                      <a:avLst/>
                    </a:prstGeom>
                    <a:noFill/>
                    <a:ln>
                      <a:noFill/>
                    </a:ln>
                  </pic:spPr>
                </pic:pic>
              </a:graphicData>
            </a:graphic>
          </wp:inline>
        </w:drawing>
      </w:r>
    </w:p>
    <w:p w14:paraId="505FFF47">
      <w:pPr>
        <w:ind w:firstLine="560" w:firstLineChars="200"/>
        <w:rPr>
          <w:rFonts w:hint="default"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图51 组织开展壮美歌声扬·三月三梦响校园好声音大赛决赛活动</w:t>
      </w:r>
    </w:p>
    <w:p w14:paraId="41FE6CF6">
      <w:pPr>
        <w:keepNext w:val="0"/>
        <w:keepLines w:val="0"/>
        <w:pageBreakBefore w:val="0"/>
        <w:widowControl/>
        <w:suppressLineNumbers w:val="0"/>
        <w:kinsoku/>
        <w:wordWrap/>
        <w:overflowPunct/>
        <w:topLinePunct w:val="0"/>
        <w:autoSpaceDE/>
        <w:autoSpaceDN/>
        <w:bidi w:val="0"/>
        <w:adjustRightInd/>
        <w:snapToGrid/>
        <w:spacing w:line="440" w:lineRule="atLeast"/>
        <w:ind w:firstLine="643" w:firstLineChars="200"/>
        <w:jc w:val="both"/>
        <w:textAlignment w:val="auto"/>
        <w:rPr>
          <w:rFonts w:hint="eastAsia" w:ascii="仿宋_GB2312" w:hAnsi="仿宋_GB2312" w:eastAsia="仿宋_GB2312" w:cs="仿宋_GB2312"/>
          <w:b/>
          <w:bCs/>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b/>
          <w:bCs/>
          <w:color w:val="000000" w:themeColor="text1"/>
          <w:kern w:val="0"/>
          <w:sz w:val="32"/>
          <w:szCs w:val="32"/>
          <w:highlight w:val="none"/>
          <w:lang w:val="en-US" w:eastAsia="zh-CN" w:bidi="ar"/>
          <w14:textFill>
            <w14:solidFill>
              <w14:schemeClr w14:val="tx1"/>
            </w14:solidFill>
          </w14:textFill>
        </w:rPr>
        <w:t>案例十三：弘扬中华传统文化，传承端午民俗魅力</w:t>
      </w:r>
    </w:p>
    <w:p w14:paraId="6509B885">
      <w:pPr>
        <w:keepNext w:val="0"/>
        <w:keepLines w:val="0"/>
        <w:pageBreakBefore w:val="0"/>
        <w:widowControl/>
        <w:suppressLineNumbers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2025年5月27日，广西工程职业学院举办“香囊传情·端午寄意”端午节主题活动。参与者们以丝线为墨，以香草为韵，用灵巧的双手编织出饱含节日祝福的精美香囊。本次活动不仅为大家提供了一个沉浸式体验传统手工艺的平台，更成为连接古今文化的情感纽带。活动现场，大家穿针引线、填充香料，将对美好生活的向往与端午安康的祝愿融入一针一线中。这场充满古韵的民俗盛宴，不仅让传统文化在指尖焕发生机，更以香囊为载体，传递出对传统节日的深切敬意，为端午佳节增添了一抹温暖而诗意的文化底色。</w:t>
      </w:r>
    </w:p>
    <w:p w14:paraId="47DE2527">
      <w:pPr>
        <w:pStyle w:val="19"/>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20B96335">
      <w:pPr>
        <w:rPr>
          <w:rFonts w:hint="eastAsia"/>
          <w:color w:val="000000" w:themeColor="text1"/>
          <w:highlight w:val="none"/>
          <w:lang w:val="en-US" w:eastAsia="zh-CN"/>
          <w14:textFill>
            <w14:solidFill>
              <w14:schemeClr w14:val="tx1"/>
            </w14:solidFill>
          </w14:textFill>
        </w:rPr>
      </w:pPr>
    </w:p>
    <w:p w14:paraId="0D1C6FEF">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r>
        <w:rPr>
          <w:rFonts w:hint="default"/>
          <w:color w:val="000000" w:themeColor="text1"/>
          <w:highlight w:val="none"/>
          <w:lang w:val="en-US" w:eastAsia="zh-CN"/>
          <w14:textFill>
            <w14:solidFill>
              <w14:schemeClr w14:val="tx1"/>
            </w14:solidFill>
          </w14:textFill>
        </w:rPr>
        <w:drawing>
          <wp:anchor distT="0" distB="0" distL="114300" distR="114300" simplePos="0" relativeHeight="251678720" behindDoc="0" locked="0" layoutInCell="1" allowOverlap="1">
            <wp:simplePos x="0" y="0"/>
            <wp:positionH relativeFrom="column">
              <wp:posOffset>71120</wp:posOffset>
            </wp:positionH>
            <wp:positionV relativeFrom="paragraph">
              <wp:posOffset>3810</wp:posOffset>
            </wp:positionV>
            <wp:extent cx="5541010" cy="3528060"/>
            <wp:effectExtent l="0" t="0" r="2540" b="15240"/>
            <wp:wrapNone/>
            <wp:docPr id="5" name="图片 5" descr="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2323"/>
                    <pic:cNvPicPr>
                      <a:picLocks noChangeAspect="1"/>
                    </pic:cNvPicPr>
                  </pic:nvPicPr>
                  <pic:blipFill>
                    <a:blip r:embed="rId60"/>
                    <a:stretch>
                      <a:fillRect/>
                    </a:stretch>
                  </pic:blipFill>
                  <pic:spPr>
                    <a:xfrm>
                      <a:off x="0" y="0"/>
                      <a:ext cx="5541010" cy="3528060"/>
                    </a:xfrm>
                    <a:prstGeom prst="rect">
                      <a:avLst/>
                    </a:prstGeom>
                  </pic:spPr>
                </pic:pic>
              </a:graphicData>
            </a:graphic>
          </wp:anchor>
        </w:drawing>
      </w:r>
    </w:p>
    <w:p w14:paraId="139ED237">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780D10D2">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6C50C56D">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5BB1B005">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14F1581D">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66D4750E">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3416B880">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6E197929">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7ECC35AD">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3E4FAD4F">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1B481F83">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651FE2FD">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43CFD019">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5548AAB5">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5D2AA665">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2AFA3C41">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2AC36A39">
      <w:pPr>
        <w:numPr>
          <w:ilvl w:val="0"/>
          <w:numId w:val="0"/>
        </w:numPr>
        <w:tabs>
          <w:tab w:val="left" w:pos="778"/>
        </w:tabs>
        <w:bidi w:val="0"/>
        <w:jc w:val="both"/>
        <w:rPr>
          <w:rFonts w:hint="default"/>
          <w:color w:val="000000" w:themeColor="text1"/>
          <w:highlight w:val="none"/>
          <w:lang w:val="en-US" w:eastAsia="zh-CN"/>
          <w14:textFill>
            <w14:solidFill>
              <w14:schemeClr w14:val="tx1"/>
            </w14:solidFill>
          </w14:textFill>
        </w:rPr>
      </w:pPr>
    </w:p>
    <w:p w14:paraId="11419730">
      <w:pPr>
        <w:keepNext w:val="0"/>
        <w:keepLines w:val="0"/>
        <w:pageBreakBefore w:val="0"/>
        <w:widowControl/>
        <w:suppressLineNumbers w:val="0"/>
        <w:kinsoku/>
        <w:wordWrap/>
        <w:overflowPunct/>
        <w:topLinePunct w:val="0"/>
        <w:autoSpaceDE/>
        <w:autoSpaceDN/>
        <w:bidi w:val="0"/>
        <w:adjustRightInd/>
        <w:snapToGrid/>
        <w:spacing w:line="520" w:lineRule="atLeast"/>
        <w:jc w:val="center"/>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图52 学校举办“香囊传情·端午寄意”端午节主题活动</w:t>
      </w:r>
    </w:p>
    <w:p w14:paraId="485CA9FE">
      <w:pPr>
        <w:pStyle w:val="9"/>
        <w:keepNext w:val="0"/>
        <w:keepLines w:val="0"/>
        <w:pageBreakBefore w:val="0"/>
        <w:kinsoku/>
        <w:wordWrap/>
        <w:overflowPunct/>
        <w:topLinePunct w:val="0"/>
        <w:autoSpaceDE/>
        <w:autoSpaceDN/>
        <w:bidi w:val="0"/>
        <w:adjustRightInd/>
        <w:snapToGrid/>
        <w:spacing w:line="520" w:lineRule="exact"/>
        <w:ind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4.4</w:t>
      </w:r>
      <w:bookmarkStart w:id="22" w:name="OLE_LINK10"/>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校园文化和地方文化</w:t>
      </w:r>
      <w:bookmarkEnd w:id="22"/>
    </w:p>
    <w:p w14:paraId="31E38EEC">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锚定校园文化育人与地方文化传承双重核心目标，秉持“多元主题引领、实践载体创新、校地协同推进”的工作思路，构建起覆盖中华优秀传统文化、地方民族文化两大核心领域的文化建设体系。精心策划实施特色文化活动，推动文化传承与学生实践锻炼、地方发展需求深度融合，既丰富了校园文化生态、厚植了育人底蕴，又强化了学校服务地方文化发展的能力，打造出主题鲜明、层次清晰、成效显著的校园文化建设新格局，为立德树人根本任务落地见效与地方文化永续发展注入了强劲动力。</w:t>
      </w:r>
    </w:p>
    <w:p w14:paraId="157F576E">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（1）深耕中华优秀传统文化，筑牢育人文化底色</w:t>
      </w:r>
    </w:p>
    <w:p w14:paraId="0A8F3CCF">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以中华优秀传统文化传承为核心，紧扣文化育人导向，将传统文化教育融入校园生活各场景。学校以端午、中秋、重阳三大传统节日为核心载体，策划开展传统节日沉浸式体验主题活动，让传统文化在实践体验中深入人心。其中，端午节聚焦“文化传承”，组织“香囊传情・端午寄意”活动，通过学生亲手制作香囊、分享端午习俗的实践形式，引导其感悟传统节日的文化内涵；重阳节紧扣“美德践行”，开展“青春志愿，爱在重阳”公益摄影服务活动，组织志愿者走进社区为老年人免费拍摄照片、记录美好瞬间，在志愿服务中传递与传承“敬老爱老”的传统美德。</w:t>
      </w:r>
    </w:p>
    <w:p w14:paraId="1C3E6B29">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bookmarkStart w:id="23" w:name="OLE_LINK1"/>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文化活动创新性传承：深化校地文化资源联动，打造兼具文化底蕴与育人实效的特色品牌活动。举办“弘宪法之光，绘法治蓝图”礼敬中华优秀传统文化活动，将传统文化展演与法治宣传教育深度融合，引导学生在感悟中华文脉的同时，厚植法治观念、增强法治素养；开展“十八载风华，笔墨绘未来”书画比赛，以笔墨丹青为载体，生动展现中华优秀传统文化的艺术魅力与时代价值。活动吸引全校众多学生踊跃参与，让学生在沉浸式艺术创作中触摸文化根脉、激活文化生命力，真正实现文化传承、艺术熏陶与品德培育的同频共振、同向发力。</w:t>
      </w:r>
    </w:p>
    <w:bookmarkEnd w:id="23"/>
    <w:p w14:paraId="679F88E7">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bookmarkStart w:id="24" w:name="OLE_LINK2"/>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（2）深挖地方民族文化价值，凝聚地域文化认同</w:t>
      </w:r>
    </w:p>
    <w:bookmarkEnd w:id="24"/>
    <w:p w14:paraId="3DD641AC">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立足广西少数民族聚居的地域优势，以地方民族文化传承与传播为核心，将校园打造为民族文化展示与认同培育的重要阵地。重点紧扣“三月三”“达努节”两大标志性民族节日，系统策划并开展系列沉浸式特色文化活动：“三月三” 期间，举办“壮美歌声扬，三月三梦响”校园好声音决赛，引导学生以民族歌曲、原生态唱腔等形式，直观展现壮乡文化的独特魅力；6月19日，联动地方民俗活动，组织师生参与平果市海城乡“达努节” 文艺晚会表演，通过民族舞蹈、民俗展示等节目生动呈现瑶族文化风采，既为学生搭建了艺术实践平台，也以沉浸式体验开展了民族团结进步教育。此外，还组织学生参与同老乡歌圩民俗文艺演出，进一步深化学生对地方民族文化深厚底蕴的感知，助力地域文化认同的凝聚。</w:t>
      </w:r>
    </w:p>
    <w:p w14:paraId="6DA4B79E">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（3）深化校地文化协同共建，实现共生共荣发展</w:t>
      </w:r>
    </w:p>
    <w:p w14:paraId="6A743DCD">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以文化融合为纽带，推动校园文化与地方民族文化深度对接、协同发展。通过组织师生走出校园参与地方文化活动、邀请地方文化学者进校园开展讲座等形式，深化校地文化交流合作；将地方文化资源融入校园文化建设，在课程设置、活动策划中吸纳民族文化、民俗风情等元素，实现校园文化与地方文化的同频共振。开展“弘宪法之光，绘法治蓝图”礼敬中华优秀传统文化活动、“十八载风华，笔墨绘未来”书画比赛，将传统文化展示与法治教育、艺术创作相结合，在传承优秀文化、激活传统文化生命力的同时，引导学生践行传统美德，强化社会责任感与担当精神，实现文化传承与品德培育的同频共振。</w:t>
      </w:r>
    </w:p>
    <w:p w14:paraId="47DFC6F7">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3" w:firstLineChars="200"/>
        <w:jc w:val="left"/>
        <w:textAlignment w:val="auto"/>
        <w:rPr>
          <w:rFonts w:hint="default" w:ascii="仿宋_GB2312" w:hAnsi="宋体" w:eastAsia="仿宋_GB2312" w:cs="Times New Roman"/>
          <w:b/>
          <w:bCs/>
          <w:color w:val="000000" w:themeColor="text1"/>
          <w:kern w:val="0"/>
          <w:sz w:val="32"/>
          <w:szCs w:val="32"/>
          <w:highlight w:val="none"/>
          <w:lang w:val="en-US" w:eastAsia="zh-CN" w:bidi="ar"/>
          <w14:textFill>
            <w14:solidFill>
              <w14:schemeClr w14:val="tx1"/>
            </w14:solidFill>
          </w14:textFill>
        </w:rPr>
      </w:pPr>
      <w:r>
        <w:rPr>
          <w:rFonts w:hint="eastAsia" w:ascii="仿宋_GB2312" w:hAnsi="宋体" w:eastAsia="仿宋_GB2312" w:cs="Times New Roman"/>
          <w:b/>
          <w:bCs/>
          <w:color w:val="000000" w:themeColor="text1"/>
          <w:kern w:val="0"/>
          <w:sz w:val="32"/>
          <w:szCs w:val="32"/>
          <w:highlight w:val="none"/>
          <w:lang w:val="en-US" w:eastAsia="zh-CN" w:bidi="ar"/>
          <w14:textFill>
            <w14:solidFill>
              <w14:schemeClr w14:val="tx1"/>
            </w14:solidFill>
          </w14:textFill>
        </w:rPr>
        <w:t>案例十四：融入地方文化建设、助力文化传承</w:t>
      </w:r>
    </w:p>
    <w:p w14:paraId="47597335">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为积极融入地方文化建设，弘扬中华优秀传统文化，展现新时代青少年风采，6月19日广西工程职业学院师生</w:t>
      </w:r>
      <w:bookmarkStart w:id="25" w:name="OLE_LINK11"/>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参加海城乡“达努节”文艺晚会表演活动</w:t>
      </w:r>
      <w:bookmarkEnd w:id="25"/>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t>，这是一次宝贵的艺术实践机会，更是一堂生动的民族团结进步教育实践课。不仅提升了我校的社会美誉度，也为今后更深入地参与地方文化建设、服务社区、加强民族团结教育工作积累了宝贵经验。学校将继续鼓励和支持师生走出校园，在更广阔的舞台上传承文化、展示风采、贡献力量。</w:t>
      </w:r>
    </w:p>
    <w:p w14:paraId="183CDC7F">
      <w:pP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drawing>
          <wp:anchor distT="0" distB="0" distL="114300" distR="114300" simplePos="0" relativeHeight="251677696" behindDoc="0" locked="0" layoutInCell="1" allowOverlap="1">
            <wp:simplePos x="0" y="0"/>
            <wp:positionH relativeFrom="column">
              <wp:posOffset>148590</wp:posOffset>
            </wp:positionH>
            <wp:positionV relativeFrom="paragraph">
              <wp:posOffset>231140</wp:posOffset>
            </wp:positionV>
            <wp:extent cx="5534660" cy="3526155"/>
            <wp:effectExtent l="0" t="0" r="8890" b="17145"/>
            <wp:wrapNone/>
            <wp:docPr id="66" name="图片 66" descr="DSC_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DSC_3183"/>
                    <pic:cNvPicPr>
                      <a:picLocks noChangeAspect="1"/>
                    </pic:cNvPicPr>
                  </pic:nvPicPr>
                  <pic:blipFill>
                    <a:blip r:embed="rId61"/>
                    <a:stretch>
                      <a:fillRect/>
                    </a:stretch>
                  </pic:blipFill>
                  <pic:spPr>
                    <a:xfrm>
                      <a:off x="0" y="0"/>
                      <a:ext cx="5534660" cy="3526155"/>
                    </a:xfrm>
                    <a:prstGeom prst="rect">
                      <a:avLst/>
                    </a:prstGeom>
                  </pic:spPr>
                </pic:pic>
              </a:graphicData>
            </a:graphic>
          </wp:anchor>
        </w:drawing>
      </w:r>
    </w:p>
    <w:p w14:paraId="60F7A377">
      <w:pPr>
        <w:pStyle w:val="19"/>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1B0957FA">
      <w:pP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5BD493D1">
      <w:pPr>
        <w:pStyle w:val="19"/>
        <w:rPr>
          <w:rFonts w:hint="eastAsia"/>
          <w:color w:val="000000" w:themeColor="text1"/>
          <w:highlight w:val="none"/>
          <w:lang w:val="en-US" w:eastAsia="zh-CN"/>
          <w14:textFill>
            <w14:solidFill>
              <w14:schemeClr w14:val="tx1"/>
            </w14:solidFill>
          </w14:textFill>
        </w:rPr>
      </w:pPr>
    </w:p>
    <w:p w14:paraId="3C1CE101">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left"/>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2301CD2F">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left"/>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4A4ABEA5">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both"/>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1BA93E4B">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49461EFB">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2B090EE1">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pPr>
    </w:p>
    <w:p w14:paraId="1AD0F631">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t>图53 组织学生</w:t>
      </w:r>
      <w:r>
        <w:rPr>
          <w:rFonts w:hint="eastAsia" w:ascii="仿宋_GB2312" w:hAnsi="宋体" w:eastAsia="仿宋_GB2312" w:cs="Times New Roman"/>
          <w:b w:val="0"/>
          <w:color w:val="000000" w:themeColor="text1"/>
          <w:kern w:val="0"/>
          <w:sz w:val="28"/>
          <w:szCs w:val="28"/>
          <w:highlight w:val="none"/>
          <w:lang w:val="en-US" w:eastAsia="zh-CN" w:bidi="ar"/>
          <w14:textFill>
            <w14:solidFill>
              <w14:schemeClr w14:val="tx1"/>
            </w14:solidFill>
          </w14:textFill>
        </w:rPr>
        <w:t>参加海城乡“达努节”文艺晚会表演活动</w:t>
      </w:r>
    </w:p>
    <w:p w14:paraId="2673DDCC">
      <w:pPr>
        <w:pStyle w:val="9"/>
        <w:keepNext w:val="0"/>
        <w:keepLines w:val="0"/>
        <w:pageBreakBefore w:val="0"/>
        <w:widowControl w:val="0"/>
        <w:kinsoku/>
        <w:wordWrap/>
        <w:overflowPunct/>
        <w:topLinePunct w:val="0"/>
        <w:autoSpaceDE/>
        <w:autoSpaceDN/>
        <w:bidi w:val="0"/>
        <w:adjustRightInd/>
        <w:snapToGrid/>
        <w:spacing w:line="520" w:lineRule="exact"/>
        <w:ind w:firstLine="643" w:firstLineChars="200"/>
        <w:textAlignment w:val="auto"/>
        <w:rPr>
          <w:rFonts w:hint="default"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案例十五：开展形式多样的校园文化活动</w:t>
      </w:r>
    </w:p>
    <w:p w14:paraId="31696E1A">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2025年，广西工程职业学院紧紧围绕“立德树人”根本任务，以铸牢中华民族共同体意识为主线，结合职业教育特色与地域文化优势，精心策划并开展了一系列主题鲜明、形式多样的校园文化活动。活动涵盖民族文化传承、专业技能竞技、校庆主题纪念、文体艺术展示等多个领域，有效丰富了师生校园生活，增强了文化自信与集体凝聚力，为培养高素质技术技能人才营造了良好的校园文化氛围。</w:t>
      </w:r>
    </w:p>
    <w:p w14:paraId="5390E0CD">
      <w:pPr>
        <w:pStyle w:val="9"/>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709C4A6">
      <w:pPr>
        <w:pStyle w:val="9"/>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color w:val="000000" w:themeColor="text1"/>
          <w:highlight w:val="none"/>
          <w14:textFill>
            <w14:solidFill>
              <w14:schemeClr w14:val="tx1"/>
            </w14:solidFill>
          </w14:textFill>
        </w:rPr>
        <w:drawing>
          <wp:anchor distT="0" distB="0" distL="0" distR="0" simplePos="0" relativeHeight="251684864" behindDoc="0" locked="0" layoutInCell="1" allowOverlap="1">
            <wp:simplePos x="0" y="0"/>
            <wp:positionH relativeFrom="column">
              <wp:posOffset>40640</wp:posOffset>
            </wp:positionH>
            <wp:positionV relativeFrom="paragraph">
              <wp:posOffset>80645</wp:posOffset>
            </wp:positionV>
            <wp:extent cx="5646420" cy="3775710"/>
            <wp:effectExtent l="0" t="0" r="11430" b="15240"/>
            <wp:wrapNone/>
            <wp:docPr id="12205128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512808" name="图片 1"/>
                    <pic:cNvPicPr>
                      <a:picLocks noChangeAspect="1" noChangeArrowheads="1"/>
                    </pic:cNvPicPr>
                  </pic:nvPicPr>
                  <pic:blipFill>
                    <a:blip r:embed="rId62"/>
                    <a:srcRect/>
                    <a:stretch>
                      <a:fillRect/>
                    </a:stretch>
                  </pic:blipFill>
                  <pic:spPr>
                    <a:xfrm>
                      <a:off x="0" y="0"/>
                      <a:ext cx="5646420" cy="3775710"/>
                    </a:xfrm>
                    <a:prstGeom prst="rect">
                      <a:avLst/>
                    </a:prstGeom>
                    <a:noFill/>
                    <a:ln>
                      <a:noFill/>
                    </a:ln>
                  </pic:spPr>
                </pic:pic>
              </a:graphicData>
            </a:graphic>
          </wp:anchor>
        </w:drawing>
      </w:r>
    </w:p>
    <w:p w14:paraId="282DC810">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E683BCD">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BB687F2">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8D28724">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0BAAF4F">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1E7EFFF">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DD37C58">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569E5349">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65BE889">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2078DD75">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406CE09D">
      <w:pPr>
        <w:keepNext w:val="0"/>
        <w:keepLines w:val="0"/>
        <w:pageBreakBefore w:val="0"/>
        <w:widowControl w:val="0"/>
        <w:kinsoku/>
        <w:wordWrap/>
        <w:overflowPunct/>
        <w:topLinePunct w:val="0"/>
        <w:autoSpaceDE/>
        <w:autoSpaceDN/>
        <w:bidi w:val="0"/>
        <w:adjustRightInd/>
        <w:snapToGrid/>
        <w:spacing w:line="440" w:lineRule="exact"/>
        <w:jc w:val="both"/>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F90F87B">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图54  学校进行</w:t>
      </w:r>
      <w:r>
        <w:rPr>
          <w:rFonts w:hint="eastAsia" w:ascii="仿宋_GB2312" w:hAnsi="仿宋_GB2312" w:eastAsia="仿宋_GB2312" w:cs="仿宋_GB2312"/>
          <w:color w:val="000000" w:themeColor="text1"/>
          <w:sz w:val="28"/>
          <w:szCs w:val="28"/>
          <w:highlight w:val="none"/>
          <w14:textFill>
            <w14:solidFill>
              <w14:schemeClr w14:val="tx1"/>
            </w14:solidFill>
          </w14:textFill>
        </w:rPr>
        <w:t>庆祝中华人民共和国成立76周年</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主题升旗仪式</w:t>
      </w:r>
    </w:p>
    <w:p w14:paraId="0A636142">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r>
        <w:rPr>
          <w:rFonts w:ascii="宋体" w:hAnsi="宋体" w:eastAsia="宋体" w:cs="宋体"/>
          <w:color w:val="000000" w:themeColor="text1"/>
          <w:kern w:val="0"/>
          <w:sz w:val="24"/>
          <w:szCs w:val="24"/>
          <w:highlight w:val="none"/>
          <w:lang w:val="en-US" w:eastAsia="zh-CN" w:bidi="ar"/>
          <w14:textFill>
            <w14:solidFill>
              <w14:schemeClr w14:val="tx1"/>
            </w14:solidFill>
          </w14:textFill>
        </w:rPr>
        <w:drawing>
          <wp:anchor distT="0" distB="0" distL="114300" distR="114300" simplePos="0" relativeHeight="251680768" behindDoc="0" locked="0" layoutInCell="1" allowOverlap="1">
            <wp:simplePos x="0" y="0"/>
            <wp:positionH relativeFrom="column">
              <wp:posOffset>59690</wp:posOffset>
            </wp:positionH>
            <wp:positionV relativeFrom="paragraph">
              <wp:posOffset>135255</wp:posOffset>
            </wp:positionV>
            <wp:extent cx="5635625" cy="3147060"/>
            <wp:effectExtent l="0" t="0" r="3175" b="15240"/>
            <wp:wrapNone/>
            <wp:docPr id="69" name="图片 69" descr="启动仪式（征文比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启动仪式（征文比赛）"/>
                    <pic:cNvPicPr>
                      <a:picLocks noChangeAspect="1"/>
                    </pic:cNvPicPr>
                  </pic:nvPicPr>
                  <pic:blipFill>
                    <a:blip r:embed="rId63"/>
                    <a:stretch>
                      <a:fillRect/>
                    </a:stretch>
                  </pic:blipFill>
                  <pic:spPr>
                    <a:xfrm>
                      <a:off x="0" y="0"/>
                      <a:ext cx="5635625" cy="3147060"/>
                    </a:xfrm>
                    <a:prstGeom prst="rect">
                      <a:avLst/>
                    </a:prstGeom>
                  </pic:spPr>
                </pic:pic>
              </a:graphicData>
            </a:graphic>
          </wp:anchor>
        </w:drawing>
      </w:r>
    </w:p>
    <w:p w14:paraId="2BC93E13">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4310EBCA">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4931005F">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3712031B">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4EC5FDC1">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6C6CD8F1">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5C564419">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1342C580">
      <w:pPr>
        <w:pStyle w:val="9"/>
        <w:keepNext w:val="0"/>
        <w:keepLines w:val="0"/>
        <w:pageBreakBefore w:val="0"/>
        <w:kinsoku/>
        <w:wordWrap/>
        <w:bidi w:val="0"/>
        <w:spacing w:line="520" w:lineRule="exact"/>
        <w:ind w:left="0" w:leftChars="0" w:firstLine="640" w:firstLineChars="200"/>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02B34A19">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p>
    <w:p w14:paraId="73CE9B3C">
      <w:pPr>
        <w:keepNext w:val="0"/>
        <w:keepLines w:val="0"/>
        <w:pageBreakBefore w:val="0"/>
        <w:widowControl w:val="0"/>
        <w:kinsoku/>
        <w:wordWrap/>
        <w:overflowPunct/>
        <w:topLinePunct w:val="0"/>
        <w:autoSpaceDE/>
        <w:autoSpaceDN/>
        <w:bidi w:val="0"/>
        <w:adjustRightInd/>
        <w:snapToGrid/>
        <w:spacing w:line="440" w:lineRule="exact"/>
        <w:jc w:val="center"/>
        <w:textAlignment w:val="auto"/>
        <w:rPr>
          <w:rFonts w:hint="default"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图55  组织学生资助政策宣传月启动仪式</w:t>
      </w:r>
    </w:p>
    <w:p w14:paraId="2AE295AD">
      <w:pPr>
        <w:keepNext w:val="0"/>
        <w:keepLines w:val="0"/>
        <w:pageBreakBefore w:val="0"/>
        <w:widowControl/>
        <w:numPr>
          <w:ilvl w:val="0"/>
          <w:numId w:val="0"/>
        </w:numPr>
        <w:kinsoku/>
        <w:wordWrap/>
        <w:overflowPunct/>
        <w:topLinePunct w:val="0"/>
        <w:autoSpaceDE/>
        <w:autoSpaceDN/>
        <w:bidi w:val="0"/>
        <w:adjustRightInd/>
        <w:snapToGrid/>
        <w:spacing w:line="520" w:lineRule="exact"/>
        <w:ind w:firstLine="640" w:firstLineChars="200"/>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drawing>
          <wp:anchor distT="0" distB="0" distL="114300" distR="114300" simplePos="0" relativeHeight="251682816" behindDoc="0" locked="0" layoutInCell="1" allowOverlap="1">
            <wp:simplePos x="0" y="0"/>
            <wp:positionH relativeFrom="column">
              <wp:posOffset>-23495</wp:posOffset>
            </wp:positionH>
            <wp:positionV relativeFrom="paragraph">
              <wp:posOffset>48895</wp:posOffset>
            </wp:positionV>
            <wp:extent cx="5642610" cy="3617595"/>
            <wp:effectExtent l="0" t="0" r="15240" b="1905"/>
            <wp:wrapNone/>
            <wp:docPr id="74" name="图片 74"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640"/>
                    <pic:cNvPicPr>
                      <a:picLocks noChangeAspect="1"/>
                    </pic:cNvPicPr>
                  </pic:nvPicPr>
                  <pic:blipFill>
                    <a:blip r:embed="rId64"/>
                    <a:stretch>
                      <a:fillRect/>
                    </a:stretch>
                  </pic:blipFill>
                  <pic:spPr>
                    <a:xfrm>
                      <a:off x="0" y="0"/>
                      <a:ext cx="5642610" cy="3617595"/>
                    </a:xfrm>
                    <a:prstGeom prst="rect">
                      <a:avLst/>
                    </a:prstGeom>
                  </pic:spPr>
                </pic:pic>
              </a:graphicData>
            </a:graphic>
          </wp:anchor>
        </w:drawing>
      </w:r>
    </w:p>
    <w:p w14:paraId="05A8C265">
      <w:pPr>
        <w:numPr>
          <w:ilvl w:val="0"/>
          <w:numId w:val="0"/>
        </w:numPr>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56068F8E">
      <w:pPr>
        <w:numPr>
          <w:ilvl w:val="0"/>
          <w:numId w:val="0"/>
        </w:numPr>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055D49CE">
      <w:pPr>
        <w:numPr>
          <w:ilvl w:val="0"/>
          <w:numId w:val="0"/>
        </w:numPr>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1D6FA80F">
      <w:pPr>
        <w:numPr>
          <w:ilvl w:val="0"/>
          <w:numId w:val="0"/>
        </w:numPr>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6A6306BD">
      <w:pPr>
        <w:numPr>
          <w:ilvl w:val="0"/>
          <w:numId w:val="0"/>
        </w:numPr>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551FCA6C">
      <w:pPr>
        <w:numPr>
          <w:ilvl w:val="0"/>
          <w:numId w:val="0"/>
        </w:numPr>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03CFAB84">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11D4C3B3">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184EB7E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54058048">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center"/>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图56  举行“声动校庆·梦绘青春”配音大赛决赛</w:t>
      </w:r>
    </w:p>
    <w:p w14:paraId="7D000E0A">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left"/>
        <w:textAlignment w:val="auto"/>
        <w:rPr>
          <w:rFonts w:hint="eastAsia" w:ascii="仿宋_GB2312" w:hAnsi="Calibri" w:eastAsia="仿宋_GB2312" w:cs="Times New Roman"/>
          <w:snapToGrid/>
          <w:color w:val="000000" w:themeColor="text1"/>
          <w:kern w:val="2"/>
          <w:sz w:val="32"/>
          <w:szCs w:val="32"/>
          <w:highlight w:val="none"/>
          <w:lang w:val="en-US" w:eastAsia="zh-CN" w:bidi="ar-SA"/>
          <w14:textFill>
            <w14:solidFill>
              <w14:schemeClr w14:val="tx1"/>
            </w14:solidFill>
          </w14:textFill>
        </w:rPr>
      </w:pPr>
      <w:r>
        <w:rPr>
          <w:rFonts w:hint="eastAsia" w:ascii="仿宋_GB2312" w:hAnsi="Calibri" w:eastAsia="仿宋_GB2312" w:cs="Times New Roman"/>
          <w:snapToGrid/>
          <w:color w:val="000000" w:themeColor="text1"/>
          <w:kern w:val="2"/>
          <w:sz w:val="32"/>
          <w:szCs w:val="32"/>
          <w:highlight w:val="none"/>
          <w:lang w:val="en-US" w:eastAsia="zh-CN" w:bidi="ar-SA"/>
          <w14:textFill>
            <w14:solidFill>
              <w14:schemeClr w14:val="tx1"/>
            </w14:solidFill>
          </w14:textFill>
        </w:rPr>
        <w:drawing>
          <wp:inline distT="0" distB="0" distL="114300" distR="114300">
            <wp:extent cx="5622290" cy="3223895"/>
            <wp:effectExtent l="0" t="0" r="16510" b="14605"/>
            <wp:docPr id="72" name="图片 72" descr="mmexport1751590515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mmexport1751590515742"/>
                    <pic:cNvPicPr>
                      <a:picLocks noChangeAspect="1"/>
                    </pic:cNvPicPr>
                  </pic:nvPicPr>
                  <pic:blipFill>
                    <a:blip r:embed="rId65"/>
                    <a:stretch>
                      <a:fillRect/>
                    </a:stretch>
                  </pic:blipFill>
                  <pic:spPr>
                    <a:xfrm>
                      <a:off x="0" y="0"/>
                      <a:ext cx="5622290" cy="3223895"/>
                    </a:xfrm>
                    <a:prstGeom prst="rect">
                      <a:avLst/>
                    </a:prstGeom>
                  </pic:spPr>
                </pic:pic>
              </a:graphicData>
            </a:graphic>
          </wp:inline>
        </w:drawing>
      </w:r>
    </w:p>
    <w:p w14:paraId="56BE94B2">
      <w:pPr>
        <w:keepNext w:val="0"/>
        <w:keepLines w:val="0"/>
        <w:pageBreakBefore w:val="0"/>
        <w:widowControl/>
        <w:numPr>
          <w:ilvl w:val="0"/>
          <w:numId w:val="0"/>
        </w:numPr>
        <w:suppressLineNumbers w:val="0"/>
        <w:kinsoku/>
        <w:wordWrap/>
        <w:overflowPunct/>
        <w:topLinePunct w:val="0"/>
        <w:autoSpaceDE/>
        <w:autoSpaceDN/>
        <w:bidi w:val="0"/>
        <w:adjustRightInd/>
        <w:snapToGrid/>
        <w:spacing w:line="520" w:lineRule="atLeast"/>
        <w:jc w:val="center"/>
        <w:textAlignment w:val="auto"/>
        <w:rPr>
          <w:rFonts w:hint="default" w:ascii="仿宋_GB2312" w:hAnsi="Tahoma" w:eastAsia="仿宋_GB2312"/>
          <w:color w:val="000000" w:themeColor="text1"/>
          <w:kern w:val="0"/>
          <w:sz w:val="28"/>
          <w:szCs w:val="28"/>
          <w:highlight w:val="none"/>
          <w:lang w:val="en-US" w:eastAsia="zh-CN"/>
          <w14:textFill>
            <w14:solidFill>
              <w14:schemeClr w14:val="tx1"/>
            </w14:solidFill>
          </w14:textFill>
        </w:rPr>
      </w:pPr>
      <w:r>
        <w:rPr>
          <w:rFonts w:hint="eastAsia" w:ascii="仿宋_GB2312" w:hAnsi="Tahoma" w:eastAsia="仿宋_GB2312"/>
          <w:color w:val="000000" w:themeColor="text1"/>
          <w:kern w:val="0"/>
          <w:sz w:val="28"/>
          <w:szCs w:val="28"/>
          <w:highlight w:val="none"/>
          <w:lang w:val="en-US" w:eastAsia="zh-CN"/>
          <w14:textFill>
            <w14:solidFill>
              <w14:schemeClr w14:val="tx1"/>
            </w14:solidFill>
          </w14:textFill>
        </w:rPr>
        <w:t>图57  2025年毕业文艺晚会师生合影</w:t>
      </w:r>
    </w:p>
    <w:p w14:paraId="3BD70240">
      <w:pPr>
        <w:pStyle w:val="9"/>
        <w:keepNext w:val="0"/>
        <w:keepLines w:val="0"/>
        <w:pageBreakBefore w:val="0"/>
        <w:kinsoku/>
        <w:wordWrap/>
        <w:bidi w:val="0"/>
        <w:spacing w:line="520" w:lineRule="exact"/>
        <w:rPr>
          <w:rFonts w:hint="eastAsia" w:ascii="楷体" w:hAnsi="楷体" w:eastAsia="楷体" w:cs="楷体"/>
          <w:color w:val="000000" w:themeColor="text1"/>
          <w:sz w:val="32"/>
          <w:szCs w:val="32"/>
          <w:highlight w:val="none"/>
          <w:lang w:val="en-US" w:eastAsia="en-US"/>
          <w14:textFill>
            <w14:solidFill>
              <w14:schemeClr w14:val="tx1"/>
            </w14:solidFill>
          </w14:textFill>
        </w:rPr>
      </w:pPr>
      <w:r>
        <w:rPr>
          <w:rFonts w:hint="eastAsia" w:eastAsiaTheme="minorEastAsia"/>
          <w:color w:val="000000" w:themeColor="text1"/>
          <w:highlight w:val="none"/>
          <w:lang w:eastAsia="zh-CN"/>
          <w14:textFill>
            <w14:solidFill>
              <w14:schemeClr w14:val="tx1"/>
            </w14:solidFill>
          </w14:textFill>
        </w:rPr>
        <w:drawing>
          <wp:anchor distT="0" distB="0" distL="114300" distR="114300" simplePos="0" relativeHeight="251681792" behindDoc="0" locked="0" layoutInCell="1" allowOverlap="1">
            <wp:simplePos x="0" y="0"/>
            <wp:positionH relativeFrom="column">
              <wp:posOffset>85090</wp:posOffset>
            </wp:positionH>
            <wp:positionV relativeFrom="paragraph">
              <wp:posOffset>173355</wp:posOffset>
            </wp:positionV>
            <wp:extent cx="5614670" cy="3404235"/>
            <wp:effectExtent l="0" t="0" r="5080" b="5715"/>
            <wp:wrapNone/>
            <wp:docPr id="73" name="图片 73" descr="88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88888"/>
                    <pic:cNvPicPr>
                      <a:picLocks noChangeAspect="1"/>
                    </pic:cNvPicPr>
                  </pic:nvPicPr>
                  <pic:blipFill>
                    <a:blip r:embed="rId66"/>
                    <a:stretch>
                      <a:fillRect/>
                    </a:stretch>
                  </pic:blipFill>
                  <pic:spPr>
                    <a:xfrm>
                      <a:off x="0" y="0"/>
                      <a:ext cx="5614670" cy="3404235"/>
                    </a:xfrm>
                    <a:prstGeom prst="rect">
                      <a:avLst/>
                    </a:prstGeom>
                  </pic:spPr>
                </pic:pic>
              </a:graphicData>
            </a:graphic>
          </wp:anchor>
        </w:drawing>
      </w:r>
    </w:p>
    <w:p w14:paraId="5D780A15">
      <w:pPr>
        <w:keepNext w:val="0"/>
        <w:keepLines w:val="0"/>
        <w:pageBreakBefore w:val="0"/>
        <w:widowControl/>
        <w:numPr>
          <w:ilvl w:val="0"/>
          <w:numId w:val="0"/>
        </w:numPr>
        <w:kinsoku/>
        <w:wordWrap/>
        <w:overflowPunct/>
        <w:topLinePunct w:val="0"/>
        <w:autoSpaceDE/>
        <w:autoSpaceDN/>
        <w:bidi w:val="0"/>
        <w:adjustRightInd/>
        <w:snapToGrid/>
        <w:jc w:val="center"/>
        <w:textAlignment w:val="auto"/>
        <w:rPr>
          <w:rFonts w:hint="eastAsia" w:eastAsiaTheme="minorEastAsia"/>
          <w:color w:val="000000" w:themeColor="text1"/>
          <w:highlight w:val="none"/>
          <w:lang w:eastAsia="zh-CN"/>
          <w14:textFill>
            <w14:solidFill>
              <w14:schemeClr w14:val="tx1"/>
            </w14:solidFill>
          </w14:textFill>
        </w:rPr>
      </w:pPr>
    </w:p>
    <w:p w14:paraId="78BCD83D">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63706F6D">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3E7FCEE3">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0965CDC5">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397F4499">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7874D222">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2670DF4A">
      <w:pPr>
        <w:keepNext w:val="0"/>
        <w:keepLines w:val="0"/>
        <w:pageBreakBefore w:val="0"/>
        <w:widowControl/>
        <w:suppressLineNumbers w:val="0"/>
        <w:kinsoku/>
        <w:wordWrap/>
        <w:overflowPunct/>
        <w:topLinePunct w:val="0"/>
        <w:autoSpaceDE/>
        <w:autoSpaceDN/>
        <w:bidi w:val="0"/>
        <w:adjustRightInd/>
        <w:snapToGrid/>
        <w:spacing w:line="520" w:lineRule="atLeast"/>
        <w:ind w:firstLine="640" w:firstLineChars="200"/>
        <w:jc w:val="center"/>
        <w:textAlignment w:val="auto"/>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3397D04C">
      <w:pPr>
        <w:keepNext w:val="0"/>
        <w:keepLines w:val="0"/>
        <w:pageBreakBefore w:val="0"/>
        <w:widowControl/>
        <w:suppressLineNumbers w:val="0"/>
        <w:kinsoku/>
        <w:wordWrap/>
        <w:overflowPunct/>
        <w:topLinePunct w:val="0"/>
        <w:autoSpaceDE/>
        <w:autoSpaceDN/>
        <w:bidi w:val="0"/>
        <w:adjustRightInd/>
        <w:snapToGrid/>
        <w:spacing w:line="520" w:lineRule="atLeas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4FB50DDE">
      <w:pPr>
        <w:keepNext w:val="0"/>
        <w:keepLines w:val="0"/>
        <w:pageBreakBefore w:val="0"/>
        <w:widowControl/>
        <w:suppressLineNumbers w:val="0"/>
        <w:kinsoku/>
        <w:wordWrap/>
        <w:overflowPunct/>
        <w:topLinePunct w:val="0"/>
        <w:autoSpaceDE/>
        <w:autoSpaceDN/>
        <w:bidi w:val="0"/>
        <w:adjustRightInd/>
        <w:snapToGrid/>
        <w:spacing w:line="520" w:lineRule="atLeast"/>
        <w:jc w:val="center"/>
        <w:textAlignment w:val="auto"/>
        <w:rPr>
          <w:rFonts w:hint="eastAsia"/>
          <w:color w:val="000000" w:themeColor="text1"/>
          <w:lang w:val="en-US" w:eastAsia="zh-CN"/>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图58  2025年“五四杯”篮球大赛开幕式</w:t>
      </w:r>
    </w:p>
    <w:p w14:paraId="175F6E24">
      <w:pPr>
        <w:keepNext w:val="0"/>
        <w:keepLines w:val="0"/>
        <w:widowControl/>
        <w:suppressLineNumbers w:val="0"/>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r>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drawing>
          <wp:anchor distT="0" distB="0" distL="114300" distR="114300" simplePos="0" relativeHeight="251683840" behindDoc="0" locked="0" layoutInCell="1" allowOverlap="1">
            <wp:simplePos x="0" y="0"/>
            <wp:positionH relativeFrom="column">
              <wp:posOffset>52070</wp:posOffset>
            </wp:positionH>
            <wp:positionV relativeFrom="paragraph">
              <wp:posOffset>44450</wp:posOffset>
            </wp:positionV>
            <wp:extent cx="5611495" cy="3286125"/>
            <wp:effectExtent l="0" t="0" r="8255" b="9525"/>
            <wp:wrapNone/>
            <wp:docPr id="77" name="图片 77" descr="640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640 (1)"/>
                    <pic:cNvPicPr>
                      <a:picLocks noChangeAspect="1"/>
                    </pic:cNvPicPr>
                  </pic:nvPicPr>
                  <pic:blipFill>
                    <a:blip r:embed="rId67"/>
                    <a:stretch>
                      <a:fillRect/>
                    </a:stretch>
                  </pic:blipFill>
                  <pic:spPr>
                    <a:xfrm>
                      <a:off x="0" y="0"/>
                      <a:ext cx="5611495" cy="3286125"/>
                    </a:xfrm>
                    <a:prstGeom prst="rect">
                      <a:avLst/>
                    </a:prstGeom>
                  </pic:spPr>
                </pic:pic>
              </a:graphicData>
            </a:graphic>
          </wp:anchor>
        </w:drawing>
      </w:r>
    </w:p>
    <w:p w14:paraId="0AA8BEEB">
      <w:pPr>
        <w:keepNext w:val="0"/>
        <w:keepLines w:val="0"/>
        <w:widowControl/>
        <w:suppressLineNumbers w:val="0"/>
        <w:jc w:val="both"/>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6D666350">
      <w:pPr>
        <w:keepNext w:val="0"/>
        <w:keepLines w:val="0"/>
        <w:widowControl/>
        <w:suppressLineNumbers w:val="0"/>
        <w:jc w:val="left"/>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4BF05E12">
      <w:pPr>
        <w:keepNext w:val="0"/>
        <w:keepLines w:val="0"/>
        <w:widowControl/>
        <w:suppressLineNumbers w:val="0"/>
        <w:jc w:val="left"/>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608098A3">
      <w:pPr>
        <w:keepNext w:val="0"/>
        <w:keepLines w:val="0"/>
        <w:widowControl/>
        <w:suppressLineNumbers w:val="0"/>
        <w:jc w:val="left"/>
        <w:rPr>
          <w:rFonts w:hint="eastAsia" w:ascii="仿宋_GB2312" w:hAnsi="宋体" w:eastAsia="仿宋_GB2312" w:cs="Times New Roman"/>
          <w:b w:val="0"/>
          <w:color w:val="000000" w:themeColor="text1"/>
          <w:kern w:val="0"/>
          <w:sz w:val="32"/>
          <w:szCs w:val="32"/>
          <w:highlight w:val="none"/>
          <w:lang w:val="en-US" w:eastAsia="zh-CN" w:bidi="ar"/>
          <w14:textFill>
            <w14:solidFill>
              <w14:schemeClr w14:val="tx1"/>
            </w14:solidFill>
          </w14:textFill>
        </w:rPr>
      </w:pPr>
    </w:p>
    <w:p w14:paraId="08071648">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24BC9B9E">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124ED538">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003E443F">
      <w:pPr>
        <w:keepNext w:val="0"/>
        <w:keepLines w:val="0"/>
        <w:pageBreakBefore w:val="0"/>
        <w:widowControl w:val="0"/>
        <w:numPr>
          <w:ilvl w:val="0"/>
          <w:numId w:val="0"/>
        </w:numPr>
        <w:kinsoku/>
        <w:wordWrap/>
        <w:overflowPunct/>
        <w:topLinePunct w:val="0"/>
        <w:autoSpaceDE/>
        <w:autoSpaceDN/>
        <w:bidi w:val="0"/>
        <w:adjustRightInd/>
        <w:snapToGrid/>
        <w:spacing w:line="560" w:lineRule="exact"/>
        <w:jc w:val="both"/>
        <w:textAlignment w:val="auto"/>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pPr>
    </w:p>
    <w:p w14:paraId="4308924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1400" w:firstLineChars="500"/>
        <w:jc w:val="both"/>
        <w:textAlignment w:val="auto"/>
        <w:rPr>
          <w:rFonts w:hint="eastAsia" w:ascii="楷体" w:hAnsi="楷体" w:eastAsia="楷体" w:cs="楷体"/>
          <w:color w:val="000000" w:themeColor="text1"/>
          <w:sz w:val="32"/>
          <w:szCs w:val="32"/>
          <w:highlight w:val="none"/>
          <w:lang w:val="en-US" w:eastAsia="en-US"/>
          <w14:textFill>
            <w14:solidFill>
              <w14:schemeClr w14:val="tx1"/>
            </w14:solidFill>
          </w14:textFill>
        </w:rPr>
      </w:pPr>
      <w:r>
        <w:rPr>
          <w:rFonts w:hint="eastAsia" w:ascii="仿宋_GB2312" w:hAnsi="Verdana" w:eastAsia="仿宋_GB2312" w:cs="宋体"/>
          <w:color w:val="000000" w:themeColor="text1"/>
          <w:kern w:val="0"/>
          <w:sz w:val="28"/>
          <w:szCs w:val="28"/>
          <w:highlight w:val="none"/>
          <w:lang w:val="en-US" w:eastAsia="zh-CN"/>
          <w14:textFill>
            <w14:solidFill>
              <w14:schemeClr w14:val="tx1"/>
            </w14:solidFill>
          </w14:textFill>
        </w:rPr>
        <w:t>图59 “十八载风华・笔墨绘未来”书画比赛颁奖仪式</w:t>
      </w:r>
    </w:p>
    <w:p w14:paraId="7FFBDC33">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5.国际合作</w:t>
      </w:r>
    </w:p>
    <w:p w14:paraId="2B70EC81">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_GB2312" w:hAnsi="仿宋_GB2312" w:eastAsia="仿宋_GB2312" w:cs="仿宋_GB2312"/>
          <w:b w:val="0"/>
          <w:bCs/>
          <w:color w:val="000000" w:themeColor="text1"/>
          <w:sz w:val="32"/>
          <w:szCs w:val="32"/>
          <w:highlight w:val="none"/>
          <w:lang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2024-</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2025年度，继续教育学院国际合作相关工作处于谋划储备阶段，本年度未开展实质性涉外办学与交流业务。</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立足继续教育办学定位与发展实际，聚焦国内终身学习体系建设核心任务深耕主业，同时同步梳理国际化发展基础条件，为后续国际合作工作有序开展筑牢根基</w:t>
      </w:r>
      <w:r>
        <w:rPr>
          <w:rFonts w:hint="eastAsia" w:ascii="仿宋_GB2312" w:hAnsi="仿宋_GB2312" w:eastAsia="仿宋_GB2312" w:cs="仿宋_GB2312"/>
          <w:b w:val="0"/>
          <w:bCs/>
          <w:color w:val="000000" w:themeColor="text1"/>
          <w:sz w:val="32"/>
          <w:szCs w:val="32"/>
          <w:highlight w:val="none"/>
          <w:lang w:eastAsia="zh-CN"/>
          <w14:textFill>
            <w14:solidFill>
              <w14:schemeClr w14:val="tx1"/>
            </w14:solidFill>
          </w14:textFill>
        </w:rPr>
        <w:t>。</w:t>
      </w:r>
    </w:p>
    <w:p w14:paraId="27B38505">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1"/>
        <w:rPr>
          <w:rFonts w:hint="eastAsia" w:ascii="楷体_GB2312" w:hAnsi="楷体_GB2312" w:eastAsia="楷体_GB2312" w:cs="楷体_GB2312"/>
          <w:b w:val="0"/>
          <w:bCs/>
          <w:color w:val="000000" w:themeColor="text1"/>
          <w:sz w:val="32"/>
          <w:szCs w:val="32"/>
          <w:highlight w:val="none"/>
          <w:lang w:eastAsia="zh-CN"/>
          <w14:textFill>
            <w14:solidFill>
              <w14:schemeClr w14:val="tx1"/>
            </w14:solidFill>
          </w14:textFill>
        </w:rPr>
      </w:pPr>
      <w:bookmarkStart w:id="26" w:name="heading_0"/>
      <w:r>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t>5.1 留学生培养</w:t>
      </w:r>
      <w:bookmarkEnd w:id="26"/>
    </w:p>
    <w:p w14:paraId="2DC47111">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本年度，</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未开展留学生招收与培养相关工作，留学生培养数量为0。</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结合继续教育成人教育、非学历培训的核心办学属性，暂未布局留学生培养业务，重点精力集中于服务国内学员学历提升与能力赋能。</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下一步</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将紧密对接学校国际化办学整体规划，主动研判继续教育领域留学生培养的适配方向与可行路径，重点探索面向海外华侨华人、外籍在华工作人员的非学历培训项目，逐步构建兼具针对性与特色化的留学生继续教育培养体系，助力提升学校国际影响力。</w:t>
      </w:r>
    </w:p>
    <w:p w14:paraId="53415279">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1"/>
        <w:rPr>
          <w:rFonts w:hint="eastAsia" w:ascii="楷体_GB2312" w:hAnsi="楷体_GB2312" w:eastAsia="楷体_GB2312" w:cs="楷体_GB2312"/>
          <w:b w:val="0"/>
          <w:bCs/>
          <w:color w:val="000000" w:themeColor="text1"/>
          <w:sz w:val="32"/>
          <w:szCs w:val="32"/>
          <w:highlight w:val="none"/>
          <w:lang w:eastAsia="zh-CN"/>
          <w14:textFill>
            <w14:solidFill>
              <w14:schemeClr w14:val="tx1"/>
            </w14:solidFill>
          </w14:textFill>
        </w:rPr>
      </w:pPr>
      <w:bookmarkStart w:id="27" w:name="heading_1"/>
      <w:r>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t>5.2 合作办学</w:t>
      </w:r>
      <w:bookmarkEnd w:id="27"/>
    </w:p>
    <w:p w14:paraId="4409C928">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本年度，</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未与境外院校、教育机构开展合作办学项目。</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全年聚焦本土办学质量提升，深化校企合作、校社协同等国内合作模式，未启动境外合作办学洽谈与落地工作。</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下一步，学校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将对标教育对外开放要求，系统调研国际先进继续教育办学模式，重点对接“一带一路”沿线国家优质教育资源，探索开展课程共建、学分互认等多元化合作办学形式，逐步储备一批优质境外合作资源，推动继续教育办学模式的国际化创新。</w:t>
      </w:r>
    </w:p>
    <w:p w14:paraId="32DDFCC9">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1"/>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pPr>
      <w:bookmarkStart w:id="28" w:name="heading_2"/>
      <w:r>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t>5.3 资源输出</w:t>
      </w:r>
      <w:bookmarkEnd w:id="28"/>
    </w:p>
    <w:p w14:paraId="48C8A60D">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本年度，</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未向境外输出课程、师资、教学管理模式等教育资源。</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年内重点推进自有教育资源数字化升级与本土化应用，上线多门优质线上课程服务国内终身学习需求，暂未开展教育资源境外输出工作。未来，</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将依托已建成的优质数字化教育资源库，梳理具有输出价值的特色课程与教学管理经验，结合境外学习者需求进行本土化适配改造，探索通过在线教育平台、合作机构代理等方式推动教育资源国际化推广，打造继续教育资源输出品牌。</w:t>
      </w:r>
    </w:p>
    <w:p w14:paraId="6989FC08">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1"/>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pPr>
      <w:bookmarkStart w:id="29" w:name="heading_3"/>
      <w:r>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t>5.4 国际交流</w:t>
      </w:r>
      <w:bookmarkEnd w:id="29"/>
    </w:p>
    <w:p w14:paraId="7A6B3D5F">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本年度，</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未组织开展师生国际互访、学术研讨、境外研修等国际交流活动。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全年围绕国内行业需求与区域发展需要开展教学研讨与交流协作，未参与涉外交流活动。</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下一步</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将主动对接学校国际交流整体安排，搭建继续教育领域国际交流渠道，计划组织教师参与国际继续教育学术论坛、考察境外先进办学机构，适时开展师生跨境交流活动，学习借鉴国际先进教育理念与教学方法，提升办学开放度与国际化水平。</w:t>
      </w:r>
    </w:p>
    <w:p w14:paraId="76141CFE">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outlineLvl w:val="1"/>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pPr>
      <w:bookmarkStart w:id="30" w:name="heading_4"/>
      <w:r>
        <w:rPr>
          <w:rFonts w:hint="eastAsia" w:ascii="楷体_GB2312" w:hAnsi="楷体_GB2312" w:eastAsia="楷体_GB2312" w:cs="楷体_GB2312"/>
          <w:b w:val="0"/>
          <w:bCs/>
          <w:color w:val="000000" w:themeColor="text1"/>
          <w:sz w:val="32"/>
          <w:szCs w:val="32"/>
          <w:highlight w:val="none"/>
          <w14:textFill>
            <w14:solidFill>
              <w14:schemeClr w14:val="tx1"/>
            </w14:solidFill>
          </w14:textFill>
        </w:rPr>
        <w:t>5.5 服务“一带一路”</w:t>
      </w:r>
      <w:bookmarkEnd w:id="30"/>
    </w:p>
    <w:p w14:paraId="16ADDF32">
      <w:pPr>
        <w:keepNext w:val="0"/>
        <w:keepLines w:val="0"/>
        <w:pageBreakBefore w:val="0"/>
        <w:widowControl w:val="0"/>
        <w:kinsoku/>
        <w:wordWrap/>
        <w:overflowPunct/>
        <w:topLinePunct w:val="0"/>
        <w:autoSpaceDE/>
        <w:autoSpaceDN/>
        <w:bidi w:val="0"/>
        <w:adjustRightInd/>
        <w:snapToGrid/>
        <w:spacing w:line="520" w:lineRule="exact"/>
        <w:ind w:left="0" w:firstLine="640" w:firstLineChars="200"/>
        <w:jc w:val="both"/>
        <w:textAlignment w:val="auto"/>
        <w:rPr>
          <w:rFonts w:hint="eastAsia" w:ascii="楷体" w:hAnsi="楷体" w:eastAsia="楷体" w:cs="楷体"/>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本年度，</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未开展服务“一带一路”建设相关的人才培养、培训赋能、资源共享等工作。</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年内重点服务国内地方发展与行业人才需求，暂未对接“一带一路”共建国家教育需求。未来，</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将立足继续教育灵活办学、精准赋能的特色优势，主动对接“一带一路”共建国家基础设施建设、产业发展等领域的人才需求，探索开展定制化职业技能培训项目，开发双语培训课程与教材，为共建国家本土人才培养提供支持，助力国家对外开放战略落地，搭建民心相通的教育桥梁。</w:t>
      </w:r>
    </w:p>
    <w:p w14:paraId="40A51AB7">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6.产教融合</w:t>
      </w:r>
    </w:p>
    <w:p w14:paraId="07CE9993">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楷体" w:hAnsi="楷体" w:eastAsia="楷体" w:cs="楷体"/>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学校紧扣广西及周边区域重点产业发展脉络，聚焦汽车、轨道交通、智能制造等区域支柱产业的人才需求，精准开设工业机器人技术、</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金属智能加工技术</w:t>
      </w:r>
      <w:r>
        <w:rPr>
          <w:rFonts w:hint="eastAsia" w:ascii="仿宋_GB2312" w:hAnsi="仿宋_GB2312" w:eastAsia="仿宋_GB2312" w:cs="仿宋_GB2312"/>
          <w:color w:val="000000" w:themeColor="text1"/>
          <w:sz w:val="32"/>
          <w:szCs w:val="32"/>
          <w:highlight w:val="none"/>
          <w14:textFill>
            <w14:solidFill>
              <w14:schemeClr w14:val="tx1"/>
            </w14:solidFill>
          </w14:textFill>
        </w:rPr>
        <w:t>、建设工程管理、高速铁路客运服务、汽车技术服务与营销等44个专业（方向）</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14:textFill>
            <w14:solidFill>
              <w14:schemeClr w14:val="tx1"/>
            </w14:solidFill>
          </w14:textFill>
        </w:rPr>
        <w:t>专业设置与产业发展高度契合、同频共振，为深化产教融合、实现校企精准对接奠定了坚实的专业基础。</w:t>
      </w:r>
    </w:p>
    <w:p w14:paraId="7446EF46">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6.1机制建设</w:t>
      </w:r>
    </w:p>
    <w:p w14:paraId="3192443A">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我校</w:t>
      </w: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始终坚持“服务为宗旨，就业为导向，产学研结合”紧密对接广西经济社会发展需求和区域主导产业，积极探索和实践多种形式的产教融合模式</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，完善校企合作制度。制订并完善了《广西工程职业学院校企合作管理办法（修订）》，明确了校企合作的原则、程序、双方权利义务、保障措施等，为产教融合规范化、常态化开展提供了制度保障。</w:t>
      </w:r>
    </w:p>
    <w:p w14:paraId="54E2E19B">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b w:val="0"/>
          <w:bCs w:val="0"/>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b w:val="0"/>
          <w:bCs w:val="0"/>
          <w:color w:val="000000" w:themeColor="text1"/>
          <w:sz w:val="32"/>
          <w:szCs w:val="32"/>
          <w:highlight w:val="none"/>
          <w:lang w:val="en-US" w:eastAsia="zh-CN"/>
          <w14:textFill>
            <w14:solidFill>
              <w14:schemeClr w14:val="tx1"/>
            </w14:solidFill>
          </w14:textFill>
        </w:rPr>
        <w:t>6.2 资源建设</w:t>
      </w:r>
    </w:p>
    <w:p w14:paraId="0B1ECECF">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为保障实践教学与产业实际技术水平同步，学校累计投入1.82亿元用于教学科研仪器设备购置，建成建筑材料检测实训中心、汽车与机电实验实训中心等7个覆盖全专业领域的校内实验实训中心，全面涵盖专业核心技能训练所需的各类实操场景。同时，搭建</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1个</w:t>
      </w:r>
      <w:r>
        <w:rPr>
          <w:rFonts w:hint="eastAsia" w:ascii="仿宋_GB2312" w:hAnsi="仿宋_GB2312" w:eastAsia="仿宋_GB2312" w:cs="仿宋_GB2312"/>
          <w:color w:val="000000" w:themeColor="text1"/>
          <w:sz w:val="32"/>
          <w:szCs w:val="32"/>
          <w:highlight w:val="none"/>
          <w14:textFill>
            <w14:solidFill>
              <w14:schemeClr w14:val="tx1"/>
            </w14:solidFill>
          </w14:textFill>
        </w:rPr>
        <w:t>大学生创新创业中心，为校企联合开展创新项目研发、关键技能攻关提供优质平台支撑，助力产学研用深度融合。</w:t>
      </w:r>
    </w:p>
    <w:p w14:paraId="572D37DE">
      <w:pPr>
        <w:pStyle w:val="9"/>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2024-2025学年</w:t>
      </w:r>
      <w:r>
        <w:rPr>
          <w:rFonts w:hint="eastAsia" w:ascii="仿宋_GB2312" w:hAnsi="仿宋_GB2312" w:eastAsia="仿宋_GB2312" w:cs="仿宋_GB2312"/>
          <w:color w:val="000000" w:themeColor="text1"/>
          <w:sz w:val="32"/>
          <w:szCs w:val="32"/>
          <w:highlight w:val="none"/>
          <w14:textFill>
            <w14:solidFill>
              <w14:schemeClr w14:val="tx1"/>
            </w14:solidFill>
          </w14:textFill>
        </w:rPr>
        <w:t>与广西凡清财税咨询集团有限公司</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14:textFill>
            <w14:solidFill>
              <w14:schemeClr w14:val="tx1"/>
            </w14:solidFill>
          </w14:textFill>
        </w:rPr>
        <w:t>上汽通用五菱汽车股份有限公司</w:t>
      </w:r>
      <w:r>
        <w:rPr>
          <w:rFonts w:hint="eastAsia" w:ascii="仿宋_GB2312" w:hAnsi="仿宋_GB2312" w:eastAsia="仿宋_GB2312" w:cs="仿宋_GB2312"/>
          <w:color w:val="000000" w:themeColor="text1"/>
          <w:sz w:val="32"/>
          <w:szCs w:val="32"/>
          <w:highlight w:val="none"/>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零跑汽车有限公司、安捷利（番禺）电子实业有限公司、东莞新能德科技有限公司</w:t>
      </w:r>
      <w:r>
        <w:rPr>
          <w:rFonts w:hint="eastAsia" w:ascii="仿宋_GB2312" w:hAnsi="仿宋_GB2312" w:eastAsia="仿宋_GB2312" w:cs="仿宋_GB2312"/>
          <w:color w:val="000000" w:themeColor="text1"/>
          <w:sz w:val="32"/>
          <w:szCs w:val="32"/>
          <w:highlight w:val="none"/>
          <w14:textFill>
            <w14:solidFill>
              <w14:schemeClr w14:val="tx1"/>
            </w14:solidFill>
          </w14:textFill>
        </w:rPr>
        <w:t>等</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17家</w:t>
      </w:r>
      <w:r>
        <w:rPr>
          <w:rFonts w:hint="eastAsia" w:ascii="仿宋_GB2312" w:hAnsi="仿宋_GB2312" w:eastAsia="仿宋_GB2312" w:cs="仿宋_GB2312"/>
          <w:color w:val="000000" w:themeColor="text1"/>
          <w:sz w:val="32"/>
          <w:szCs w:val="32"/>
          <w:highlight w:val="none"/>
          <w14:textFill>
            <w14:solidFill>
              <w14:schemeClr w14:val="tx1"/>
            </w14:solidFill>
          </w14:textFill>
        </w:rPr>
        <w:t>区内外企业建立合作，为学生提供</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岗位实习</w:t>
      </w:r>
      <w:r>
        <w:rPr>
          <w:rFonts w:hint="eastAsia" w:ascii="仿宋_GB2312" w:hAnsi="仿宋_GB2312" w:eastAsia="仿宋_GB2312" w:cs="仿宋_GB2312"/>
          <w:color w:val="000000" w:themeColor="text1"/>
          <w:sz w:val="32"/>
          <w:szCs w:val="32"/>
          <w:highlight w:val="none"/>
          <w14:textFill>
            <w14:solidFill>
              <w14:schemeClr w14:val="tx1"/>
            </w14:solidFill>
          </w14:textFill>
        </w:rPr>
        <w:t>等实践机会</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14:textFill>
            <w14:solidFill>
              <w14:schemeClr w14:val="tx1"/>
            </w14:solidFill>
          </w14:textFill>
        </w:rPr>
        <w:t>强化学生团队协作与实操能力，助力“毕业即上岗”目标实现。</w:t>
      </w:r>
    </w:p>
    <w:p w14:paraId="2EEAA493">
      <w:pPr>
        <w:pStyle w:val="9"/>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楷体" w:hAnsi="楷体" w:eastAsia="楷体" w:cs="楷体"/>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 xml:space="preserve"> </w:t>
      </w: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6.3 协同育人</w:t>
      </w:r>
    </w:p>
    <w:p w14:paraId="6D8ADDC4">
      <w:pPr>
        <w:keepNext w:val="0"/>
        <w:keepLines w:val="0"/>
        <w:pageBreakBefore w:val="0"/>
        <w:widowControl w:val="0"/>
        <w:kinsoku/>
        <w:wordWrap/>
        <w:overflowPunct/>
        <w:topLinePunct w:val="0"/>
        <w:autoSpaceDE/>
        <w:autoSpaceDN/>
        <w:bidi w:val="0"/>
        <w:adjustRightInd/>
        <w:snapToGrid/>
        <w:spacing w:line="520" w:lineRule="exact"/>
        <w:ind w:firstLine="640" w:firstLineChars="200"/>
        <w:jc w:val="left"/>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方正仿宋_GB2312" w:hAnsi="方正仿宋_GB2312" w:eastAsia="方正仿宋_GB2312" w:cs="方正仿宋_GB2312"/>
          <w:color w:val="000000" w:themeColor="text1"/>
          <w:sz w:val="32"/>
          <w:szCs w:val="32"/>
          <w:highlight w:val="none"/>
          <w14:textFill>
            <w14:solidFill>
              <w14:schemeClr w14:val="tx1"/>
            </w14:solidFill>
          </w14:textFill>
        </w:rPr>
        <w:t xml:space="preserve"> </w:t>
      </w:r>
      <w:r>
        <w:rPr>
          <w:rFonts w:hint="eastAsia" w:ascii="仿宋_GB2312" w:hAnsi="仿宋_GB2312" w:eastAsia="仿宋_GB2312" w:cs="仿宋_GB2312"/>
          <w:color w:val="000000" w:themeColor="text1"/>
          <w:sz w:val="32"/>
          <w:szCs w:val="32"/>
          <w:highlight w:val="none"/>
          <w14:textFill>
            <w14:solidFill>
              <w14:schemeClr w14:val="tx1"/>
            </w14:solidFill>
          </w14:textFill>
        </w:rPr>
        <w:t>积极推行校企合作育人模式，</w:t>
      </w:r>
      <w:r>
        <w:rPr>
          <w:rFonts w:hint="eastAsia" w:ascii="仿宋_GB2312" w:hAnsi="仿宋_GB2312" w:eastAsia="仿宋_GB2312" w:cs="仿宋_GB2312"/>
          <w:b w:val="0"/>
          <w:bCs w:val="0"/>
          <w:color w:val="000000" w:themeColor="text1"/>
          <w:spacing w:val="4"/>
          <w:sz w:val="32"/>
          <w:szCs w:val="32"/>
          <w:highlight w:val="none"/>
          <w:lang w:val="en-US" w:eastAsia="zh-CN"/>
          <w14:textFill>
            <w14:solidFill>
              <w14:schemeClr w14:val="tx1"/>
            </w14:solidFill>
          </w14:textFill>
        </w:rPr>
        <w:t>2024—2025年，我校党政领导带队深入两广200多家企业、高校和幼儿园进行访企拓岗促就业行动，对接企业用人需求，拓宽毕业生就业渠道和资源，全力促进毕业生更加充分高质量就业。走</w:t>
      </w:r>
      <w:r>
        <w:rPr>
          <w:rFonts w:hint="eastAsia" w:ascii="仿宋_GB2312" w:hAnsi="仿宋_GB2312" w:eastAsia="仿宋_GB2312" w:cs="仿宋_GB2312"/>
          <w:color w:val="000000" w:themeColor="text1"/>
          <w:sz w:val="32"/>
          <w:szCs w:val="32"/>
          <w:highlight w:val="none"/>
          <w:lang w:val="en-US" w:bidi="ar"/>
          <w14:textFill>
            <w14:solidFill>
              <w14:schemeClr w14:val="tx1"/>
            </w14:solidFill>
          </w14:textFill>
        </w:rPr>
        <w:t>访了广西民族大学相思湖学院、南宁理工学院、上汽通用五菱汽车股份有限公司、广西第六建筑工程有限公司、广西华磊新材料有限公司、中国铝业股份有限公司广西分公司、中国铁路南宁局集团有限公司百色车务段百色站、百色市职业技术学校、平果鸿仁传媒科技有限公司、恒企工程技术集团有限公司、平果市本立致德幼儿园等</w:t>
      </w:r>
      <w:r>
        <w:rPr>
          <w:rFonts w:hint="eastAsia" w:ascii="仿宋_GB2312" w:hAnsi="仿宋_GB2312" w:eastAsia="仿宋_GB2312" w:cs="仿宋_GB2312"/>
          <w:color w:val="000000" w:themeColor="text1"/>
          <w:sz w:val="32"/>
          <w:szCs w:val="32"/>
          <w:highlight w:val="none"/>
          <w:lang w:val="en-US" w:eastAsia="zh-CN" w:bidi="ar"/>
          <w14:textFill>
            <w14:solidFill>
              <w14:schemeClr w14:val="tx1"/>
            </w14:solidFill>
          </w14:textFill>
        </w:rPr>
        <w:t>2</w:t>
      </w:r>
      <w:r>
        <w:rPr>
          <w:rFonts w:hint="eastAsia" w:ascii="仿宋_GB2312" w:hAnsi="仿宋_GB2312" w:eastAsia="仿宋_GB2312" w:cs="仿宋_GB2312"/>
          <w:color w:val="000000" w:themeColor="text1"/>
          <w:sz w:val="32"/>
          <w:szCs w:val="32"/>
          <w:highlight w:val="none"/>
          <w:lang w:val="en-US" w:bidi="ar"/>
          <w14:textFill>
            <w14:solidFill>
              <w14:schemeClr w14:val="tx1"/>
            </w14:solidFill>
          </w14:textFill>
        </w:rPr>
        <w:t>00多家企业、高校及幼儿园，通过实地参观、召开座谈会等方式与企业、学校等相关负责人就校企合作、校际合作、学生就业、人才培养等方面进行深入交流。访企拓岗促就业专项行动，让学校深度了解了用人单位的人才需求和行业发展趋势，了解了学校毕业生的工作、职业发展情况，为学校人才培养、专业设置、就业服务等提供了有力参考，有效增强学校人才培养的针对性和适应性。</w:t>
      </w:r>
      <w:r>
        <w:rPr>
          <w:rFonts w:hint="eastAsia" w:ascii="仿宋_GB2312" w:hAnsi="仿宋_GB2312" w:eastAsia="仿宋_GB2312" w:cs="仿宋_GB2312"/>
          <w:color w:val="000000" w:themeColor="text1"/>
          <w:sz w:val="32"/>
          <w:szCs w:val="32"/>
          <w:highlight w:val="none"/>
          <w14:textFill>
            <w14:solidFill>
              <w14:schemeClr w14:val="tx1"/>
            </w14:solidFill>
          </w14:textFill>
        </w:rPr>
        <w:t>建立“企业导师驻校+校内教师入企”双向机制，邀请企业技术专家参与教学培训，合作开展技能人才培养，2020-2025年累计培养技能人才超3万人次，覆盖机电、建筑、学前教育等多个专业领域。</w:t>
      </w:r>
    </w:p>
    <w:p w14:paraId="452AD39F">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640" w:firstLineChars="200"/>
        <w:textAlignment w:val="auto"/>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7.发展保障</w:t>
      </w:r>
    </w:p>
    <w:p w14:paraId="081430EE">
      <w:pPr>
        <w:ind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7.1党建引领</w:t>
      </w:r>
    </w:p>
    <w:p w14:paraId="3736DB95">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color w:val="000000" w:themeColor="text1"/>
          <w:sz w:val="32"/>
          <w:szCs w:val="32"/>
          <w:highlight w:val="none"/>
          <w14:textFill>
            <w14:solidFill>
              <w14:schemeClr w14:val="tx1"/>
            </w14:solidFill>
          </w14:textFill>
        </w:rPr>
        <w:t>高度重视党建引领工作，深入贯彻新时代党的建设总要求，创新党建工作方法，夯实党建工作基础，推动党建与业务工作深度融合，为学校各项事业发展提供坚强政治保障。</w:t>
      </w:r>
    </w:p>
    <w:p w14:paraId="072CD18B">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（1）强化政治建设，把牢办学方向</w:t>
      </w:r>
    </w:p>
    <w:p w14:paraId="3D2A576C">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学校始终将政治建设摆在首位，严格执行“第一议题”制度，认真学习贯彻习近平总书记关于教育的重要论述和关于广西工作论述的重要要求，将党中央和自治区重大决策部署落实到各项工作中贯穿办学治校始终。本年度，开展学校党委理论学习中心组学习4次，引导全校师生深刻领悟“两个确立”的决定性意义，增强“四个意识”、坚定“四个自信”、做到“两个维护”。学校党委坚持和完善党委领导下的校长负责制，全年召开党委会32次、确保党的路线方针政策在学校不折不扣地贯彻执行。推动二级学院党（总）支部、党政联席会议严格遵循议事规则，建立议事决策执行情况台账，进一步推动办学治校科学化水平持续提升、治理效能全面增强。</w:t>
      </w:r>
    </w:p>
    <w:p w14:paraId="229723F1">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（2）夯实组织基础，激发队伍活力</w:t>
      </w:r>
    </w:p>
    <w:p w14:paraId="2DE2DA59">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本年度，成立1个党总支，1个党支部换届等工作选优配强基层党组织班子。实施“‘五心工程'立德树人”党建品牌建设，举办党务干部能力素养提升培训2次，共培训党员干部和党务工作者约200人次，不断提升党员干部党性修养和业务能力水平。开展党建和思想政治工作结对共建活动，广西建设职业技术学院、广西幼儿师范高等专科学校选派结对共建队工作人员6人，开展“组团式”帮扶，全面提升全校党建工作水平。深入实施“‘五心工程'立德树人”党建品牌创新计划，深入推进实施基层党建“五基三化”三年行动计划，开展校内评优评先活动。</w:t>
      </w:r>
    </w:p>
    <w:p w14:paraId="23BC740A">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（3）推动党建业务深度融合，赋能中心工作</w:t>
      </w:r>
    </w:p>
    <w:p w14:paraId="5396A2EC">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学校党委牢固树立“围绕中心抓党建，抓好党建促发展”理念，构建党建与业务同频共振机制，切实将组织优势转化为发展效能。一是以“五心工程</w:t>
      </w:r>
      <w:r>
        <w:rPr>
          <w:rFonts w:hint="default"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立德树人党建品牌创建为抓手，深入实施党建“五基三化”工程行动计划，打造了“五心工程</w:t>
      </w:r>
      <w:r>
        <w:rPr>
          <w:rFonts w:hint="default" w:ascii="仿宋_GB2312" w:hAnsi="仿宋_GB2312" w:eastAsia="仿宋_GB2312" w:cs="仿宋_GB2312"/>
          <w:color w:val="000000" w:themeColor="text1"/>
          <w:sz w:val="32"/>
          <w:szCs w:val="32"/>
          <w:lang w:val="en-US" w:eastAsia="zh-CN"/>
          <w14:textFill>
            <w14:solidFill>
              <w14:schemeClr w14:val="tx1"/>
            </w14:solidFill>
          </w14:textFill>
        </w:rPr>
        <w:t>”</w:t>
      </w:r>
      <w:r>
        <w:rPr>
          <w:rFonts w:hint="eastAsia" w:ascii="仿宋_GB2312" w:hAnsi="仿宋_GB2312" w:eastAsia="仿宋_GB2312" w:cs="仿宋_GB2312"/>
          <w:color w:val="000000" w:themeColor="text1"/>
          <w:sz w:val="32"/>
          <w:szCs w:val="32"/>
          <w:lang w:val="en-US" w:eastAsia="zh-CN"/>
          <w14:textFill>
            <w14:solidFill>
              <w14:schemeClr w14:val="tx1"/>
            </w14:solidFill>
          </w14:textFill>
        </w:rPr>
        <w:t>立德树人等一批党建工作品牌，构建起“党委把舵、治理同行、支部扬帆、党员划桨”的多级联动机制，以党建引擎驱动赋能业务工作，培养了一大批适应现代工程类事业发展需要的高素质应用人才。二是创新实践路径，推动中心工作。全面推行“党建+服务”工作模式，围绕行政服务、课堂教学、产教融合、社会服务设立党员先锋岗，使党建工作具体融入人才培养各环节。</w:t>
      </w:r>
    </w:p>
    <w:p w14:paraId="6FAC01CD">
      <w:pPr>
        <w:keepNext w:val="0"/>
        <w:keepLines w:val="0"/>
        <w:pageBreakBefore w:val="0"/>
        <w:widowControl w:val="0"/>
        <w:numPr>
          <w:ilvl w:val="0"/>
          <w:numId w:val="0"/>
        </w:numPr>
        <w:kinsoku/>
        <w:wordWrap/>
        <w:overflowPunct/>
        <w:topLinePunct w:val="0"/>
        <w:autoSpaceDE/>
        <w:autoSpaceDN/>
        <w:bidi w:val="0"/>
        <w:adjustRightInd/>
        <w:snapToGrid/>
        <w:spacing w:line="540" w:lineRule="exact"/>
        <w:ind w:firstLine="643" w:firstLineChars="200"/>
        <w:textAlignment w:val="auto"/>
        <w:rPr>
          <w:rFonts w:hint="eastAsia" w:ascii="黑体" w:hAnsi="黑体" w:eastAsia="黑体" w:cs="黑体"/>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案例十六 ：</w:t>
      </w:r>
      <w:bookmarkStart w:id="31" w:name="OLE_LINK23"/>
      <w:r>
        <w:rPr>
          <w:rFonts w:hint="eastAsia" w:ascii="黑体" w:hAnsi="黑体" w:eastAsia="黑体" w:cs="黑体"/>
          <w:color w:val="000000" w:themeColor="text1"/>
          <w:sz w:val="32"/>
          <w:szCs w:val="32"/>
          <w:highlight w:val="none"/>
          <w:lang w:val="en-US" w:eastAsia="zh-CN"/>
          <w14:textFill>
            <w14:solidFill>
              <w14:schemeClr w14:val="tx1"/>
            </w14:solidFill>
          </w14:textFill>
        </w:rPr>
        <w:t>构建“党建+”育人格局，引领全面发展</w:t>
      </w:r>
    </w:p>
    <w:p w14:paraId="55C82790">
      <w:pPr>
        <w:keepNext w:val="0"/>
        <w:keepLines w:val="0"/>
        <w:pageBreakBefore w:val="0"/>
        <w:widowControl w:val="0"/>
        <w:kinsoku/>
        <w:wordWrap/>
        <w:overflowPunct/>
        <w:topLinePunct w:val="0"/>
        <w:autoSpaceDE/>
        <w:autoSpaceDN/>
        <w:bidi w:val="0"/>
        <w:adjustRightInd/>
        <w:snapToGrid/>
        <w:spacing w:line="54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坚持以“党建+”模式为抓手，深化“大思政”“大统战”育人体系建设，推动“思政课程”与“课程思政”双向融合。先后建成党建文化长廊、红色文化教育长廊、铸牢中华民族共同体意识教育基地，打造图书馆党建文化墙等育人场所，将党建元素全面融入教育教学管理各环节，引领“三全育人”“五育并举”落地见效，着力培育德智体美劳全面发展的大国工匠。</w:t>
      </w:r>
    </w:p>
    <w:p w14:paraId="54C03E16">
      <w:pPr>
        <w:pStyle w:val="2"/>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380286D3">
      <w:pPr>
        <w:pStyle w:val="2"/>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7614AAE7">
      <w:pPr>
        <w:pStyle w:val="2"/>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85888" behindDoc="0" locked="0" layoutInCell="1" allowOverlap="1">
            <wp:simplePos x="0" y="0"/>
            <wp:positionH relativeFrom="column">
              <wp:posOffset>17145</wp:posOffset>
            </wp:positionH>
            <wp:positionV relativeFrom="paragraph">
              <wp:posOffset>184785</wp:posOffset>
            </wp:positionV>
            <wp:extent cx="5718810" cy="3371850"/>
            <wp:effectExtent l="0" t="0" r="15240" b="0"/>
            <wp:wrapNone/>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68"/>
                    <a:stretch>
                      <a:fillRect/>
                    </a:stretch>
                  </pic:blipFill>
                  <pic:spPr>
                    <a:xfrm>
                      <a:off x="0" y="0"/>
                      <a:ext cx="5718810" cy="3371850"/>
                    </a:xfrm>
                    <a:prstGeom prst="rect">
                      <a:avLst/>
                    </a:prstGeom>
                    <a:noFill/>
                    <a:ln>
                      <a:noFill/>
                    </a:ln>
                  </pic:spPr>
                </pic:pic>
              </a:graphicData>
            </a:graphic>
          </wp:anchor>
        </w:drawing>
      </w:r>
    </w:p>
    <w:p w14:paraId="11FEB5B1">
      <w:pPr>
        <w:pStyle w:val="2"/>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bookmarkEnd w:id="31"/>
    <w:p w14:paraId="702DEFB7">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6F24DAA">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700113E">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613DCA7">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C548E24">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1D1BE71">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640621A">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3B4CF07">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426B301">
      <w:pPr>
        <w:keepNext w:val="0"/>
        <w:keepLines w:val="0"/>
        <w:pageBreakBefore w:val="0"/>
        <w:widowControl w:val="0"/>
        <w:kinsoku/>
        <w:wordWrap/>
        <w:overflowPunct/>
        <w:topLinePunct w:val="0"/>
        <w:autoSpaceDE/>
        <w:autoSpaceDN/>
        <w:bidi w:val="0"/>
        <w:adjustRightInd/>
        <w:snapToGrid/>
        <w:spacing w:line="480" w:lineRule="exact"/>
        <w:jc w:val="both"/>
        <w:textAlignment w:val="auto"/>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243DE062">
      <w:pPr>
        <w:keepNext w:val="0"/>
        <w:keepLines w:val="0"/>
        <w:pageBreakBefore w:val="0"/>
        <w:widowControl w:val="0"/>
        <w:kinsoku/>
        <w:wordWrap/>
        <w:overflowPunct/>
        <w:topLinePunct w:val="0"/>
        <w:autoSpaceDE/>
        <w:autoSpaceDN/>
        <w:bidi w:val="0"/>
        <w:adjustRightInd/>
        <w:snapToGrid/>
        <w:spacing w:line="480" w:lineRule="exact"/>
        <w:jc w:val="center"/>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Style w:val="22"/>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 图60  2024年9月6日，学校党委书记蒙本曼作“高校意识形态要为中国式现代化提供坚强精神保障”专题培训</w:t>
      </w:r>
    </w:p>
    <w:p w14:paraId="4477C61E">
      <w:pPr>
        <w:keepNext w:val="0"/>
        <w:keepLines w:val="0"/>
        <w:pageBreakBefore w:val="0"/>
        <w:widowControl w:val="0"/>
        <w:kinsoku/>
        <w:wordWrap/>
        <w:overflowPunct/>
        <w:topLinePunct w:val="0"/>
        <w:autoSpaceDE/>
        <w:autoSpaceDN/>
        <w:bidi w:val="0"/>
        <w:adjustRightInd/>
        <w:snapToGrid/>
        <w:spacing w:line="520" w:lineRule="exact"/>
        <w:ind w:firstLine="575" w:firstLineChars="200"/>
        <w:textAlignment w:val="auto"/>
        <w:rPr>
          <w:rFonts w:hint="eastAsia" w:ascii="仿宋_GB2312" w:hAnsi="仿宋_GB2312" w:eastAsia="仿宋_GB2312" w:cs="仿宋_GB2312"/>
          <w:b/>
          <w:bCs/>
          <w:color w:val="000000" w:themeColor="text1"/>
          <w:spacing w:val="-17"/>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pacing w:val="-17"/>
          <w:sz w:val="32"/>
          <w:szCs w:val="32"/>
          <w:highlight w:val="none"/>
          <w:lang w:val="en-US" w:eastAsia="zh-CN"/>
          <w14:textFill>
            <w14:solidFill>
              <w14:schemeClr w14:val="tx1"/>
            </w14:solidFill>
          </w14:textFill>
        </w:rPr>
        <w:t>案例十七：组织师生开展同上一堂“八桂楷模 大思政课”活动</w:t>
      </w:r>
    </w:p>
    <w:p w14:paraId="27907F90">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学校始终深耕 “大思政课” 建设，坚持推动思政小课堂与社会大课堂同频共振，深挖八桂大地丰富的红色资源、亮眼的发展成就与鲜活的先进榜样，将其转化为立德树人的生动教材，让思政教育更具广西特色、更富实践温度。学校党委于 2025年秋季学期开学前后，精心组织开展同上一堂思政课活动。红色文化与时代精神深度交融，让全校师生接受了一次深刻的精神淬炼与思想洗礼。这不仅筑牢了师生们听党话、跟党走的思想根基，更凝聚起奋进新征程的磅礴力量，进一步激发了全体教育工作者用心用情讲好思政课的责任担当，助力学校培养更多让党放心、爱国奉献、勇担民族复兴重任的时代新人。</w:t>
      </w:r>
    </w:p>
    <w:p w14:paraId="6CB7869C">
      <w:pPr>
        <w:pStyle w:val="2"/>
        <w:rPr>
          <w:rFonts w:hint="eastAsia"/>
          <w:color w:val="000000" w:themeColor="text1"/>
          <w:lang w:val="en-US" w:eastAsia="zh-CN"/>
          <w14:textFill>
            <w14:solidFill>
              <w14:schemeClr w14:val="tx1"/>
            </w14:solidFill>
          </w14:textFill>
        </w:rPr>
      </w:pPr>
    </w:p>
    <w:p w14:paraId="49071FE6">
      <w:pPr>
        <w:pStyle w:val="2"/>
        <w:rPr>
          <w:rFonts w:hint="eastAsia"/>
          <w:color w:val="000000" w:themeColor="text1"/>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anchor distT="0" distB="0" distL="114300" distR="114300" simplePos="0" relativeHeight="251666432" behindDoc="0" locked="0" layoutInCell="1" allowOverlap="1">
            <wp:simplePos x="0" y="0"/>
            <wp:positionH relativeFrom="column">
              <wp:posOffset>55880</wp:posOffset>
            </wp:positionH>
            <wp:positionV relativeFrom="paragraph">
              <wp:posOffset>161290</wp:posOffset>
            </wp:positionV>
            <wp:extent cx="5732145" cy="3227070"/>
            <wp:effectExtent l="0" t="0" r="1905" b="11430"/>
            <wp:wrapNone/>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69"/>
                    <a:stretch>
                      <a:fillRect/>
                    </a:stretch>
                  </pic:blipFill>
                  <pic:spPr>
                    <a:xfrm>
                      <a:off x="0" y="0"/>
                      <a:ext cx="5732145" cy="3227070"/>
                    </a:xfrm>
                    <a:prstGeom prst="rect">
                      <a:avLst/>
                    </a:prstGeom>
                    <a:noFill/>
                    <a:ln>
                      <a:noFill/>
                    </a:ln>
                  </pic:spPr>
                </pic:pic>
              </a:graphicData>
            </a:graphic>
          </wp:anchor>
        </w:drawing>
      </w:r>
    </w:p>
    <w:p w14:paraId="76D0DCD1">
      <w:pPr>
        <w:pStyle w:val="9"/>
        <w:keepNext w:val="0"/>
        <w:keepLines w:val="0"/>
        <w:pageBreakBefore w:val="0"/>
        <w:widowControl w:val="0"/>
        <w:kinsoku/>
        <w:wordWrap/>
        <w:overflowPunct/>
        <w:topLinePunct w:val="0"/>
        <w:autoSpaceDE/>
        <w:autoSpaceDN/>
        <w:bidi w:val="0"/>
        <w:adjustRightInd/>
        <w:snapToGrid/>
        <w:spacing w:line="520" w:lineRule="exact"/>
        <w:ind w:left="0" w:leftChars="0" w:firstLine="560" w:firstLineChars="200"/>
        <w:textAlignment w:val="auto"/>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67E05EB">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075C42E">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4C8FDA2">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5EA822BF">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43F87527">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058EE93A">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60828652">
      <w:pPr>
        <w:pStyle w:val="9"/>
        <w:keepNext w:val="0"/>
        <w:keepLines w:val="0"/>
        <w:pageBreakBefore w:val="0"/>
        <w:kinsoku/>
        <w:wordWrap/>
        <w:bidi w:val="0"/>
        <w:spacing w:line="520" w:lineRule="exact"/>
        <w:ind w:left="0" w:leftChars="0" w:firstLine="560" w:firstLineChars="200"/>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37BD20B6">
      <w:pPr>
        <w:pStyle w:val="9"/>
        <w:keepNext w:val="0"/>
        <w:keepLines w:val="0"/>
        <w:pageBreakBefore w:val="0"/>
        <w:kinsoku/>
        <w:wordWrap/>
        <w:bidi w:val="0"/>
        <w:spacing w:line="520" w:lineRule="exact"/>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p>
    <w:p w14:paraId="1CF03ACE">
      <w:pPr>
        <w:pStyle w:val="9"/>
        <w:keepNext w:val="0"/>
        <w:keepLines w:val="0"/>
        <w:pageBreakBefore w:val="0"/>
        <w:widowControl w:val="0"/>
        <w:kinsoku/>
        <w:wordWrap/>
        <w:overflowPunct/>
        <w:topLinePunct w:val="0"/>
        <w:autoSpaceDE/>
        <w:autoSpaceDN/>
        <w:bidi w:val="0"/>
        <w:adjustRightInd/>
        <w:snapToGrid/>
        <w:spacing w:line="440" w:lineRule="exact"/>
        <w:jc w:val="center"/>
        <w:textAlignment w:val="auto"/>
        <w:rPr>
          <w:rStyle w:val="22"/>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35CC9C1B">
      <w:pPr>
        <w:pStyle w:val="9"/>
        <w:keepNext w:val="0"/>
        <w:keepLines w:val="0"/>
        <w:pageBreakBefore w:val="0"/>
        <w:widowControl w:val="0"/>
        <w:kinsoku/>
        <w:wordWrap/>
        <w:overflowPunct/>
        <w:topLinePunct w:val="0"/>
        <w:autoSpaceDE/>
        <w:autoSpaceDN/>
        <w:bidi w:val="0"/>
        <w:adjustRightInd/>
        <w:snapToGrid/>
        <w:spacing w:line="440" w:lineRule="exact"/>
        <w:jc w:val="center"/>
        <w:textAlignment w:val="auto"/>
        <w:rPr>
          <w:rStyle w:val="22"/>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图61  2025年8月29日，学校组织开展同上一堂“八桂楷模·大思政课”活动</w:t>
      </w:r>
    </w:p>
    <w:p w14:paraId="0830C528">
      <w:pPr>
        <w:keepNext w:val="0"/>
        <w:keepLines w:val="0"/>
        <w:pageBreakBefore w:val="0"/>
        <w:widowControl w:val="0"/>
        <w:kinsoku/>
        <w:wordWrap/>
        <w:overflowPunct/>
        <w:topLinePunct w:val="0"/>
        <w:autoSpaceDE/>
        <w:autoSpaceDN/>
        <w:bidi w:val="0"/>
        <w:adjustRightInd/>
        <w:snapToGrid/>
        <w:spacing w:line="560" w:lineRule="exact"/>
        <w:ind w:firstLine="643" w:firstLineChars="200"/>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案例十八：以“党建+”模式推动工作融合发展</w:t>
      </w:r>
    </w:p>
    <w:p w14:paraId="278A8089">
      <w:pPr>
        <w:keepNext w:val="0"/>
        <w:keepLines w:val="0"/>
        <w:pageBreakBefore w:val="0"/>
        <w:widowControl w:val="0"/>
        <w:kinsoku/>
        <w:wordWrap/>
        <w:overflowPunct/>
        <w:topLinePunct w:val="0"/>
        <w:autoSpaceDE/>
        <w:autoSpaceDN/>
        <w:bidi w:val="0"/>
        <w:adjustRightInd/>
        <w:snapToGrid/>
        <w:spacing w:line="56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学校党委坚持推动党建工作和行政教学工作双向融合发展，以“党建+”模式促进学校教育教学发展，探索出一条“党建+育人”“党建+教学”“党建+专业”“党建+发展”等融合发展之路</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14:textFill>
            <w14:solidFill>
              <w14:schemeClr w14:val="tx1"/>
            </w14:solidFill>
          </w14:textFill>
        </w:rPr>
        <w:t>发挥一线工作党员先锋模范作用，进一步提高党建工作与行政教育教学工作双向融合高质量发展。</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开展2025年“七一”表彰活动，表彰校级先进基层党组织2个、优秀党务工作者6名、优秀共产党员20名，树立先进典型，激发各级党组织和广大党员干事创业的积极性、主动性和创造性。</w:t>
      </w:r>
    </w:p>
    <w:p w14:paraId="19B57ABF">
      <w:pPr>
        <w:pStyle w:val="2"/>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p>
    <w:p w14:paraId="6D7F2A71">
      <w:pP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80075" cy="3667760"/>
            <wp:effectExtent l="0" t="0" r="15875" b="8890"/>
            <wp:docPr id="4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1"/>
                    <pic:cNvPicPr>
                      <a:picLocks noChangeAspect="1"/>
                    </pic:cNvPicPr>
                  </pic:nvPicPr>
                  <pic:blipFill>
                    <a:blip r:embed="rId70"/>
                    <a:stretch>
                      <a:fillRect/>
                    </a:stretch>
                  </pic:blipFill>
                  <pic:spPr>
                    <a:xfrm>
                      <a:off x="0" y="0"/>
                      <a:ext cx="5680075" cy="3667760"/>
                    </a:xfrm>
                    <a:prstGeom prst="rect">
                      <a:avLst/>
                    </a:prstGeom>
                    <a:noFill/>
                    <a:ln>
                      <a:noFill/>
                    </a:ln>
                  </pic:spPr>
                </pic:pic>
              </a:graphicData>
            </a:graphic>
          </wp:inline>
        </w:drawing>
      </w:r>
    </w:p>
    <w:p w14:paraId="42502AE3">
      <w:pPr>
        <w:ind w:firstLine="560" w:firstLineChars="200"/>
        <w:rPr>
          <w:rFonts w:hint="eastAsia"/>
          <w:color w:val="000000" w:themeColor="text1"/>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图62 学校党委召开会议研究部署近期学校教育教学重点工作</w:t>
      </w:r>
    </w:p>
    <w:p w14:paraId="74ACA1AD">
      <w:pP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712460" cy="3379470"/>
            <wp:effectExtent l="0" t="0" r="2540" b="11430"/>
            <wp:docPr id="4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2"/>
                    <pic:cNvPicPr>
                      <a:picLocks noChangeAspect="1"/>
                    </pic:cNvPicPr>
                  </pic:nvPicPr>
                  <pic:blipFill>
                    <a:blip r:embed="rId71"/>
                    <a:stretch>
                      <a:fillRect/>
                    </a:stretch>
                  </pic:blipFill>
                  <pic:spPr>
                    <a:xfrm>
                      <a:off x="0" y="0"/>
                      <a:ext cx="5712460" cy="3379470"/>
                    </a:xfrm>
                    <a:prstGeom prst="rect">
                      <a:avLst/>
                    </a:prstGeom>
                    <a:noFill/>
                    <a:ln>
                      <a:noFill/>
                    </a:ln>
                  </pic:spPr>
                </pic:pic>
              </a:graphicData>
            </a:graphic>
          </wp:inline>
        </w:drawing>
      </w:r>
    </w:p>
    <w:p w14:paraId="266E61CA">
      <w:pPr>
        <w:jc w:val="cente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 xml:space="preserve"> 图63  学校基层党组织到社区开展情系社区，家电维修志愿行活动</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br w:type="page"/>
      </w:r>
    </w:p>
    <w:p w14:paraId="0E3A5B4D">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3" w:firstLineChars="200"/>
        <w:jc w:val="both"/>
        <w:textAlignment w:val="auto"/>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bCs/>
          <w:color w:val="000000" w:themeColor="text1"/>
          <w:sz w:val="32"/>
          <w:szCs w:val="32"/>
          <w:highlight w:val="none"/>
          <w:lang w:val="en-US" w:eastAsia="zh-CN"/>
          <w14:textFill>
            <w14:solidFill>
              <w14:schemeClr w14:val="tx1"/>
            </w14:solidFill>
          </w14:textFill>
        </w:rPr>
        <w:t>案例十九 ：强化理论学习，激发爱党爱国爱校情怀</w:t>
      </w:r>
    </w:p>
    <w:p w14:paraId="3C3603FB">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640" w:firstLineChars="200"/>
        <w:jc w:val="both"/>
        <w:textAlignment w:val="auto"/>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sz w:val="32"/>
          <w:szCs w:val="32"/>
          <w:highlight w:val="none"/>
          <w14:textFill>
            <w14:solidFill>
              <w14:schemeClr w14:val="tx1"/>
            </w14:solidFill>
          </w14:textFill>
        </w:rPr>
        <w:t>通过召开宣讲报告会、培训会</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14:textFill>
            <w14:solidFill>
              <w14:schemeClr w14:val="tx1"/>
            </w14:solidFill>
          </w14:textFill>
        </w:rPr>
        <w:t>开展青年大学习等形式组织全校师生党员深入学习</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全国两会精神、</w:t>
      </w:r>
      <w:r>
        <w:rPr>
          <w:rFonts w:hint="eastAsia" w:ascii="仿宋_GB2312" w:hAnsi="仿宋_GB2312" w:eastAsia="仿宋_GB2312" w:cs="仿宋_GB2312"/>
          <w:color w:val="000000" w:themeColor="text1"/>
          <w:sz w:val="32"/>
          <w:szCs w:val="32"/>
          <w:highlight w:val="none"/>
          <w14:textFill>
            <w14:solidFill>
              <w14:schemeClr w14:val="tx1"/>
            </w14:solidFill>
          </w14:textFill>
        </w:rPr>
        <w:t>习近平新时代中国特色社会主义思想、党的二十大</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和二十届历次全会</w:t>
      </w:r>
      <w:r>
        <w:rPr>
          <w:rFonts w:hint="eastAsia" w:ascii="仿宋_GB2312" w:hAnsi="仿宋_GB2312" w:eastAsia="仿宋_GB2312" w:cs="仿宋_GB2312"/>
          <w:color w:val="000000" w:themeColor="text1"/>
          <w:sz w:val="32"/>
          <w:szCs w:val="32"/>
          <w:highlight w:val="none"/>
          <w14:textFill>
            <w14:solidFill>
              <w14:schemeClr w14:val="tx1"/>
            </w14:solidFill>
          </w14:textFill>
        </w:rPr>
        <w:t>精神，有力推动全校党组织和师生党员深入学习习近平新时代中国特色社会主义思想和党的</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最新理论知识</w:t>
      </w:r>
      <w:r>
        <w:rPr>
          <w:rFonts w:hint="eastAsia" w:ascii="仿宋_GB2312" w:hAnsi="仿宋_GB2312" w:eastAsia="仿宋_GB2312" w:cs="仿宋_GB2312"/>
          <w:color w:val="000000" w:themeColor="text1"/>
          <w:sz w:val="32"/>
          <w:szCs w:val="32"/>
          <w:highlight w:val="none"/>
          <w14:textFill>
            <w14:solidFill>
              <w14:schemeClr w14:val="tx1"/>
            </w14:solidFill>
          </w14:textFill>
        </w:rPr>
        <w:t>，</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使师生</w:t>
      </w:r>
      <w:r>
        <w:rPr>
          <w:rFonts w:hint="eastAsia" w:ascii="仿宋_GB2312" w:hAnsi="仿宋_GB2312" w:eastAsia="仿宋_GB2312" w:cs="仿宋_GB2312"/>
          <w:color w:val="000000" w:themeColor="text1"/>
          <w:sz w:val="32"/>
          <w:szCs w:val="32"/>
          <w:highlight w:val="none"/>
          <w14:textFill>
            <w14:solidFill>
              <w14:schemeClr w14:val="tx1"/>
            </w14:solidFill>
          </w14:textFill>
        </w:rPr>
        <w:t>深刻领悟“两个确立”的决定性意义，</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增强“四个意识”、坚定“四个自信”、做到“两个维护”。</w:t>
      </w:r>
    </w:p>
    <w:p w14:paraId="1EAB54BE">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drawing>
          <wp:anchor distT="0" distB="0" distL="114300" distR="114300" simplePos="0" relativeHeight="251703296" behindDoc="0" locked="0" layoutInCell="1" allowOverlap="1">
            <wp:simplePos x="0" y="0"/>
            <wp:positionH relativeFrom="column">
              <wp:posOffset>142240</wp:posOffset>
            </wp:positionH>
            <wp:positionV relativeFrom="paragraph">
              <wp:posOffset>301625</wp:posOffset>
            </wp:positionV>
            <wp:extent cx="5429250" cy="3884295"/>
            <wp:effectExtent l="0" t="0" r="0" b="1905"/>
            <wp:wrapNone/>
            <wp:docPr id="47" name="图片 47" descr="DJI_20250918184952_0001_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DJI_20250918184952_0001_D"/>
                    <pic:cNvPicPr>
                      <a:picLocks noChangeAspect="1"/>
                    </pic:cNvPicPr>
                  </pic:nvPicPr>
                  <pic:blipFill>
                    <a:blip r:embed="rId72"/>
                    <a:stretch>
                      <a:fillRect/>
                    </a:stretch>
                  </pic:blipFill>
                  <pic:spPr>
                    <a:xfrm>
                      <a:off x="0" y="0"/>
                      <a:ext cx="5429250" cy="3884295"/>
                    </a:xfrm>
                    <a:prstGeom prst="rect">
                      <a:avLst/>
                    </a:prstGeom>
                  </pic:spPr>
                </pic:pic>
              </a:graphicData>
            </a:graphic>
          </wp:anchor>
        </w:drawing>
      </w:r>
    </w:p>
    <w:p w14:paraId="13229B86">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1DA1DBBB">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1B223277">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5BE56D87">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5E6D9295">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0AF73970">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0E2ED742">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4C65135E">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56D76A40">
      <w:pP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5115102A">
      <w:pPr>
        <w:pStyle w:val="7"/>
        <w:ind w:left="0" w:leftChars="0" w:firstLine="0" w:firstLineChars="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bookmarkStart w:id="32" w:name="OLE_LINK21"/>
    </w:p>
    <w:p w14:paraId="65F4663B">
      <w:pPr>
        <w:pStyle w:val="7"/>
        <w:ind w:left="0" w:leftChars="0" w:firstLine="280" w:firstLineChars="100"/>
        <w:jc w:val="both"/>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p>
    <w:p w14:paraId="4BE5D61F">
      <w:pPr>
        <w:pStyle w:val="7"/>
        <w:ind w:left="0" w:leftChars="0" w:firstLine="280" w:firstLineChars="100"/>
        <w:jc w:val="center"/>
        <w:rPr>
          <w:rFonts w:hint="default"/>
          <w:color w:val="000000" w:themeColor="text1"/>
          <w:spacing w:val="-17"/>
          <w:sz w:val="28"/>
          <w:szCs w:val="28"/>
          <w:highlight w:val="none"/>
          <w:lang w:val="en-US" w:eastAsia="zh-CN"/>
          <w14:textFill>
            <w14:solidFill>
              <w14:schemeClr w14:val="tx1"/>
            </w14:solidFill>
          </w14:textFill>
        </w:rPr>
      </w:pPr>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 xml:space="preserve">图64  </w:t>
      </w:r>
      <w:r>
        <w:rPr>
          <w:rFonts w:hint="eastAsia" w:ascii="仿宋_GB2312" w:hAnsi="仿宋_GB2312" w:eastAsia="仿宋_GB2312" w:cs="仿宋_GB2312"/>
          <w:color w:val="000000" w:themeColor="text1"/>
          <w:spacing w:val="-17"/>
          <w:sz w:val="28"/>
          <w:szCs w:val="28"/>
          <w:highlight w:val="none"/>
          <w:lang w:eastAsia="zh-CN"/>
          <w14:textFill>
            <w14:solidFill>
              <w14:schemeClr w14:val="tx1"/>
            </w14:solidFill>
          </w14:textFill>
        </w:rPr>
        <w:t>202</w:t>
      </w:r>
      <w:r>
        <w:rPr>
          <w:rFonts w:hint="eastAsia" w:ascii="仿宋_GB2312" w:hAnsi="仿宋_GB2312" w:eastAsia="仿宋_GB2312" w:cs="仿宋_GB2312"/>
          <w:color w:val="000000" w:themeColor="text1"/>
          <w:spacing w:val="-17"/>
          <w:sz w:val="28"/>
          <w:szCs w:val="28"/>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pacing w:val="-17"/>
          <w:sz w:val="28"/>
          <w:szCs w:val="28"/>
          <w:highlight w:val="none"/>
          <w:lang w:eastAsia="zh-CN"/>
          <w14:textFill>
            <w14:solidFill>
              <w14:schemeClr w14:val="tx1"/>
            </w14:solidFill>
          </w14:textFill>
        </w:rPr>
        <w:t>年</w:t>
      </w:r>
      <w:r>
        <w:rPr>
          <w:rFonts w:hint="eastAsia" w:ascii="仿宋_GB2312" w:hAnsi="仿宋_GB2312" w:eastAsia="仿宋_GB2312" w:cs="仿宋_GB2312"/>
          <w:color w:val="000000" w:themeColor="text1"/>
          <w:spacing w:val="-17"/>
          <w:sz w:val="28"/>
          <w:szCs w:val="28"/>
          <w:highlight w:val="none"/>
          <w:lang w:val="en-US" w:eastAsia="zh-CN"/>
          <w14:textFill>
            <w14:solidFill>
              <w14:schemeClr w14:val="tx1"/>
            </w14:solidFill>
          </w14:textFill>
        </w:rPr>
        <w:t>9</w:t>
      </w:r>
      <w:r>
        <w:rPr>
          <w:rFonts w:hint="eastAsia" w:ascii="仿宋_GB2312" w:hAnsi="仿宋_GB2312" w:eastAsia="仿宋_GB2312" w:cs="仿宋_GB2312"/>
          <w:color w:val="000000" w:themeColor="text1"/>
          <w:spacing w:val="-17"/>
          <w:sz w:val="28"/>
          <w:szCs w:val="28"/>
          <w:highlight w:val="none"/>
          <w:lang w:eastAsia="zh-CN"/>
          <w14:textFill>
            <w14:solidFill>
              <w14:schemeClr w14:val="tx1"/>
            </w14:solidFill>
          </w14:textFill>
        </w:rPr>
        <w:t>月，</w:t>
      </w:r>
      <w:r>
        <w:rPr>
          <w:rFonts w:hint="eastAsia" w:ascii="仿宋_GB2312" w:hAnsi="仿宋_GB2312" w:eastAsia="仿宋_GB2312" w:cs="仿宋_GB2312"/>
          <w:color w:val="000000" w:themeColor="text1"/>
          <w:spacing w:val="-17"/>
          <w:sz w:val="28"/>
          <w:szCs w:val="28"/>
          <w:highlight w:val="none"/>
          <w:lang w:val="en-US" w:eastAsia="zh-CN"/>
          <w14:textFill>
            <w14:solidFill>
              <w14:schemeClr w14:val="tx1"/>
            </w14:solidFill>
          </w14:textFill>
        </w:rPr>
        <w:t>学校</w:t>
      </w:r>
      <w:r>
        <w:rPr>
          <w:rFonts w:hint="eastAsia" w:ascii="仿宋_GB2312" w:hAnsi="仿宋_GB2312" w:eastAsia="仿宋_GB2312" w:cs="仿宋_GB2312"/>
          <w:color w:val="000000" w:themeColor="text1"/>
          <w:spacing w:val="-17"/>
          <w:sz w:val="28"/>
          <w:szCs w:val="28"/>
          <w:highlight w:val="none"/>
          <w:lang w:eastAsia="zh-CN"/>
          <w14:textFill>
            <w14:solidFill>
              <w14:schemeClr w14:val="tx1"/>
            </w14:solidFill>
          </w14:textFill>
        </w:rPr>
        <w:t>党委书记蒙本曼给</w:t>
      </w:r>
      <w:r>
        <w:rPr>
          <w:rFonts w:hint="eastAsia" w:ascii="仿宋_GB2312" w:hAnsi="仿宋_GB2312" w:eastAsia="仿宋_GB2312" w:cs="仿宋_GB2312"/>
          <w:color w:val="000000" w:themeColor="text1"/>
          <w:spacing w:val="-17"/>
          <w:sz w:val="28"/>
          <w:szCs w:val="28"/>
          <w:highlight w:val="none"/>
          <w:lang w:val="en-US" w:eastAsia="zh-CN"/>
          <w14:textFill>
            <w14:solidFill>
              <w14:schemeClr w14:val="tx1"/>
            </w14:solidFill>
          </w14:textFill>
        </w:rPr>
        <w:t>新生讲授入党启蒙教育课</w:t>
      </w:r>
    </w:p>
    <w:bookmarkEnd w:id="32"/>
    <w:p w14:paraId="3458F686">
      <w:pPr>
        <w:rPr>
          <w:rFonts w:hint="default"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pPr>
      <w:r>
        <w:rPr>
          <w:color w:val="000000" w:themeColor="text1"/>
          <w:highlight w:val="none"/>
          <w14:textFill>
            <w14:solidFill>
              <w14:schemeClr w14:val="tx1"/>
            </w14:solidFill>
          </w14:textFill>
        </w:rPr>
        <w:drawing>
          <wp:inline distT="0" distB="0" distL="114300" distR="114300">
            <wp:extent cx="5642610" cy="3648075"/>
            <wp:effectExtent l="0" t="0" r="15240" b="9525"/>
            <wp:docPr id="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
                    <pic:cNvPicPr>
                      <a:picLocks noChangeAspect="1"/>
                    </pic:cNvPicPr>
                  </pic:nvPicPr>
                  <pic:blipFill>
                    <a:blip r:embed="rId73"/>
                    <a:stretch>
                      <a:fillRect/>
                    </a:stretch>
                  </pic:blipFill>
                  <pic:spPr>
                    <a:xfrm>
                      <a:off x="0" y="0"/>
                      <a:ext cx="5642610" cy="3648075"/>
                    </a:xfrm>
                    <a:prstGeom prst="rect">
                      <a:avLst/>
                    </a:prstGeom>
                    <a:noFill/>
                    <a:ln>
                      <a:noFill/>
                    </a:ln>
                  </pic:spPr>
                </pic:pic>
              </a:graphicData>
            </a:graphic>
          </wp:inline>
        </w:drawing>
      </w:r>
    </w:p>
    <w:p w14:paraId="3C151654">
      <w:pPr>
        <w:pStyle w:val="7"/>
        <w:ind w:left="0" w:leftChars="0" w:firstLine="0" w:firstLineChars="0"/>
        <w:jc w:val="cente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bookmarkStart w:id="33" w:name="OLE_LINK12"/>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图</w:t>
      </w:r>
      <w:bookmarkStart w:id="34" w:name="OLE_LINK13"/>
      <w:r>
        <w:rPr>
          <w:rFonts w:hint="eastAsia" w:ascii="仿宋_GB2312" w:hAnsi="仿宋_GB2312" w:eastAsia="仿宋_GB2312" w:cs="仿宋_GB2312"/>
          <w:color w:val="000000" w:themeColor="text1"/>
          <w:kern w:val="2"/>
          <w:sz w:val="28"/>
          <w:szCs w:val="28"/>
          <w:highlight w:val="none"/>
          <w:lang w:val="en-US" w:eastAsia="zh-CN" w:bidi="ar-SA"/>
          <w14:textFill>
            <w14:solidFill>
              <w14:schemeClr w14:val="tx1"/>
            </w14:solidFill>
          </w14:textFill>
        </w:rPr>
        <w:t xml:space="preserve">65  </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202</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5</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年5月，</w:t>
      </w:r>
      <w:r>
        <w:rPr>
          <w:rFonts w:hint="eastAsia" w:ascii="仿宋_GB2312" w:hAnsi="仿宋_GB2312" w:eastAsia="仿宋_GB2312" w:cs="仿宋_GB2312"/>
          <w:color w:val="000000" w:themeColor="text1"/>
          <w:sz w:val="28"/>
          <w:szCs w:val="28"/>
          <w:highlight w:val="none"/>
          <w:lang w:val="en-US" w:eastAsia="zh-CN"/>
          <w14:textFill>
            <w14:solidFill>
              <w14:schemeClr w14:val="tx1"/>
            </w14:solidFill>
          </w14:textFill>
        </w:rPr>
        <w:t>学校</w:t>
      </w:r>
      <w:r>
        <w:rPr>
          <w:rFonts w:hint="eastAsia" w:ascii="仿宋_GB2312" w:hAnsi="仿宋_GB2312" w:eastAsia="仿宋_GB2312" w:cs="仿宋_GB2312"/>
          <w:color w:val="000000" w:themeColor="text1"/>
          <w:sz w:val="28"/>
          <w:szCs w:val="28"/>
          <w:highlight w:val="none"/>
          <w:lang w:eastAsia="zh-CN"/>
          <w14:textFill>
            <w14:solidFill>
              <w14:schemeClr w14:val="tx1"/>
            </w14:solidFill>
          </w14:textFill>
        </w:rPr>
        <w:t>党委书记蒙本曼给党员发展对象授课</w:t>
      </w:r>
      <w:bookmarkEnd w:id="33"/>
      <w:bookmarkEnd w:id="34"/>
    </w:p>
    <w:p w14:paraId="39690406">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7.2</w:t>
      </w:r>
      <w:bookmarkStart w:id="35" w:name="OLE_LINK14"/>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政策落实</w:t>
      </w:r>
    </w:p>
    <w:bookmarkEnd w:id="35"/>
    <w:p w14:paraId="627CE352">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2025年，广西工程职业学院以习近平新时代中国特色社会主义思想为指导，深入学习贯彻党的二十届三中全会和全国教育大会精神，全面落实教育强国建设规划纲要及职业教育相关国家政策，锚定高质量发展目标，聚焦立德树人根本任务，结合区域产业发展需求，扎实推进各项政策落地见效。</w:t>
      </w:r>
    </w:p>
    <w:p w14:paraId="2953B28C">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1.始终坚持社会主义办学方向</w:t>
      </w:r>
    </w:p>
    <w:p w14:paraId="60C93141">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深刻把握教育的政治属性，坚持以习近平新时代中国特色社会主义思想铸魂育人。2025年度，学校党委将执行党的政治路线、严守政治纪律与规矩摆在首位，确保在思想上政治上行动上同以习近平同志为核心的中共中央保持高度一致。通过不断加强党委对学校工作的全面领导，忠诚履行管党治党、办学治校主体责任，持续增强“四个意识” 、坚定“四个自信” 、做到“两个维护” ，确保学校各项事业始终沿着正确政治方向前进。切实把好政治方向、谋划发展全局、作出科学决策、狠抓工作落实、维护校园稳定，为落实立德树人根本任务提供了坚强的思想和组织保证。</w:t>
      </w:r>
    </w:p>
    <w:p w14:paraId="24BE1A1C">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2.</w:t>
      </w:r>
      <w:r>
        <w:rPr>
          <w:rFonts w:hint="eastAsia" w:ascii="仿宋_GB2312" w:hAnsi="仿宋_GB2312" w:eastAsia="仿宋_GB2312" w:cs="仿宋_GB2312"/>
          <w:color w:val="000000" w:themeColor="text1"/>
          <w:sz w:val="32"/>
          <w:szCs w:val="32"/>
          <w:highlight w:val="none"/>
          <w14:textFill>
            <w14:solidFill>
              <w14:schemeClr w14:val="tx1"/>
            </w14:solidFill>
          </w14:textFill>
        </w:rPr>
        <w:t>聚焦立德树人根本任务，筑牢思政育人根基</w:t>
      </w:r>
    </w:p>
    <w:p w14:paraId="0137E05B">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深入落实国家关于加强和改进新时代思想政治工作的政策要求，以党建引领思政教育提质增效。一是强化党建领航作用，持续推进党建“领航工程”，将党的领导贯穿办学治校全过程。依托自治区“两新”组织党建工作示范点优势，加强二级学院党组织建设，规范“三会一课”制度，开展贯彻落实中央八项规定精神主题教育，加强基层党组织建设，提升基层党组织凝聚力和战斗力。二是创新思政教育模式，完善“大思政”工作机制，构建“理论教学+实践体验+文化浸润”的思政育人体系。整合校内外思政教育资源，建设思政课实践教学基地，将百色红色文化、黄文秀先进事迹融入思政课堂。定期开展课程思政优秀案例评选等活动，提升思政教师教学水平，推动思政课程与课程思政有机融合，实现全员全程全方位育人。</w:t>
      </w:r>
    </w:p>
    <w:p w14:paraId="76A146A7">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3.</w:t>
      </w:r>
      <w:r>
        <w:rPr>
          <w:rFonts w:hint="eastAsia" w:ascii="仿宋_GB2312" w:hAnsi="仿宋_GB2312" w:eastAsia="仿宋_GB2312" w:cs="仿宋_GB2312"/>
          <w:color w:val="000000" w:themeColor="text1"/>
          <w:sz w:val="32"/>
          <w:szCs w:val="32"/>
          <w:highlight w:val="none"/>
          <w14:textFill>
            <w14:solidFill>
              <w14:schemeClr w14:val="tx1"/>
            </w14:solidFill>
          </w14:textFill>
        </w:rPr>
        <w:t>深化产教融合改革，对接产业发展需求</w:t>
      </w:r>
    </w:p>
    <w:p w14:paraId="48E01128">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严格落实国家关于深化产教融合、校企合作的政策部署，着力提升人才培养与产业需求的契合度。一是构建协同育人机制，紧密对接广西建筑业、先进制造业、现代服务业等重点产业发展需求，推行“岗课赛证”综合育人模式，将企业岗位标准、职业技能等级证书要求融入人才培养方案，优化课程体系和教学内容。二是拓展校企合作维度，邀请企业技术骨干进校园授课，安排教师到企业实践锻炼，实现校企资源共享、优势互补。</w:t>
      </w:r>
    </w:p>
    <w:p w14:paraId="77BFD57B">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4.规范招生考试管理，落实分类招生政策</w:t>
      </w:r>
    </w:p>
    <w:p w14:paraId="5C7EA89E">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严格贯彻教育部及自治区关于高职院校分类考试招生的政策要求，规范招生工作流程，拓宽人才选拔渠道。一是完善招生工作机制，成立招生工作领导小组，明确各部门职责，纪检监察部门全程监督招生工作，确保招生过程公开、公平、公正。制定详细的招生简章，清晰告知招生对象、报考条件、收费标准等信息，为考生提供便捷指导。二是落实“文化素质+职业技能”测试模式，积极参与广西高职高专分类考试招生联合测试，严格执行免试及加分政策，对符合条件的技能大赛获奖考生给予职业技能成绩加分或免试认定，切实选拔符合职业教育培养要求的优质生源，2025年，顺利完成高职对口中职自主招生工作。三是落实2025年广西专升本统一考试相关要求，学校依据《广西2025年普通高等教育专升本考试报名办法》等政策文件，从招生组织、报考审核、考试实施到录取管理等环节系统推进，顺利完成2025年普通高等教育专升本考试工作。</w:t>
      </w:r>
    </w:p>
    <w:p w14:paraId="393B6FE6">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default"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5.加大资助政策和诚信教育宣传，推动助人育人成效</w:t>
      </w:r>
    </w:p>
    <w:p w14:paraId="56D0A691">
      <w:pPr>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jc w:val="both"/>
        <w:textAlignment w:val="auto"/>
        <w:rPr>
          <w:rFonts w:hint="eastAsia" w:ascii="仿宋_GB2312" w:hAnsi="仿宋_GB2312" w:eastAsia="仿宋_GB2312" w:cs="仿宋_GB2312"/>
          <w:b w:val="0"/>
          <w:bCs w:val="0"/>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加大国家资助政策宣传力度及开展诚信教育宣传，深入推动资</w:t>
      </w:r>
      <w:r>
        <w:rPr>
          <w:rFonts w:hint="eastAsia" w:ascii="仿宋_GB2312" w:hAnsi="仿宋_GB2312" w:eastAsia="仿宋_GB2312" w:cs="仿宋_GB2312"/>
          <w:b w:val="0"/>
          <w:bCs w:val="0"/>
          <w:color w:val="000000" w:themeColor="text1"/>
          <w:spacing w:val="-8"/>
          <w:kern w:val="2"/>
          <w:sz w:val="32"/>
          <w:szCs w:val="32"/>
          <w:highlight w:val="none"/>
          <w:lang w:val="en-US" w:eastAsia="zh-CN" w:bidi="ar-SA"/>
          <w14:textFill>
            <w14:solidFill>
              <w14:schemeClr w14:val="tx1"/>
            </w14:solidFill>
          </w14:textFill>
        </w:rPr>
        <w:t>助育人工作，进一步激励广大受助学生诚实守信、奋发自强、立志成才、感恩奉献，提升资助育人成效，2025年4月24日，学校</w:t>
      </w:r>
      <w:r>
        <w:rPr>
          <w:rFonts w:hint="eastAsia" w:ascii="仿宋_GB2312" w:hAnsi="仿宋_GB2312" w:eastAsia="仿宋_GB2312" w:cs="仿宋_GB2312"/>
          <w:b w:val="0"/>
          <w:bCs w:val="0"/>
          <w:color w:val="000000" w:themeColor="text1"/>
          <w:kern w:val="0"/>
          <w:sz w:val="32"/>
          <w:szCs w:val="32"/>
          <w:highlight w:val="none"/>
          <w:lang w:val="en-US" w:eastAsia="zh-CN" w:bidi="ar"/>
          <w14:textFill>
            <w14:solidFill>
              <w14:schemeClr w14:val="tx1"/>
            </w14:solidFill>
          </w14:textFill>
        </w:rPr>
        <w:t>开展“学生资助伴你成长，教育强国奋斗有我”学生资助政策宣传月启动仪式。</w:t>
      </w:r>
      <w:r>
        <w:rPr>
          <w:rFonts w:hint="eastAsia" w:ascii="仿宋_GB2312" w:hAnsi="仿宋_GB2312" w:eastAsia="仿宋_GB2312" w:cs="仿宋_GB2312"/>
          <w:b w:val="0"/>
          <w:bCs w:val="0"/>
          <w:color w:val="000000" w:themeColor="text1"/>
          <w:spacing w:val="-8"/>
          <w:kern w:val="2"/>
          <w:sz w:val="32"/>
          <w:szCs w:val="32"/>
          <w:highlight w:val="none"/>
          <w:lang w:val="en-US" w:eastAsia="zh-CN" w:bidi="ar-SA"/>
          <w14:textFill>
            <w14:solidFill>
              <w14:schemeClr w14:val="tx1"/>
            </w14:solidFill>
          </w14:textFill>
        </w:rPr>
        <w:t>学校学生工作处资助科科长从“奖、勤、助、贷、补、减”角度全面对学生资助政策进行解读。进一步加大了学生资助政策的宣传力度，让广大学子全面了解了国家资助政策，确保各项资助政策顺利实施。让广大学生对国家和学校资助政策有更深层次的理解，激励同学们不仅要做资助政策的受益者，更要做资助政策的传播者、践行者。同时，活动进一步提升了学校资助音人实效，增强了受助学生回报社会的感恩意识和奉献社会的责任意识，激励广大受助学生要充分发挥示范和引领作用，坚定理想信念，勇担历史使命，勤学本领，立志成才，为实现中华民族伟大复兴的中国梦贡献青春力量。</w:t>
      </w:r>
    </w:p>
    <w:p w14:paraId="6C691ECC">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b w:val="0"/>
          <w:bCs w:val="0"/>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b w:val="0"/>
          <w:bCs w:val="0"/>
          <w:color w:val="000000" w:themeColor="text1"/>
          <w:sz w:val="32"/>
          <w:szCs w:val="32"/>
          <w:highlight w:val="none"/>
          <w:lang w:val="en-US" w:eastAsia="zh-CN"/>
          <w14:textFill>
            <w14:solidFill>
              <w14:schemeClr w14:val="tx1"/>
            </w14:solidFill>
          </w14:textFill>
        </w:rPr>
        <w:t>7.3专项实施</w:t>
      </w:r>
    </w:p>
    <w:p w14:paraId="750F0EAF">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2025年是国家“十四五”规划收官、教育强国建设全面提速的关键之年。我校深入贯彻落实国家职业教育改革发展纲要及广西壮族自治区教育厅相关工作部署，聚焦人才培养质量提升、毕业生就业促进等核心任务，统筹推进多项专项工作。各专项均按计划完成阶段性目标，其中高职分类招考规范落地、就业创业成效显著，“抓落实 促育人”专项行动有序推进，为学校高质量发展奠定坚实基础。</w:t>
      </w:r>
    </w:p>
    <w:p w14:paraId="5FBA8217">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bookmarkStart w:id="36" w:name="OLE_LINK22"/>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1.</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高职分类招考改革专项</w:t>
      </w:r>
    </w:p>
    <w:bookmarkEnd w:id="36"/>
    <w:p w14:paraId="1E64EAEB">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认真为贯彻落实《教育部办公厅关于进一步完善高职院校分类考试工作的通知》（教学厅函〔2021〕36号）及《自治区招生考试院关于做好我区2025年高职院校分类考试招生工作的通知》（桂考院〔2024〕189号）文件精神，拓宽人才选拔渠道，探索多元化职业教育人才培养路径，我校启动高职分类招考改革专项。成立由学校党委书记、校长为主任，分管招生就业、教务、二级学院等校领导为副主任、相关职能部门负责人为成员的招生委员会，全面统筹招生工作，明确招生就业处为招生工作职能部门，负责处理招生具体工作事宜，纪检监察部门全程监督，确保招考工作公开公平公正，严格执行广西分类招考新政要求，落实“平行志愿投档”“全部考生参加院校联盟统一测试”“学考成绩计入总成绩”等新规，制定详细招生简章，明确报名、缴费、打印准考证、测试等各环节时间节点与操作规范。通过学校招生信息网、微信公众号、班级群等渠道发布招考信息，组织“政策直通车”宣讲会，解答报考疑问，录取工作规范有序，未发生任何招考纪律问题，圆满完成年度招生计划。</w:t>
      </w:r>
    </w:p>
    <w:p w14:paraId="5E680E20">
      <w:pPr>
        <w:pStyle w:val="6"/>
        <w:keepNext w:val="0"/>
        <w:keepLines w:val="0"/>
        <w:pageBreakBefore w:val="0"/>
        <w:widowControl/>
        <w:suppressLineNumbers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2.</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毕业生就业创业促进专项</w:t>
      </w:r>
    </w:p>
    <w:p w14:paraId="37A507A8">
      <w:pPr>
        <w:keepNext w:val="0"/>
        <w:keepLines w:val="0"/>
        <w:pageBreakBefore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b w:val="0"/>
          <w:bCs/>
          <w:color w:val="000000" w:themeColor="text1"/>
          <w:kern w:val="0"/>
          <w:sz w:val="32"/>
          <w:szCs w:val="32"/>
          <w:highlight w:val="none"/>
          <w:lang w:val="en-US" w:eastAsia="zh-CN" w:bidi="ar"/>
          <w14:textFill>
            <w14:solidFill>
              <w14:schemeClr w14:val="tx1"/>
            </w14:solidFill>
          </w14:textFill>
        </w:rPr>
        <w:t>落实《教育部关于做好2025届全国普通高校毕业生就业创业工作的通知》要求，坚持“稳规模、提质量、优结构、促创业”工作主线，针对2025届毕业生就业需求，实施就业创业促进专项工作。一是</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通过坚决落实就业工作“一把手工程”，成立由党委书记、校长任双组长的就业创业工作领导小组，构建“校领导统筹、招生就业处牵头、二级学院主抓、辅导员落实”的四级联动机制。二是开展多元化就业指导活动，全年组织生涯规划大赛、简历制作大赛、校友报告会等专项活动覆盖近1万人次；三是针对不同专业特点开展分类指导，涵盖职业生涯规划、简历优化、面试技巧等内容。四是深入实施“书记校长访企拓岗促就业专项行动”，校院两级领导班子累计走访企业146家，与近60家用人单位建立稳定合作关系，新增就业岗位1000余个，共建就业实践基地3家；五是对接广西人社部门发布的重点企业用工需求，聚焦生产辅助、计算机电子设备制造、汽车制造等热门岗位领域，精准推送岗位信息；六是搭建线上线下融合的招聘平台，2024年9月至2025年8月，联合广西人才网举办5场线上招聘会。</w:t>
      </w:r>
    </w:p>
    <w:p w14:paraId="16DF7DAE">
      <w:pPr>
        <w:keepNext w:val="0"/>
        <w:keepLines w:val="0"/>
        <w:pageBreakBefore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3.</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“抓落实</w:t>
      </w: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 xml:space="preserve"> </w:t>
      </w:r>
      <w:r>
        <w:rPr>
          <w:rFonts w:hint="eastAsia" w:ascii="仿宋_GB2312" w:hAnsi="仿宋_GB2312" w:eastAsia="仿宋_GB2312" w:cs="仿宋_GB2312"/>
          <w:b w:val="0"/>
          <w:bCs/>
          <w:color w:val="000000" w:themeColor="text1"/>
          <w:sz w:val="32"/>
          <w:szCs w:val="32"/>
          <w:highlight w:val="none"/>
          <w14:textFill>
            <w14:solidFill>
              <w14:schemeClr w14:val="tx1"/>
            </w14:solidFill>
          </w14:textFill>
        </w:rPr>
        <w:t>促育人”专项行动</w:t>
      </w:r>
    </w:p>
    <w:p w14:paraId="5C7C69FA">
      <w:pPr>
        <w:keepNext w:val="0"/>
        <w:keepLines w:val="0"/>
        <w:pageBreakBefore w:val="0"/>
        <w:kinsoku/>
        <w:wordWrap/>
        <w:overflowPunct/>
        <w:topLinePunct w:val="0"/>
        <w:autoSpaceDE/>
        <w:autoSpaceDN/>
        <w:bidi w:val="0"/>
        <w:adjustRightInd/>
        <w:snapToGrid/>
        <w:spacing w:beforeAutospacing="0" w:afterAutospacing="0" w:line="520" w:lineRule="exact"/>
        <w:ind w:firstLine="640" w:firstLineChars="200"/>
        <w:textAlignment w:val="auto"/>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b w:val="0"/>
          <w:bCs/>
          <w:color w:val="000000" w:themeColor="text1"/>
          <w:sz w:val="32"/>
          <w:szCs w:val="32"/>
          <w:highlight w:val="none"/>
          <w:lang w:val="en-US" w:eastAsia="zh-CN"/>
          <w14:textFill>
            <w14:solidFill>
              <w14:schemeClr w14:val="tx1"/>
            </w14:solidFill>
          </w14:textFill>
        </w:rPr>
        <w:t>根据《自治区教育厅办公室转发教育部办公厅关于开展职业学校“抓落实 促育人”专项行动》（桂教办〔2025〕34号）精神，学校快速响应启动，召开“抓落实 促育人”专项行动部署会，部署为期两年的职业学校“抓落实 促育人”专项行动，学校把“抓落实 促育人”专项行动作为学校未来工作的重中之重，自工作部署后，各部门、二级学院以强烈的责任感和使命感，将此专项行动与学校中心工作紧密结合，与日常各项工作同落实，该项专项行动目前稳步推进。</w:t>
      </w:r>
    </w:p>
    <w:p w14:paraId="6E3569CF">
      <w:pPr>
        <w:pStyle w:val="9"/>
        <w:keepNext w:val="0"/>
        <w:keepLines w:val="0"/>
        <w:pageBreakBefore w:val="0"/>
        <w:widowControl/>
        <w:kinsoku w:val="0"/>
        <w:wordWrap/>
        <w:overflowPunct/>
        <w:topLinePunct w:val="0"/>
        <w:autoSpaceDE w:val="0"/>
        <w:autoSpaceDN w:val="0"/>
        <w:bidi w:val="0"/>
        <w:adjustRightInd w:val="0"/>
        <w:snapToGrid w:val="0"/>
        <w:spacing w:line="520" w:lineRule="exact"/>
        <w:ind w:left="0" w:firstLine="656" w:firstLineChars="200"/>
        <w:jc w:val="both"/>
        <w:textAlignment w:val="baseline"/>
        <w:rPr>
          <w:rFonts w:hint="eastAsia" w:ascii="楷体_GB2312" w:hAnsi="楷体_GB2312" w:eastAsia="楷体_GB2312" w:cs="楷体_GB2312"/>
          <w:b w:val="0"/>
          <w:bCs w:val="0"/>
          <w:color w:val="000000" w:themeColor="text1"/>
          <w:spacing w:val="4"/>
          <w:sz w:val="32"/>
          <w:szCs w:val="32"/>
          <w:highlight w:val="none"/>
          <w:lang w:val="en-US" w:eastAsia="zh-CN"/>
          <w14:textFill>
            <w14:solidFill>
              <w14:schemeClr w14:val="tx1"/>
            </w14:solidFill>
          </w14:textFill>
        </w:rPr>
      </w:pPr>
      <w:r>
        <w:rPr>
          <w:rFonts w:hint="eastAsia" w:ascii="楷体_GB2312" w:hAnsi="楷体_GB2312" w:eastAsia="楷体_GB2312" w:cs="楷体_GB2312"/>
          <w:b w:val="0"/>
          <w:bCs w:val="0"/>
          <w:color w:val="000000" w:themeColor="text1"/>
          <w:spacing w:val="4"/>
          <w:sz w:val="32"/>
          <w:szCs w:val="32"/>
          <w:highlight w:val="none"/>
          <w14:textFill>
            <w14:solidFill>
              <w14:schemeClr w14:val="tx1"/>
            </w14:solidFill>
          </w14:textFill>
        </w:rPr>
        <w:t>7.3质量保</w:t>
      </w:r>
      <w:r>
        <w:rPr>
          <w:rFonts w:hint="eastAsia" w:ascii="楷体_GB2312" w:hAnsi="楷体_GB2312" w:eastAsia="楷体_GB2312" w:cs="楷体_GB2312"/>
          <w:b w:val="0"/>
          <w:bCs w:val="0"/>
          <w:color w:val="000000" w:themeColor="text1"/>
          <w:spacing w:val="4"/>
          <w:sz w:val="32"/>
          <w:szCs w:val="32"/>
          <w:highlight w:val="none"/>
          <w:lang w:val="en-US" w:eastAsia="zh-CN"/>
          <w14:textFill>
            <w14:solidFill>
              <w14:schemeClr w14:val="tx1"/>
            </w14:solidFill>
          </w14:textFill>
        </w:rPr>
        <w:t>证</w:t>
      </w:r>
    </w:p>
    <w:p w14:paraId="49DE02D2">
      <w:pPr>
        <w:keepNext w:val="0"/>
        <w:keepLines w:val="0"/>
        <w:pageBreakBefore w:val="0"/>
        <w:widowControl w:val="0"/>
        <w:kinsoku/>
        <w:wordWrap/>
        <w:overflowPunct/>
        <w:topLinePunct w:val="0"/>
        <w:autoSpaceDE/>
        <w:autoSpaceDN/>
        <w:bidi w:val="0"/>
        <w:adjustRightInd/>
        <w:snapToGrid/>
        <w:spacing w:line="520" w:lineRule="exact"/>
        <w:ind w:firstLine="640" w:firstLineChars="200"/>
        <w:textAlignment w:val="auto"/>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14:textFill>
            <w14:solidFill>
              <w14:schemeClr w14:val="tx1"/>
            </w14:solidFill>
          </w14:textFill>
        </w:rPr>
        <w:t>学校围绕重点工作，制定和完善制度体系建设。优化内部控制体系构建，进一步排查风险防控点，完善采购、公车管理、公务接待等系列制度。制定督查督办制度，执行落实与检查督查。围绕学校经济领域，制订内部控制，做好风险防控。不断加强人才队伍和团队建设，提高教育教学能力，提升管理和服务水平。加强专业建设，提升教育教学质量，重视课堂效率，组织巡查督查，不定期开展通报批评。</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学校</w:t>
      </w:r>
      <w:r>
        <w:rPr>
          <w:rFonts w:hint="eastAsia" w:ascii="仿宋_GB2312" w:hAnsi="仿宋_GB2312" w:eastAsia="仿宋_GB2312" w:cs="仿宋_GB2312"/>
          <w:color w:val="000000" w:themeColor="text1"/>
          <w:sz w:val="32"/>
          <w:szCs w:val="32"/>
          <w:highlight w:val="none"/>
          <w14:textFill>
            <w14:solidFill>
              <w14:schemeClr w14:val="tx1"/>
            </w14:solidFill>
          </w14:textFill>
        </w:rPr>
        <w:t>作为理工类全日制高校，近2万名在校生规模形成充足的人才供给池，44个专业</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（方向）</w:t>
      </w:r>
      <w:r>
        <w:rPr>
          <w:rFonts w:hint="eastAsia" w:ascii="仿宋_GB2312" w:hAnsi="仿宋_GB2312" w:eastAsia="仿宋_GB2312" w:cs="仿宋_GB2312"/>
          <w:color w:val="000000" w:themeColor="text1"/>
          <w:sz w:val="32"/>
          <w:szCs w:val="32"/>
          <w:highlight w:val="none"/>
          <w14:textFill>
            <w14:solidFill>
              <w14:schemeClr w14:val="tx1"/>
            </w14:solidFill>
          </w14:textFill>
        </w:rPr>
        <w:t>涵盖装备制造、电子与信息、土木建筑等12个大类，可针对性培养产业急需人才。学校拥有国家级、自治区级职业教育教学成果奖，100多项科技服务成果，为产教融合提供优质教学支撑。校内</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有</w:t>
      </w:r>
      <w:r>
        <w:rPr>
          <w:rFonts w:hint="eastAsia" w:ascii="仿宋_GB2312" w:hAnsi="仿宋_GB2312" w:eastAsia="仿宋_GB2312" w:cs="仿宋_GB2312"/>
          <w:color w:val="000000" w:themeColor="text1"/>
          <w:sz w:val="32"/>
          <w:szCs w:val="32"/>
          <w:highlight w:val="none"/>
          <w14:textFill>
            <w14:solidFill>
              <w14:schemeClr w14:val="tx1"/>
            </w14:solidFill>
          </w14:textFill>
        </w:rPr>
        <w:t>7个实验实训中心</w:t>
      </w:r>
      <w:r>
        <w:rPr>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Fonts w:hint="eastAsia" w:ascii="仿宋_GB2312" w:hAnsi="仿宋_GB2312" w:eastAsia="仿宋_GB2312" w:cs="仿宋_GB2312"/>
          <w:color w:val="000000" w:themeColor="text1"/>
          <w:sz w:val="32"/>
          <w:szCs w:val="32"/>
          <w:highlight w:val="none"/>
          <w14:textFill>
            <w14:solidFill>
              <w14:schemeClr w14:val="tx1"/>
            </w14:solidFill>
          </w14:textFill>
        </w:rPr>
        <w:t>校外</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76</w:t>
      </w:r>
      <w:r>
        <w:rPr>
          <w:rFonts w:hint="eastAsia" w:ascii="仿宋_GB2312" w:hAnsi="仿宋_GB2312" w:eastAsia="仿宋_GB2312" w:cs="仿宋_GB2312"/>
          <w:color w:val="000000" w:themeColor="text1"/>
          <w:sz w:val="32"/>
          <w:szCs w:val="32"/>
          <w:highlight w:val="none"/>
          <w14:textFill>
            <w14:solidFill>
              <w14:schemeClr w14:val="tx1"/>
            </w14:solidFill>
          </w14:textFill>
        </w:rPr>
        <w:t>个实践教学基地遍布两广地区，涵盖制造、建筑、教育等多个行业，形成“校内实训+校外实践”的完整实践体系，满足不同专业的产教融合需求。</w:t>
      </w:r>
    </w:p>
    <w:p w14:paraId="166993CA">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pPr>
      <w:r>
        <w:rPr>
          <w:rFonts w:hint="eastAsia" w:ascii="仿宋_GB2312" w:hAnsi="仿宋_GB2312" w:eastAsia="仿宋_GB2312" w:cs="仿宋_GB2312"/>
          <w:color w:val="000000" w:themeColor="text1"/>
          <w:sz w:val="32"/>
          <w:szCs w:val="32"/>
          <w:highlight w:val="none"/>
          <w:lang w:val="en-US" w:eastAsia="en-US"/>
          <w14:textFill>
            <w14:solidFill>
              <w14:schemeClr w14:val="tx1"/>
            </w14:solidFill>
          </w14:textFill>
        </w:rPr>
        <w:t>7.5经费保障</w:t>
      </w:r>
    </w:p>
    <w:p w14:paraId="70656B79">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Fonts w:hint="eastAsia" w:ascii="仿宋_GB2312" w:hAnsi="仿宋_GB2312" w:eastAsia="仿宋_GB2312" w:cs="仿宋_GB2312"/>
          <w:color w:val="000000" w:themeColor="text1"/>
          <w:spacing w:val="0"/>
          <w:w w:val="100"/>
          <w:sz w:val="32"/>
          <w:szCs w:val="32"/>
          <w:highlight w:val="none"/>
          <w:lang w:val="en-US" w:eastAsia="zh-CN"/>
          <w14:textFill>
            <w14:solidFill>
              <w14:schemeClr w14:val="tx1"/>
            </w14:solidFill>
          </w14:textFill>
        </w:rPr>
        <w:t>2025年学校就业经费来源于学生学费收入，学校</w:t>
      </w:r>
      <w:r>
        <w:rPr>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严格执行国家财经法律法规和职业教育经费管理规定，确保资金规范安全运行；多渠道筹措办学经费，经费使用聚焦教学、实训、师资队伍建设等核心领域，加大对教学、科研、师资队伍和实训基地建设的投入。</w:t>
      </w:r>
    </w:p>
    <w:p w14:paraId="0EB32BB8">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8.面临挑战</w:t>
      </w:r>
    </w:p>
    <w:p w14:paraId="059F80C2">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8.1面临挑战</w:t>
      </w:r>
    </w:p>
    <w:p w14:paraId="613E008C">
      <w:pPr>
        <w:pStyle w:val="6"/>
        <w:keepNext w:val="0"/>
        <w:keepLines w:val="0"/>
        <w:widowControl/>
        <w:suppressLineNumbers w:val="0"/>
        <w:jc w:val="left"/>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bookmarkStart w:id="37" w:name="OLE_LINK15"/>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挑战1：生源竞争加剧与质量提升压力并存</w:t>
      </w:r>
    </w:p>
    <w:p w14:paraId="5936E6C6">
      <w:pPr>
        <w:pStyle w:val="9"/>
        <w:keepNext w:val="0"/>
        <w:keepLines w:val="0"/>
        <w:pageBreakBefore w:val="0"/>
        <w:kinsoku/>
        <w:wordWrap/>
        <w:bidi w:val="0"/>
        <w:spacing w:line="520" w:lineRule="exact"/>
        <w:ind w:left="0" w:leftChars="0" w:firstLine="640" w:firstLineChars="200"/>
        <w:rPr>
          <w:rFonts w:hint="eastAsia" w:ascii="仿宋_GB2312" w:hAnsi="仿宋_GB2312" w:eastAsia="仿宋_GB2312" w:cs="仿宋_GB2312"/>
          <w:color w:val="000000" w:themeColor="text1"/>
          <w:kern w:val="2"/>
          <w:sz w:val="32"/>
          <w:szCs w:val="32"/>
          <w:highlight w:val="none"/>
          <w:lang w:val="en-US" w:eastAsia="en-US" w:bidi="ar-SA"/>
          <w14:textFill>
            <w14:solidFill>
              <w14:schemeClr w14:val="tx1"/>
            </w14:solidFill>
          </w14:textFill>
        </w:rPr>
      </w:pPr>
      <w:r>
        <w:rPr>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一方面，广西2026年职教高考政策调整，明确中职二年级在校生不得参加对口考试，缩小了对口生源基数，同时外来人员报考条件的细化也对生源招募范围形成限制。另一方面，职业本科院校扩容及区内同类高职院校的竞争加剧，优质生源更倾向于选择升学通道更畅通、办学资源更优质的院校，导致学校面临生源数量不足与质量参差不齐的双重压力。</w:t>
      </w:r>
    </w:p>
    <w:p w14:paraId="2EA05A6E">
      <w:pPr>
        <w:keepNext w:val="0"/>
        <w:keepLines w:val="0"/>
        <w:pageBreakBefore w:val="0"/>
        <w:widowControl/>
        <w:kinsoku/>
        <w:wordWrap/>
        <w:overflowPunct/>
        <w:topLinePunct w:val="0"/>
        <w:autoSpaceDE/>
        <w:autoSpaceDN/>
        <w:bidi w:val="0"/>
        <w:adjustRightInd/>
        <w:snapToGrid w:val="0"/>
        <w:spacing w:after="0" w:line="520" w:lineRule="exact"/>
        <w:ind w:firstLine="640" w:firstLineChars="200"/>
        <w:jc w:val="both"/>
        <w:textAlignment w:val="baseline"/>
        <w:rPr>
          <w:rStyle w:val="22"/>
          <w:rFonts w:hint="default" w:ascii="仿宋_GB2312" w:hAnsi="仿宋_GB2312" w:eastAsia="仿宋_GB2312" w:cs="仿宋_GB2312"/>
          <w:color w:val="000000" w:themeColor="text1"/>
          <w:sz w:val="32"/>
          <w:szCs w:val="32"/>
          <w:highlight w:val="none"/>
          <w:lang w:val="en-US" w:eastAsia="zh-CN"/>
          <w14:textFill>
            <w14:solidFill>
              <w14:schemeClr w14:val="tx1"/>
            </w14:solidFill>
          </w14:textFill>
        </w:rPr>
      </w:pPr>
      <w:r>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挑战2：</w:t>
      </w:r>
      <w:r>
        <w:rPr>
          <w:rStyle w:val="22"/>
          <w:rFonts w:hint="eastAsia" w:ascii="仿宋_GB2312" w:hAnsi="仿宋_GB2312" w:eastAsia="仿宋_GB2312" w:cs="仿宋_GB2312"/>
          <w:color w:val="000000" w:themeColor="text1"/>
          <w:sz w:val="32"/>
          <w:szCs w:val="32"/>
          <w:highlight w:val="none"/>
          <w14:textFill>
            <w14:solidFill>
              <w14:schemeClr w14:val="tx1"/>
            </w14:solidFill>
          </w14:textFill>
        </w:rPr>
        <w:t>国务院印发的《深化新时代教育评价改革总体方案》是学校办学导向的指挥棒，是学校评价机制改革的任务书和路线图。扭转不科学的评价导向，破除体制机制障碍，提高学校治理能力和水平，是学校建设发展过程中不可回避的挑战。</w:t>
      </w:r>
    </w:p>
    <w:p w14:paraId="592BBE28">
      <w:pPr>
        <w:keepNext w:val="0"/>
        <w:keepLines w:val="0"/>
        <w:pageBreakBefore w:val="0"/>
        <w:widowControl/>
        <w:kinsoku/>
        <w:wordWrap/>
        <w:overflowPunct/>
        <w:topLinePunct w:val="0"/>
        <w:autoSpaceDE/>
        <w:autoSpaceDN/>
        <w:bidi w:val="0"/>
        <w:adjustRightInd/>
        <w:snapToGrid w:val="0"/>
        <w:spacing w:after="0" w:line="520" w:lineRule="exact"/>
        <w:ind w:firstLine="640" w:firstLineChars="200"/>
        <w:jc w:val="left"/>
        <w:textAlignment w:val="baseline"/>
        <w:rPr>
          <w:rFonts w:hint="eastAsia" w:ascii="楷体" w:hAnsi="楷体" w:eastAsia="楷体" w:cs="楷体"/>
          <w:b w:val="0"/>
          <w:bCs w:val="0"/>
          <w:color w:val="000000" w:themeColor="text1"/>
          <w:spacing w:val="4"/>
          <w:sz w:val="32"/>
          <w:szCs w:val="32"/>
          <w:highlight w:val="none"/>
          <w14:textFill>
            <w14:solidFill>
              <w14:schemeClr w14:val="tx1"/>
            </w14:solidFill>
          </w14:textFill>
        </w:rPr>
      </w:pPr>
      <w:r>
        <w:rPr>
          <w:rStyle w:val="22"/>
          <w:rFonts w:hint="eastAsia" w:ascii="仿宋_GB2312" w:hAnsi="仿宋_GB2312" w:eastAsia="仿宋_GB2312" w:cs="仿宋_GB2312"/>
          <w:color w:val="000000" w:themeColor="text1"/>
          <w:sz w:val="32"/>
          <w:szCs w:val="32"/>
          <w:highlight w:val="none"/>
          <w:lang w:val="en-US" w:eastAsia="zh-CN"/>
          <w14:textFill>
            <w14:solidFill>
              <w14:schemeClr w14:val="tx1"/>
            </w14:solidFill>
          </w14:textFill>
        </w:rPr>
        <w:t>挑战3：</w:t>
      </w:r>
      <w:r>
        <w:rPr>
          <w:rStyle w:val="22"/>
          <w:rFonts w:hint="eastAsia" w:ascii="仿宋_GB2312" w:hAnsi="仿宋_GB2312" w:eastAsia="仿宋_GB2312" w:cs="仿宋_GB2312"/>
          <w:color w:val="000000" w:themeColor="text1"/>
          <w:sz w:val="32"/>
          <w:szCs w:val="32"/>
          <w:highlight w:val="none"/>
          <w14:textFill>
            <w14:solidFill>
              <w14:schemeClr w14:val="tx1"/>
            </w14:solidFill>
          </w14:textFill>
        </w:rPr>
        <w:t>国家和我区经济结构转型、产业升级、生产技术更新换代，对各级各类专门人才要求更严更高。因此，如何优化专业结构，探索多样化应用型人才培养模式</w:t>
      </w:r>
      <w:r>
        <w:rPr>
          <w:rStyle w:val="22"/>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w:t>
      </w:r>
      <w:r>
        <w:rPr>
          <w:rStyle w:val="22"/>
          <w:rFonts w:hint="eastAsia" w:ascii="仿宋_GB2312" w:hAnsi="仿宋_GB2312" w:eastAsia="仿宋_GB2312" w:cs="仿宋_GB2312"/>
          <w:color w:val="000000" w:themeColor="text1"/>
          <w:sz w:val="32"/>
          <w:szCs w:val="32"/>
          <w:highlight w:val="none"/>
          <w14:textFill>
            <w14:solidFill>
              <w14:schemeClr w14:val="tx1"/>
            </w14:solidFill>
          </w14:textFill>
        </w:rPr>
        <w:t>提高人才培养质量</w:t>
      </w:r>
      <w:r>
        <w:rPr>
          <w:rStyle w:val="22"/>
          <w:rFonts w:hint="eastAsia" w:ascii="仿宋_GB2312" w:hAnsi="仿宋_GB2312" w:eastAsia="仿宋_GB2312" w:cs="仿宋_GB2312"/>
          <w:color w:val="000000" w:themeColor="text1"/>
          <w:sz w:val="32"/>
          <w:szCs w:val="32"/>
          <w:highlight w:val="none"/>
          <w:lang w:eastAsia="zh-CN"/>
          <w14:textFill>
            <w14:solidFill>
              <w14:schemeClr w14:val="tx1"/>
            </w14:solidFill>
          </w14:textFill>
        </w:rPr>
        <w:t>成为</w:t>
      </w:r>
      <w:r>
        <w:rPr>
          <w:rStyle w:val="22"/>
          <w:rFonts w:hint="eastAsia" w:ascii="仿宋_GB2312" w:hAnsi="仿宋_GB2312" w:eastAsia="仿宋_GB2312" w:cs="仿宋_GB2312"/>
          <w:color w:val="000000" w:themeColor="text1"/>
          <w:sz w:val="32"/>
          <w:szCs w:val="32"/>
          <w:highlight w:val="none"/>
          <w14:textFill>
            <w14:solidFill>
              <w14:schemeClr w14:val="tx1"/>
            </w14:solidFill>
          </w14:textFill>
        </w:rPr>
        <w:t>迫在眉睫的新任务。</w:t>
      </w:r>
    </w:p>
    <w:bookmarkEnd w:id="37"/>
    <w:p w14:paraId="602745CF">
      <w:pPr>
        <w:pStyle w:val="9"/>
        <w:keepNext w:val="0"/>
        <w:keepLines w:val="0"/>
        <w:pageBreakBefore w:val="0"/>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en-US"/>
          <w14:textFill>
            <w14:solidFill>
              <w14:schemeClr w14:val="tx1"/>
            </w14:solidFill>
          </w14:textFill>
        </w:rPr>
        <w:t>8.2原因分析及举措</w:t>
      </w:r>
    </w:p>
    <w:p w14:paraId="10DBD213">
      <w:pPr>
        <w:pStyle w:val="9"/>
        <w:keepNext w:val="0"/>
        <w:keepLines w:val="0"/>
        <w:pageBreakBefore w:val="0"/>
        <w:numPr>
          <w:ilvl w:val="0"/>
          <w:numId w:val="1"/>
        </w:numPr>
        <w:kinsoku/>
        <w:wordWrap/>
        <w:bidi w:val="0"/>
        <w:spacing w:line="520" w:lineRule="exact"/>
        <w:ind w:left="0" w:leftChars="0" w:firstLine="640" w:firstLineChars="200"/>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原因分析</w:t>
      </w:r>
    </w:p>
    <w:p w14:paraId="3D92E45F">
      <w:pPr>
        <w:keepNext w:val="0"/>
        <w:keepLines w:val="0"/>
        <w:pageBreakBefore w:val="0"/>
        <w:widowControl/>
        <w:suppressLineNumbers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第一，广西2026年职教高考政策的调整，是生源基数缩小的核心直接原因。中职二年级在校生不得参加对口考试的规定，直接剔除了原本占据对口生源一定比例的群体，从源头上减少了潜在生源数量；而外来人员报考条件的细化，进一步划定了生源招募的边界，排除了部分符合原有报考条件的外来群体，双重政策约束共同导致可招募生源范围收窄，直接引发生源数量不足的压力。</w:t>
      </w:r>
    </w:p>
    <w:p w14:paraId="069A6027">
      <w:pPr>
        <w:keepNext w:val="0"/>
        <w:keepLines w:val="0"/>
        <w:pageBreakBefore w:val="0"/>
        <w:widowControl/>
        <w:suppressLineNumbers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第二，国务院《深化新时代教育评价改革总体方案》作为国家层面的顶层设计，具有强制性和导向性，明确了职业教育评价改革的方向和目标，要求学校必须摒弃传统不科学的评价模式。但学校长期形成的评价惯性，具有较强的路径依赖，打破原有评价体系、建立新的评价标准和机制，必然会面临观念转变、流程重构等阻力。</w:t>
      </w:r>
    </w:p>
    <w:p w14:paraId="4EDB8933">
      <w:pPr>
        <w:keepNext w:val="0"/>
        <w:keepLines w:val="0"/>
        <w:pageBreakBefore w:val="0"/>
        <w:widowControl/>
        <w:suppressLineNumbers w:val="0"/>
        <w:kinsoku/>
        <w:wordWrap/>
        <w:overflowPunct/>
        <w:topLinePunct w:val="0"/>
        <w:autoSpaceDE/>
        <w:autoSpaceDN/>
        <w:bidi w:val="0"/>
        <w:adjustRightInd/>
        <w:snapToGrid/>
        <w:spacing w:line="520" w:lineRule="exact"/>
        <w:ind w:firstLine="640" w:firstLineChars="200"/>
        <w:jc w:val="both"/>
        <w:textAlignment w:val="auto"/>
        <w:rPr>
          <w:rFonts w:hint="eastAsia" w:ascii="仿宋_GB2312" w:hAnsi="仿宋_GB2312" w:eastAsia="仿宋_GB2312" w:cs="仿宋_GB2312"/>
          <w:color w:val="000000" w:themeColor="text1"/>
          <w:sz w:val="32"/>
          <w:szCs w:val="32"/>
          <w:highlight w:val="none"/>
          <w14:textFill>
            <w14:solidFill>
              <w14:schemeClr w14:val="tx1"/>
            </w14:solidFill>
          </w14:textFill>
        </w:rPr>
      </w:pPr>
      <w:r>
        <w:rPr>
          <w:rFonts w:hint="eastAsia" w:ascii="仿宋_GB2312" w:hAnsi="仿宋_GB2312" w:eastAsia="仿宋_GB2312" w:cs="仿宋_GB2312"/>
          <w:color w:val="000000" w:themeColor="text1"/>
          <w:kern w:val="0"/>
          <w:sz w:val="32"/>
          <w:szCs w:val="32"/>
          <w:highlight w:val="none"/>
          <w:lang w:val="en-US" w:eastAsia="zh-CN" w:bidi="ar"/>
          <w14:textFill>
            <w14:solidFill>
              <w14:schemeClr w14:val="tx1"/>
            </w14:solidFill>
          </w14:textFill>
        </w:rPr>
        <w:t>第三，国家和广西区域经济结构转型、产业升级是经济高质量发展的必然趋势，而生产技术的更新换代则是产业升级的核心驱动力。随着新兴产业崛起、传统产业改造升级，产业对人才的需求从“数量型”转向“质量型”，对人才的专业素养、实践能力、创新能力以及适配产业发展的专项技能提出了更严格、更高层次的要求。</w:t>
      </w:r>
    </w:p>
    <w:p w14:paraId="0D7E3BFF">
      <w:pPr>
        <w:keepNext w:val="0"/>
        <w:keepLines w:val="0"/>
        <w:pageBreakBefore w:val="0"/>
        <w:kinsoku/>
        <w:wordWrap/>
        <w:overflowPunct/>
        <w:topLinePunct w:val="0"/>
        <w:autoSpaceDE/>
        <w:autoSpaceDN/>
        <w:bidi w:val="0"/>
        <w:adjustRightInd/>
        <w:snapToGrid/>
        <w:spacing w:line="520" w:lineRule="exact"/>
        <w:ind w:firstLine="640" w:firstLineChars="200"/>
        <w:jc w:val="both"/>
        <w:textAlignment w:val="auto"/>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pPr>
      <w:r>
        <w:rPr>
          <w:rFonts w:hint="eastAsia" w:ascii="楷体_GB2312" w:hAnsi="楷体_GB2312" w:eastAsia="楷体_GB2312" w:cs="楷体_GB2312"/>
          <w:color w:val="000000" w:themeColor="text1"/>
          <w:sz w:val="32"/>
          <w:szCs w:val="32"/>
          <w:highlight w:val="none"/>
          <w:lang w:val="en-US" w:eastAsia="zh-CN"/>
          <w14:textFill>
            <w14:solidFill>
              <w14:schemeClr w14:val="tx1"/>
            </w14:solidFill>
          </w14:textFill>
        </w:rPr>
        <w:t>（2）改进举措</w:t>
      </w:r>
    </w:p>
    <w:p w14:paraId="7F3A15D9">
      <w:pPr>
        <w:pStyle w:val="23"/>
        <w:keepNext w:val="0"/>
        <w:keepLines w:val="0"/>
        <w:pageBreakBefore w:val="0"/>
        <w:widowControl w:val="0"/>
        <w:numPr>
          <w:ilvl w:val="0"/>
          <w:numId w:val="0"/>
        </w:numPr>
        <w:tabs>
          <w:tab w:val="left" w:pos="1463"/>
        </w:tabs>
        <w:kinsoku/>
        <w:wordWrap/>
        <w:overflowPunct/>
        <w:topLinePunct w:val="0"/>
        <w:autoSpaceDE w:val="0"/>
        <w:autoSpaceDN w:val="0"/>
        <w:bidi w:val="0"/>
        <w:adjustRightInd/>
        <w:snapToGrid/>
        <w:spacing w:after="0" w:line="520" w:lineRule="exact"/>
        <w:ind w:left="0" w:leftChars="0" w:right="0" w:firstLine="640" w:firstLineChars="200"/>
        <w:textAlignment w:val="auto"/>
        <w:rPr>
          <w:rStyle w:val="22"/>
          <w:rFonts w:hint="default"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第一，</w:t>
      </w:r>
      <w:r>
        <w:rPr>
          <w:rStyle w:val="22"/>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坚持党的领导，全面加强党建工作</w:t>
      </w: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w:t>
      </w:r>
    </w:p>
    <w:p w14:paraId="551F1CF2">
      <w:pPr>
        <w:pStyle w:val="9"/>
        <w:keepNext w:val="0"/>
        <w:keepLines w:val="0"/>
        <w:pageBreakBefore w:val="0"/>
        <w:widowControl w:val="0"/>
        <w:kinsoku/>
        <w:wordWrap/>
        <w:overflowPunct/>
        <w:topLinePunct w:val="0"/>
        <w:autoSpaceDE w:val="0"/>
        <w:autoSpaceDN w:val="0"/>
        <w:bidi w:val="0"/>
        <w:adjustRightInd/>
        <w:snapToGrid/>
        <w:spacing w:line="520" w:lineRule="exact"/>
        <w:ind w:left="0" w:leftChars="0" w:right="0" w:firstLine="640" w:firstLineChars="200"/>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进一步加强政治建设，教育引导党员干部不断增强“四个意识”、坚定“四个自信”、做到“两个维护”，并落实到具体工作上、行动上，确保党的路线方针政策和中央、自治区人民政府重大决策部署在学校落实落地。坚持用习近平新时代中国特色社会主义思想武装头脑、指导实践、推动工作。提升基层党组织建设规范化水平，持续做好“双创”活动， 加强基层党务干部培训。切实加强党风廉政建设，坚持把监督关口前移，把重心放在平时，充分运用好监督执纪“四种形态”。</w:t>
      </w:r>
    </w:p>
    <w:p w14:paraId="1D6EBF2C">
      <w:pPr>
        <w:pStyle w:val="9"/>
        <w:keepNext w:val="0"/>
        <w:keepLines w:val="0"/>
        <w:pageBreakBefore w:val="0"/>
        <w:widowControl w:val="0"/>
        <w:kinsoku/>
        <w:wordWrap/>
        <w:overflowPunct/>
        <w:topLinePunct w:val="0"/>
        <w:autoSpaceDE w:val="0"/>
        <w:autoSpaceDN w:val="0"/>
        <w:bidi w:val="0"/>
        <w:adjustRightInd/>
        <w:snapToGrid/>
        <w:spacing w:line="520" w:lineRule="exact"/>
        <w:ind w:left="0" w:leftChars="0" w:right="0" w:firstLine="640" w:firstLineChars="200"/>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第二，加强内涵建设，提高人才培养质量。</w:t>
      </w:r>
    </w:p>
    <w:p w14:paraId="56C5D190">
      <w:pPr>
        <w:pStyle w:val="9"/>
        <w:keepNext w:val="0"/>
        <w:keepLines w:val="0"/>
        <w:pageBreakBefore w:val="0"/>
        <w:widowControl w:val="0"/>
        <w:kinsoku/>
        <w:wordWrap/>
        <w:overflowPunct/>
        <w:topLinePunct w:val="0"/>
        <w:autoSpaceDE w:val="0"/>
        <w:autoSpaceDN w:val="0"/>
        <w:bidi w:val="0"/>
        <w:adjustRightInd/>
        <w:snapToGrid/>
        <w:spacing w:line="520" w:lineRule="exact"/>
        <w:ind w:left="0" w:leftChars="0" w:right="0" w:firstLine="640" w:firstLineChars="200"/>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深入贯彻落实“职教二十条”等系列重要文件精神，将深化教学改革、1+X 证书、师资团队建设等具体要求落实到专业建设、人才培养工作中。认真做好学校中长期发展规划， 根据学校“十四五”发展规划，将学校发展目标进一步具体化、数据化。切实提升专业建设水平，坚持将专业建在产业链上、需求链上，改革传统专业，积极开设适应经济社会发展需要的新专业。进一步加强产教融合、校企合作，扩展校企合作协同育人平台。加强“双师型”教师队伍建设，完善教师下企业锻炼制度，提升教师实践能力；加强高层次人才培养和引进工作。抓好招生与就业工作， 加大招生宣传力度，拓展招生途径；进一步提高就业质量，努力为学生就业创业提供支持和帮助。提升科研和社会服务水平，进一步完善制度体系，加强与行业企业的联系，积极搭建社会服务平台。</w:t>
      </w:r>
    </w:p>
    <w:p w14:paraId="6CAEFF87">
      <w:pPr>
        <w:pStyle w:val="23"/>
        <w:keepNext w:val="0"/>
        <w:keepLines w:val="0"/>
        <w:pageBreakBefore w:val="0"/>
        <w:widowControl w:val="0"/>
        <w:tabs>
          <w:tab w:val="left" w:pos="1463"/>
        </w:tabs>
        <w:kinsoku/>
        <w:wordWrap/>
        <w:overflowPunct/>
        <w:topLinePunct w:val="0"/>
        <w:autoSpaceDE w:val="0"/>
        <w:autoSpaceDN w:val="0"/>
        <w:bidi w:val="0"/>
        <w:adjustRightInd/>
        <w:snapToGrid/>
        <w:spacing w:after="0" w:line="520" w:lineRule="exact"/>
        <w:ind w:left="0" w:leftChars="0" w:right="0" w:firstLine="640" w:firstLineChars="200"/>
        <w:textAlignment w:val="auto"/>
        <w:rPr>
          <w:rStyle w:val="22"/>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第三，</w:t>
      </w:r>
      <w:r>
        <w:rPr>
          <w:rStyle w:val="22"/>
          <w:rFonts w:hint="eastAsia" w:ascii="仿宋_GB2312" w:hAnsi="仿宋_GB2312" w:eastAsia="仿宋_GB2312" w:cs="仿宋_GB2312"/>
          <w:color w:val="000000" w:themeColor="text1"/>
          <w:kern w:val="2"/>
          <w:sz w:val="32"/>
          <w:szCs w:val="32"/>
          <w:highlight w:val="none"/>
          <w:lang w:val="zh-CN" w:eastAsia="zh-CN" w:bidi="ar-SA"/>
          <w14:textFill>
            <w14:solidFill>
              <w14:schemeClr w14:val="tx1"/>
            </w14:solidFill>
          </w14:textFill>
        </w:rPr>
        <w:t>做好顶层设计，完善学校治理体系。</w:t>
      </w:r>
    </w:p>
    <w:p w14:paraId="23817527">
      <w:pPr>
        <w:pStyle w:val="9"/>
        <w:keepNext w:val="0"/>
        <w:keepLines w:val="0"/>
        <w:pageBreakBefore w:val="0"/>
        <w:widowControl w:val="0"/>
        <w:kinsoku/>
        <w:wordWrap/>
        <w:overflowPunct/>
        <w:topLinePunct w:val="0"/>
        <w:autoSpaceDE w:val="0"/>
        <w:autoSpaceDN w:val="0"/>
        <w:bidi w:val="0"/>
        <w:adjustRightInd/>
        <w:snapToGrid/>
        <w:spacing w:line="520" w:lineRule="exact"/>
        <w:ind w:left="0" w:leftChars="0" w:right="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深入学习贯彻党的二十大和二十届历次全会精神，从治理体系现代化入手， 构建科学、合理、高效的现代大学治理体系。进一步明确岗位工作职责，促进各单位（部门）协调合作，增强合力。完善考核工作机制，加大对校属各单位、教职工分类考核力度，强化考核结果的应用。持续推进依法治校，进一步加强制度建设，建立行之有效的制度规范，推进现行制度废改立工作；落实制度执行刚性约束；强化规矩意识，加强法治宣传教育，持续开展法制宣传等主题宣传教育。坚决维护校园安全稳定，定期分析研究安全稳定形势，确保校园安全稳定。</w:t>
      </w:r>
    </w:p>
    <w:p w14:paraId="6795CCE2">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第四，坚持立德树人，不断创新思政工作。</w:t>
      </w:r>
    </w:p>
    <w:p w14:paraId="6B63A3FD">
      <w:pPr>
        <w:pStyle w:val="9"/>
        <w:keepNext w:val="0"/>
        <w:keepLines w:val="0"/>
        <w:pageBreakBefore w:val="0"/>
        <w:widowControl w:val="0"/>
        <w:numPr>
          <w:ilvl w:val="0"/>
          <w:numId w:val="0"/>
        </w:numPr>
        <w:kinsoku/>
        <w:wordWrap/>
        <w:overflowPunct/>
        <w:topLinePunct w:val="0"/>
        <w:autoSpaceDE w:val="0"/>
        <w:autoSpaceDN w:val="0"/>
        <w:bidi w:val="0"/>
        <w:adjustRightInd/>
        <w:snapToGrid/>
        <w:spacing w:line="520" w:lineRule="exact"/>
        <w:ind w:right="0" w:rightChars="0" w:firstLine="640" w:firstLineChars="200"/>
        <w:jc w:val="both"/>
        <w:textAlignment w:val="auto"/>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pPr>
      <w:r>
        <w:rPr>
          <w:rStyle w:val="22"/>
          <w:rFonts w:hint="eastAsia" w:ascii="仿宋_GB2312" w:hAnsi="仿宋_GB2312" w:eastAsia="仿宋_GB2312" w:cs="仿宋_GB2312"/>
          <w:color w:val="000000" w:themeColor="text1"/>
          <w:kern w:val="2"/>
          <w:sz w:val="32"/>
          <w:szCs w:val="32"/>
          <w:highlight w:val="none"/>
          <w:lang w:val="en-US" w:eastAsia="zh-CN" w:bidi="ar-SA"/>
          <w14:textFill>
            <w14:solidFill>
              <w14:schemeClr w14:val="tx1"/>
            </w14:solidFill>
          </w14:textFill>
        </w:rPr>
        <w:t>深入落实学校“三全育人”改革实施方案和“时代新人铸魂工程”，大力推进新时代思想政治理论课改革创新，充分发挥课堂主渠道作用，大力推进精神文明建设，加强校园文化建设规划，积淀校园文化底蕴，不断创新思政工作新局面。</w:t>
      </w:r>
    </w:p>
    <w:sectPr>
      <w:footerReference r:id="rId5" w:type="default"/>
      <w:pgSz w:w="11906" w:h="16838"/>
      <w:pgMar w:top="2098" w:right="1417" w:bottom="2041" w:left="1531" w:header="851" w:footer="992" w:gutter="0"/>
      <w:pgBorders>
        <w:top w:val="none" w:sz="0" w:space="0"/>
        <w:left w:val="none" w:sz="0" w:space="0"/>
        <w:bottom w:val="none" w:sz="0" w:space="0"/>
        <w:right w:val="none" w:sz="0" w:space="0"/>
      </w:pgBorders>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780EEEF5-1778-4F3C-99E0-95C8651754A2}"/>
  </w:font>
  <w:font w:name="黑体">
    <w:panose1 w:val="02010609060101010101"/>
    <w:charset w:val="86"/>
    <w:family w:val="auto"/>
    <w:pitch w:val="default"/>
    <w:sig w:usb0="800002BF" w:usb1="38CF7CFA" w:usb2="00000016" w:usb3="00000000" w:csb0="00040001" w:csb1="00000000"/>
    <w:embedRegular r:id="rId2" w:fontKey="{5351B211-8D0B-4506-943C-29B2219FE15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3" w:fontKey="{698DDA04-9CEB-45DE-B8AD-9D5658733E5D}"/>
  </w:font>
  <w:font w:name="方正楷体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embedRegular r:id="rId4" w:fontKey="{46C24842-4452-4151-A332-4F711FB8409B}"/>
  </w:font>
  <w:font w:name="Cambria">
    <w:panose1 w:val="02040503050406030204"/>
    <w:charset w:val="00"/>
    <w:family w:val="auto"/>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embedRegular r:id="rId5" w:fontKey="{985C246E-996B-47DD-819E-FF990E113B3F}"/>
  </w:font>
  <w:font w:name="仿宋_GB2312">
    <w:panose1 w:val="02010609030101010101"/>
    <w:charset w:val="86"/>
    <w:family w:val="auto"/>
    <w:pitch w:val="default"/>
    <w:sig w:usb0="00000001" w:usb1="080E0000" w:usb2="00000000" w:usb3="00000000" w:csb0="00040000" w:csb1="00000000"/>
    <w:embedRegular r:id="rId6" w:fontKey="{7067E545-660E-4F48-BA81-A4D6F66A8F80}"/>
  </w:font>
  <w:font w:name="方正小标宋简体">
    <w:panose1 w:val="03000509000000000000"/>
    <w:charset w:val="86"/>
    <w:family w:val="auto"/>
    <w:pitch w:val="default"/>
    <w:sig w:usb0="00000001" w:usb1="080E0000" w:usb2="00000000" w:usb3="00000000" w:csb0="00040000" w:csb1="00000000"/>
    <w:embedRegular r:id="rId7" w:fontKey="{792AE04F-665C-4A23-8DEC-DDFB6B6F932F}"/>
  </w:font>
  <w:font w:name="楷体">
    <w:panose1 w:val="02010609060101010101"/>
    <w:charset w:val="86"/>
    <w:family w:val="auto"/>
    <w:pitch w:val="default"/>
    <w:sig w:usb0="800002BF" w:usb1="38CF7CFA" w:usb2="00000016" w:usb3="00000000" w:csb0="00040001" w:csb1="00000000"/>
    <w:embedRegular r:id="rId8" w:fontKey="{F566F236-F244-4991-9F37-3E9123DA28A8}"/>
  </w:font>
  <w:font w:name="楷体_GB2312">
    <w:panose1 w:val="02010609030101010101"/>
    <w:charset w:val="86"/>
    <w:family w:val="auto"/>
    <w:pitch w:val="default"/>
    <w:sig w:usb0="00000001" w:usb1="080E0000" w:usb2="00000000" w:usb3="00000000" w:csb0="00040000" w:csb1="00000000"/>
    <w:embedRegular r:id="rId9" w:fontKey="{865A3700-9249-4849-B554-D5725B14A2CE}"/>
  </w:font>
  <w:font w:name="Tahoma">
    <w:panose1 w:val="020B0604030504040204"/>
    <w:charset w:val="00"/>
    <w:family w:val="swiss"/>
    <w:pitch w:val="default"/>
    <w:sig w:usb0="E1002EFF" w:usb1="C000605B" w:usb2="00000029" w:usb3="00000000" w:csb0="200101FF" w:csb1="20280000"/>
    <w:embedRegular r:id="rId10" w:fontKey="{D52A4684-94AD-4438-A63D-A98DFC36992F}"/>
  </w:font>
  <w:font w:name="Verdana">
    <w:panose1 w:val="020B0604030504040204"/>
    <w:charset w:val="00"/>
    <w:family w:val="swiss"/>
    <w:pitch w:val="default"/>
    <w:sig w:usb0="A00006FF" w:usb1="4000205B" w:usb2="00000010" w:usb3="00000000" w:csb0="2000019F" w:csb1="00000000"/>
    <w:embedRegular r:id="rId11" w:fontKey="{D17E30CE-C049-4B06-8B7B-C28082095606}"/>
  </w:font>
  <w:font w:name="方正仿宋_GB2312">
    <w:panose1 w:val="02000000000000000000"/>
    <w:charset w:val="86"/>
    <w:family w:val="auto"/>
    <w:pitch w:val="default"/>
    <w:sig w:usb0="A00002BF" w:usb1="184F6CFA" w:usb2="00000012" w:usb3="00000000" w:csb0="00040001" w:csb1="00000000"/>
    <w:embedRegular r:id="rId12" w:fontKey="{F0C50BD4-0BED-45CB-B04D-A861BEE2EBBC}"/>
  </w:font>
  <w:font w:name="MS PGothic">
    <w:panose1 w:val="020B0600070205080204"/>
    <w:charset w:val="80"/>
    <w:family w:val="auto"/>
    <w:pitch w:val="default"/>
    <w:sig w:usb0="E00002FF" w:usb1="6AC7FDFB" w:usb2="08000012" w:usb3="00000000" w:csb0="4002009F" w:csb1="DFD70000"/>
  </w:font>
  <w:font w:name="WPSEMBED3">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8A26E7">
    <w:pPr>
      <w:pStyle w:val="10"/>
      <w:ind w:right="360"/>
      <w:rPr>
        <w:rFonts w:hint="eastAsia" w:ascii="宋体" w:hAnsi="宋体" w:eastAsia="宋体" w:cs="宋体"/>
        <w:b w:val="0"/>
        <w:bCs w:val="0"/>
      </w:rPr>
    </w:pPr>
  </w:p>
  <w:p w14:paraId="75BF87AD">
    <w:pPr>
      <w:spacing w:line="173" w:lineRule="auto"/>
      <w:jc w:val="both"/>
      <w:rPr>
        <w:rFonts w:hint="eastAsia" w:ascii="宋体" w:hAnsi="宋体" w:eastAsia="宋体" w:cs="宋体"/>
        <w:b w:val="0"/>
        <w:bCs w:val="0"/>
        <w:sz w:val="41"/>
        <w:szCs w:val="4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1104D">
    <w:pPr>
      <w:pStyle w:val="1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BD2EE7">
    <w:pPr>
      <w:pStyle w:val="10"/>
      <w:tabs>
        <w:tab w:val="center" w:pos="4479"/>
        <w:tab w:val="clear" w:pos="4153"/>
      </w:tabs>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E131BE">
                          <w:pPr>
                            <w:pStyle w:val="10"/>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WLh2QyAgAAY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XtrWt2dX8BfWdZ&#10;2OgHy2OaKKS3y32AmEnjKFCvylk3dF6q0nlKYmv/uU9Rj3+Gx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9YuHZDICAABhBAAADgAAAAAAAAABACAAAAAfAQAAZHJzL2Uyb0RvYy54bWxQSwUG&#10;AAAAAAYABgBZAQAAwwUAAAAA&#10;">
              <v:fill on="f" focussize="0,0"/>
              <v:stroke on="f" weight="0.5pt"/>
              <v:imagedata o:title=""/>
              <o:lock v:ext="edit" aspectratio="f"/>
              <v:textbox inset="0mm,0mm,0mm,0mm" style="mso-fit-shape-to-text:t;">
                <w:txbxContent>
                  <w:p w14:paraId="68E131BE">
                    <w:pPr>
                      <w:pStyle w:val="10"/>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r>
      <w:rPr>
        <w:rFonts w:hint="eastAsia"/>
        <w:lang w:eastAsia="zh-CN"/>
      </w:rPr>
      <w:tab/>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06A9DCE"/>
    <w:multiLevelType w:val="singleLevel"/>
    <w:tmpl w:val="606A9DCE"/>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FiMWU3NDc4MDY0ZjQ1Y2Y5MjRkYjBhODFlN2FiYzYifQ=="/>
    <w:docVar w:name="KSO_WPS_MARK_KEY" w:val="de950110-b0cb-4079-a543-9729fb1a44d9"/>
  </w:docVars>
  <w:rsids>
    <w:rsidRoot w:val="00000000"/>
    <w:rsid w:val="000B4F05"/>
    <w:rsid w:val="0022181C"/>
    <w:rsid w:val="0055669F"/>
    <w:rsid w:val="005F369F"/>
    <w:rsid w:val="00696E06"/>
    <w:rsid w:val="006B07BF"/>
    <w:rsid w:val="00962190"/>
    <w:rsid w:val="00991B0F"/>
    <w:rsid w:val="009D0EA3"/>
    <w:rsid w:val="00BB02EC"/>
    <w:rsid w:val="00C621A8"/>
    <w:rsid w:val="00E3393D"/>
    <w:rsid w:val="00FE5DE6"/>
    <w:rsid w:val="0103164E"/>
    <w:rsid w:val="01082241"/>
    <w:rsid w:val="01170272"/>
    <w:rsid w:val="0120001A"/>
    <w:rsid w:val="0198364B"/>
    <w:rsid w:val="01CF1530"/>
    <w:rsid w:val="01D72626"/>
    <w:rsid w:val="01F13A53"/>
    <w:rsid w:val="01F37EB1"/>
    <w:rsid w:val="02016BBE"/>
    <w:rsid w:val="02137073"/>
    <w:rsid w:val="021E377B"/>
    <w:rsid w:val="02254895"/>
    <w:rsid w:val="02261B21"/>
    <w:rsid w:val="02477318"/>
    <w:rsid w:val="024B2D99"/>
    <w:rsid w:val="02590D78"/>
    <w:rsid w:val="0261662C"/>
    <w:rsid w:val="026D2DCE"/>
    <w:rsid w:val="028B4CF0"/>
    <w:rsid w:val="02A76C9F"/>
    <w:rsid w:val="02B15B5F"/>
    <w:rsid w:val="02E55D05"/>
    <w:rsid w:val="02E877BE"/>
    <w:rsid w:val="02F13838"/>
    <w:rsid w:val="030376E3"/>
    <w:rsid w:val="0317318F"/>
    <w:rsid w:val="032A3D5D"/>
    <w:rsid w:val="03304722"/>
    <w:rsid w:val="034E6AC5"/>
    <w:rsid w:val="03976BD5"/>
    <w:rsid w:val="03AA5DB1"/>
    <w:rsid w:val="03DA4EB7"/>
    <w:rsid w:val="03DE3CAC"/>
    <w:rsid w:val="03EA5399"/>
    <w:rsid w:val="040E0D87"/>
    <w:rsid w:val="04275653"/>
    <w:rsid w:val="042A3104"/>
    <w:rsid w:val="043C4363"/>
    <w:rsid w:val="048D6A34"/>
    <w:rsid w:val="04B7715B"/>
    <w:rsid w:val="05080FE1"/>
    <w:rsid w:val="0525637C"/>
    <w:rsid w:val="05304992"/>
    <w:rsid w:val="056B57EE"/>
    <w:rsid w:val="058009FC"/>
    <w:rsid w:val="05996ED9"/>
    <w:rsid w:val="05B31A9B"/>
    <w:rsid w:val="05C173E2"/>
    <w:rsid w:val="05C55F1C"/>
    <w:rsid w:val="05D4102E"/>
    <w:rsid w:val="05D64A02"/>
    <w:rsid w:val="05F70F17"/>
    <w:rsid w:val="0608289F"/>
    <w:rsid w:val="060F19F0"/>
    <w:rsid w:val="06734B80"/>
    <w:rsid w:val="06891FB7"/>
    <w:rsid w:val="069B2886"/>
    <w:rsid w:val="069C45A5"/>
    <w:rsid w:val="06A33207"/>
    <w:rsid w:val="06C22C49"/>
    <w:rsid w:val="06C278B5"/>
    <w:rsid w:val="06C57D9C"/>
    <w:rsid w:val="06C95051"/>
    <w:rsid w:val="071E68A0"/>
    <w:rsid w:val="073323CD"/>
    <w:rsid w:val="074D3623"/>
    <w:rsid w:val="07532C3B"/>
    <w:rsid w:val="07635884"/>
    <w:rsid w:val="07972AF0"/>
    <w:rsid w:val="07B258B9"/>
    <w:rsid w:val="07D72EEC"/>
    <w:rsid w:val="07EB3BFC"/>
    <w:rsid w:val="07F37412"/>
    <w:rsid w:val="07F50247"/>
    <w:rsid w:val="08816B15"/>
    <w:rsid w:val="08AD224B"/>
    <w:rsid w:val="08D7606A"/>
    <w:rsid w:val="08DC28DE"/>
    <w:rsid w:val="08E81855"/>
    <w:rsid w:val="0909092D"/>
    <w:rsid w:val="09160ED2"/>
    <w:rsid w:val="09497E1A"/>
    <w:rsid w:val="095867A0"/>
    <w:rsid w:val="095C5D9F"/>
    <w:rsid w:val="097C427B"/>
    <w:rsid w:val="098A36C4"/>
    <w:rsid w:val="09AA7B69"/>
    <w:rsid w:val="09C0632E"/>
    <w:rsid w:val="09C86892"/>
    <w:rsid w:val="09D725C1"/>
    <w:rsid w:val="09F24B76"/>
    <w:rsid w:val="0A155C95"/>
    <w:rsid w:val="0A2C6C11"/>
    <w:rsid w:val="0A2F0DBE"/>
    <w:rsid w:val="0A6447FD"/>
    <w:rsid w:val="0A684CC1"/>
    <w:rsid w:val="0A726EFC"/>
    <w:rsid w:val="0A891CC9"/>
    <w:rsid w:val="0A931B40"/>
    <w:rsid w:val="0AB97D26"/>
    <w:rsid w:val="0AC92A8F"/>
    <w:rsid w:val="0ADA672B"/>
    <w:rsid w:val="0B220D96"/>
    <w:rsid w:val="0B4D3AF6"/>
    <w:rsid w:val="0B4F1759"/>
    <w:rsid w:val="0B4F3DA4"/>
    <w:rsid w:val="0B80156D"/>
    <w:rsid w:val="0B8310D1"/>
    <w:rsid w:val="0B93048E"/>
    <w:rsid w:val="0BA808FE"/>
    <w:rsid w:val="0BB83020"/>
    <w:rsid w:val="0BBA6B46"/>
    <w:rsid w:val="0BBA6DAD"/>
    <w:rsid w:val="0BF978D5"/>
    <w:rsid w:val="0C2A3F33"/>
    <w:rsid w:val="0C3973C1"/>
    <w:rsid w:val="0C607954"/>
    <w:rsid w:val="0C633C58"/>
    <w:rsid w:val="0CB05EC4"/>
    <w:rsid w:val="0CBC10B7"/>
    <w:rsid w:val="0CD768FA"/>
    <w:rsid w:val="0D141F08"/>
    <w:rsid w:val="0D251736"/>
    <w:rsid w:val="0D280553"/>
    <w:rsid w:val="0D3C3527"/>
    <w:rsid w:val="0D444731"/>
    <w:rsid w:val="0D493CFC"/>
    <w:rsid w:val="0D4E59FF"/>
    <w:rsid w:val="0D696CDD"/>
    <w:rsid w:val="0D93587D"/>
    <w:rsid w:val="0D997D99"/>
    <w:rsid w:val="0DA55273"/>
    <w:rsid w:val="0DC33681"/>
    <w:rsid w:val="0E295986"/>
    <w:rsid w:val="0E460DCC"/>
    <w:rsid w:val="0E5E3245"/>
    <w:rsid w:val="0E652A4B"/>
    <w:rsid w:val="0E7D275B"/>
    <w:rsid w:val="0E8F0FAA"/>
    <w:rsid w:val="0EA87391"/>
    <w:rsid w:val="0EAA6D93"/>
    <w:rsid w:val="0EBC6EC9"/>
    <w:rsid w:val="0EC87A33"/>
    <w:rsid w:val="0EDB4CB1"/>
    <w:rsid w:val="0EE70645"/>
    <w:rsid w:val="0F2033CB"/>
    <w:rsid w:val="0F3026C1"/>
    <w:rsid w:val="0F3D3225"/>
    <w:rsid w:val="0F4657CE"/>
    <w:rsid w:val="0F987405"/>
    <w:rsid w:val="0FA90B51"/>
    <w:rsid w:val="0FB50F19"/>
    <w:rsid w:val="0FBC7598"/>
    <w:rsid w:val="0FCF690D"/>
    <w:rsid w:val="101C207C"/>
    <w:rsid w:val="104F3F68"/>
    <w:rsid w:val="106129E5"/>
    <w:rsid w:val="106D2640"/>
    <w:rsid w:val="1076570F"/>
    <w:rsid w:val="107E5961"/>
    <w:rsid w:val="10856970"/>
    <w:rsid w:val="10B93A87"/>
    <w:rsid w:val="10CB4B4A"/>
    <w:rsid w:val="10D25977"/>
    <w:rsid w:val="10D4446D"/>
    <w:rsid w:val="10E01064"/>
    <w:rsid w:val="10E02E12"/>
    <w:rsid w:val="10E852EB"/>
    <w:rsid w:val="111927C8"/>
    <w:rsid w:val="111C6951"/>
    <w:rsid w:val="11227318"/>
    <w:rsid w:val="11287383"/>
    <w:rsid w:val="115956B9"/>
    <w:rsid w:val="116B4A1F"/>
    <w:rsid w:val="117A573D"/>
    <w:rsid w:val="11831E80"/>
    <w:rsid w:val="1210678D"/>
    <w:rsid w:val="121405DD"/>
    <w:rsid w:val="121B3E34"/>
    <w:rsid w:val="12332AEE"/>
    <w:rsid w:val="123D07BF"/>
    <w:rsid w:val="124759F0"/>
    <w:rsid w:val="12D81402"/>
    <w:rsid w:val="12DD245D"/>
    <w:rsid w:val="12ED326F"/>
    <w:rsid w:val="12FB17F5"/>
    <w:rsid w:val="1300779B"/>
    <w:rsid w:val="13330B42"/>
    <w:rsid w:val="13365F46"/>
    <w:rsid w:val="13373EDF"/>
    <w:rsid w:val="133A73E6"/>
    <w:rsid w:val="1360648C"/>
    <w:rsid w:val="1370040F"/>
    <w:rsid w:val="1371658E"/>
    <w:rsid w:val="137E6175"/>
    <w:rsid w:val="137F2DB6"/>
    <w:rsid w:val="13805418"/>
    <w:rsid w:val="138062FC"/>
    <w:rsid w:val="138E4DA7"/>
    <w:rsid w:val="13C75D03"/>
    <w:rsid w:val="13C83072"/>
    <w:rsid w:val="13CF587A"/>
    <w:rsid w:val="140040D7"/>
    <w:rsid w:val="140D240D"/>
    <w:rsid w:val="141D7B4A"/>
    <w:rsid w:val="143D0725"/>
    <w:rsid w:val="145F6743"/>
    <w:rsid w:val="147246C9"/>
    <w:rsid w:val="148A57CE"/>
    <w:rsid w:val="14A96A40"/>
    <w:rsid w:val="14E57806"/>
    <w:rsid w:val="14E77328"/>
    <w:rsid w:val="15097431"/>
    <w:rsid w:val="153B2D0D"/>
    <w:rsid w:val="15523407"/>
    <w:rsid w:val="155408DE"/>
    <w:rsid w:val="155461CF"/>
    <w:rsid w:val="1585667E"/>
    <w:rsid w:val="158F6305"/>
    <w:rsid w:val="15A05177"/>
    <w:rsid w:val="15A545E2"/>
    <w:rsid w:val="15BE2282"/>
    <w:rsid w:val="15F630D7"/>
    <w:rsid w:val="16182ED4"/>
    <w:rsid w:val="16357D03"/>
    <w:rsid w:val="16774218"/>
    <w:rsid w:val="167F1FF6"/>
    <w:rsid w:val="16845884"/>
    <w:rsid w:val="16A70E6C"/>
    <w:rsid w:val="16C75F21"/>
    <w:rsid w:val="16CC5D6A"/>
    <w:rsid w:val="16D36F75"/>
    <w:rsid w:val="16F35051"/>
    <w:rsid w:val="17075C53"/>
    <w:rsid w:val="176F2C18"/>
    <w:rsid w:val="17801B57"/>
    <w:rsid w:val="178D1819"/>
    <w:rsid w:val="17D66D1D"/>
    <w:rsid w:val="17E21BDA"/>
    <w:rsid w:val="1806207F"/>
    <w:rsid w:val="180735A4"/>
    <w:rsid w:val="18100BC8"/>
    <w:rsid w:val="182E6B59"/>
    <w:rsid w:val="18445738"/>
    <w:rsid w:val="18794E26"/>
    <w:rsid w:val="18803812"/>
    <w:rsid w:val="189231E2"/>
    <w:rsid w:val="18BE70F3"/>
    <w:rsid w:val="18D67294"/>
    <w:rsid w:val="18E45469"/>
    <w:rsid w:val="18EE1794"/>
    <w:rsid w:val="19031D93"/>
    <w:rsid w:val="19157D18"/>
    <w:rsid w:val="19397097"/>
    <w:rsid w:val="194523AC"/>
    <w:rsid w:val="19472A51"/>
    <w:rsid w:val="197D521E"/>
    <w:rsid w:val="197E0B09"/>
    <w:rsid w:val="19991827"/>
    <w:rsid w:val="19C41F0F"/>
    <w:rsid w:val="19E351E6"/>
    <w:rsid w:val="19E87788"/>
    <w:rsid w:val="1A0262AE"/>
    <w:rsid w:val="1A2164F3"/>
    <w:rsid w:val="1A356B66"/>
    <w:rsid w:val="1A3A4C9E"/>
    <w:rsid w:val="1A5A5312"/>
    <w:rsid w:val="1A5C228C"/>
    <w:rsid w:val="1AA61FA5"/>
    <w:rsid w:val="1AA84F97"/>
    <w:rsid w:val="1AF16508"/>
    <w:rsid w:val="1B11796B"/>
    <w:rsid w:val="1B192C8C"/>
    <w:rsid w:val="1B2128A9"/>
    <w:rsid w:val="1B644C47"/>
    <w:rsid w:val="1B696ADF"/>
    <w:rsid w:val="1B743677"/>
    <w:rsid w:val="1B814715"/>
    <w:rsid w:val="1B9140B5"/>
    <w:rsid w:val="1BAA0BEC"/>
    <w:rsid w:val="1BC33A5C"/>
    <w:rsid w:val="1BE340FE"/>
    <w:rsid w:val="1BFE2CE6"/>
    <w:rsid w:val="1BFF1C65"/>
    <w:rsid w:val="1C1037E2"/>
    <w:rsid w:val="1C35495A"/>
    <w:rsid w:val="1C6567E9"/>
    <w:rsid w:val="1C872CDB"/>
    <w:rsid w:val="1CA218C3"/>
    <w:rsid w:val="1CAB6355"/>
    <w:rsid w:val="1CCD0ADD"/>
    <w:rsid w:val="1CD0490C"/>
    <w:rsid w:val="1CDD05A9"/>
    <w:rsid w:val="1CF77D4E"/>
    <w:rsid w:val="1D0A6766"/>
    <w:rsid w:val="1D20733E"/>
    <w:rsid w:val="1D2D08C1"/>
    <w:rsid w:val="1D337CA5"/>
    <w:rsid w:val="1D3B5547"/>
    <w:rsid w:val="1D7B2840"/>
    <w:rsid w:val="1D9475F5"/>
    <w:rsid w:val="1D9F2051"/>
    <w:rsid w:val="1DAD7D43"/>
    <w:rsid w:val="1DB033C2"/>
    <w:rsid w:val="1DB47B00"/>
    <w:rsid w:val="1DBC1C98"/>
    <w:rsid w:val="1DD12460"/>
    <w:rsid w:val="1E0276E7"/>
    <w:rsid w:val="1E1D1034"/>
    <w:rsid w:val="1E20676E"/>
    <w:rsid w:val="1E2F6906"/>
    <w:rsid w:val="1E4C55E1"/>
    <w:rsid w:val="1E611F88"/>
    <w:rsid w:val="1E6C3F37"/>
    <w:rsid w:val="1E8857DD"/>
    <w:rsid w:val="1EA57C15"/>
    <w:rsid w:val="1ED8640E"/>
    <w:rsid w:val="1EFA6D76"/>
    <w:rsid w:val="1F1C27C5"/>
    <w:rsid w:val="1F20093D"/>
    <w:rsid w:val="1F2C56F9"/>
    <w:rsid w:val="1F3E27E5"/>
    <w:rsid w:val="1F8E4729"/>
    <w:rsid w:val="1FB62F47"/>
    <w:rsid w:val="1FDA2393"/>
    <w:rsid w:val="1FE8583F"/>
    <w:rsid w:val="1FED64D3"/>
    <w:rsid w:val="1FF31E08"/>
    <w:rsid w:val="20002579"/>
    <w:rsid w:val="200A0C28"/>
    <w:rsid w:val="203F1C70"/>
    <w:rsid w:val="204B625B"/>
    <w:rsid w:val="20541255"/>
    <w:rsid w:val="2059498F"/>
    <w:rsid w:val="20D109C9"/>
    <w:rsid w:val="20D63098"/>
    <w:rsid w:val="20FC4F82"/>
    <w:rsid w:val="213C3C16"/>
    <w:rsid w:val="21486EDD"/>
    <w:rsid w:val="21501D9E"/>
    <w:rsid w:val="215533A8"/>
    <w:rsid w:val="216B5FDC"/>
    <w:rsid w:val="219E4996"/>
    <w:rsid w:val="21A65B4B"/>
    <w:rsid w:val="21EC038F"/>
    <w:rsid w:val="21F506E7"/>
    <w:rsid w:val="22105521"/>
    <w:rsid w:val="222B3C12"/>
    <w:rsid w:val="223511AF"/>
    <w:rsid w:val="22684013"/>
    <w:rsid w:val="2284513A"/>
    <w:rsid w:val="22877591"/>
    <w:rsid w:val="22A7378F"/>
    <w:rsid w:val="22AC0867"/>
    <w:rsid w:val="22B034DF"/>
    <w:rsid w:val="22DC7F89"/>
    <w:rsid w:val="22E61014"/>
    <w:rsid w:val="232A058A"/>
    <w:rsid w:val="23492A98"/>
    <w:rsid w:val="234B4A46"/>
    <w:rsid w:val="23545551"/>
    <w:rsid w:val="237B3C52"/>
    <w:rsid w:val="23C860B3"/>
    <w:rsid w:val="23EB5E31"/>
    <w:rsid w:val="24106167"/>
    <w:rsid w:val="24224AF2"/>
    <w:rsid w:val="24455956"/>
    <w:rsid w:val="246A6BCB"/>
    <w:rsid w:val="248D2E59"/>
    <w:rsid w:val="249914D7"/>
    <w:rsid w:val="24A3267C"/>
    <w:rsid w:val="24B8087F"/>
    <w:rsid w:val="24E7615D"/>
    <w:rsid w:val="25255E98"/>
    <w:rsid w:val="25291273"/>
    <w:rsid w:val="257F6C45"/>
    <w:rsid w:val="25E64C93"/>
    <w:rsid w:val="262135DE"/>
    <w:rsid w:val="265169C9"/>
    <w:rsid w:val="26580406"/>
    <w:rsid w:val="265A6647"/>
    <w:rsid w:val="265E0D88"/>
    <w:rsid w:val="265F50FB"/>
    <w:rsid w:val="2665674E"/>
    <w:rsid w:val="266633B3"/>
    <w:rsid w:val="271201A6"/>
    <w:rsid w:val="274F0B3C"/>
    <w:rsid w:val="275B0217"/>
    <w:rsid w:val="27636CAC"/>
    <w:rsid w:val="27693709"/>
    <w:rsid w:val="27932534"/>
    <w:rsid w:val="27963AF1"/>
    <w:rsid w:val="279962AF"/>
    <w:rsid w:val="279D33B3"/>
    <w:rsid w:val="27B34A8F"/>
    <w:rsid w:val="280C22E7"/>
    <w:rsid w:val="280F7B9B"/>
    <w:rsid w:val="2832454B"/>
    <w:rsid w:val="2867279E"/>
    <w:rsid w:val="286F11F3"/>
    <w:rsid w:val="287065A1"/>
    <w:rsid w:val="28AC041A"/>
    <w:rsid w:val="28BC1AB8"/>
    <w:rsid w:val="28C73FEB"/>
    <w:rsid w:val="28C91EEE"/>
    <w:rsid w:val="28EE436F"/>
    <w:rsid w:val="290F208E"/>
    <w:rsid w:val="2919115F"/>
    <w:rsid w:val="2926314A"/>
    <w:rsid w:val="292A00E6"/>
    <w:rsid w:val="29423AC0"/>
    <w:rsid w:val="296C344E"/>
    <w:rsid w:val="297840D8"/>
    <w:rsid w:val="297A2607"/>
    <w:rsid w:val="29B5768A"/>
    <w:rsid w:val="29C705E8"/>
    <w:rsid w:val="29DC38AB"/>
    <w:rsid w:val="2A0B06CA"/>
    <w:rsid w:val="2A21651D"/>
    <w:rsid w:val="2A431266"/>
    <w:rsid w:val="2A5B250D"/>
    <w:rsid w:val="2A7B4CC0"/>
    <w:rsid w:val="2AA82311"/>
    <w:rsid w:val="2AA862BF"/>
    <w:rsid w:val="2AF22817"/>
    <w:rsid w:val="2AFA02A8"/>
    <w:rsid w:val="2B531336"/>
    <w:rsid w:val="2B540950"/>
    <w:rsid w:val="2B5446D0"/>
    <w:rsid w:val="2B5B3A0F"/>
    <w:rsid w:val="2B88675F"/>
    <w:rsid w:val="2B8951F0"/>
    <w:rsid w:val="2B9A0C4B"/>
    <w:rsid w:val="2BE45AA7"/>
    <w:rsid w:val="2BF63D3A"/>
    <w:rsid w:val="2C2422F5"/>
    <w:rsid w:val="2C451578"/>
    <w:rsid w:val="2C5123A4"/>
    <w:rsid w:val="2C521C9A"/>
    <w:rsid w:val="2C5D79F0"/>
    <w:rsid w:val="2C882884"/>
    <w:rsid w:val="2CAE7411"/>
    <w:rsid w:val="2CB7180C"/>
    <w:rsid w:val="2CB91291"/>
    <w:rsid w:val="2CDA49AE"/>
    <w:rsid w:val="2CDD0708"/>
    <w:rsid w:val="2CEA46AA"/>
    <w:rsid w:val="2CEB3C9C"/>
    <w:rsid w:val="2D055014"/>
    <w:rsid w:val="2D1E4F96"/>
    <w:rsid w:val="2D5D4641"/>
    <w:rsid w:val="2D6C32AC"/>
    <w:rsid w:val="2D7477E5"/>
    <w:rsid w:val="2D88240F"/>
    <w:rsid w:val="2D8B6022"/>
    <w:rsid w:val="2DB07500"/>
    <w:rsid w:val="2DC45B3D"/>
    <w:rsid w:val="2DE3207C"/>
    <w:rsid w:val="2DEA1FE1"/>
    <w:rsid w:val="2E271C28"/>
    <w:rsid w:val="2E2E1E9E"/>
    <w:rsid w:val="2E4C168F"/>
    <w:rsid w:val="2E625356"/>
    <w:rsid w:val="2E6764C9"/>
    <w:rsid w:val="2E7031AC"/>
    <w:rsid w:val="2E872775"/>
    <w:rsid w:val="2EA53B94"/>
    <w:rsid w:val="2EB3091E"/>
    <w:rsid w:val="2ECC2E0F"/>
    <w:rsid w:val="2ED0406E"/>
    <w:rsid w:val="2EDE7822"/>
    <w:rsid w:val="2EF50188"/>
    <w:rsid w:val="2F0B76C1"/>
    <w:rsid w:val="2F321443"/>
    <w:rsid w:val="2F475A2F"/>
    <w:rsid w:val="2F6F7D2B"/>
    <w:rsid w:val="2F8462B2"/>
    <w:rsid w:val="2F8513E4"/>
    <w:rsid w:val="2FA66B3A"/>
    <w:rsid w:val="2FAB35FC"/>
    <w:rsid w:val="2FB0024F"/>
    <w:rsid w:val="30052D48"/>
    <w:rsid w:val="30117313"/>
    <w:rsid w:val="30161399"/>
    <w:rsid w:val="302402A4"/>
    <w:rsid w:val="302D729E"/>
    <w:rsid w:val="30507FBE"/>
    <w:rsid w:val="305558AE"/>
    <w:rsid w:val="305D42DD"/>
    <w:rsid w:val="30B05373"/>
    <w:rsid w:val="30D103C3"/>
    <w:rsid w:val="30D67472"/>
    <w:rsid w:val="30DA1AC6"/>
    <w:rsid w:val="30F77FD8"/>
    <w:rsid w:val="30FD3114"/>
    <w:rsid w:val="316D5522"/>
    <w:rsid w:val="316F0AEE"/>
    <w:rsid w:val="318F7367"/>
    <w:rsid w:val="31B57B8A"/>
    <w:rsid w:val="31C87947"/>
    <w:rsid w:val="31C94911"/>
    <w:rsid w:val="31D938D0"/>
    <w:rsid w:val="31E367AE"/>
    <w:rsid w:val="31F2079F"/>
    <w:rsid w:val="32251738"/>
    <w:rsid w:val="3253123E"/>
    <w:rsid w:val="32566F80"/>
    <w:rsid w:val="326E3F8B"/>
    <w:rsid w:val="32894C60"/>
    <w:rsid w:val="32A448B1"/>
    <w:rsid w:val="32A528B3"/>
    <w:rsid w:val="32A750AB"/>
    <w:rsid w:val="32DD0717"/>
    <w:rsid w:val="32F10A57"/>
    <w:rsid w:val="32F95753"/>
    <w:rsid w:val="33174961"/>
    <w:rsid w:val="33247082"/>
    <w:rsid w:val="332E3B27"/>
    <w:rsid w:val="33437729"/>
    <w:rsid w:val="336458B3"/>
    <w:rsid w:val="336B3BBB"/>
    <w:rsid w:val="33756B4F"/>
    <w:rsid w:val="337E5A95"/>
    <w:rsid w:val="33857B1D"/>
    <w:rsid w:val="339064C2"/>
    <w:rsid w:val="33A07074"/>
    <w:rsid w:val="33E34843"/>
    <w:rsid w:val="33EC79E4"/>
    <w:rsid w:val="33FE3A24"/>
    <w:rsid w:val="34061B98"/>
    <w:rsid w:val="3428494C"/>
    <w:rsid w:val="343612F2"/>
    <w:rsid w:val="345D2848"/>
    <w:rsid w:val="349C58C3"/>
    <w:rsid w:val="34A178A0"/>
    <w:rsid w:val="34A50FFA"/>
    <w:rsid w:val="34B21FAA"/>
    <w:rsid w:val="34BC24D3"/>
    <w:rsid w:val="34F4722E"/>
    <w:rsid w:val="34FE418A"/>
    <w:rsid w:val="35183045"/>
    <w:rsid w:val="35447564"/>
    <w:rsid w:val="354559C9"/>
    <w:rsid w:val="359F29EC"/>
    <w:rsid w:val="35A1252D"/>
    <w:rsid w:val="35A23D07"/>
    <w:rsid w:val="35A36DA8"/>
    <w:rsid w:val="35C41541"/>
    <w:rsid w:val="36035C2F"/>
    <w:rsid w:val="360A4288"/>
    <w:rsid w:val="360E29E0"/>
    <w:rsid w:val="36176A26"/>
    <w:rsid w:val="36405F7D"/>
    <w:rsid w:val="364C5B28"/>
    <w:rsid w:val="365A0DB0"/>
    <w:rsid w:val="368B79DE"/>
    <w:rsid w:val="36C84E28"/>
    <w:rsid w:val="36D30B9F"/>
    <w:rsid w:val="37097C84"/>
    <w:rsid w:val="3741014C"/>
    <w:rsid w:val="377C5E8D"/>
    <w:rsid w:val="378C6A7C"/>
    <w:rsid w:val="379132D5"/>
    <w:rsid w:val="37A80FAF"/>
    <w:rsid w:val="37BF0F1D"/>
    <w:rsid w:val="37D526F5"/>
    <w:rsid w:val="37FE36FA"/>
    <w:rsid w:val="38202B12"/>
    <w:rsid w:val="382A32B4"/>
    <w:rsid w:val="38344814"/>
    <w:rsid w:val="3846182E"/>
    <w:rsid w:val="386558A2"/>
    <w:rsid w:val="38734EE5"/>
    <w:rsid w:val="387B5177"/>
    <w:rsid w:val="388608BE"/>
    <w:rsid w:val="388D4F7E"/>
    <w:rsid w:val="388F0AF6"/>
    <w:rsid w:val="38915716"/>
    <w:rsid w:val="38A95422"/>
    <w:rsid w:val="38C216E0"/>
    <w:rsid w:val="38FE5C7B"/>
    <w:rsid w:val="39040007"/>
    <w:rsid w:val="39441F01"/>
    <w:rsid w:val="39695BA8"/>
    <w:rsid w:val="397E02A7"/>
    <w:rsid w:val="39942E23"/>
    <w:rsid w:val="39F00121"/>
    <w:rsid w:val="39F33306"/>
    <w:rsid w:val="3A2636DC"/>
    <w:rsid w:val="3A3516DD"/>
    <w:rsid w:val="3A3E69BC"/>
    <w:rsid w:val="3A547633"/>
    <w:rsid w:val="3A6F2849"/>
    <w:rsid w:val="3A744AC8"/>
    <w:rsid w:val="3A75637D"/>
    <w:rsid w:val="3A9C42EB"/>
    <w:rsid w:val="3AA30888"/>
    <w:rsid w:val="3AA54601"/>
    <w:rsid w:val="3AB073C3"/>
    <w:rsid w:val="3AC05572"/>
    <w:rsid w:val="3AF80094"/>
    <w:rsid w:val="3B167BFD"/>
    <w:rsid w:val="3BA44C16"/>
    <w:rsid w:val="3BAD15C4"/>
    <w:rsid w:val="3BAF4CB1"/>
    <w:rsid w:val="3BBB15A5"/>
    <w:rsid w:val="3BE473AB"/>
    <w:rsid w:val="3C174E3B"/>
    <w:rsid w:val="3C202033"/>
    <w:rsid w:val="3C2C1A7A"/>
    <w:rsid w:val="3C3564C7"/>
    <w:rsid w:val="3C3851C6"/>
    <w:rsid w:val="3C4B19ED"/>
    <w:rsid w:val="3C662AA8"/>
    <w:rsid w:val="3C726165"/>
    <w:rsid w:val="3C752ECC"/>
    <w:rsid w:val="3C8830D1"/>
    <w:rsid w:val="3C892A33"/>
    <w:rsid w:val="3CA90BBA"/>
    <w:rsid w:val="3CC7468F"/>
    <w:rsid w:val="3D0715A3"/>
    <w:rsid w:val="3D074171"/>
    <w:rsid w:val="3D22519C"/>
    <w:rsid w:val="3D8E4CCC"/>
    <w:rsid w:val="3D962926"/>
    <w:rsid w:val="3DB82B5C"/>
    <w:rsid w:val="3DC15BF5"/>
    <w:rsid w:val="3DD01183"/>
    <w:rsid w:val="3DD947C2"/>
    <w:rsid w:val="3DF20191"/>
    <w:rsid w:val="3E09759C"/>
    <w:rsid w:val="3E211BD6"/>
    <w:rsid w:val="3E627F6E"/>
    <w:rsid w:val="3E6E20D2"/>
    <w:rsid w:val="3E7B00EE"/>
    <w:rsid w:val="3E9947A4"/>
    <w:rsid w:val="3EB5502E"/>
    <w:rsid w:val="3EC66625"/>
    <w:rsid w:val="3ECC5795"/>
    <w:rsid w:val="3F6F78D3"/>
    <w:rsid w:val="3F9328A2"/>
    <w:rsid w:val="3FAD7BAF"/>
    <w:rsid w:val="3FC121E1"/>
    <w:rsid w:val="3FD46B8D"/>
    <w:rsid w:val="3FEE770C"/>
    <w:rsid w:val="3FF848A0"/>
    <w:rsid w:val="4033527B"/>
    <w:rsid w:val="4043262F"/>
    <w:rsid w:val="40B94983"/>
    <w:rsid w:val="40D21957"/>
    <w:rsid w:val="40E35940"/>
    <w:rsid w:val="40F260C6"/>
    <w:rsid w:val="41094250"/>
    <w:rsid w:val="414F52C6"/>
    <w:rsid w:val="41523008"/>
    <w:rsid w:val="41594397"/>
    <w:rsid w:val="417D4E71"/>
    <w:rsid w:val="41BE659E"/>
    <w:rsid w:val="41CF2217"/>
    <w:rsid w:val="41F879AF"/>
    <w:rsid w:val="42022339"/>
    <w:rsid w:val="42135B51"/>
    <w:rsid w:val="421630CB"/>
    <w:rsid w:val="422C39E3"/>
    <w:rsid w:val="42426BD9"/>
    <w:rsid w:val="42452AF4"/>
    <w:rsid w:val="42935BFA"/>
    <w:rsid w:val="429B7236"/>
    <w:rsid w:val="42A67B0A"/>
    <w:rsid w:val="42B6194B"/>
    <w:rsid w:val="42BD10B7"/>
    <w:rsid w:val="42C121F4"/>
    <w:rsid w:val="42C65A5C"/>
    <w:rsid w:val="42EC7BBA"/>
    <w:rsid w:val="42F25546"/>
    <w:rsid w:val="42F779C3"/>
    <w:rsid w:val="4303280C"/>
    <w:rsid w:val="43133F57"/>
    <w:rsid w:val="431552C1"/>
    <w:rsid w:val="432664FB"/>
    <w:rsid w:val="438561FF"/>
    <w:rsid w:val="438A7457"/>
    <w:rsid w:val="43945E81"/>
    <w:rsid w:val="43CA69C6"/>
    <w:rsid w:val="43D877F5"/>
    <w:rsid w:val="43E07E74"/>
    <w:rsid w:val="43EB026A"/>
    <w:rsid w:val="43F842F2"/>
    <w:rsid w:val="43FB1735"/>
    <w:rsid w:val="440A0D52"/>
    <w:rsid w:val="440F5436"/>
    <w:rsid w:val="4448537B"/>
    <w:rsid w:val="4458577C"/>
    <w:rsid w:val="445D4370"/>
    <w:rsid w:val="446078E4"/>
    <w:rsid w:val="447B05E9"/>
    <w:rsid w:val="44A02CA2"/>
    <w:rsid w:val="44B54B67"/>
    <w:rsid w:val="44BF7EDF"/>
    <w:rsid w:val="450665E4"/>
    <w:rsid w:val="45173AB8"/>
    <w:rsid w:val="452D1870"/>
    <w:rsid w:val="45344528"/>
    <w:rsid w:val="453D6C4C"/>
    <w:rsid w:val="45425F1F"/>
    <w:rsid w:val="45464283"/>
    <w:rsid w:val="45564A23"/>
    <w:rsid w:val="455E4110"/>
    <w:rsid w:val="458A6A73"/>
    <w:rsid w:val="45B778DE"/>
    <w:rsid w:val="45C269AF"/>
    <w:rsid w:val="45F86BC3"/>
    <w:rsid w:val="46023AA8"/>
    <w:rsid w:val="462A6302"/>
    <w:rsid w:val="464C1D11"/>
    <w:rsid w:val="467001B9"/>
    <w:rsid w:val="46847123"/>
    <w:rsid w:val="468909B2"/>
    <w:rsid w:val="46957C1F"/>
    <w:rsid w:val="46B1432D"/>
    <w:rsid w:val="46F104CF"/>
    <w:rsid w:val="470431B0"/>
    <w:rsid w:val="47314F80"/>
    <w:rsid w:val="47343A81"/>
    <w:rsid w:val="473971E1"/>
    <w:rsid w:val="476A4D70"/>
    <w:rsid w:val="478A34FC"/>
    <w:rsid w:val="478C6684"/>
    <w:rsid w:val="47B92A3A"/>
    <w:rsid w:val="47C92935"/>
    <w:rsid w:val="47D86591"/>
    <w:rsid w:val="47DB4F4F"/>
    <w:rsid w:val="480C481D"/>
    <w:rsid w:val="481D001B"/>
    <w:rsid w:val="483E7E42"/>
    <w:rsid w:val="48474F49"/>
    <w:rsid w:val="488E2BBA"/>
    <w:rsid w:val="48B73EEB"/>
    <w:rsid w:val="490A7CA8"/>
    <w:rsid w:val="490F1DB3"/>
    <w:rsid w:val="491B1786"/>
    <w:rsid w:val="495111FB"/>
    <w:rsid w:val="496B7D08"/>
    <w:rsid w:val="49A87993"/>
    <w:rsid w:val="49C7203C"/>
    <w:rsid w:val="49D44D0D"/>
    <w:rsid w:val="49F36769"/>
    <w:rsid w:val="4A080708"/>
    <w:rsid w:val="4A1A2EB4"/>
    <w:rsid w:val="4A1D310C"/>
    <w:rsid w:val="4A613D6C"/>
    <w:rsid w:val="4A6A0A15"/>
    <w:rsid w:val="4A90724E"/>
    <w:rsid w:val="4ACE0489"/>
    <w:rsid w:val="4AD71BF5"/>
    <w:rsid w:val="4ADB630D"/>
    <w:rsid w:val="4AFA118D"/>
    <w:rsid w:val="4AFA62A3"/>
    <w:rsid w:val="4B0D6261"/>
    <w:rsid w:val="4B153CF8"/>
    <w:rsid w:val="4B252254"/>
    <w:rsid w:val="4B455EB5"/>
    <w:rsid w:val="4B460435"/>
    <w:rsid w:val="4B487EE1"/>
    <w:rsid w:val="4B4F7331"/>
    <w:rsid w:val="4B506FB0"/>
    <w:rsid w:val="4B7514E8"/>
    <w:rsid w:val="4BA958BA"/>
    <w:rsid w:val="4BBD5573"/>
    <w:rsid w:val="4BF74ED8"/>
    <w:rsid w:val="4C1B0BC7"/>
    <w:rsid w:val="4C1F21C7"/>
    <w:rsid w:val="4C2B0868"/>
    <w:rsid w:val="4C2F01CE"/>
    <w:rsid w:val="4C565EE6"/>
    <w:rsid w:val="4C5E23B1"/>
    <w:rsid w:val="4C6205A3"/>
    <w:rsid w:val="4C6D6F48"/>
    <w:rsid w:val="4C7C57F8"/>
    <w:rsid w:val="4C95687A"/>
    <w:rsid w:val="4CB02F13"/>
    <w:rsid w:val="4CEE62DB"/>
    <w:rsid w:val="4D015DAB"/>
    <w:rsid w:val="4D394BCD"/>
    <w:rsid w:val="4D4D02FA"/>
    <w:rsid w:val="4DBD5D32"/>
    <w:rsid w:val="4DD7750E"/>
    <w:rsid w:val="4DE34349"/>
    <w:rsid w:val="4DEF6C8A"/>
    <w:rsid w:val="4E2B0E69"/>
    <w:rsid w:val="4E422989"/>
    <w:rsid w:val="4E6A2DBF"/>
    <w:rsid w:val="4E8F77FD"/>
    <w:rsid w:val="4E912870"/>
    <w:rsid w:val="4E947749"/>
    <w:rsid w:val="4ED1072C"/>
    <w:rsid w:val="4F0D1A5D"/>
    <w:rsid w:val="4F4E33F8"/>
    <w:rsid w:val="4FC151B1"/>
    <w:rsid w:val="4FE62753"/>
    <w:rsid w:val="5006363D"/>
    <w:rsid w:val="500800F1"/>
    <w:rsid w:val="500A2CCF"/>
    <w:rsid w:val="50725594"/>
    <w:rsid w:val="508A0657"/>
    <w:rsid w:val="50A93DE3"/>
    <w:rsid w:val="50BE4216"/>
    <w:rsid w:val="51130AE5"/>
    <w:rsid w:val="51226553"/>
    <w:rsid w:val="512322CB"/>
    <w:rsid w:val="51252A44"/>
    <w:rsid w:val="5128541D"/>
    <w:rsid w:val="512A7AA1"/>
    <w:rsid w:val="51434B89"/>
    <w:rsid w:val="514D60FF"/>
    <w:rsid w:val="517B3EB5"/>
    <w:rsid w:val="517C0597"/>
    <w:rsid w:val="518366CA"/>
    <w:rsid w:val="51C674DA"/>
    <w:rsid w:val="51F85506"/>
    <w:rsid w:val="520A2A25"/>
    <w:rsid w:val="520D11C5"/>
    <w:rsid w:val="523F6E00"/>
    <w:rsid w:val="526F5F07"/>
    <w:rsid w:val="527F1798"/>
    <w:rsid w:val="52A3697F"/>
    <w:rsid w:val="52CE3BEC"/>
    <w:rsid w:val="52E928FF"/>
    <w:rsid w:val="53023530"/>
    <w:rsid w:val="53024DFF"/>
    <w:rsid w:val="53473F92"/>
    <w:rsid w:val="537222EB"/>
    <w:rsid w:val="53881CBB"/>
    <w:rsid w:val="53F00B8B"/>
    <w:rsid w:val="540C3748"/>
    <w:rsid w:val="542C7D8B"/>
    <w:rsid w:val="543071D9"/>
    <w:rsid w:val="54342F34"/>
    <w:rsid w:val="543B5B3E"/>
    <w:rsid w:val="54582957"/>
    <w:rsid w:val="5498017F"/>
    <w:rsid w:val="54B843D2"/>
    <w:rsid w:val="54D33D4F"/>
    <w:rsid w:val="54E81AB6"/>
    <w:rsid w:val="55000F83"/>
    <w:rsid w:val="550B5550"/>
    <w:rsid w:val="551929F2"/>
    <w:rsid w:val="551A3FA4"/>
    <w:rsid w:val="5576294F"/>
    <w:rsid w:val="5581634F"/>
    <w:rsid w:val="55A251C3"/>
    <w:rsid w:val="55D326F5"/>
    <w:rsid w:val="55D37C17"/>
    <w:rsid w:val="55E624CB"/>
    <w:rsid w:val="561870C5"/>
    <w:rsid w:val="561A25A2"/>
    <w:rsid w:val="5623508F"/>
    <w:rsid w:val="563D54A6"/>
    <w:rsid w:val="564724DD"/>
    <w:rsid w:val="56524BBB"/>
    <w:rsid w:val="5670551B"/>
    <w:rsid w:val="56784AD8"/>
    <w:rsid w:val="567C66CD"/>
    <w:rsid w:val="56A16B4A"/>
    <w:rsid w:val="56AD68BF"/>
    <w:rsid w:val="56B55774"/>
    <w:rsid w:val="56B91C97"/>
    <w:rsid w:val="56CA2540"/>
    <w:rsid w:val="56CE4DB9"/>
    <w:rsid w:val="56D77D59"/>
    <w:rsid w:val="56E35617"/>
    <w:rsid w:val="56E51B66"/>
    <w:rsid w:val="56F26A3E"/>
    <w:rsid w:val="56F6035A"/>
    <w:rsid w:val="570263B9"/>
    <w:rsid w:val="572504BA"/>
    <w:rsid w:val="57360A42"/>
    <w:rsid w:val="574D00A2"/>
    <w:rsid w:val="57714B0B"/>
    <w:rsid w:val="57985B0C"/>
    <w:rsid w:val="57A2279B"/>
    <w:rsid w:val="57A51FCB"/>
    <w:rsid w:val="57AB5015"/>
    <w:rsid w:val="57C2321F"/>
    <w:rsid w:val="57C57C38"/>
    <w:rsid w:val="57CD3123"/>
    <w:rsid w:val="57D63BF4"/>
    <w:rsid w:val="57D8796C"/>
    <w:rsid w:val="57DC20A9"/>
    <w:rsid w:val="57DC5EFF"/>
    <w:rsid w:val="57E52089"/>
    <w:rsid w:val="57E97400"/>
    <w:rsid w:val="57EE317D"/>
    <w:rsid w:val="581262A2"/>
    <w:rsid w:val="5823205D"/>
    <w:rsid w:val="58535244"/>
    <w:rsid w:val="5857359D"/>
    <w:rsid w:val="5862186B"/>
    <w:rsid w:val="58906498"/>
    <w:rsid w:val="589A35F1"/>
    <w:rsid w:val="58CD4FF7"/>
    <w:rsid w:val="58CE0680"/>
    <w:rsid w:val="58E63293"/>
    <w:rsid w:val="590E6812"/>
    <w:rsid w:val="591E5852"/>
    <w:rsid w:val="593E125E"/>
    <w:rsid w:val="593E5EF4"/>
    <w:rsid w:val="59413F39"/>
    <w:rsid w:val="595C6FF5"/>
    <w:rsid w:val="597C1CE6"/>
    <w:rsid w:val="59926C40"/>
    <w:rsid w:val="59AC06D3"/>
    <w:rsid w:val="59C565E8"/>
    <w:rsid w:val="5A186745"/>
    <w:rsid w:val="5A187C62"/>
    <w:rsid w:val="5A216E19"/>
    <w:rsid w:val="5A3346D5"/>
    <w:rsid w:val="5A7701ED"/>
    <w:rsid w:val="5ACB6849"/>
    <w:rsid w:val="5AE04C30"/>
    <w:rsid w:val="5AF321CC"/>
    <w:rsid w:val="5AF57751"/>
    <w:rsid w:val="5AFC0DB3"/>
    <w:rsid w:val="5AFD593B"/>
    <w:rsid w:val="5B011C0D"/>
    <w:rsid w:val="5B1A398D"/>
    <w:rsid w:val="5B262878"/>
    <w:rsid w:val="5B4752AF"/>
    <w:rsid w:val="5B7215B2"/>
    <w:rsid w:val="5B7C7463"/>
    <w:rsid w:val="5B886505"/>
    <w:rsid w:val="5B953DC6"/>
    <w:rsid w:val="5BA360C5"/>
    <w:rsid w:val="5BAC183B"/>
    <w:rsid w:val="5BB6671B"/>
    <w:rsid w:val="5BB800B1"/>
    <w:rsid w:val="5BEE6988"/>
    <w:rsid w:val="5C106A0C"/>
    <w:rsid w:val="5C572599"/>
    <w:rsid w:val="5C8A7A42"/>
    <w:rsid w:val="5CB13B07"/>
    <w:rsid w:val="5CBC5907"/>
    <w:rsid w:val="5CC24796"/>
    <w:rsid w:val="5CD815DD"/>
    <w:rsid w:val="5CF36E11"/>
    <w:rsid w:val="5D047455"/>
    <w:rsid w:val="5D2B04B5"/>
    <w:rsid w:val="5D2D7DE2"/>
    <w:rsid w:val="5D430519"/>
    <w:rsid w:val="5D932232"/>
    <w:rsid w:val="5D974ECB"/>
    <w:rsid w:val="5DA72BB5"/>
    <w:rsid w:val="5DBB37BC"/>
    <w:rsid w:val="5DBC280F"/>
    <w:rsid w:val="5DCF5BBB"/>
    <w:rsid w:val="5DD24E5D"/>
    <w:rsid w:val="5DEE54F5"/>
    <w:rsid w:val="5DFB2606"/>
    <w:rsid w:val="5E0A2849"/>
    <w:rsid w:val="5E23159C"/>
    <w:rsid w:val="5E24654F"/>
    <w:rsid w:val="5E380FFF"/>
    <w:rsid w:val="5E3B5322"/>
    <w:rsid w:val="5E4D13BA"/>
    <w:rsid w:val="5E6F4BD5"/>
    <w:rsid w:val="5E8B7F4E"/>
    <w:rsid w:val="5EB84053"/>
    <w:rsid w:val="5EBA12F2"/>
    <w:rsid w:val="5EBA58FA"/>
    <w:rsid w:val="5EBD6E43"/>
    <w:rsid w:val="5EE20203"/>
    <w:rsid w:val="5EE9136E"/>
    <w:rsid w:val="5EF157B7"/>
    <w:rsid w:val="5EF6704F"/>
    <w:rsid w:val="5F1C2834"/>
    <w:rsid w:val="5F1C5481"/>
    <w:rsid w:val="5F224383"/>
    <w:rsid w:val="5F41673E"/>
    <w:rsid w:val="5F5A2C6D"/>
    <w:rsid w:val="5F5F599D"/>
    <w:rsid w:val="5F7D4F0F"/>
    <w:rsid w:val="5FBC7B73"/>
    <w:rsid w:val="5FFA1EAF"/>
    <w:rsid w:val="6051475F"/>
    <w:rsid w:val="605A744E"/>
    <w:rsid w:val="60725B47"/>
    <w:rsid w:val="608963D1"/>
    <w:rsid w:val="60CA4511"/>
    <w:rsid w:val="60D65913"/>
    <w:rsid w:val="60E77B53"/>
    <w:rsid w:val="60F63CE8"/>
    <w:rsid w:val="61080E49"/>
    <w:rsid w:val="616B7A9E"/>
    <w:rsid w:val="618A4F61"/>
    <w:rsid w:val="61C13149"/>
    <w:rsid w:val="61CD6067"/>
    <w:rsid w:val="61D01892"/>
    <w:rsid w:val="61E86A04"/>
    <w:rsid w:val="62517DBC"/>
    <w:rsid w:val="626568B5"/>
    <w:rsid w:val="626A091C"/>
    <w:rsid w:val="626F2C29"/>
    <w:rsid w:val="62853BC4"/>
    <w:rsid w:val="62CF1501"/>
    <w:rsid w:val="62E81A33"/>
    <w:rsid w:val="62E8239E"/>
    <w:rsid w:val="62F12229"/>
    <w:rsid w:val="631379D6"/>
    <w:rsid w:val="633431EC"/>
    <w:rsid w:val="633D0FCB"/>
    <w:rsid w:val="634265E1"/>
    <w:rsid w:val="635F7A15"/>
    <w:rsid w:val="636D755E"/>
    <w:rsid w:val="637B7ACF"/>
    <w:rsid w:val="6389428C"/>
    <w:rsid w:val="63895363"/>
    <w:rsid w:val="63B65ACE"/>
    <w:rsid w:val="63B72139"/>
    <w:rsid w:val="63C450B7"/>
    <w:rsid w:val="63F91396"/>
    <w:rsid w:val="63FA510E"/>
    <w:rsid w:val="64187C2A"/>
    <w:rsid w:val="64193CA9"/>
    <w:rsid w:val="641A649B"/>
    <w:rsid w:val="641B526E"/>
    <w:rsid w:val="641D251D"/>
    <w:rsid w:val="644A718E"/>
    <w:rsid w:val="645B4A96"/>
    <w:rsid w:val="6465043F"/>
    <w:rsid w:val="64722EF6"/>
    <w:rsid w:val="64C17E28"/>
    <w:rsid w:val="65033B65"/>
    <w:rsid w:val="65482E9F"/>
    <w:rsid w:val="655F5FDD"/>
    <w:rsid w:val="65747EA0"/>
    <w:rsid w:val="659C2113"/>
    <w:rsid w:val="659C3A86"/>
    <w:rsid w:val="65B23049"/>
    <w:rsid w:val="65C50C85"/>
    <w:rsid w:val="65EF06E3"/>
    <w:rsid w:val="661C67E7"/>
    <w:rsid w:val="662B25DE"/>
    <w:rsid w:val="66300F26"/>
    <w:rsid w:val="66571EB8"/>
    <w:rsid w:val="665E7BD6"/>
    <w:rsid w:val="6664429A"/>
    <w:rsid w:val="66707909"/>
    <w:rsid w:val="66707972"/>
    <w:rsid w:val="668261CB"/>
    <w:rsid w:val="66A6332B"/>
    <w:rsid w:val="66B60FE7"/>
    <w:rsid w:val="66CF26DD"/>
    <w:rsid w:val="66CF29B2"/>
    <w:rsid w:val="66E274AD"/>
    <w:rsid w:val="66EA3218"/>
    <w:rsid w:val="67112E9A"/>
    <w:rsid w:val="672C5A2E"/>
    <w:rsid w:val="675945FA"/>
    <w:rsid w:val="67AC4971"/>
    <w:rsid w:val="67BA0E3C"/>
    <w:rsid w:val="67DA7F59"/>
    <w:rsid w:val="68064EC6"/>
    <w:rsid w:val="6808406A"/>
    <w:rsid w:val="68164A44"/>
    <w:rsid w:val="684900F3"/>
    <w:rsid w:val="685D084E"/>
    <w:rsid w:val="686B660F"/>
    <w:rsid w:val="687A4A78"/>
    <w:rsid w:val="68841B23"/>
    <w:rsid w:val="68D93C54"/>
    <w:rsid w:val="68DB153E"/>
    <w:rsid w:val="690600B1"/>
    <w:rsid w:val="69145536"/>
    <w:rsid w:val="69412E24"/>
    <w:rsid w:val="697119CE"/>
    <w:rsid w:val="69903923"/>
    <w:rsid w:val="69973076"/>
    <w:rsid w:val="69A431E9"/>
    <w:rsid w:val="69D00B38"/>
    <w:rsid w:val="6A3F77DF"/>
    <w:rsid w:val="6A751D62"/>
    <w:rsid w:val="6AA94EDD"/>
    <w:rsid w:val="6ABA55F7"/>
    <w:rsid w:val="6ACB5B58"/>
    <w:rsid w:val="6AE0796A"/>
    <w:rsid w:val="6B0A5389"/>
    <w:rsid w:val="6B1D4C4F"/>
    <w:rsid w:val="6B1F7FC4"/>
    <w:rsid w:val="6B3339BE"/>
    <w:rsid w:val="6B572E6B"/>
    <w:rsid w:val="6B6F2984"/>
    <w:rsid w:val="6B7C7FD7"/>
    <w:rsid w:val="6B811C71"/>
    <w:rsid w:val="6B905999"/>
    <w:rsid w:val="6B993D94"/>
    <w:rsid w:val="6BA41E88"/>
    <w:rsid w:val="6BC10048"/>
    <w:rsid w:val="6BCF409C"/>
    <w:rsid w:val="6BD6020E"/>
    <w:rsid w:val="6BE76DD6"/>
    <w:rsid w:val="6C1B79A6"/>
    <w:rsid w:val="6C2F0519"/>
    <w:rsid w:val="6C3F3791"/>
    <w:rsid w:val="6C4F241E"/>
    <w:rsid w:val="6C857EF4"/>
    <w:rsid w:val="6C91516E"/>
    <w:rsid w:val="6C995269"/>
    <w:rsid w:val="6CAB35B5"/>
    <w:rsid w:val="6CB01265"/>
    <w:rsid w:val="6CCF0E6B"/>
    <w:rsid w:val="6CF626C3"/>
    <w:rsid w:val="6CFA7E9A"/>
    <w:rsid w:val="6D0D3F0E"/>
    <w:rsid w:val="6D13193D"/>
    <w:rsid w:val="6D192C75"/>
    <w:rsid w:val="6D1D6016"/>
    <w:rsid w:val="6D4C1D90"/>
    <w:rsid w:val="6D86443B"/>
    <w:rsid w:val="6E0B645F"/>
    <w:rsid w:val="6E2B1762"/>
    <w:rsid w:val="6E6D1F38"/>
    <w:rsid w:val="6E7B7CE5"/>
    <w:rsid w:val="6E7C03EE"/>
    <w:rsid w:val="6E936A7F"/>
    <w:rsid w:val="6EBC36EB"/>
    <w:rsid w:val="6ED70525"/>
    <w:rsid w:val="6EF93B52"/>
    <w:rsid w:val="6F014E8C"/>
    <w:rsid w:val="6F14796E"/>
    <w:rsid w:val="6F24468C"/>
    <w:rsid w:val="6F2871C4"/>
    <w:rsid w:val="6F2B662E"/>
    <w:rsid w:val="6F3E360B"/>
    <w:rsid w:val="6F563057"/>
    <w:rsid w:val="6F5E62B5"/>
    <w:rsid w:val="6F6049BF"/>
    <w:rsid w:val="6F9B77A5"/>
    <w:rsid w:val="6FA55309"/>
    <w:rsid w:val="6FB75CA8"/>
    <w:rsid w:val="6FC77380"/>
    <w:rsid w:val="6FD8626E"/>
    <w:rsid w:val="6FE22F5C"/>
    <w:rsid w:val="6FE5470F"/>
    <w:rsid w:val="6FEC2C3B"/>
    <w:rsid w:val="6FF34EF6"/>
    <w:rsid w:val="701D1C51"/>
    <w:rsid w:val="70323D22"/>
    <w:rsid w:val="70457711"/>
    <w:rsid w:val="70691651"/>
    <w:rsid w:val="70AC361F"/>
    <w:rsid w:val="70DC1AD5"/>
    <w:rsid w:val="70DF6371"/>
    <w:rsid w:val="710032EC"/>
    <w:rsid w:val="71353786"/>
    <w:rsid w:val="718C10A8"/>
    <w:rsid w:val="719017D3"/>
    <w:rsid w:val="71A07D92"/>
    <w:rsid w:val="71A540B5"/>
    <w:rsid w:val="71F33E15"/>
    <w:rsid w:val="71F3771A"/>
    <w:rsid w:val="72060A77"/>
    <w:rsid w:val="720C1AAC"/>
    <w:rsid w:val="722F674E"/>
    <w:rsid w:val="723B19FE"/>
    <w:rsid w:val="7270354D"/>
    <w:rsid w:val="72724DF8"/>
    <w:rsid w:val="727935FA"/>
    <w:rsid w:val="72823132"/>
    <w:rsid w:val="72B868C0"/>
    <w:rsid w:val="72D179B8"/>
    <w:rsid w:val="72D60D92"/>
    <w:rsid w:val="72E74AAF"/>
    <w:rsid w:val="72F40C58"/>
    <w:rsid w:val="72FC4EFD"/>
    <w:rsid w:val="731B5BEE"/>
    <w:rsid w:val="73491C08"/>
    <w:rsid w:val="73634E44"/>
    <w:rsid w:val="741908E7"/>
    <w:rsid w:val="743B1556"/>
    <w:rsid w:val="745D238F"/>
    <w:rsid w:val="746157B8"/>
    <w:rsid w:val="749B1FF5"/>
    <w:rsid w:val="749D34D9"/>
    <w:rsid w:val="749D7B1B"/>
    <w:rsid w:val="74BF657F"/>
    <w:rsid w:val="74C468C3"/>
    <w:rsid w:val="74C647D9"/>
    <w:rsid w:val="74E26CCC"/>
    <w:rsid w:val="74F02434"/>
    <w:rsid w:val="74F55BA9"/>
    <w:rsid w:val="75047B9A"/>
    <w:rsid w:val="751E3B73"/>
    <w:rsid w:val="751F22A3"/>
    <w:rsid w:val="75563A1A"/>
    <w:rsid w:val="75925836"/>
    <w:rsid w:val="759D5C80"/>
    <w:rsid w:val="75CA39B3"/>
    <w:rsid w:val="75CD1A10"/>
    <w:rsid w:val="75DA6B4D"/>
    <w:rsid w:val="75DB385D"/>
    <w:rsid w:val="75EA7259"/>
    <w:rsid w:val="761E42D3"/>
    <w:rsid w:val="76244051"/>
    <w:rsid w:val="76391AC6"/>
    <w:rsid w:val="763C5112"/>
    <w:rsid w:val="76550F9A"/>
    <w:rsid w:val="765D4ED4"/>
    <w:rsid w:val="7686711F"/>
    <w:rsid w:val="76911902"/>
    <w:rsid w:val="769767EC"/>
    <w:rsid w:val="769E26B6"/>
    <w:rsid w:val="76A82615"/>
    <w:rsid w:val="76BF480B"/>
    <w:rsid w:val="76C653DB"/>
    <w:rsid w:val="76D45E92"/>
    <w:rsid w:val="76DC0239"/>
    <w:rsid w:val="76ED792D"/>
    <w:rsid w:val="770C453A"/>
    <w:rsid w:val="77134B18"/>
    <w:rsid w:val="771816DB"/>
    <w:rsid w:val="772C162A"/>
    <w:rsid w:val="774805AB"/>
    <w:rsid w:val="77B2592D"/>
    <w:rsid w:val="77E85EA0"/>
    <w:rsid w:val="77F01183"/>
    <w:rsid w:val="77FE73CE"/>
    <w:rsid w:val="780939EE"/>
    <w:rsid w:val="780E5C8C"/>
    <w:rsid w:val="781E0F73"/>
    <w:rsid w:val="78290046"/>
    <w:rsid w:val="785500D4"/>
    <w:rsid w:val="7855070D"/>
    <w:rsid w:val="785901FD"/>
    <w:rsid w:val="78664B99"/>
    <w:rsid w:val="78936D59"/>
    <w:rsid w:val="78AF6B40"/>
    <w:rsid w:val="78CA5B8B"/>
    <w:rsid w:val="78D65CAC"/>
    <w:rsid w:val="78E9553E"/>
    <w:rsid w:val="79074DD5"/>
    <w:rsid w:val="79183C14"/>
    <w:rsid w:val="79242471"/>
    <w:rsid w:val="79820DE8"/>
    <w:rsid w:val="79A613D8"/>
    <w:rsid w:val="79A715B3"/>
    <w:rsid w:val="79B06543"/>
    <w:rsid w:val="79B93DB3"/>
    <w:rsid w:val="7A394769"/>
    <w:rsid w:val="7A642C79"/>
    <w:rsid w:val="7A704F20"/>
    <w:rsid w:val="7A7A431E"/>
    <w:rsid w:val="7AB14320"/>
    <w:rsid w:val="7AEE7323"/>
    <w:rsid w:val="7AFA405B"/>
    <w:rsid w:val="7B2A130A"/>
    <w:rsid w:val="7B2C439A"/>
    <w:rsid w:val="7B924AD7"/>
    <w:rsid w:val="7BD35D8D"/>
    <w:rsid w:val="7BE0356A"/>
    <w:rsid w:val="7BFB58AA"/>
    <w:rsid w:val="7C044924"/>
    <w:rsid w:val="7C1F79A9"/>
    <w:rsid w:val="7C7315F1"/>
    <w:rsid w:val="7C7C26C4"/>
    <w:rsid w:val="7C86358B"/>
    <w:rsid w:val="7C864632"/>
    <w:rsid w:val="7CD6506D"/>
    <w:rsid w:val="7CD90739"/>
    <w:rsid w:val="7CFC6649"/>
    <w:rsid w:val="7CFD3CE2"/>
    <w:rsid w:val="7CFE0B14"/>
    <w:rsid w:val="7D28738C"/>
    <w:rsid w:val="7D411149"/>
    <w:rsid w:val="7D4C2F6C"/>
    <w:rsid w:val="7D5611AF"/>
    <w:rsid w:val="7D82265D"/>
    <w:rsid w:val="7D871758"/>
    <w:rsid w:val="7D9E16DD"/>
    <w:rsid w:val="7DB25BAE"/>
    <w:rsid w:val="7DDA6116"/>
    <w:rsid w:val="7DDD367E"/>
    <w:rsid w:val="7DE26F96"/>
    <w:rsid w:val="7DE40569"/>
    <w:rsid w:val="7DFA7827"/>
    <w:rsid w:val="7E0625C8"/>
    <w:rsid w:val="7E142230"/>
    <w:rsid w:val="7E3B0C34"/>
    <w:rsid w:val="7E64730B"/>
    <w:rsid w:val="7E7A42F4"/>
    <w:rsid w:val="7E913196"/>
    <w:rsid w:val="7EA146AC"/>
    <w:rsid w:val="7EA20285"/>
    <w:rsid w:val="7EB919F5"/>
    <w:rsid w:val="7EC16AFC"/>
    <w:rsid w:val="7EDB5E10"/>
    <w:rsid w:val="7EDF30AA"/>
    <w:rsid w:val="7EEE70C5"/>
    <w:rsid w:val="7F391807"/>
    <w:rsid w:val="7F530DF9"/>
    <w:rsid w:val="7F560D41"/>
    <w:rsid w:val="7F580993"/>
    <w:rsid w:val="7F613ABE"/>
    <w:rsid w:val="7F696297"/>
    <w:rsid w:val="7F760923"/>
    <w:rsid w:val="7F765B38"/>
    <w:rsid w:val="7F7D306E"/>
    <w:rsid w:val="7F8632EC"/>
    <w:rsid w:val="7FCA3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qFormat="1"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spacing w:before="0" w:beforeAutospacing="1" w:after="0" w:afterAutospacing="1"/>
      <w:jc w:val="left"/>
    </w:pPr>
    <w:rPr>
      <w:rFonts w:hint="eastAsia" w:ascii="宋体" w:hAnsi="宋体" w:eastAsia="宋体" w:cs="宋体"/>
      <w:b/>
      <w:kern w:val="44"/>
      <w:sz w:val="48"/>
      <w:szCs w:val="48"/>
      <w:lang w:val="en-US" w:eastAsia="zh-CN" w:bidi="ar"/>
    </w:rPr>
  </w:style>
  <w:style w:type="paragraph" w:styleId="5">
    <w:name w:val="heading 2"/>
    <w:basedOn w:val="1"/>
    <w:next w:val="1"/>
    <w:unhideWhenUsed/>
    <w:qFormat/>
    <w:uiPriority w:val="0"/>
    <w:pPr>
      <w:keepNext/>
      <w:keepLines/>
      <w:spacing w:beforeLines="0" w:beforeAutospacing="0" w:afterLines="0" w:afterAutospacing="0" w:line="560" w:lineRule="exact"/>
      <w:ind w:firstLine="440" w:firstLineChars="200"/>
      <w:jc w:val="left"/>
      <w:outlineLvl w:val="1"/>
    </w:pPr>
    <w:rPr>
      <w:rFonts w:ascii="Arial" w:hAnsi="Arial" w:eastAsia="黑体"/>
      <w:sz w:val="32"/>
    </w:rPr>
  </w:style>
  <w:style w:type="paragraph" w:styleId="6">
    <w:name w:val="heading 3"/>
    <w:basedOn w:val="1"/>
    <w:next w:val="1"/>
    <w:unhideWhenUsed/>
    <w:qFormat/>
    <w:uiPriority w:val="0"/>
    <w:pPr>
      <w:keepNext/>
      <w:keepLines/>
      <w:spacing w:beforeLines="0" w:beforeAutospacing="0" w:afterLines="0" w:afterAutospacing="0" w:line="560" w:lineRule="exact"/>
      <w:ind w:firstLine="440" w:firstLineChars="200"/>
      <w:jc w:val="left"/>
      <w:outlineLvl w:val="2"/>
    </w:pPr>
    <w:rPr>
      <w:rFonts w:eastAsia="方正楷体_GBK" w:asciiTheme="minorAscii" w:hAnsiTheme="minorAscii"/>
      <w:sz w:val="32"/>
    </w:rPr>
  </w:style>
  <w:style w:type="character" w:default="1" w:styleId="16">
    <w:name w:val="Default Paragraph Font"/>
    <w:semiHidden/>
    <w:qFormat/>
    <w:uiPriority w:val="0"/>
  </w:style>
  <w:style w:type="table" w:default="1" w:styleId="14">
    <w:name w:val="Normal Table"/>
    <w:semiHidden/>
    <w:qFormat/>
    <w:uiPriority w:val="0"/>
    <w:tblPr>
      <w:tblCellMar>
        <w:top w:w="0" w:type="dxa"/>
        <w:left w:w="108" w:type="dxa"/>
        <w:bottom w:w="0" w:type="dxa"/>
        <w:right w:w="108" w:type="dxa"/>
      </w:tblCellMar>
    </w:tblPr>
  </w:style>
  <w:style w:type="paragraph" w:customStyle="1" w:styleId="2">
    <w:name w:val="BodyText1I2"/>
    <w:basedOn w:val="3"/>
    <w:qFormat/>
    <w:uiPriority w:val="0"/>
    <w:pPr>
      <w:spacing w:before="0" w:after="120"/>
      <w:ind w:left="420" w:leftChars="200" w:right="0" w:firstLine="420" w:firstLineChars="200"/>
      <w:jc w:val="both"/>
      <w:textAlignment w:val="baseline"/>
    </w:pPr>
  </w:style>
  <w:style w:type="paragraph" w:customStyle="1" w:styleId="3">
    <w:name w:val="BodyTextIndent"/>
    <w:basedOn w:val="1"/>
    <w:qFormat/>
    <w:uiPriority w:val="0"/>
    <w:pPr>
      <w:spacing w:after="120"/>
      <w:ind w:left="420" w:leftChars="200"/>
      <w:jc w:val="both"/>
      <w:textAlignment w:val="baseline"/>
    </w:pPr>
    <w:rPr>
      <w:rFonts w:ascii="Times New Roman" w:hAnsi="Times New Roman"/>
      <w:kern w:val="2"/>
      <w:sz w:val="21"/>
      <w:szCs w:val="24"/>
      <w:lang w:val="en-US" w:eastAsia="zh-CN" w:bidi="ar-SA"/>
    </w:rPr>
  </w:style>
  <w:style w:type="paragraph" w:styleId="7">
    <w:name w:val="table of authorities"/>
    <w:next w:val="1"/>
    <w:qFormat/>
    <w:uiPriority w:val="0"/>
    <w:pPr>
      <w:adjustRightInd w:val="0"/>
      <w:snapToGrid w:val="0"/>
      <w:spacing w:after="200"/>
      <w:ind w:left="420" w:leftChars="200"/>
    </w:pPr>
    <w:rPr>
      <w:rFonts w:ascii="Times New Roman" w:hAnsi="Times New Roman" w:eastAsia="微软雅黑" w:cs="Times New Roman"/>
      <w:sz w:val="22"/>
      <w:szCs w:val="22"/>
      <w:lang w:val="en-US" w:eastAsia="zh-CN" w:bidi="ar-SA"/>
    </w:rPr>
  </w:style>
  <w:style w:type="paragraph" w:styleId="8">
    <w:name w:val="caption"/>
    <w:basedOn w:val="1"/>
    <w:next w:val="1"/>
    <w:unhideWhenUsed/>
    <w:qFormat/>
    <w:uiPriority w:val="0"/>
    <w:rPr>
      <w:rFonts w:ascii="Cambria" w:hAnsi="Cambria" w:eastAsia="黑体" w:cs="Times New Roman"/>
      <w:sz w:val="20"/>
      <w:szCs w:val="20"/>
    </w:rPr>
  </w:style>
  <w:style w:type="paragraph" w:styleId="9">
    <w:name w:val="Body Text"/>
    <w:basedOn w:val="1"/>
    <w:qFormat/>
    <w:uiPriority w:val="0"/>
    <w:rPr>
      <w:rFonts w:ascii="仿宋" w:hAnsi="仿宋" w:eastAsia="仿宋" w:cs="仿宋"/>
      <w:sz w:val="31"/>
      <w:szCs w:val="31"/>
      <w:lang w:val="en-US" w:eastAsia="en-US" w:bidi="ar-SA"/>
    </w:rPr>
  </w:style>
  <w:style w:type="paragraph" w:styleId="10">
    <w:name w:val="footer"/>
    <w:basedOn w:val="1"/>
    <w:qFormat/>
    <w:uiPriority w:val="0"/>
    <w:pPr>
      <w:tabs>
        <w:tab w:val="center" w:pos="4153"/>
        <w:tab w:val="right" w:pos="8306"/>
      </w:tabs>
      <w:snapToGrid w:val="0"/>
      <w:jc w:val="left"/>
    </w:pPr>
    <w:rPr>
      <w:sz w:val="18"/>
    </w:rPr>
  </w:style>
  <w:style w:type="paragraph" w:styleId="11">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2">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3">
    <w:name w:val="Title"/>
    <w:basedOn w:val="1"/>
    <w:next w:val="1"/>
    <w:qFormat/>
    <w:uiPriority w:val="0"/>
    <w:pPr>
      <w:spacing w:line="0" w:lineRule="atLeast"/>
      <w:jc w:val="center"/>
    </w:pPr>
    <w:rPr>
      <w:rFonts w:ascii="Arial" w:hAnsi="Arial" w:eastAsia="黑体" w:cs="Times New Roman"/>
      <w:sz w:val="52"/>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Strong"/>
    <w:basedOn w:val="16"/>
    <w:qFormat/>
    <w:uiPriority w:val="0"/>
    <w:rPr>
      <w:b/>
    </w:rPr>
  </w:style>
  <w:style w:type="character" w:styleId="18">
    <w:name w:val="page number"/>
    <w:basedOn w:val="16"/>
    <w:qFormat/>
    <w:uiPriority w:val="0"/>
  </w:style>
  <w:style w:type="paragraph" w:customStyle="1" w:styleId="19">
    <w:name w:val="Default"/>
    <w:next w:val="1"/>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20">
    <w:name w:val="Table Text"/>
    <w:semiHidden/>
    <w:qFormat/>
    <w:uiPriority w:val="0"/>
    <w:pPr>
      <w:widowControl w:val="0"/>
      <w:jc w:val="both"/>
    </w:pPr>
    <w:rPr>
      <w:rFonts w:ascii="微软雅黑" w:hAnsi="微软雅黑" w:eastAsia="微软雅黑" w:cs="微软雅黑"/>
      <w:kern w:val="2"/>
      <w:sz w:val="24"/>
      <w:szCs w:val="24"/>
      <w:lang w:val="en-US" w:eastAsia="en-US" w:bidi="ar-SA"/>
    </w:rPr>
  </w:style>
  <w:style w:type="table" w:customStyle="1" w:styleId="21">
    <w:name w:val="Table Normal"/>
    <w:unhideWhenUsed/>
    <w:qFormat/>
    <w:uiPriority w:val="0"/>
    <w:tblPr>
      <w:tblCellMar>
        <w:top w:w="0" w:type="dxa"/>
        <w:left w:w="0" w:type="dxa"/>
        <w:bottom w:w="0" w:type="dxa"/>
        <w:right w:w="0" w:type="dxa"/>
      </w:tblCellMar>
    </w:tblPr>
  </w:style>
  <w:style w:type="character" w:customStyle="1" w:styleId="22">
    <w:name w:val="NormalCharacter"/>
    <w:qFormat/>
    <w:uiPriority w:val="0"/>
  </w:style>
  <w:style w:type="paragraph" w:styleId="23">
    <w:name w:val="List Paragraph"/>
    <w:basedOn w:val="1"/>
    <w:qFormat/>
    <w:uiPriority w:val="34"/>
    <w:pPr>
      <w:ind w:firstLine="420" w:firstLineChars="200"/>
    </w:pPr>
  </w:style>
  <w:style w:type="paragraph" w:customStyle="1" w:styleId="24">
    <w:name w:val="Table Paragraph"/>
    <w:basedOn w:val="1"/>
    <w:qFormat/>
    <w:uiPriority w:val="1"/>
    <w:pPr>
      <w:autoSpaceDE w:val="0"/>
      <w:autoSpaceDN w:val="0"/>
      <w:jc w:val="left"/>
    </w:pPr>
    <w:rPr>
      <w:rFonts w:ascii="宋体" w:hAnsi="宋体" w:cs="宋体"/>
      <w:kern w:val="0"/>
      <w:sz w:val="22"/>
      <w:szCs w:val="22"/>
      <w:lang w:val="zh-CN" w:bidi="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6" Type="http://schemas.openxmlformats.org/officeDocument/2006/relationships/fontTable" Target="fontTable.xml"/><Relationship Id="rId75" Type="http://schemas.openxmlformats.org/officeDocument/2006/relationships/numbering" Target="numbering.xml"/><Relationship Id="rId74" Type="http://schemas.openxmlformats.org/officeDocument/2006/relationships/customXml" Target="../customXml/item1.xml"/><Relationship Id="rId73" Type="http://schemas.openxmlformats.org/officeDocument/2006/relationships/image" Target="media/image67.jpeg"/><Relationship Id="rId72" Type="http://schemas.openxmlformats.org/officeDocument/2006/relationships/image" Target="media/image66.jpeg"/><Relationship Id="rId71" Type="http://schemas.openxmlformats.org/officeDocument/2006/relationships/image" Target="media/image65.jpe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jpeg"/><Relationship Id="rId67" Type="http://schemas.openxmlformats.org/officeDocument/2006/relationships/image" Target="media/image61.jpeg"/><Relationship Id="rId66" Type="http://schemas.openxmlformats.org/officeDocument/2006/relationships/image" Target="media/image60.jpeg"/><Relationship Id="rId65" Type="http://schemas.openxmlformats.org/officeDocument/2006/relationships/image" Target="media/image59.jpeg"/><Relationship Id="rId64" Type="http://schemas.openxmlformats.org/officeDocument/2006/relationships/image" Target="media/image58.jpeg"/><Relationship Id="rId63" Type="http://schemas.openxmlformats.org/officeDocument/2006/relationships/image" Target="media/image57.jpeg"/><Relationship Id="rId62" Type="http://schemas.openxmlformats.org/officeDocument/2006/relationships/image" Target="media/image56.png"/><Relationship Id="rId61" Type="http://schemas.openxmlformats.org/officeDocument/2006/relationships/image" Target="media/image55.jpeg"/><Relationship Id="rId60" Type="http://schemas.openxmlformats.org/officeDocument/2006/relationships/image" Target="media/image54.jpe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jpeg"/><Relationship Id="rId57" Type="http://schemas.openxmlformats.org/officeDocument/2006/relationships/image" Target="media/image51.jpeg"/><Relationship Id="rId56" Type="http://schemas.openxmlformats.org/officeDocument/2006/relationships/image" Target="media/image50.jpe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jpeg"/><Relationship Id="rId52" Type="http://schemas.openxmlformats.org/officeDocument/2006/relationships/image" Target="media/image46.jpeg"/><Relationship Id="rId51" Type="http://schemas.openxmlformats.org/officeDocument/2006/relationships/image" Target="media/image45.jpeg"/><Relationship Id="rId50" Type="http://schemas.openxmlformats.org/officeDocument/2006/relationships/image" Target="media/image44.jpeg"/><Relationship Id="rId5" Type="http://schemas.openxmlformats.org/officeDocument/2006/relationships/footer" Target="footer3.xml"/><Relationship Id="rId49" Type="http://schemas.openxmlformats.org/officeDocument/2006/relationships/image" Target="media/image43.jpeg"/><Relationship Id="rId48" Type="http://schemas.openxmlformats.org/officeDocument/2006/relationships/image" Target="media/image42.jpeg"/><Relationship Id="rId47" Type="http://schemas.openxmlformats.org/officeDocument/2006/relationships/image" Target="media/image41.jpeg"/><Relationship Id="rId46" Type="http://schemas.openxmlformats.org/officeDocument/2006/relationships/image" Target="media/image40.jpeg"/><Relationship Id="rId45" Type="http://schemas.openxmlformats.org/officeDocument/2006/relationships/image" Target="media/image39.jpeg"/><Relationship Id="rId44" Type="http://schemas.openxmlformats.org/officeDocument/2006/relationships/image" Target="media/image38.jpeg"/><Relationship Id="rId43" Type="http://schemas.openxmlformats.org/officeDocument/2006/relationships/image" Target="media/image37.jpeg"/><Relationship Id="rId42" Type="http://schemas.openxmlformats.org/officeDocument/2006/relationships/image" Target="media/image36.png"/><Relationship Id="rId41" Type="http://schemas.openxmlformats.org/officeDocument/2006/relationships/image" Target="media/image35.jpeg"/><Relationship Id="rId40" Type="http://schemas.openxmlformats.org/officeDocument/2006/relationships/image" Target="media/image34.jpe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jpeg"/><Relationship Id="rId37" Type="http://schemas.openxmlformats.org/officeDocument/2006/relationships/image" Target="media/image31.jpeg"/><Relationship Id="rId36" Type="http://schemas.openxmlformats.org/officeDocument/2006/relationships/image" Target="media/image30.jpe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jpe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er" Target="footer1.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jpe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jpe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jpeg"/><Relationship Id="rId16" Type="http://schemas.openxmlformats.org/officeDocument/2006/relationships/image" Target="media/image10.jpe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98</Pages>
  <Words>11910</Words>
  <Characters>12793</Characters>
  <Lines>0</Lines>
  <Paragraphs>0</Paragraphs>
  <TotalTime>0</TotalTime>
  <ScaleCrop>false</ScaleCrop>
  <LinksUpToDate>false</LinksUpToDate>
  <CharactersWithSpaces>13201</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2024-01-28T01:17:00Z</dcterms:created>
  <dc:creator>Administrator</dc:creator>
  <cp:lastModifiedBy>林佑荣</cp:lastModifiedBy>
  <cp:lastPrinted>2026-01-12T02:44:00Z</cp:lastPrinted>
  <dcterms:modified xsi:type="dcterms:W3CDTF">2026-01-12T09:57:58Z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AA730E88156F4509B3C5FBB7491BD0F3_13</vt:lpwstr>
  </property>
  <property fmtid="{D5CDD505-2E9C-101B-9397-08002B2CF9AE}" pid="4" name="KSOTemplateDocerSaveRecord">
    <vt:lpwstr>eyJoZGlkIjoiZDc3MjQ3MzEwMTQ3ZDM0MGU0NzhjODc0MTU1MjY3MWMiLCJ1c2VySWQiOiI5MzQ1MzgzNTMifQ==</vt:lpwstr>
  </property>
</Properties>
</file>