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BE6F6">
      <w:pPr>
        <w:overflowPunct w:val="0"/>
        <w:adjustRightInd w:val="0"/>
        <w:snapToGrid w:val="0"/>
        <w:jc w:val="both"/>
        <w:rPr>
          <w:rFonts w:hint="eastAsia" w:ascii="Times New Roman" w:hAnsi="Times New Roman" w:eastAsia="仿宋"/>
          <w:color w:val="auto"/>
          <w:szCs w:val="32"/>
        </w:rPr>
      </w:pPr>
      <w:r>
        <w:rPr>
          <w:rFonts w:ascii="Times New Roman" w:hAnsi="Times New Roman"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8"/>
                    <a:stretch>
                      <a:fillRect/>
                    </a:stretch>
                  </pic:blipFill>
                  <pic:spPr>
                    <a:xfrm>
                      <a:off x="0" y="0"/>
                      <a:ext cx="5684520" cy="1270635"/>
                    </a:xfrm>
                    <a:prstGeom prst="rect">
                      <a:avLst/>
                    </a:prstGeom>
                    <a:noFill/>
                    <a:ln>
                      <a:noFill/>
                    </a:ln>
                  </pic:spPr>
                </pic:pic>
              </a:graphicData>
            </a:graphic>
          </wp:anchor>
        </w:drawing>
      </w:r>
    </w:p>
    <w:p w14:paraId="45244BEB">
      <w:pPr>
        <w:overflowPunct w:val="0"/>
        <w:adjustRightInd w:val="0"/>
        <w:snapToGrid w:val="0"/>
        <w:jc w:val="center"/>
        <w:rPr>
          <w:rFonts w:hint="eastAsia" w:ascii="Times New Roman" w:hAnsi="Times New Roman" w:eastAsia="仿宋"/>
          <w:color w:val="auto"/>
          <w:szCs w:val="32"/>
        </w:rPr>
      </w:pPr>
    </w:p>
    <w:p w14:paraId="7493BB38">
      <w:pPr>
        <w:overflowPunct w:val="0"/>
        <w:adjustRightInd w:val="0"/>
        <w:snapToGrid w:val="0"/>
        <w:jc w:val="center"/>
        <w:rPr>
          <w:rFonts w:hint="eastAsia" w:ascii="Times New Roman" w:hAnsi="Times New Roman" w:eastAsia="仿宋"/>
          <w:color w:val="auto"/>
          <w:szCs w:val="32"/>
        </w:rPr>
      </w:pPr>
    </w:p>
    <w:p w14:paraId="6B1DA213">
      <w:pPr>
        <w:overflowPunct w:val="0"/>
        <w:adjustRightInd w:val="0"/>
        <w:snapToGrid w:val="0"/>
        <w:jc w:val="center"/>
        <w:rPr>
          <w:rFonts w:hint="eastAsia" w:ascii="Times New Roman" w:hAnsi="Times New Roman" w:eastAsia="仿宋"/>
          <w:color w:val="auto"/>
          <w:szCs w:val="32"/>
        </w:rPr>
      </w:pPr>
    </w:p>
    <w:p w14:paraId="0F0EE38C">
      <w:pPr>
        <w:overflowPunct w:val="0"/>
        <w:adjustRightInd w:val="0"/>
        <w:snapToGrid w:val="0"/>
        <w:jc w:val="center"/>
        <w:rPr>
          <w:rFonts w:hint="eastAsia" w:ascii="Times New Roman" w:hAnsi="Times New Roman" w:eastAsia="仿宋"/>
          <w:color w:val="auto"/>
          <w:szCs w:val="32"/>
        </w:rPr>
      </w:pPr>
    </w:p>
    <w:p w14:paraId="6C8ACFF0">
      <w:pPr>
        <w:overflowPunct w:val="0"/>
        <w:adjustRightInd w:val="0"/>
        <w:snapToGrid w:val="0"/>
        <w:jc w:val="center"/>
        <w:rPr>
          <w:rFonts w:hint="eastAsia" w:ascii="Times New Roman" w:hAnsi="Times New Roman" w:eastAsia="仿宋"/>
          <w:color w:val="auto"/>
          <w:szCs w:val="32"/>
        </w:rPr>
      </w:pPr>
    </w:p>
    <w:p w14:paraId="6FB972F3">
      <w:pPr>
        <w:overflowPunct w:val="0"/>
        <w:adjustRightInd w:val="0"/>
        <w:snapToGrid w:val="0"/>
        <w:jc w:val="center"/>
        <w:rPr>
          <w:rFonts w:hint="eastAsia" w:ascii="Times New Roman" w:hAnsi="Times New Roman" w:eastAsia="仿宋"/>
          <w:color w:val="auto"/>
          <w:szCs w:val="32"/>
        </w:rPr>
      </w:pPr>
    </w:p>
    <w:p w14:paraId="487670A7">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Times New Roman" w:hAnsi="Times New Roman" w:eastAsia="华文新魏"/>
          <w:b/>
          <w:color w:val="auto"/>
          <w:sz w:val="100"/>
          <w:szCs w:val="100"/>
        </w:rPr>
      </w:pPr>
    </w:p>
    <w:p w14:paraId="3F35D9D3">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Times New Roman" w:hAnsi="Times New Roman" w:eastAsia="黑体" w:cs="黑体"/>
          <w:b w:val="0"/>
          <w:bCs/>
          <w:color w:val="000000" w:themeColor="text1"/>
          <w:sz w:val="72"/>
          <w:szCs w:val="72"/>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72"/>
          <w:szCs w:val="72"/>
          <w14:textFill>
            <w14:solidFill>
              <w14:schemeClr w14:val="tx1"/>
            </w14:solidFill>
          </w14:textFill>
        </w:rPr>
        <w:t>202</w:t>
      </w:r>
      <w:r>
        <w:rPr>
          <w:rFonts w:hint="eastAsia" w:ascii="方正小标宋简体" w:hAnsi="方正小标宋简体" w:eastAsia="方正小标宋简体" w:cs="方正小标宋简体"/>
          <w:b w:val="0"/>
          <w:bCs/>
          <w:color w:val="000000" w:themeColor="text1"/>
          <w:sz w:val="72"/>
          <w:szCs w:val="72"/>
          <w:lang w:val="en-US" w:eastAsia="zh-CN"/>
          <w14:textFill>
            <w14:solidFill>
              <w14:schemeClr w14:val="tx1"/>
            </w14:solidFill>
          </w14:textFill>
        </w:rPr>
        <w:t>5</w:t>
      </w:r>
      <w:r>
        <w:rPr>
          <w:rFonts w:hint="eastAsia" w:ascii="Times New Roman" w:hAnsi="Times New Roman" w:eastAsia="方正小标宋简体" w:cs="方正小标宋简体"/>
          <w:b w:val="0"/>
          <w:bCs/>
          <w:color w:val="000000" w:themeColor="text1"/>
          <w:sz w:val="72"/>
          <w:szCs w:val="72"/>
          <w14:textFill>
            <w14:solidFill>
              <w14:schemeClr w14:val="tx1"/>
            </w14:solidFill>
          </w14:textFill>
        </w:rPr>
        <w:t>级专业人才培养方案</w:t>
      </w:r>
    </w:p>
    <w:p w14:paraId="2CCDC283">
      <w:pPr>
        <w:widowControl/>
        <w:spacing w:before="100" w:beforeAutospacing="1" w:after="160" w:line="500" w:lineRule="exact"/>
        <w:ind w:firstLine="1600" w:firstLineChars="500"/>
        <w:jc w:val="left"/>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pPr>
    </w:p>
    <w:p w14:paraId="7F0B7F0F">
      <w:pPr>
        <w:widowControl/>
        <w:spacing w:before="100" w:beforeAutospacing="1" w:after="160" w:line="500" w:lineRule="exact"/>
        <w:ind w:firstLine="960" w:firstLineChars="300"/>
        <w:jc w:val="left"/>
        <w:rPr>
          <w:rFonts w:hint="eastAsia"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专  业  名  称</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lang w:val="en-US" w:eastAsia="zh-CN"/>
          <w14:textFill>
            <w14:solidFill>
              <w14:schemeClr w14:val="tx1"/>
            </w14:solidFill>
          </w14:textFill>
        </w:rPr>
        <w:t>应用电子技术</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p>
    <w:p w14:paraId="60B5290F">
      <w:pPr>
        <w:widowControl/>
        <w:spacing w:before="100" w:beforeAutospacing="1" w:after="160" w:line="500" w:lineRule="exact"/>
        <w:ind w:firstLine="960" w:firstLineChars="300"/>
        <w:jc w:val="left"/>
        <w:rPr>
          <w:rFonts w:hint="eastAsia"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专  业</w:t>
      </w: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 xml:space="preserve">  代  码</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lang w:val="en-US" w:eastAsia="zh-CN"/>
          <w14:textFill>
            <w14:solidFill>
              <w14:schemeClr w14:val="tx1"/>
            </w14:solidFill>
          </w14:textFill>
        </w:rPr>
        <w:t xml:space="preserve">510103 </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p>
    <w:p w14:paraId="78E6DE9A">
      <w:pPr>
        <w:widowControl/>
        <w:spacing w:before="100" w:beforeAutospacing="1" w:after="160" w:line="500" w:lineRule="exact"/>
        <w:ind w:firstLine="960" w:firstLineChars="300"/>
        <w:jc w:val="left"/>
        <w:rPr>
          <w:rFonts w:hint="eastAsia"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专  业</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 xml:space="preserve">  学  制：</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lang w:val="en-US" w:eastAsia="zh-CN"/>
          <w14:textFill>
            <w14:solidFill>
              <w14:schemeClr w14:val="tx1"/>
            </w14:solidFill>
          </w14:textFill>
        </w:rPr>
        <w:t xml:space="preserve"> 三年制</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p>
    <w:p w14:paraId="2CEF2E55">
      <w:pPr>
        <w:widowControl/>
        <w:spacing w:before="100" w:beforeAutospacing="1" w:after="160" w:line="500" w:lineRule="exact"/>
        <w:ind w:firstLine="960" w:firstLineChars="300"/>
        <w:jc w:val="left"/>
        <w:rPr>
          <w:rFonts w:hint="eastAsia"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 xml:space="preserve">修  </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定</w:t>
      </w: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时</w:t>
      </w: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 xml:space="preserve">间：  </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lang w:val="en-US" w:eastAsia="zh-CN"/>
          <w14:textFill>
            <w14:solidFill>
              <w14:schemeClr w14:val="tx1"/>
            </w14:solidFill>
          </w14:textFill>
        </w:rPr>
        <w:t>2025年4月</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p>
    <w:p w14:paraId="052D4716">
      <w:pPr>
        <w:widowControl/>
        <w:spacing w:before="100" w:beforeAutospacing="1" w:after="160" w:line="500" w:lineRule="exact"/>
        <w:ind w:firstLine="960" w:firstLineChars="300"/>
        <w:jc w:val="left"/>
        <w:rPr>
          <w:rFonts w:hint="eastAsia" w:ascii="Times New Roman" w:hAnsi="Times New Roman" w:eastAsia="仿宋_GB2312" w:cs="仿宋_GB2312"/>
          <w:color w:val="000000" w:themeColor="text1"/>
          <w:kern w:val="0"/>
          <w:sz w:val="32"/>
          <w:szCs w:val="32"/>
          <w:u w:val="single"/>
          <w14:textFill>
            <w14:solidFill>
              <w14:schemeClr w14:val="tx1"/>
            </w14:solidFill>
          </w14:textFill>
        </w:rPr>
      </w:pPr>
      <w:r>
        <w:rPr>
          <w:rFonts w:hint="eastAsia" w:ascii="Times New Roman" w:hAnsi="Times New Roman" w:eastAsia="仿宋_GB2312" w:cs="仿宋_GB2312"/>
          <w:color w:val="000000" w:themeColor="text1"/>
          <w:kern w:val="0"/>
          <w:sz w:val="32"/>
          <w:szCs w:val="32"/>
          <w:lang w:val="en-US" w:eastAsia="zh-CN"/>
          <w14:textFill>
            <w14:solidFill>
              <w14:schemeClr w14:val="tx1"/>
            </w14:solidFill>
          </w14:textFill>
        </w:rPr>
        <w:t>所</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lang w:val="en-US" w:eastAsia="zh-CN"/>
          <w14:textFill>
            <w14:solidFill>
              <w14:schemeClr w14:val="tx1"/>
            </w14:solidFill>
          </w14:textFill>
        </w:rPr>
        <w:t>属</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lang w:val="en-US" w:eastAsia="zh-CN"/>
          <w14:textFill>
            <w14:solidFill>
              <w14:schemeClr w14:val="tx1"/>
            </w14:solidFill>
          </w14:textFill>
        </w:rPr>
        <w:t>学  院</w:t>
      </w:r>
      <w:r>
        <w:rPr>
          <w:rFonts w:hint="eastAsia" w:ascii="Times New Roman" w:hAnsi="Times New Roman" w:eastAsia="仿宋_GB2312" w:cs="仿宋_GB2312"/>
          <w:color w:val="000000" w:themeColor="text1"/>
          <w:kern w:val="0"/>
          <w:sz w:val="32"/>
          <w:szCs w:val="32"/>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u w:val="single"/>
          <w:lang w:val="en-US" w:eastAsia="zh-CN"/>
          <w14:textFill>
            <w14:solidFill>
              <w14:schemeClr w14:val="tx1"/>
            </w14:solidFill>
          </w14:textFill>
        </w:rPr>
        <w:t>汽车与机电学院</w:t>
      </w:r>
      <w:r>
        <w:rPr>
          <w:rFonts w:hint="eastAsia" w:ascii="Times New Roman" w:hAnsi="Times New Roman" w:eastAsia="仿宋_GB2312" w:cs="仿宋_GB2312"/>
          <w:color w:val="000000" w:themeColor="text1"/>
          <w:kern w:val="0"/>
          <w:sz w:val="32"/>
          <w:szCs w:val="32"/>
          <w:u w:val="single"/>
          <w14:textFill>
            <w14:solidFill>
              <w14:schemeClr w14:val="tx1"/>
            </w14:solidFill>
          </w14:textFill>
        </w:rPr>
        <w:t xml:space="preserve">       </w:t>
      </w:r>
    </w:p>
    <w:p w14:paraId="0795F120">
      <w:pPr>
        <w:rPr>
          <w:rFonts w:hint="eastAsia" w:ascii="Times New Roman" w:hAnsi="Times New Roman" w:eastAsia="仿宋_GB2312" w:cs="仿宋_GB2312"/>
          <w:color w:val="FF0000"/>
          <w:kern w:val="0"/>
          <w:sz w:val="32"/>
          <w:szCs w:val="32"/>
          <w:shd w:val="clear" w:color="auto" w:fill="FFFFFF"/>
        </w:rPr>
      </w:pPr>
    </w:p>
    <w:p w14:paraId="68747CE6">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pP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广西工程职业学院</w:t>
      </w: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kern w:val="0"/>
          <w:sz w:val="32"/>
          <w:szCs w:val="32"/>
          <w:shd w:val="clear" w:color="auto" w:fill="FFFFFF"/>
          <w14:textFill>
            <w14:solidFill>
              <w14:schemeClr w14:val="tx1"/>
            </w14:solidFill>
          </w14:textFill>
        </w:rPr>
        <w:t>制</w:t>
      </w:r>
    </w:p>
    <w:p w14:paraId="234513B1">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pPr>
      <w:r>
        <w:rPr>
          <w:rFonts w:hint="eastAsia" w:ascii="Times New Roman" w:hAnsi="Times New Roman" w:eastAsia="仿宋_GB2312" w:cs="仿宋_GB2312"/>
          <w:color w:val="000000" w:themeColor="text1"/>
          <w:kern w:val="0"/>
          <w:sz w:val="32"/>
          <w:szCs w:val="32"/>
          <w:shd w:val="clear" w:color="auto" w:fill="FFFFFF"/>
          <w:lang w:val="en-US" w:eastAsia="zh-CN"/>
          <w14:textFill>
            <w14:solidFill>
              <w14:schemeClr w14:val="tx1"/>
            </w14:solidFill>
          </w14:textFill>
        </w:rPr>
        <w:t>2025年4月</w:t>
      </w:r>
    </w:p>
    <w:p w14:paraId="5E5DD8C2">
      <w:pPr>
        <w:widowControl/>
        <w:overflowPunct w:val="0"/>
        <w:adjustRightInd w:val="0"/>
        <w:snapToGrid w:val="0"/>
        <w:spacing w:after="160"/>
        <w:jc w:val="center"/>
        <w:rPr>
          <w:rFonts w:hint="eastAsia" w:ascii="Times New Roman" w:hAnsi="Times New Roman" w:eastAsia="黑体" w:cs="黑体"/>
          <w:b/>
          <w:bCs/>
          <w:color w:val="auto"/>
          <w:kern w:val="0"/>
          <w:sz w:val="52"/>
          <w:szCs w:val="52"/>
        </w:rPr>
        <w:sectPr>
          <w:headerReference r:id="rId5" w:type="default"/>
          <w:pgSz w:w="11906" w:h="16838"/>
          <w:pgMar w:top="1417" w:right="1417" w:bottom="1417" w:left="1984"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29DD95BB">
      <w:pPr>
        <w:widowControl/>
        <w:overflowPunct w:val="0"/>
        <w:adjustRightInd w:val="0"/>
        <w:snapToGrid w:val="0"/>
        <w:spacing w:after="160"/>
        <w:jc w:val="center"/>
        <w:rPr>
          <w:rFonts w:hint="eastAsia" w:ascii="Times New Roman" w:hAnsi="Times New Roman" w:eastAsia="黑体" w:cs="黑体"/>
          <w:b/>
          <w:bCs/>
          <w:color w:val="auto"/>
          <w:kern w:val="0"/>
          <w:sz w:val="52"/>
          <w:szCs w:val="52"/>
        </w:rPr>
        <w:sectPr>
          <w:pgSz w:w="11906" w:h="16838"/>
          <w:pgMar w:top="1417" w:right="1417" w:bottom="1417" w:left="1984"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61EC1054">
      <w:pPr>
        <w:jc w:val="center"/>
        <w:rPr>
          <w:rFonts w:hint="eastAsia" w:ascii="Times New Roman" w:hAnsi="Times New Roman" w:eastAsia="黑体" w:cs="黑体"/>
          <w:b w:val="0"/>
          <w:bCs/>
          <w:color w:val="000000" w:themeColor="text1"/>
          <w:sz w:val="44"/>
          <w:szCs w:val="44"/>
          <w14:textFill>
            <w14:solidFill>
              <w14:schemeClr w14:val="tx1"/>
            </w14:solidFill>
          </w14:textFill>
        </w:rPr>
      </w:pPr>
      <w:r>
        <w:rPr>
          <w:rFonts w:hint="eastAsia" w:ascii="Times New Roman" w:hAnsi="Times New Roman" w:eastAsia="黑体" w:cs="黑体"/>
          <w:b w:val="0"/>
          <w:bCs/>
          <w:color w:val="000000" w:themeColor="text1"/>
          <w:sz w:val="44"/>
          <w:szCs w:val="44"/>
          <w14:textFill>
            <w14:solidFill>
              <w14:schemeClr w14:val="tx1"/>
            </w14:solidFill>
          </w14:textFill>
        </w:rPr>
        <w:t>编制说明</w:t>
      </w:r>
    </w:p>
    <w:p w14:paraId="38FFA806">
      <w:pPr>
        <w:ind w:firstLine="880" w:firstLineChars="200"/>
        <w:rPr>
          <w:rFonts w:hint="eastAsia" w:ascii="Times New Roman" w:hAnsi="Times New Roman" w:eastAsia="黑体" w:cs="黑体"/>
          <w:b w:val="0"/>
          <w:bCs/>
          <w:color w:val="FF0000"/>
          <w:sz w:val="44"/>
          <w:szCs w:val="44"/>
        </w:rPr>
      </w:pPr>
    </w:p>
    <w:p w14:paraId="3D1A6223">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Times New Roman" w:hAnsi="Times New Roman" w:eastAsia="仿宋_GB2312" w:cs="仿宋_GB2312"/>
          <w:b w:val="0"/>
          <w:bCs/>
          <w:color w:val="000000" w:themeColor="text1"/>
          <w:sz w:val="32"/>
          <w:szCs w:val="32"/>
          <w14:textFill>
            <w14:solidFill>
              <w14:schemeClr w14:val="tx1"/>
            </w14:solidFill>
          </w14:textFill>
        </w:rPr>
      </w:pPr>
      <w:r>
        <w:rPr>
          <w:rFonts w:hint="eastAsia" w:ascii="Times New Roman" w:hAnsi="Times New Roman" w:eastAsia="仿宋_GB2312" w:cs="仿宋_GB2312"/>
          <w:b w:val="0"/>
          <w:bCs/>
          <w:color w:val="000000" w:themeColor="text1"/>
          <w:sz w:val="32"/>
          <w:szCs w:val="32"/>
          <w14:textFill>
            <w14:solidFill>
              <w14:schemeClr w14:val="tx1"/>
            </w14:solidFill>
          </w14:textFill>
        </w:rPr>
        <w:t>本专业人才培养方案适于</w:t>
      </w:r>
      <w:r>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t>我校</w:t>
      </w:r>
      <w:r>
        <w:rPr>
          <w:rFonts w:hint="eastAsia" w:ascii="Times New Roman" w:hAnsi="Times New Roman" w:eastAsia="仿宋_GB2312" w:cs="仿宋_GB2312"/>
          <w:b w:val="0"/>
          <w:bCs/>
          <w:color w:val="000000" w:themeColor="text1"/>
          <w:sz w:val="32"/>
          <w:szCs w:val="32"/>
          <w14:textFill>
            <w14:solidFill>
              <w14:schemeClr w14:val="tx1"/>
            </w14:solidFill>
          </w14:textFill>
        </w:rPr>
        <w:t>三年全日制高职专科，由广西</w:t>
      </w:r>
      <w:r>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t>工程职业学院应用电子技术</w:t>
      </w:r>
      <w:r>
        <w:rPr>
          <w:rFonts w:hint="eastAsia" w:ascii="Times New Roman" w:hAnsi="Times New Roman" w:eastAsia="仿宋_GB2312" w:cs="仿宋_GB2312"/>
          <w:b w:val="0"/>
          <w:bCs/>
          <w:color w:val="000000" w:themeColor="text1"/>
          <w:sz w:val="32"/>
          <w:szCs w:val="32"/>
          <w14:textFill>
            <w14:solidFill>
              <w14:schemeClr w14:val="tx1"/>
            </w14:solidFill>
          </w14:textFill>
        </w:rPr>
        <w:t>专业团队与</w:t>
      </w:r>
      <w:r>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t>广西大生新能源科技有限</w:t>
      </w:r>
      <w:r>
        <w:rPr>
          <w:rFonts w:hint="eastAsia" w:ascii="Times New Roman" w:hAnsi="Times New Roman" w:eastAsia="仿宋_GB2312" w:cs="仿宋_GB2312"/>
          <w:b w:val="0"/>
          <w:bCs/>
          <w:color w:val="000000" w:themeColor="text1"/>
          <w:sz w:val="32"/>
          <w:szCs w:val="32"/>
          <w14:textFill>
            <w14:solidFill>
              <w14:schemeClr w14:val="tx1"/>
            </w14:solidFill>
          </w14:textFill>
        </w:rPr>
        <w:t>公司</w:t>
      </w:r>
      <w:r>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t>等</w:t>
      </w:r>
      <w:r>
        <w:rPr>
          <w:rFonts w:hint="eastAsia" w:ascii="Times New Roman" w:hAnsi="Times New Roman" w:eastAsia="仿宋_GB2312" w:cs="仿宋_GB2312"/>
          <w:b w:val="0"/>
          <w:bCs/>
          <w:color w:val="000000" w:themeColor="text1"/>
          <w:sz w:val="32"/>
          <w:szCs w:val="32"/>
          <w14:textFill>
            <w14:solidFill>
              <w14:schemeClr w14:val="tx1"/>
            </w14:solidFill>
          </w14:textFill>
        </w:rPr>
        <w:t>共同制订，并经</w:t>
      </w:r>
      <w:r>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t>二级学院党政联席会审定、</w:t>
      </w:r>
      <w:r>
        <w:rPr>
          <w:rFonts w:hint="eastAsia" w:ascii="Times New Roman" w:hAnsi="Times New Roman" w:eastAsia="仿宋_GB2312" w:cs="仿宋_GB2312"/>
          <w:b w:val="0"/>
          <w:bCs/>
          <w:color w:val="000000" w:themeColor="text1"/>
          <w:sz w:val="32"/>
          <w:szCs w:val="32"/>
          <w14:textFill>
            <w14:solidFill>
              <w14:schemeClr w14:val="tx1"/>
            </w14:solidFill>
          </w14:textFill>
        </w:rPr>
        <w:t>学校</w:t>
      </w:r>
      <w:r>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t>专业建设</w:t>
      </w:r>
      <w:r>
        <w:rPr>
          <w:rFonts w:hint="eastAsia" w:ascii="Times New Roman" w:hAnsi="Times New Roman" w:eastAsia="仿宋_GB2312" w:cs="仿宋_GB2312"/>
          <w:b w:val="0"/>
          <w:bCs/>
          <w:color w:val="000000" w:themeColor="text1"/>
          <w:sz w:val="32"/>
          <w:szCs w:val="32"/>
          <w14:textFill>
            <w14:solidFill>
              <w14:schemeClr w14:val="tx1"/>
            </w14:solidFill>
          </w14:textFill>
        </w:rPr>
        <w:t>指导委员会</w:t>
      </w:r>
      <w:r>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t>论证</w:t>
      </w:r>
      <w:r>
        <w:rPr>
          <w:rFonts w:hint="eastAsia" w:ascii="Times New Roman" w:hAnsi="Times New Roman" w:eastAsia="仿宋_GB2312" w:cs="仿宋_GB2312"/>
          <w:b w:val="0"/>
          <w:bCs/>
          <w:color w:val="000000" w:themeColor="text1"/>
          <w:sz w:val="32"/>
          <w:szCs w:val="32"/>
          <w14:textFill>
            <w14:solidFill>
              <w14:schemeClr w14:val="tx1"/>
            </w14:solidFill>
          </w14:textFill>
        </w:rPr>
        <w:t>，</w:t>
      </w:r>
      <w:r>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t>校长办公</w:t>
      </w:r>
      <w:r>
        <w:rPr>
          <w:rFonts w:hint="eastAsia" w:ascii="Times New Roman" w:hAnsi="Times New Roman" w:eastAsia="仿宋_GB2312" w:cs="仿宋_GB2312"/>
          <w:b w:val="0"/>
          <w:bCs/>
          <w:color w:val="000000" w:themeColor="text1"/>
          <w:sz w:val="32"/>
          <w:szCs w:val="32"/>
          <w14:textFill>
            <w14:solidFill>
              <w14:schemeClr w14:val="tx1"/>
            </w14:solidFill>
          </w14:textFill>
        </w:rPr>
        <w:t>会</w:t>
      </w:r>
      <w:r>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t>审议</w:t>
      </w:r>
      <w:r>
        <w:rPr>
          <w:rFonts w:hint="eastAsia" w:ascii="Times New Roman" w:hAnsi="Times New Roman" w:eastAsia="仿宋_GB2312" w:cs="仿宋_GB2312"/>
          <w:b w:val="0"/>
          <w:bCs/>
          <w:color w:val="000000" w:themeColor="text1"/>
          <w:sz w:val="32"/>
          <w:szCs w:val="32"/>
          <w14:textFill>
            <w14:solidFill>
              <w14:schemeClr w14:val="tx1"/>
            </w14:solidFill>
          </w14:textFill>
        </w:rPr>
        <w:t>、</w:t>
      </w:r>
      <w:r>
        <w:rPr>
          <w:rFonts w:hint="eastAsia" w:ascii="Times New Roman" w:hAnsi="Times New Roman" w:eastAsia="仿宋_GB2312" w:cs="仿宋_GB2312"/>
          <w:b w:val="0"/>
          <w:bCs/>
          <w:color w:val="000000" w:themeColor="text1"/>
          <w:sz w:val="32"/>
          <w:szCs w:val="32"/>
          <w:highlight w:val="none"/>
          <w:lang w:val="en-US" w:eastAsia="zh-CN"/>
          <w14:textFill>
            <w14:solidFill>
              <w14:schemeClr w14:val="tx1"/>
            </w14:solidFill>
          </w14:textFill>
        </w:rPr>
        <w:t>学</w:t>
      </w:r>
      <w:r>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t>校</w:t>
      </w:r>
      <w:r>
        <w:rPr>
          <w:rFonts w:hint="eastAsia" w:ascii="Times New Roman" w:hAnsi="Times New Roman" w:eastAsia="仿宋_GB2312" w:cs="仿宋_GB2312"/>
          <w:b w:val="0"/>
          <w:bCs/>
          <w:color w:val="000000" w:themeColor="text1"/>
          <w:sz w:val="32"/>
          <w:szCs w:val="32"/>
          <w14:textFill>
            <w14:solidFill>
              <w14:schemeClr w14:val="tx1"/>
            </w14:solidFill>
          </w14:textFill>
        </w:rPr>
        <w:t>党委会审定，批准实施。</w:t>
      </w:r>
    </w:p>
    <w:p w14:paraId="29CAF34A">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val="0"/>
          <w:bCs/>
          <w:color w:val="000000" w:themeColor="text1"/>
          <w:sz w:val="32"/>
          <w:szCs w:val="32"/>
          <w:lang w:val="en-US" w:eastAsia="zh-CN"/>
          <w14:textFill>
            <w14:solidFill>
              <w14:schemeClr w14:val="tx1"/>
            </w14:solidFill>
          </w14:textFill>
        </w:rPr>
        <w:t>主要编制人：</w:t>
      </w:r>
    </w:p>
    <w:tbl>
      <w:tblPr>
        <w:tblStyle w:val="13"/>
        <w:tblW w:w="91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2253"/>
        <w:gridCol w:w="1718"/>
      </w:tblGrid>
      <w:tr w14:paraId="55A1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908" w:type="dxa"/>
            <w:vAlign w:val="center"/>
          </w:tcPr>
          <w:p w14:paraId="699D885F">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序号</w:t>
            </w:r>
          </w:p>
        </w:tc>
        <w:tc>
          <w:tcPr>
            <w:tcW w:w="1450" w:type="dxa"/>
            <w:vAlign w:val="center"/>
          </w:tcPr>
          <w:p w14:paraId="5E4F6098">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姓名</w:t>
            </w:r>
          </w:p>
        </w:tc>
        <w:tc>
          <w:tcPr>
            <w:tcW w:w="2800" w:type="dxa"/>
            <w:vAlign w:val="center"/>
          </w:tcPr>
          <w:p w14:paraId="75D7E461">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单位名称</w:t>
            </w:r>
          </w:p>
        </w:tc>
        <w:tc>
          <w:tcPr>
            <w:tcW w:w="2253" w:type="dxa"/>
            <w:vAlign w:val="center"/>
          </w:tcPr>
          <w:p w14:paraId="408742F1">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职务</w:t>
            </w:r>
          </w:p>
        </w:tc>
        <w:tc>
          <w:tcPr>
            <w:tcW w:w="1718" w:type="dxa"/>
            <w:vAlign w:val="center"/>
          </w:tcPr>
          <w:p w14:paraId="75476A39">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职称</w:t>
            </w:r>
          </w:p>
        </w:tc>
      </w:tr>
      <w:tr w14:paraId="71A6D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5" w:hRule="atLeast"/>
        </w:trPr>
        <w:tc>
          <w:tcPr>
            <w:tcW w:w="908" w:type="dxa"/>
            <w:vAlign w:val="center"/>
          </w:tcPr>
          <w:p w14:paraId="20702941">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1</w:t>
            </w:r>
          </w:p>
        </w:tc>
        <w:tc>
          <w:tcPr>
            <w:tcW w:w="1450" w:type="dxa"/>
            <w:vAlign w:val="center"/>
          </w:tcPr>
          <w:p w14:paraId="4988D3AF">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陈建明</w:t>
            </w:r>
          </w:p>
        </w:tc>
        <w:tc>
          <w:tcPr>
            <w:tcW w:w="2800" w:type="dxa"/>
            <w:vAlign w:val="center"/>
          </w:tcPr>
          <w:p w14:paraId="14A3DFE7">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000000" w:themeColor="text1"/>
                <w:sz w:val="28"/>
                <w:szCs w:val="28"/>
                <w:lang w:val="en-US" w:eastAsia="zh-CN"/>
                <w14:textFill>
                  <w14:solidFill>
                    <w14:schemeClr w14:val="tx1"/>
                  </w14:solidFill>
                </w14:textFill>
              </w:rPr>
              <w:t>广西大生新能源科技有限</w:t>
            </w:r>
            <w:r>
              <w:rPr>
                <w:rFonts w:hint="eastAsia" w:ascii="Times New Roman" w:hAnsi="Times New Roman" w:eastAsia="仿宋_GB2312" w:cs="仿宋_GB2312"/>
                <w:b w:val="0"/>
                <w:bCs/>
                <w:color w:val="000000" w:themeColor="text1"/>
                <w:sz w:val="28"/>
                <w:szCs w:val="28"/>
                <w14:textFill>
                  <w14:solidFill>
                    <w14:schemeClr w14:val="tx1"/>
                  </w14:solidFill>
                </w14:textFill>
              </w:rPr>
              <w:t>公司</w:t>
            </w:r>
          </w:p>
        </w:tc>
        <w:tc>
          <w:tcPr>
            <w:tcW w:w="2253" w:type="dxa"/>
            <w:vAlign w:val="center"/>
          </w:tcPr>
          <w:p w14:paraId="4AE84E79">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经理</w:t>
            </w:r>
          </w:p>
        </w:tc>
        <w:tc>
          <w:tcPr>
            <w:tcW w:w="1718" w:type="dxa"/>
            <w:vAlign w:val="center"/>
          </w:tcPr>
          <w:p w14:paraId="5CFBEF80">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无</w:t>
            </w:r>
          </w:p>
        </w:tc>
      </w:tr>
      <w:tr w14:paraId="5D97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908" w:type="dxa"/>
            <w:shd w:val="clear" w:color="auto" w:fill="auto"/>
            <w:vAlign w:val="center"/>
          </w:tcPr>
          <w:p w14:paraId="5C09C2D9">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2</w:t>
            </w:r>
          </w:p>
        </w:tc>
        <w:tc>
          <w:tcPr>
            <w:tcW w:w="1450" w:type="dxa"/>
            <w:shd w:val="clear" w:color="auto" w:fill="auto"/>
            <w:vAlign w:val="center"/>
          </w:tcPr>
          <w:p w14:paraId="7872B044">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杨竟</w:t>
            </w:r>
          </w:p>
        </w:tc>
        <w:tc>
          <w:tcPr>
            <w:tcW w:w="2800" w:type="dxa"/>
            <w:shd w:val="clear" w:color="auto" w:fill="auto"/>
            <w:vAlign w:val="center"/>
          </w:tcPr>
          <w:p w14:paraId="1EED0E0E">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3" w:type="dxa"/>
            <w:shd w:val="clear" w:color="auto" w:fill="auto"/>
            <w:vAlign w:val="center"/>
          </w:tcPr>
          <w:p w14:paraId="6DC142B5">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汽车与机电学院院长</w:t>
            </w:r>
          </w:p>
        </w:tc>
        <w:tc>
          <w:tcPr>
            <w:tcW w:w="1718" w:type="dxa"/>
            <w:shd w:val="clear" w:color="auto" w:fill="auto"/>
            <w:vAlign w:val="center"/>
          </w:tcPr>
          <w:p w14:paraId="28B4EEB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副教授</w:t>
            </w:r>
          </w:p>
        </w:tc>
      </w:tr>
      <w:tr w14:paraId="68E97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908" w:type="dxa"/>
            <w:shd w:val="clear" w:color="auto" w:fill="auto"/>
            <w:vAlign w:val="center"/>
          </w:tcPr>
          <w:p w14:paraId="1DD87BF5">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3</w:t>
            </w:r>
          </w:p>
        </w:tc>
        <w:tc>
          <w:tcPr>
            <w:tcW w:w="1450" w:type="dxa"/>
            <w:shd w:val="clear" w:color="auto" w:fill="auto"/>
            <w:vAlign w:val="center"/>
          </w:tcPr>
          <w:p w14:paraId="68A8F9DB">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李慧妹</w:t>
            </w:r>
          </w:p>
        </w:tc>
        <w:tc>
          <w:tcPr>
            <w:tcW w:w="2800" w:type="dxa"/>
            <w:shd w:val="clear" w:color="auto" w:fill="auto"/>
            <w:vAlign w:val="center"/>
          </w:tcPr>
          <w:p w14:paraId="03090CE5">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3" w:type="dxa"/>
            <w:shd w:val="clear" w:color="auto" w:fill="auto"/>
            <w:vAlign w:val="center"/>
          </w:tcPr>
          <w:p w14:paraId="45BE38D7">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汽车与机电学院办公室主任</w:t>
            </w:r>
          </w:p>
        </w:tc>
        <w:tc>
          <w:tcPr>
            <w:tcW w:w="1718" w:type="dxa"/>
            <w:shd w:val="clear" w:color="auto" w:fill="auto"/>
            <w:vAlign w:val="center"/>
          </w:tcPr>
          <w:p w14:paraId="68887804">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1C3B8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908" w:type="dxa"/>
            <w:shd w:val="clear" w:color="auto" w:fill="auto"/>
            <w:vAlign w:val="center"/>
          </w:tcPr>
          <w:p w14:paraId="791BB3C0">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4</w:t>
            </w:r>
          </w:p>
        </w:tc>
        <w:tc>
          <w:tcPr>
            <w:tcW w:w="1450" w:type="dxa"/>
            <w:shd w:val="clear" w:color="auto" w:fill="auto"/>
            <w:vAlign w:val="center"/>
          </w:tcPr>
          <w:p w14:paraId="21A0415B">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卢燕梅</w:t>
            </w:r>
          </w:p>
        </w:tc>
        <w:tc>
          <w:tcPr>
            <w:tcW w:w="2800" w:type="dxa"/>
            <w:shd w:val="clear" w:color="auto" w:fill="auto"/>
            <w:vAlign w:val="center"/>
          </w:tcPr>
          <w:p w14:paraId="38DBD269">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3" w:type="dxa"/>
            <w:shd w:val="clear" w:color="auto" w:fill="auto"/>
            <w:vAlign w:val="center"/>
          </w:tcPr>
          <w:p w14:paraId="654F4366">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汽车与机电学院党支部副书记</w:t>
            </w:r>
          </w:p>
        </w:tc>
        <w:tc>
          <w:tcPr>
            <w:tcW w:w="1718" w:type="dxa"/>
            <w:shd w:val="clear" w:color="auto" w:fill="auto"/>
            <w:vAlign w:val="center"/>
          </w:tcPr>
          <w:p w14:paraId="42AB99BD">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4A83B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908" w:type="dxa"/>
            <w:shd w:val="clear" w:color="auto" w:fill="auto"/>
            <w:vAlign w:val="center"/>
          </w:tcPr>
          <w:p w14:paraId="4F730C55">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5</w:t>
            </w:r>
          </w:p>
        </w:tc>
        <w:tc>
          <w:tcPr>
            <w:tcW w:w="1450" w:type="dxa"/>
            <w:shd w:val="clear" w:color="auto" w:fill="auto"/>
            <w:vAlign w:val="center"/>
          </w:tcPr>
          <w:p w14:paraId="5B18AFA7">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陆新锋</w:t>
            </w:r>
          </w:p>
        </w:tc>
        <w:tc>
          <w:tcPr>
            <w:tcW w:w="2800" w:type="dxa"/>
            <w:shd w:val="clear" w:color="auto" w:fill="auto"/>
            <w:vAlign w:val="center"/>
          </w:tcPr>
          <w:p w14:paraId="3C261BE0">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3" w:type="dxa"/>
            <w:shd w:val="clear" w:color="auto" w:fill="auto"/>
            <w:vAlign w:val="center"/>
          </w:tcPr>
          <w:p w14:paraId="79324476">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汽车与机电学院学生科科长</w:t>
            </w:r>
          </w:p>
        </w:tc>
        <w:tc>
          <w:tcPr>
            <w:tcW w:w="1718" w:type="dxa"/>
            <w:shd w:val="clear" w:color="auto" w:fill="auto"/>
            <w:vAlign w:val="center"/>
          </w:tcPr>
          <w:p w14:paraId="75A9DB1A">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助理工程师</w:t>
            </w:r>
          </w:p>
        </w:tc>
      </w:tr>
      <w:tr w14:paraId="03FF3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908" w:type="dxa"/>
            <w:shd w:val="clear" w:color="auto" w:fill="auto"/>
            <w:vAlign w:val="center"/>
          </w:tcPr>
          <w:p w14:paraId="30154FB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6</w:t>
            </w:r>
          </w:p>
        </w:tc>
        <w:tc>
          <w:tcPr>
            <w:tcW w:w="1450" w:type="dxa"/>
            <w:shd w:val="clear" w:color="auto" w:fill="auto"/>
            <w:vAlign w:val="center"/>
          </w:tcPr>
          <w:p w14:paraId="2387A2F8">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罗国王</w:t>
            </w:r>
          </w:p>
        </w:tc>
        <w:tc>
          <w:tcPr>
            <w:tcW w:w="2800" w:type="dxa"/>
            <w:shd w:val="clear" w:color="auto" w:fill="auto"/>
            <w:vAlign w:val="center"/>
          </w:tcPr>
          <w:p w14:paraId="2A292F70">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3" w:type="dxa"/>
            <w:shd w:val="clear" w:color="auto" w:fill="auto"/>
            <w:vAlign w:val="center"/>
          </w:tcPr>
          <w:p w14:paraId="6B1054D4">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汽车与机电学院电子技术教研室副主任</w:t>
            </w:r>
          </w:p>
        </w:tc>
        <w:tc>
          <w:tcPr>
            <w:tcW w:w="1718" w:type="dxa"/>
            <w:shd w:val="clear" w:color="auto" w:fill="auto"/>
            <w:vAlign w:val="center"/>
          </w:tcPr>
          <w:p w14:paraId="2BDA9773">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助教</w:t>
            </w:r>
          </w:p>
        </w:tc>
      </w:tr>
      <w:tr w14:paraId="26713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908" w:type="dxa"/>
            <w:shd w:val="clear" w:color="auto" w:fill="auto"/>
            <w:vAlign w:val="center"/>
          </w:tcPr>
          <w:p w14:paraId="715C514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7</w:t>
            </w:r>
          </w:p>
        </w:tc>
        <w:tc>
          <w:tcPr>
            <w:tcW w:w="1450" w:type="dxa"/>
            <w:shd w:val="clear" w:color="auto" w:fill="auto"/>
            <w:vAlign w:val="center"/>
          </w:tcPr>
          <w:p w14:paraId="408BDB70">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马宁</w:t>
            </w:r>
          </w:p>
        </w:tc>
        <w:tc>
          <w:tcPr>
            <w:tcW w:w="2800" w:type="dxa"/>
            <w:shd w:val="clear" w:color="auto" w:fill="auto"/>
            <w:vAlign w:val="center"/>
          </w:tcPr>
          <w:p w14:paraId="4C6D1A06">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3" w:type="dxa"/>
            <w:shd w:val="clear" w:color="auto" w:fill="auto"/>
            <w:vAlign w:val="center"/>
          </w:tcPr>
          <w:p w14:paraId="19507A04">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汽车与机电学院应用电子技术专业专任教师</w:t>
            </w:r>
          </w:p>
        </w:tc>
        <w:tc>
          <w:tcPr>
            <w:tcW w:w="1718" w:type="dxa"/>
            <w:shd w:val="clear" w:color="auto" w:fill="auto"/>
            <w:vAlign w:val="center"/>
          </w:tcPr>
          <w:p w14:paraId="7E796A24">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助理工程师</w:t>
            </w:r>
          </w:p>
        </w:tc>
      </w:tr>
      <w:tr w14:paraId="28CC8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908" w:type="dxa"/>
            <w:shd w:val="clear" w:color="auto" w:fill="auto"/>
            <w:vAlign w:val="center"/>
          </w:tcPr>
          <w:p w14:paraId="4B63BD5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8</w:t>
            </w:r>
          </w:p>
        </w:tc>
        <w:tc>
          <w:tcPr>
            <w:tcW w:w="1450" w:type="dxa"/>
            <w:shd w:val="clear" w:color="auto" w:fill="auto"/>
            <w:vAlign w:val="center"/>
          </w:tcPr>
          <w:p w14:paraId="750349AF">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Cs/>
                <w:kern w:val="2"/>
                <w:sz w:val="28"/>
                <w:szCs w:val="28"/>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池浩鹏</w:t>
            </w:r>
          </w:p>
        </w:tc>
        <w:tc>
          <w:tcPr>
            <w:tcW w:w="2800" w:type="dxa"/>
            <w:shd w:val="clear" w:color="auto" w:fill="auto"/>
            <w:vAlign w:val="center"/>
          </w:tcPr>
          <w:p w14:paraId="318FB01A">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253" w:type="dxa"/>
            <w:shd w:val="clear" w:color="auto" w:fill="auto"/>
            <w:vAlign w:val="center"/>
          </w:tcPr>
          <w:p w14:paraId="6D4E7714">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汽车与机电学院应用电子技术专业专任教师</w:t>
            </w:r>
          </w:p>
        </w:tc>
        <w:tc>
          <w:tcPr>
            <w:tcW w:w="1718" w:type="dxa"/>
            <w:shd w:val="clear" w:color="auto" w:fill="auto"/>
            <w:vAlign w:val="center"/>
          </w:tcPr>
          <w:p w14:paraId="35CC82E4">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助理工程师</w:t>
            </w:r>
          </w:p>
        </w:tc>
      </w:tr>
    </w:tbl>
    <w:p w14:paraId="48CB7CDB">
      <w:pPr>
        <w:widowControl/>
        <w:overflowPunct w:val="0"/>
        <w:adjustRightInd w:val="0"/>
        <w:snapToGrid w:val="0"/>
        <w:spacing w:after="160"/>
        <w:jc w:val="center"/>
        <w:rPr>
          <w:rFonts w:hint="eastAsia" w:ascii="Times New Roman" w:hAnsi="Times New Roman" w:eastAsia="黑体" w:cs="黑体"/>
          <w:b/>
          <w:bCs/>
          <w:color w:val="auto"/>
          <w:kern w:val="0"/>
          <w:sz w:val="52"/>
          <w:szCs w:val="52"/>
        </w:rPr>
        <w:sectPr>
          <w:pgSz w:w="11906" w:h="16838"/>
          <w:pgMar w:top="1417" w:right="1417" w:bottom="1417" w:left="1984"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060F9903">
      <w:pPr>
        <w:widowControl/>
        <w:overflowPunct w:val="0"/>
        <w:adjustRightInd w:val="0"/>
        <w:snapToGrid w:val="0"/>
        <w:spacing w:after="160"/>
        <w:jc w:val="both"/>
        <w:rPr>
          <w:rFonts w:hint="eastAsia" w:ascii="Times New Roman" w:hAnsi="Times New Roman" w:eastAsia="黑体" w:cs="黑体"/>
          <w:b/>
          <w:bCs/>
          <w:color w:val="auto"/>
          <w:kern w:val="0"/>
          <w:sz w:val="52"/>
          <w:szCs w:val="52"/>
        </w:rPr>
        <w:sectPr>
          <w:pgSz w:w="11906" w:h="16838"/>
          <w:pgMar w:top="1417" w:right="1417" w:bottom="1417" w:left="1984" w:header="851" w:footer="992" w:gutter="0"/>
          <w:pgBorders>
            <w:top w:val="none" w:sz="0" w:space="0"/>
            <w:left w:val="none" w:sz="0" w:space="0"/>
            <w:bottom w:val="none" w:sz="0" w:space="0"/>
            <w:right w:val="none" w:sz="0" w:space="0"/>
          </w:pgBorders>
          <w:pgNumType w:start="1"/>
          <w:cols w:space="425" w:num="1"/>
          <w:docGrid w:type="lines" w:linePitch="312" w:charSpace="0"/>
        </w:sectPr>
      </w:pPr>
    </w:p>
    <w:sdt>
      <w:sdtPr>
        <w:rPr>
          <w:rFonts w:hint="eastAsia" w:ascii="Times New Roman" w:hAnsi="Times New Roman" w:eastAsia="方正小标宋简体" w:cs="方正小标宋简体"/>
          <w:kern w:val="2"/>
          <w:sz w:val="44"/>
          <w:szCs w:val="44"/>
          <w:lang w:val="en-US" w:eastAsia="zh-CN" w:bidi="ar-SA"/>
        </w:rPr>
        <w:id w:val="147454934"/>
        <w15:color w:val="DBDBDB"/>
        <w:docPartObj>
          <w:docPartGallery w:val="Table of Contents"/>
          <w:docPartUnique/>
        </w:docPartObj>
      </w:sdtPr>
      <w:sdtEndPr>
        <w:rPr>
          <w:rFonts w:hint="eastAsia" w:ascii="Times New Roman" w:hAnsi="Times New Roman" w:eastAsia="黑体" w:cs="黑体"/>
          <w:bCs/>
          <w:color w:val="auto"/>
          <w:kern w:val="0"/>
          <w:sz w:val="21"/>
          <w:szCs w:val="52"/>
          <w:lang w:val="en-US" w:eastAsia="zh-CN" w:bidi="ar-SA"/>
        </w:rPr>
      </w:sdtEndPr>
      <w:sdtContent>
        <w:p w14:paraId="513EDFEF">
          <w:pPr>
            <w:spacing w:before="0" w:beforeLines="0" w:after="0" w:afterLines="0" w:line="240" w:lineRule="auto"/>
            <w:ind w:left="0" w:leftChars="0" w:right="0" w:rightChars="0" w:firstLine="0" w:firstLineChars="0"/>
            <w:jc w:val="center"/>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目</w:t>
          </w:r>
          <w:r>
            <w:rPr>
              <w:rFonts w:hint="eastAsia" w:ascii="Times New Roman" w:hAnsi="Times New Roman" w:eastAsia="方正小标宋简体" w:cs="方正小标宋简体"/>
              <w:sz w:val="44"/>
              <w:szCs w:val="44"/>
              <w:lang w:val="en-US" w:eastAsia="zh-CN"/>
            </w:rPr>
            <w:t xml:space="preserve">  </w:t>
          </w:r>
          <w:r>
            <w:rPr>
              <w:rFonts w:hint="eastAsia" w:ascii="Times New Roman" w:hAnsi="Times New Roman" w:eastAsia="方正小标宋简体" w:cs="方正小标宋简体"/>
              <w:sz w:val="44"/>
              <w:szCs w:val="44"/>
            </w:rPr>
            <w:t>录</w:t>
          </w:r>
        </w:p>
        <w:p w14:paraId="0C6200B2">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 w:val="21"/>
              <w:szCs w:val="52"/>
              <w:lang w:val="en-US" w:eastAsia="zh-CN" w:bidi="ar-SA"/>
            </w:rPr>
            <w:fldChar w:fldCharType="begin"/>
          </w:r>
          <w:r>
            <w:rPr>
              <w:rFonts w:hint="eastAsia" w:ascii="Times New Roman" w:hAnsi="Times New Roman" w:eastAsia="黑体" w:cs="黑体"/>
              <w:bCs/>
              <w:color w:val="auto"/>
              <w:kern w:val="0"/>
              <w:sz w:val="21"/>
              <w:szCs w:val="52"/>
              <w:lang w:val="en-US" w:eastAsia="zh-CN" w:bidi="ar-SA"/>
            </w:rPr>
            <w:instrText xml:space="preserve">TOC \o "1-2" \h \u </w:instrText>
          </w:r>
          <w:r>
            <w:rPr>
              <w:rFonts w:hint="eastAsia" w:ascii="Times New Roman" w:hAnsi="Times New Roman" w:eastAsia="黑体" w:cs="黑体"/>
              <w:bCs/>
              <w:color w:val="auto"/>
              <w:kern w:val="0"/>
              <w:sz w:val="21"/>
              <w:szCs w:val="52"/>
              <w:lang w:val="en-US" w:eastAsia="zh-CN" w:bidi="ar-SA"/>
            </w:rPr>
            <w:fldChar w:fldCharType="separate"/>
          </w: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_Toc987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rPr>
            <w:t>一、专业名称及代码</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_Toc987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013CC06E">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_Toc20411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rPr>
            <w:t>二、入学要求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_Toc20411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464E589E">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_Toc31917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rPr>
            <w:t>三、</w:t>
          </w:r>
          <w:r>
            <w:rPr>
              <w:rFonts w:hint="eastAsia" w:ascii="Times New Roman" w:hAnsi="Times New Roman"/>
              <w:lang w:val="en-US" w:eastAsia="zh-CN"/>
            </w:rPr>
            <w:t>基本</w:t>
          </w:r>
          <w:r>
            <w:rPr>
              <w:rFonts w:hint="eastAsia" w:ascii="Times New Roman" w:hAnsi="Times New Roman"/>
            </w:rPr>
            <w:t>修业年限</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_Toc31917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594D3312">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_Toc13137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eastAsia="黑体" w:cs="Times New Roman"/>
              <w:kern w:val="44"/>
              <w:szCs w:val="24"/>
              <w:lang w:val="en-US" w:eastAsia="zh-CN" w:bidi="ar-SA"/>
            </w:rPr>
            <w:t>四、职业面向</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_Toc13137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4CD82F67">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_Toc18792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eastAsia="黑体" w:cs="Times New Roman"/>
              <w:kern w:val="44"/>
              <w:szCs w:val="24"/>
              <w:lang w:val="en-US" w:eastAsia="zh-CN" w:bidi="ar-SA"/>
            </w:rPr>
            <w:t>五、培养目标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_Toc18792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1AC9ABB8">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_Toc16844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eastAsia="黑体" w:cs="Times New Roman"/>
              <w:kern w:val="44"/>
              <w:szCs w:val="24"/>
              <w:lang w:val="en-US" w:eastAsia="zh-CN" w:bidi="ar-SA"/>
            </w:rPr>
            <w:t>六、培养规格</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_Toc16844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73BAD421">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_Toc11925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lang w:val="en-US" w:eastAsia="zh-CN"/>
            </w:rPr>
            <w:t xml:space="preserve">（一） </w:t>
          </w:r>
          <w:r>
            <w:rPr>
              <w:rFonts w:hint="eastAsia" w:ascii="Times New Roman" w:hAnsi="Times New Roman"/>
            </w:rPr>
            <w:t>知识</w:t>
          </w:r>
          <w:r>
            <w:rPr>
              <w:rFonts w:hint="eastAsia" w:ascii="Times New Roman" w:hAnsi="Times New Roman"/>
              <w:lang w:val="en-US" w:eastAsia="zh-CN"/>
            </w:rPr>
            <w:t>目标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_Toc11925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3C8E8E18">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_Toc5259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lang w:val="en-US" w:eastAsia="zh-CN"/>
            </w:rPr>
            <w:t xml:space="preserve">（二） </w:t>
          </w:r>
          <w:r>
            <w:rPr>
              <w:rFonts w:hint="eastAsia" w:ascii="Times New Roman" w:hAnsi="Times New Roman"/>
            </w:rPr>
            <w:t>能力</w:t>
          </w:r>
          <w:r>
            <w:rPr>
              <w:rFonts w:hint="eastAsia" w:ascii="Times New Roman" w:hAnsi="Times New Roman"/>
              <w:lang w:val="en-US" w:eastAsia="zh-CN"/>
            </w:rPr>
            <w:t>目标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_Toc5259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538D1C30">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_Toc4909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lang w:val="en-US" w:eastAsia="zh-CN"/>
            </w:rPr>
            <w:t>（三） 素质目标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_Toc4909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25715B24">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_Toc9579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eastAsia="黑体" w:cs="Times New Roman"/>
              <w:kern w:val="44"/>
              <w:szCs w:val="24"/>
              <w:lang w:val="en-US" w:eastAsia="zh-CN" w:bidi="ar-SA"/>
            </w:rPr>
            <w:t>七、课程设置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_Toc9579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74124DEE">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_Toc9526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rPr>
            <w:t>（一） 公共基础课程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_Toc9526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7B463868">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_Toc8050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rPr>
            <w:t>（二） 专业课程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_Toc8050 \h </w:instrText>
          </w:r>
          <w:r>
            <w:rPr>
              <w:rFonts w:ascii="Times New Roman" w:hAnsi="Times New Roman"/>
            </w:rPr>
            <w:fldChar w:fldCharType="separate"/>
          </w:r>
          <w:r>
            <w:rPr>
              <w:rFonts w:ascii="Times New Roman" w:hAnsi="Times New Roman"/>
            </w:rPr>
            <w:t>19</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47211904">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_Toc11344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rPr>
            <w:t>（三） 第二课堂</w:t>
          </w:r>
          <w:r>
            <w:rPr>
              <w:rFonts w:hint="eastAsia" w:ascii="Times New Roman" w:hAnsi="Times New Roman"/>
              <w:lang w:val="en-US" w:eastAsia="zh-CN"/>
            </w:rPr>
            <w:t>素质教育课</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_Toc11344 \h </w:instrText>
          </w:r>
          <w:r>
            <w:rPr>
              <w:rFonts w:ascii="Times New Roman" w:hAnsi="Times New Roman"/>
            </w:rPr>
            <w:fldChar w:fldCharType="separate"/>
          </w:r>
          <w:r>
            <w:rPr>
              <w:rFonts w:ascii="Times New Roman" w:hAnsi="Times New Roman"/>
            </w:rPr>
            <w:t>37</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7ED8A35A">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_Toc6577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eastAsia="黑体" w:cs="Times New Roman"/>
              <w:kern w:val="44"/>
              <w:szCs w:val="24"/>
              <w:lang w:val="en-US" w:eastAsia="zh-CN" w:bidi="ar-SA"/>
            </w:rPr>
            <w:t>八、教学进程总体安排</w:t>
          </w:r>
          <w:r>
            <w:rPr>
              <w:rFonts w:ascii="Times New Roman" w:hAnsi="Times New Roman"/>
            </w:rPr>
            <w:tab/>
          </w:r>
          <w:r>
            <w:rPr>
              <w:rFonts w:ascii="Times New Roman" w:hAnsi="Times New Roman"/>
            </w:rPr>
            <w:fldChar w:fldCharType="begin"/>
          </w:r>
          <w:r>
            <w:rPr>
              <w:rFonts w:ascii="Times New Roman" w:hAnsi="Times New Roman"/>
            </w:rPr>
            <w:instrText xml:space="preserve"> PAGEREF _Toc6577 \h </w:instrText>
          </w:r>
          <w:r>
            <w:rPr>
              <w:rFonts w:ascii="Times New Roman" w:hAnsi="Times New Roman"/>
            </w:rPr>
            <w:fldChar w:fldCharType="separate"/>
          </w:r>
          <w:r>
            <w:rPr>
              <w:rFonts w:ascii="Times New Roman" w:hAnsi="Times New Roman"/>
            </w:rPr>
            <w:t>38</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6B598262">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_Toc16784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rPr>
            <w:t>（一） 教学环节分配表</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_Toc16784 \h </w:instrText>
          </w:r>
          <w:r>
            <w:rPr>
              <w:rFonts w:ascii="Times New Roman" w:hAnsi="Times New Roman"/>
            </w:rPr>
            <w:fldChar w:fldCharType="separate"/>
          </w:r>
          <w:r>
            <w:rPr>
              <w:rFonts w:ascii="Times New Roman" w:hAnsi="Times New Roman"/>
            </w:rPr>
            <w:t>38</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34A708ED">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_Toc13854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rPr>
            <w:t xml:space="preserve">（二） </w:t>
          </w:r>
          <w:r>
            <w:rPr>
              <w:rFonts w:hint="eastAsia" w:ascii="Times New Roman" w:hAnsi="Times New Roman"/>
              <w:lang w:val="en-US" w:eastAsia="zh-CN"/>
            </w:rPr>
            <w:t>课程结构与学时、学分分配</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_Toc13854 \h </w:instrText>
          </w:r>
          <w:r>
            <w:rPr>
              <w:rFonts w:ascii="Times New Roman" w:hAnsi="Times New Roman"/>
            </w:rPr>
            <w:fldChar w:fldCharType="separate"/>
          </w:r>
          <w:r>
            <w:rPr>
              <w:rFonts w:ascii="Times New Roman" w:hAnsi="Times New Roman"/>
            </w:rPr>
            <w:t>39</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2C820F3F">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_Toc8033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lang w:val="en-US" w:eastAsia="zh-CN"/>
            </w:rPr>
            <w:t>（三） 教学计划进程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_Toc8033 \h </w:instrText>
          </w:r>
          <w:r>
            <w:rPr>
              <w:rFonts w:ascii="Times New Roman" w:hAnsi="Times New Roman"/>
            </w:rPr>
            <w:fldChar w:fldCharType="separate"/>
          </w:r>
          <w:r>
            <w:rPr>
              <w:rFonts w:ascii="Times New Roman" w:hAnsi="Times New Roman"/>
            </w:rPr>
            <w:t>40</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35E929A3">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_Toc11397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eastAsia="黑体" w:cs="Times New Roman"/>
              <w:kern w:val="44"/>
              <w:szCs w:val="24"/>
              <w:lang w:val="en-US" w:eastAsia="zh-CN" w:bidi="ar-SA"/>
            </w:rPr>
            <w:t>九、师资队伍</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_Toc11397 \h </w:instrText>
          </w:r>
          <w:r>
            <w:rPr>
              <w:rFonts w:ascii="Times New Roman" w:hAnsi="Times New Roman"/>
            </w:rPr>
            <w:fldChar w:fldCharType="separate"/>
          </w:r>
          <w:r>
            <w:rPr>
              <w:rFonts w:ascii="Times New Roman" w:hAnsi="Times New Roman"/>
            </w:rPr>
            <w:t>42</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2156DBCC">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_Toc4418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lang w:val="en-US" w:eastAsia="zh-CN"/>
            </w:rPr>
            <w:t>（一） 队伍结构</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_Toc4418 \h </w:instrText>
          </w:r>
          <w:r>
            <w:rPr>
              <w:rFonts w:ascii="Times New Roman" w:hAnsi="Times New Roman"/>
            </w:rPr>
            <w:fldChar w:fldCharType="separate"/>
          </w:r>
          <w:r>
            <w:rPr>
              <w:rFonts w:ascii="Times New Roman" w:hAnsi="Times New Roman"/>
            </w:rPr>
            <w:t>42</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2BE6482A">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_Toc18880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lang w:val="en-US" w:eastAsia="zh-CN"/>
            </w:rPr>
            <w:t>（二） 专业带头人</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_Toc18880 \h </w:instrText>
          </w:r>
          <w:r>
            <w:rPr>
              <w:rFonts w:ascii="Times New Roman" w:hAnsi="Times New Roman"/>
            </w:rPr>
            <w:fldChar w:fldCharType="separate"/>
          </w:r>
          <w:r>
            <w:rPr>
              <w:rFonts w:ascii="Times New Roman" w:hAnsi="Times New Roman"/>
            </w:rPr>
            <w:t>42</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7A8A62CE">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_Toc2712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lang w:val="en-US" w:eastAsia="zh-CN"/>
            </w:rPr>
            <w:t>（三） 专任教师</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_Toc2712 \h </w:instrText>
          </w:r>
          <w:r>
            <w:rPr>
              <w:rFonts w:ascii="Times New Roman" w:hAnsi="Times New Roman"/>
            </w:rPr>
            <w:fldChar w:fldCharType="separate"/>
          </w:r>
          <w:r>
            <w:rPr>
              <w:rFonts w:ascii="Times New Roman" w:hAnsi="Times New Roman"/>
            </w:rPr>
            <w:t>43</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69601081">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_Toc28107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lang w:val="en-US" w:eastAsia="zh-CN"/>
            </w:rPr>
            <w:t>（四） 兼职教师</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_Toc28107 \h </w:instrText>
          </w:r>
          <w:r>
            <w:rPr>
              <w:rFonts w:ascii="Times New Roman" w:hAnsi="Times New Roman"/>
            </w:rPr>
            <w:fldChar w:fldCharType="separate"/>
          </w:r>
          <w:r>
            <w:rPr>
              <w:rFonts w:ascii="Times New Roman" w:hAnsi="Times New Roman"/>
            </w:rPr>
            <w:t>43</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17A593C9">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_Toc25840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eastAsia="黑体" w:cs="Times New Roman"/>
              <w:kern w:val="44"/>
              <w:szCs w:val="24"/>
              <w:lang w:val="en-US" w:eastAsia="zh-CN" w:bidi="ar-SA"/>
            </w:rPr>
            <w:t>十、教学条件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_Toc25840 \h </w:instrText>
          </w:r>
          <w:r>
            <w:rPr>
              <w:rFonts w:ascii="Times New Roman" w:hAnsi="Times New Roman"/>
            </w:rPr>
            <w:fldChar w:fldCharType="separate"/>
          </w:r>
          <w:r>
            <w:rPr>
              <w:rFonts w:ascii="Times New Roman" w:hAnsi="Times New Roman"/>
            </w:rPr>
            <w:t>43</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0DB0E0BA">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_Toc10106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rPr>
            <w:t>（一） 教学设施</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_Toc10106 \h </w:instrText>
          </w:r>
          <w:r>
            <w:rPr>
              <w:rFonts w:ascii="Times New Roman" w:hAnsi="Times New Roman"/>
            </w:rPr>
            <w:fldChar w:fldCharType="separate"/>
          </w:r>
          <w:r>
            <w:rPr>
              <w:rFonts w:ascii="Times New Roman" w:hAnsi="Times New Roman"/>
            </w:rPr>
            <w:t>43</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71C08471">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_Toc2398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rPr>
            <w:t>（二） 教学资源</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_Toc2398 \h </w:instrText>
          </w:r>
          <w:r>
            <w:rPr>
              <w:rFonts w:ascii="Times New Roman" w:hAnsi="Times New Roman"/>
            </w:rPr>
            <w:fldChar w:fldCharType="separate"/>
          </w:r>
          <w:r>
            <w:rPr>
              <w:rFonts w:ascii="Times New Roman" w:hAnsi="Times New Roman"/>
            </w:rPr>
            <w:t>47</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32F4572D">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_Toc17112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rPr>
            <w:t>（三） 教学方法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_Toc17112 \h </w:instrText>
          </w:r>
          <w:r>
            <w:rPr>
              <w:rFonts w:ascii="Times New Roman" w:hAnsi="Times New Roman"/>
            </w:rPr>
            <w:fldChar w:fldCharType="separate"/>
          </w:r>
          <w:r>
            <w:rPr>
              <w:rFonts w:ascii="Times New Roman" w:hAnsi="Times New Roman"/>
            </w:rPr>
            <w:t>48</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7851406C">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_Toc9703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rPr>
            <w:t>（四） 学习评价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_Toc9703 \h </w:instrText>
          </w:r>
          <w:r>
            <w:rPr>
              <w:rFonts w:ascii="Times New Roman" w:hAnsi="Times New Roman"/>
            </w:rPr>
            <w:fldChar w:fldCharType="separate"/>
          </w:r>
          <w:r>
            <w:rPr>
              <w:rFonts w:ascii="Times New Roman" w:hAnsi="Times New Roman"/>
            </w:rPr>
            <w:t>48</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57EE8B9A">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_Toc1908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eastAsia="黑体" w:cs="Times New Roman"/>
              <w:kern w:val="44"/>
              <w:szCs w:val="24"/>
              <w:lang w:val="en-US" w:eastAsia="zh-CN" w:bidi="ar-SA"/>
            </w:rPr>
            <w:t>十一、质量保障</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_Toc1908 \h </w:instrText>
          </w:r>
          <w:r>
            <w:rPr>
              <w:rFonts w:ascii="Times New Roman" w:hAnsi="Times New Roman"/>
            </w:rPr>
            <w:fldChar w:fldCharType="separate"/>
          </w:r>
          <w:r>
            <w:rPr>
              <w:rFonts w:ascii="Times New Roman" w:hAnsi="Times New Roman"/>
            </w:rPr>
            <w:t>49</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14BAD572">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_Toc22287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eastAsia="黑体" w:cs="Times New Roman"/>
              <w:kern w:val="44"/>
              <w:szCs w:val="24"/>
              <w:lang w:val="en-US" w:eastAsia="zh-CN" w:bidi="ar-SA"/>
            </w:rPr>
            <w:t>十二、毕业要求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_Toc22287 \h </w:instrText>
          </w:r>
          <w:r>
            <w:rPr>
              <w:rFonts w:ascii="Times New Roman" w:hAnsi="Times New Roman"/>
            </w:rPr>
            <w:fldChar w:fldCharType="separate"/>
          </w:r>
          <w:r>
            <w:rPr>
              <w:rFonts w:ascii="Times New Roman" w:hAnsi="Times New Roman"/>
            </w:rPr>
            <w:t>50</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232886E0">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_Toc3625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lang w:val="en-US" w:eastAsia="zh-CN"/>
            </w:rPr>
            <w:t>（一） 学分要求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_Toc3625 \h </w:instrText>
          </w:r>
          <w:r>
            <w:rPr>
              <w:rFonts w:ascii="Times New Roman" w:hAnsi="Times New Roman"/>
            </w:rPr>
            <w:fldChar w:fldCharType="separate"/>
          </w:r>
          <w:r>
            <w:rPr>
              <w:rFonts w:ascii="Times New Roman" w:hAnsi="Times New Roman"/>
            </w:rPr>
            <w:t>50</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32BCDE4E">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_Toc12036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lang w:val="en-US" w:eastAsia="zh-CN"/>
            </w:rPr>
            <w:t>（二） 职业类证书要求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_Toc12036 \h </w:instrText>
          </w:r>
          <w:r>
            <w:rPr>
              <w:rFonts w:ascii="Times New Roman" w:hAnsi="Times New Roman"/>
            </w:rPr>
            <w:fldChar w:fldCharType="separate"/>
          </w:r>
          <w:r>
            <w:rPr>
              <w:rFonts w:ascii="Times New Roman" w:hAnsi="Times New Roman"/>
            </w:rPr>
            <w:t>50</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7EF11F21">
          <w:pPr>
            <w:pStyle w:val="10"/>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rFonts w:ascii="Times New Roman" w:hAnsi="Times New Roman"/>
            </w:rPr>
          </w:pPr>
          <w:r>
            <w:rPr>
              <w:rFonts w:hint="eastAsia" w:ascii="Times New Roman" w:hAnsi="Times New Roman" w:eastAsia="黑体" w:cs="黑体"/>
              <w:bCs/>
              <w:color w:val="auto"/>
              <w:kern w:val="0"/>
              <w:szCs w:val="52"/>
              <w:lang w:val="en-US" w:eastAsia="zh-CN" w:bidi="ar-SA"/>
            </w:rPr>
            <w:fldChar w:fldCharType="begin"/>
          </w:r>
          <w:r>
            <w:rPr>
              <w:rFonts w:hint="eastAsia" w:ascii="Times New Roman" w:hAnsi="Times New Roman" w:eastAsia="黑体" w:cs="黑体"/>
              <w:bCs/>
              <w:kern w:val="0"/>
              <w:szCs w:val="52"/>
              <w:lang w:val="en-US" w:eastAsia="zh-CN" w:bidi="ar-SA"/>
            </w:rPr>
            <w:instrText xml:space="preserve"> HYPERLINK \l _Toc4652 </w:instrText>
          </w:r>
          <w:r>
            <w:rPr>
              <w:rFonts w:hint="eastAsia" w:ascii="Times New Roman" w:hAnsi="Times New Roman" w:eastAsia="黑体" w:cs="黑体"/>
              <w:bCs/>
              <w:kern w:val="0"/>
              <w:szCs w:val="52"/>
              <w:lang w:val="en-US" w:eastAsia="zh-CN" w:bidi="ar-SA"/>
            </w:rPr>
            <w:fldChar w:fldCharType="separate"/>
          </w:r>
          <w:r>
            <w:rPr>
              <w:rFonts w:hint="eastAsia" w:ascii="Times New Roman" w:hAnsi="Times New Roman"/>
              <w:lang w:val="en-US" w:eastAsia="zh-CN"/>
            </w:rPr>
            <w:t>（三） 综合素质要求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_Toc4652 \h </w:instrText>
          </w:r>
          <w:r>
            <w:rPr>
              <w:rFonts w:ascii="Times New Roman" w:hAnsi="Times New Roman"/>
            </w:rPr>
            <w:fldChar w:fldCharType="separate"/>
          </w:r>
          <w:r>
            <w:rPr>
              <w:rFonts w:ascii="Times New Roman" w:hAnsi="Times New Roman"/>
            </w:rPr>
            <w:t>50</w:t>
          </w:r>
          <w:r>
            <w:rPr>
              <w:rFonts w:ascii="Times New Roman" w:hAnsi="Times New Roman"/>
            </w:rPr>
            <w:fldChar w:fldCharType="end"/>
          </w:r>
          <w:r>
            <w:rPr>
              <w:rFonts w:hint="eastAsia" w:ascii="Times New Roman" w:hAnsi="Times New Roman" w:eastAsia="黑体" w:cs="黑体"/>
              <w:bCs/>
              <w:color w:val="auto"/>
              <w:kern w:val="0"/>
              <w:szCs w:val="52"/>
              <w:lang w:val="en-US" w:eastAsia="zh-CN" w:bidi="ar-SA"/>
            </w:rPr>
            <w:fldChar w:fldCharType="end"/>
          </w:r>
        </w:p>
        <w:p w14:paraId="450AAD05">
          <w:pPr>
            <w:keepNext w:val="0"/>
            <w:keepLines w:val="0"/>
            <w:pageBreakBefore w:val="0"/>
            <w:widowControl/>
            <w:kinsoku/>
            <w:wordWrap/>
            <w:overflowPunct w:val="0"/>
            <w:topLinePunct w:val="0"/>
            <w:autoSpaceDE/>
            <w:autoSpaceDN/>
            <w:bidi w:val="0"/>
            <w:adjustRightInd w:val="0"/>
            <w:snapToGrid w:val="0"/>
            <w:spacing w:line="520" w:lineRule="exact"/>
            <w:jc w:val="center"/>
            <w:textAlignment w:val="auto"/>
            <w:rPr>
              <w:rFonts w:hint="eastAsia" w:ascii="Times New Roman" w:hAnsi="Times New Roman" w:eastAsia="黑体" w:cs="黑体"/>
              <w:bCs/>
              <w:color w:val="auto"/>
              <w:kern w:val="0"/>
              <w:sz w:val="21"/>
              <w:szCs w:val="52"/>
              <w:lang w:val="en-US" w:eastAsia="zh-CN" w:bidi="ar-SA"/>
            </w:rPr>
          </w:pPr>
          <w:r>
            <w:rPr>
              <w:rFonts w:hint="eastAsia" w:ascii="Times New Roman" w:hAnsi="Times New Roman" w:eastAsia="黑体" w:cs="黑体"/>
              <w:bCs/>
              <w:color w:val="auto"/>
              <w:kern w:val="0"/>
              <w:szCs w:val="52"/>
              <w:lang w:val="en-US" w:eastAsia="zh-CN" w:bidi="ar-SA"/>
            </w:rPr>
            <w:fldChar w:fldCharType="end"/>
          </w:r>
        </w:p>
      </w:sdtContent>
    </w:sdt>
    <w:p w14:paraId="30B2806C">
      <w:pPr>
        <w:widowControl/>
        <w:overflowPunct w:val="0"/>
        <w:adjustRightInd w:val="0"/>
        <w:snapToGrid w:val="0"/>
        <w:jc w:val="center"/>
        <w:rPr>
          <w:rFonts w:hint="eastAsia" w:ascii="Times New Roman" w:hAnsi="Times New Roman" w:eastAsia="黑体" w:cs="黑体"/>
          <w:bCs/>
          <w:color w:val="auto"/>
          <w:kern w:val="0"/>
          <w:sz w:val="21"/>
          <w:szCs w:val="52"/>
          <w:lang w:val="en-US" w:eastAsia="zh-CN" w:bidi="ar-SA"/>
        </w:rPr>
      </w:pPr>
    </w:p>
    <w:p w14:paraId="110E8743">
      <w:pPr>
        <w:widowControl/>
        <w:overflowPunct w:val="0"/>
        <w:adjustRightInd w:val="0"/>
        <w:snapToGrid w:val="0"/>
        <w:jc w:val="center"/>
        <w:rPr>
          <w:rFonts w:hint="eastAsia" w:ascii="Times New Roman" w:hAnsi="Times New Roman" w:eastAsia="黑体" w:cs="黑体"/>
          <w:b/>
          <w:bCs/>
          <w:color w:val="auto"/>
          <w:kern w:val="0"/>
          <w:sz w:val="52"/>
          <w:szCs w:val="52"/>
        </w:rPr>
        <w:sectPr>
          <w:pgSz w:w="11906" w:h="16838"/>
          <w:pgMar w:top="1417" w:right="1417" w:bottom="1417" w:left="1984"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57C74A52">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Times New Roman" w:hAnsi="Times New Roman" w:eastAsia="方正小标宋简体" w:cs="方正小标宋简体"/>
          <w:bCs/>
          <w:color w:val="auto"/>
          <w:sz w:val="44"/>
          <w:szCs w:val="44"/>
        </w:rPr>
      </w:pPr>
      <w:r>
        <w:rPr>
          <w:rFonts w:hint="eastAsia" w:ascii="Times New Roman" w:hAnsi="Times New Roman" w:eastAsia="方正小标宋简体" w:cs="方正小标宋简体"/>
          <w:bCs/>
          <w:color w:val="auto"/>
          <w:sz w:val="44"/>
          <w:szCs w:val="44"/>
          <w:lang w:val="en-US" w:eastAsia="zh-CN"/>
        </w:rPr>
        <w:t>应用电子技术专业</w:t>
      </w:r>
      <w:r>
        <w:rPr>
          <w:rFonts w:hint="eastAsia" w:ascii="Times New Roman" w:hAnsi="Times New Roman" w:eastAsia="方正小标宋简体" w:cs="方正小标宋简体"/>
          <w:bCs/>
          <w:color w:val="auto"/>
          <w:sz w:val="44"/>
          <w:szCs w:val="44"/>
        </w:rPr>
        <w:t>人才培养方案</w:t>
      </w:r>
    </w:p>
    <w:p w14:paraId="383FEC6F">
      <w:pPr>
        <w:keepNext w:val="0"/>
        <w:keepLines w:val="0"/>
        <w:pageBreakBefore w:val="0"/>
        <w:widowControl w:val="0"/>
        <w:kinsoku/>
        <w:wordWrap/>
        <w:overflowPunct w:val="0"/>
        <w:topLinePunct w:val="0"/>
        <w:autoSpaceDE/>
        <w:autoSpaceDN/>
        <w:bidi w:val="0"/>
        <w:adjustRightInd w:val="0"/>
        <w:snapToGrid w:val="0"/>
        <w:spacing w:after="0" w:afterAutospacing="0" w:line="520" w:lineRule="exact"/>
        <w:jc w:val="center"/>
        <w:textAlignment w:val="auto"/>
        <w:rPr>
          <w:rFonts w:hint="eastAsia" w:ascii="Times New Roman" w:hAnsi="Times New Roman" w:eastAsia="方正小标宋简体" w:cs="方正小标宋简体"/>
          <w:bCs/>
          <w:color w:val="auto"/>
          <w:sz w:val="44"/>
          <w:szCs w:val="44"/>
        </w:rPr>
      </w:pPr>
    </w:p>
    <w:p w14:paraId="373DFDA1">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leftChars="0" w:firstLine="640" w:firstLineChars="200"/>
        <w:textAlignment w:val="auto"/>
        <w:rPr>
          <w:rFonts w:hint="eastAsia" w:ascii="Times New Roman" w:hAnsi="Times New Roman"/>
          <w:b w:val="0"/>
          <w:bCs/>
        </w:rPr>
      </w:pPr>
      <w:bookmarkStart w:id="0" w:name="_Toc987"/>
      <w:r>
        <w:rPr>
          <w:rFonts w:hint="eastAsia" w:ascii="Times New Roman" w:hAnsi="Times New Roman"/>
          <w:b w:val="0"/>
          <w:bCs/>
        </w:rPr>
        <w:t>一、专业名称及代码</w:t>
      </w:r>
      <w:bookmarkEnd w:id="0"/>
    </w:p>
    <w:p w14:paraId="6B89E42C">
      <w:pPr>
        <w:keepNext w:val="0"/>
        <w:keepLines w:val="0"/>
        <w:pageBreakBefore w:val="0"/>
        <w:widowControl w:val="0"/>
        <w:kinsoku/>
        <w:wordWrap/>
        <w:overflowPunct w:val="0"/>
        <w:topLinePunct w:val="0"/>
        <w:autoSpaceDE/>
        <w:autoSpaceDN/>
        <w:bidi w:val="0"/>
        <w:adjustRightInd w:val="0"/>
        <w:snapToGrid/>
        <w:spacing w:beforeAutospacing="0" w:after="0" w:line="52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专业名称：</w:t>
      </w:r>
      <w:r>
        <w:rPr>
          <w:rFonts w:hint="eastAsia" w:ascii="Times New Roman" w:hAnsi="Times New Roman" w:eastAsia="仿宋_GB2312" w:cs="仿宋_GB2312"/>
          <w:color w:val="auto"/>
          <w:sz w:val="32"/>
          <w:szCs w:val="32"/>
          <w:lang w:val="en-US" w:eastAsia="zh-CN"/>
        </w:rPr>
        <w:t>应用电子技术</w:t>
      </w:r>
    </w:p>
    <w:p w14:paraId="6CA7CB7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专业代码：</w:t>
      </w:r>
      <w:r>
        <w:rPr>
          <w:rFonts w:hint="eastAsia" w:ascii="Times New Roman" w:hAnsi="Times New Roman" w:eastAsia="仿宋_GB2312" w:cs="仿宋_GB2312"/>
          <w:sz w:val="32"/>
          <w:szCs w:val="32"/>
        </w:rPr>
        <w:t>510103</w:t>
      </w:r>
      <w:r>
        <w:rPr>
          <w:rFonts w:hint="eastAsia" w:ascii="Times New Roman" w:hAnsi="Times New Roman" w:eastAsia="仿宋_GB2312" w:cs="仿宋_GB2312"/>
          <w:color w:val="auto"/>
          <w:sz w:val="32"/>
          <w:szCs w:val="32"/>
          <w:lang w:val="en-US" w:eastAsia="zh-CN"/>
        </w:rPr>
        <w:t xml:space="preserve"> </w:t>
      </w:r>
    </w:p>
    <w:p w14:paraId="4DF0C0C6">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leftChars="0" w:firstLine="640" w:firstLineChars="200"/>
        <w:textAlignment w:val="auto"/>
        <w:rPr>
          <w:rFonts w:hint="eastAsia" w:ascii="Times New Roman" w:hAnsi="Times New Roman"/>
          <w:b w:val="0"/>
          <w:bCs/>
        </w:rPr>
      </w:pPr>
      <w:bookmarkStart w:id="1" w:name="_Toc20411"/>
      <w:r>
        <w:rPr>
          <w:rFonts w:hint="eastAsia" w:ascii="Times New Roman" w:hAnsi="Times New Roman"/>
          <w:b w:val="0"/>
          <w:bCs/>
        </w:rPr>
        <w:t>二、入学要求</w:t>
      </w:r>
      <w:bookmarkEnd w:id="1"/>
    </w:p>
    <w:p w14:paraId="466D194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中等职业学校毕业、普通高级中学毕业或具备同等学力</w:t>
      </w:r>
      <w:r>
        <w:rPr>
          <w:rFonts w:hint="eastAsia" w:ascii="Times New Roman" w:hAnsi="Times New Roman" w:eastAsia="仿宋_GB2312" w:cs="仿宋_GB2312"/>
          <w:color w:val="auto"/>
          <w:sz w:val="32"/>
          <w:szCs w:val="32"/>
          <w:lang w:eastAsia="zh-CN"/>
        </w:rPr>
        <w:t>。</w:t>
      </w:r>
    </w:p>
    <w:p w14:paraId="7A3E0117">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leftChars="0" w:firstLine="640" w:firstLineChars="200"/>
        <w:textAlignment w:val="auto"/>
        <w:rPr>
          <w:rFonts w:hint="eastAsia" w:ascii="Times New Roman" w:hAnsi="Times New Roman"/>
          <w:b w:val="0"/>
          <w:bCs/>
        </w:rPr>
      </w:pPr>
      <w:bookmarkStart w:id="2" w:name="_Toc31917"/>
      <w:r>
        <w:rPr>
          <w:rFonts w:hint="eastAsia" w:ascii="Times New Roman" w:hAnsi="Times New Roman"/>
          <w:b w:val="0"/>
          <w:bCs/>
        </w:rPr>
        <w:t>三、</w:t>
      </w:r>
      <w:r>
        <w:rPr>
          <w:rFonts w:hint="eastAsia" w:ascii="Times New Roman" w:hAnsi="Times New Roman"/>
          <w:b w:val="0"/>
          <w:bCs/>
          <w:lang w:val="en-US" w:eastAsia="zh-CN"/>
        </w:rPr>
        <w:t>基本</w:t>
      </w:r>
      <w:r>
        <w:rPr>
          <w:rFonts w:hint="eastAsia" w:ascii="Times New Roman" w:hAnsi="Times New Roman"/>
          <w:b w:val="0"/>
          <w:bCs/>
        </w:rPr>
        <w:t>修业年限</w:t>
      </w:r>
      <w:bookmarkEnd w:id="2"/>
    </w:p>
    <w:p w14:paraId="687A8EF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标准修业年限为3年，弹性学分有效修业年限为2</w:t>
      </w:r>
      <w:r>
        <w:rPr>
          <w:rFonts w:hint="eastAsia" w:ascii="Times New Roman" w:hAnsi="Times New Roman" w:eastAsia="仿宋_GB2312" w:cs="仿宋_GB2312"/>
          <w:color w:val="000000" w:themeColor="text1"/>
          <w:sz w:val="32"/>
          <w:szCs w:val="32"/>
          <w:highlight w:val="none"/>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5年。</w:t>
      </w:r>
    </w:p>
    <w:p w14:paraId="55356C03">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leftChars="0" w:firstLine="640" w:firstLineChars="200"/>
        <w:textAlignment w:val="auto"/>
        <w:rPr>
          <w:rFonts w:hint="eastAsia" w:ascii="Times New Roman" w:hAnsi="Times New Roman"/>
          <w:b w:val="0"/>
          <w:bCs/>
          <w:lang w:val="en-US" w:eastAsia="zh-CN"/>
        </w:rPr>
      </w:pPr>
      <w:bookmarkStart w:id="3" w:name="_Toc13137"/>
      <w:r>
        <w:rPr>
          <w:rFonts w:hint="eastAsia" w:ascii="Times New Roman" w:hAnsi="Times New Roman"/>
          <w:b w:val="0"/>
          <w:bCs/>
          <w:lang w:val="en-US" w:eastAsia="zh-CN"/>
        </w:rPr>
        <w:t>四、职业面向</w:t>
      </w:r>
      <w:bookmarkEnd w:id="3"/>
    </w:p>
    <w:p w14:paraId="165440C0">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Times New Roman" w:hAnsi="Times New Roman" w:eastAsia="仿宋"/>
          <w:color w:val="auto"/>
          <w:sz w:val="32"/>
          <w:szCs w:val="32"/>
        </w:rPr>
      </w:pPr>
      <w:r>
        <w:rPr>
          <w:rFonts w:hint="eastAsia" w:ascii="Times New Roman" w:hAnsi="Times New Roman" w:eastAsia="仿宋_GB2312" w:cs="仿宋_GB2312"/>
          <w:color w:val="auto"/>
          <w:sz w:val="32"/>
          <w:szCs w:val="32"/>
        </w:rPr>
        <w:t>表1职业岗位分析表</w:t>
      </w:r>
    </w:p>
    <w:tbl>
      <w:tblPr>
        <w:tblStyle w:val="13"/>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223"/>
        <w:gridCol w:w="1327"/>
        <w:gridCol w:w="2628"/>
        <w:gridCol w:w="2257"/>
        <w:gridCol w:w="1150"/>
      </w:tblGrid>
      <w:tr w14:paraId="2606C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14:paraId="31A0EBA9">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所属专业大类</w:t>
            </w:r>
          </w:p>
          <w:p w14:paraId="0A2C1492">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（代码）</w:t>
            </w:r>
          </w:p>
        </w:tc>
        <w:tc>
          <w:tcPr>
            <w:tcW w:w="1223" w:type="dxa"/>
            <w:vAlign w:val="center"/>
          </w:tcPr>
          <w:p w14:paraId="0F28888A">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所属专业类</w:t>
            </w:r>
          </w:p>
          <w:p w14:paraId="5EF9D92A">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（代码）</w:t>
            </w:r>
          </w:p>
        </w:tc>
        <w:tc>
          <w:tcPr>
            <w:tcW w:w="1327" w:type="dxa"/>
            <w:vAlign w:val="center"/>
          </w:tcPr>
          <w:p w14:paraId="31520503">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对应行业（代码）</w:t>
            </w:r>
          </w:p>
        </w:tc>
        <w:tc>
          <w:tcPr>
            <w:tcW w:w="2628" w:type="dxa"/>
            <w:vAlign w:val="center"/>
          </w:tcPr>
          <w:p w14:paraId="46F054CC">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主要职业类别（代码）</w:t>
            </w:r>
          </w:p>
        </w:tc>
        <w:tc>
          <w:tcPr>
            <w:tcW w:w="2257" w:type="dxa"/>
            <w:vAlign w:val="center"/>
          </w:tcPr>
          <w:p w14:paraId="61B1D110">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主要岗位（群）或技术领域</w:t>
            </w:r>
          </w:p>
        </w:tc>
        <w:tc>
          <w:tcPr>
            <w:tcW w:w="1150" w:type="dxa"/>
            <w:vAlign w:val="center"/>
          </w:tcPr>
          <w:p w14:paraId="6795D163">
            <w:pPr>
              <w:keepNext w:val="0"/>
              <w:keepLines w:val="0"/>
              <w:pageBreakBefore w:val="0"/>
              <w:widowControl w:val="0"/>
              <w:kinsoku/>
              <w:wordWrap/>
              <w:overflowPunct w:val="0"/>
              <w:topLinePunct w:val="0"/>
              <w:autoSpaceDE/>
              <w:autoSpaceDN/>
              <w:bidi w:val="0"/>
              <w:adjustRightInd w:val="0"/>
              <w:snapToGrid/>
              <w:spacing w:after="0" w:line="300" w:lineRule="auto"/>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职业类证书</w:t>
            </w:r>
          </w:p>
        </w:tc>
      </w:tr>
      <w:tr w14:paraId="7D60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14:paraId="7977833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rPr>
            </w:pPr>
            <w:bookmarkStart w:id="4" w:name="OLE_LINK1" w:colFirst="0" w:colLast="5"/>
            <w:r>
              <w:rPr>
                <w:rFonts w:hint="eastAsia" w:ascii="Times New Roman" w:hAnsi="Times New Roman" w:eastAsia="仿宋_GB2312" w:cs="仿宋_GB2312"/>
                <w:sz w:val="24"/>
              </w:rPr>
              <w:t>电子与信息大类（51）</w:t>
            </w:r>
          </w:p>
        </w:tc>
        <w:tc>
          <w:tcPr>
            <w:tcW w:w="1223" w:type="dxa"/>
            <w:vAlign w:val="center"/>
          </w:tcPr>
          <w:p w14:paraId="2B4C029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rPr>
              <w:t>电子信息类（5101）</w:t>
            </w:r>
          </w:p>
        </w:tc>
        <w:tc>
          <w:tcPr>
            <w:tcW w:w="1327" w:type="dxa"/>
            <w:vAlign w:val="center"/>
          </w:tcPr>
          <w:p w14:paraId="30959DC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rPr>
              <w:t>计算机、通信和其他电子设备制造业（39）</w:t>
            </w:r>
          </w:p>
        </w:tc>
        <w:tc>
          <w:tcPr>
            <w:tcW w:w="2628" w:type="dxa"/>
            <w:vAlign w:val="center"/>
          </w:tcPr>
          <w:p w14:paraId="083A3CD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ascii="Times New Roman" w:hAnsi="Times New Roman" w:eastAsia="仿宋_GB2312" w:cs="仿宋_GB2312"/>
                <w:sz w:val="24"/>
              </w:rPr>
            </w:pPr>
            <w:r>
              <w:rPr>
                <w:rFonts w:hint="eastAsia" w:ascii="Times New Roman" w:hAnsi="Times New Roman" w:eastAsia="仿宋_GB2312" w:cs="仿宋_GB2312"/>
                <w:sz w:val="24"/>
              </w:rPr>
              <w:t>电子设备装配调试人员</w:t>
            </w:r>
          </w:p>
          <w:p w14:paraId="587BA2BA">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ascii="Times New Roman" w:hAnsi="Times New Roman" w:eastAsia="仿宋_GB2312" w:cs="仿宋_GB2312"/>
                <w:sz w:val="24"/>
                <w:highlight w:val="none"/>
              </w:rPr>
            </w:pP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highlight w:val="none"/>
              </w:rPr>
              <w:t>6-25-04</w:t>
            </w:r>
            <w:r>
              <w:rPr>
                <w:rFonts w:hint="eastAsia" w:ascii="Times New Roman" w:hAnsi="Times New Roman" w:eastAsia="仿宋_GB2312" w:cs="仿宋_GB2312"/>
                <w:sz w:val="24"/>
                <w:highlight w:val="none"/>
                <w:lang w:eastAsia="zh-CN"/>
              </w:rPr>
              <w:t>);</w:t>
            </w:r>
          </w:p>
          <w:p w14:paraId="1AED9C43">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highlight w:val="none"/>
                <w:lang w:eastAsia="zh-CN"/>
              </w:rPr>
            </w:pPr>
            <w:r>
              <w:rPr>
                <w:rFonts w:hint="eastAsia" w:ascii="Times New Roman" w:hAnsi="Times New Roman" w:eastAsia="仿宋_GB2312" w:cs="仿宋_GB2312"/>
                <w:sz w:val="24"/>
              </w:rPr>
              <w:t>电子专用设备装配调试人员（6-21-04）</w:t>
            </w:r>
            <w:r>
              <w:rPr>
                <w:rFonts w:hint="eastAsia" w:ascii="Times New Roman" w:hAnsi="Times New Roman" w:eastAsia="仿宋_GB2312" w:cs="仿宋_GB2312"/>
                <w:sz w:val="24"/>
                <w:highlight w:val="none"/>
                <w:lang w:eastAsia="zh-CN"/>
              </w:rPr>
              <w:t>；</w:t>
            </w:r>
          </w:p>
          <w:p w14:paraId="67F2E9EC">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ascii="Times New Roman" w:hAnsi="Times New Roman" w:eastAsia="仿宋_GB2312" w:cs="仿宋_GB2312"/>
                <w:sz w:val="24"/>
              </w:rPr>
            </w:pPr>
            <w:r>
              <w:rPr>
                <w:rFonts w:hint="eastAsia" w:ascii="Times New Roman" w:hAnsi="Times New Roman" w:eastAsia="仿宋_GB2312" w:cs="仿宋_GB2312"/>
                <w:sz w:val="24"/>
              </w:rPr>
              <w:t>电子工程技术人员</w:t>
            </w:r>
          </w:p>
          <w:p w14:paraId="79120A3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2-02-09</w:t>
            </w:r>
            <w:r>
              <w:rPr>
                <w:rFonts w:hint="eastAsia" w:ascii="Times New Roman" w:hAnsi="Times New Roman" w:eastAsia="仿宋_GB2312" w:cs="仿宋_GB2312"/>
                <w:sz w:val="24"/>
                <w:highlight w:val="none"/>
                <w:lang w:eastAsia="zh-CN"/>
              </w:rPr>
              <w:t>)</w:t>
            </w:r>
          </w:p>
        </w:tc>
        <w:tc>
          <w:tcPr>
            <w:tcW w:w="2257" w:type="dxa"/>
            <w:vAlign w:val="center"/>
          </w:tcPr>
          <w:p w14:paraId="204B608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lang w:eastAsia="zh-CN"/>
              </w:rPr>
            </w:pPr>
            <w:r>
              <w:rPr>
                <w:rFonts w:hint="eastAsia" w:ascii="Times New Roman" w:hAnsi="Times New Roman" w:eastAsia="仿宋_GB2312" w:cs="仿宋_GB2312"/>
                <w:sz w:val="24"/>
              </w:rPr>
              <w:t>电子产品辅助设计</w:t>
            </w:r>
            <w:r>
              <w:rPr>
                <w:rFonts w:hint="eastAsia" w:ascii="Times New Roman" w:hAnsi="Times New Roman" w:eastAsia="仿宋_GB2312" w:cs="仿宋_GB2312"/>
                <w:sz w:val="24"/>
                <w:highlight w:val="none"/>
                <w:lang w:eastAsia="zh-CN"/>
              </w:rPr>
              <w:t>；</w:t>
            </w:r>
          </w:p>
          <w:p w14:paraId="39D5DEC7">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rPr>
              <w:t>电子产品生产工艺管理</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电子产品售后服务</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电子产品应用技术服务</w:t>
            </w:r>
          </w:p>
        </w:tc>
        <w:tc>
          <w:tcPr>
            <w:tcW w:w="1150" w:type="dxa"/>
            <w:vAlign w:val="center"/>
          </w:tcPr>
          <w:p w14:paraId="354C02F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ascii="Times New Roman" w:hAnsi="Times New Roman" w:eastAsia="仿宋_GB2312" w:cs="仿宋_GB2312"/>
                <w:sz w:val="24"/>
              </w:rPr>
            </w:pPr>
            <w:r>
              <w:rPr>
                <w:rFonts w:hint="eastAsia" w:ascii="Times New Roman" w:hAnsi="Times New Roman" w:eastAsia="仿宋_GB2312" w:cs="仿宋_GB2312"/>
                <w:sz w:val="24"/>
              </w:rPr>
              <w:t>电工</w:t>
            </w:r>
          </w:p>
          <w:p w14:paraId="36466420">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rPr>
              <w:t>（中级）</w:t>
            </w:r>
          </w:p>
        </w:tc>
      </w:tr>
      <w:bookmarkEnd w:id="4"/>
    </w:tbl>
    <w:p w14:paraId="0D739477">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leftChars="0" w:firstLine="640" w:firstLineChars="200"/>
        <w:textAlignment w:val="auto"/>
        <w:rPr>
          <w:rFonts w:hint="eastAsia" w:ascii="Times New Roman" w:hAnsi="Times New Roman"/>
          <w:b w:val="0"/>
          <w:bCs/>
          <w:lang w:val="en-US" w:eastAsia="zh-CN"/>
        </w:rPr>
      </w:pPr>
      <w:bookmarkStart w:id="5" w:name="_Toc18792"/>
      <w:r>
        <w:rPr>
          <w:rFonts w:hint="eastAsia" w:ascii="Times New Roman" w:hAnsi="Times New Roman"/>
          <w:b w:val="0"/>
          <w:bCs/>
          <w:lang w:val="en-US" w:eastAsia="zh-CN"/>
        </w:rPr>
        <w:t>五、培养目标</w:t>
      </w:r>
      <w:bookmarkEnd w:id="5"/>
    </w:p>
    <w:p w14:paraId="0FBFC03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本专业培养</w:t>
      </w:r>
      <w:r>
        <w:rPr>
          <w:rFonts w:hint="eastAsia" w:ascii="Times New Roman" w:hAnsi="Times New Roman" w:eastAsia="仿宋_GB2312" w:cs="仿宋_GB2312"/>
          <w:color w:val="auto"/>
          <w:sz w:val="32"/>
          <w:szCs w:val="32"/>
          <w:lang w:val="en-US" w:eastAsia="zh-CN"/>
        </w:rPr>
        <w:t>德、智、体、美、劳全面发展的高素质技术技能人才。学生将系统掌握电工基础、电子产品软硬件设计、生产工艺与质量管理等扎实的科学文化基础知识。通过专业学习，具备电路制图、PCB 制作、电子线路安装与调试，以及嵌入式等智能电子产品软硬件设计与应用的核心能力。在职业素养方面，秉持工匠精神，具备良好的信息素养，能够在电子产品辅助设计、智能硬件装调、生产工艺管理、检测与质量管理、生产设备操作与维护、售后服务及应用技术服务等相关岗位，发挥专业优势，为电子信息产业的发展贡献力量。</w:t>
      </w:r>
    </w:p>
    <w:p w14:paraId="1C1EEBF7">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leftChars="0" w:firstLine="640" w:firstLineChars="200"/>
        <w:textAlignment w:val="auto"/>
        <w:rPr>
          <w:rFonts w:hint="eastAsia" w:ascii="Times New Roman" w:hAnsi="Times New Roman"/>
          <w:b w:val="0"/>
          <w:bCs/>
          <w:lang w:val="en-US" w:eastAsia="zh-CN"/>
        </w:rPr>
      </w:pPr>
      <w:bookmarkStart w:id="6" w:name="_Toc16844"/>
      <w:r>
        <w:rPr>
          <w:rFonts w:hint="eastAsia" w:ascii="Times New Roman" w:hAnsi="Times New Roman"/>
          <w:b w:val="0"/>
          <w:bCs/>
          <w:lang w:val="en-US" w:eastAsia="zh-CN"/>
        </w:rPr>
        <w:t>六、培养规格</w:t>
      </w:r>
      <w:bookmarkEnd w:id="6"/>
    </w:p>
    <w:p w14:paraId="1090AA1F">
      <w:pPr>
        <w:pStyle w:val="5"/>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本专业</w:t>
      </w:r>
      <w:r>
        <w:rPr>
          <w:rFonts w:hint="eastAsia" w:ascii="Times New Roman" w:hAnsi="Times New Roman" w:eastAsia="仿宋_GB2312" w:cs="仿宋_GB2312"/>
          <w:color w:val="auto"/>
          <w:sz w:val="32"/>
          <w:szCs w:val="32"/>
          <w:lang w:val="en-US" w:eastAsia="zh-CN"/>
        </w:rPr>
        <w:t>学</w:t>
      </w:r>
      <w:r>
        <w:rPr>
          <w:rFonts w:hint="eastAsia" w:ascii="Times New Roman" w:hAnsi="Times New Roman" w:eastAsia="仿宋_GB2312" w:cs="仿宋_GB2312"/>
          <w:color w:val="auto"/>
          <w:sz w:val="32"/>
          <w:szCs w:val="32"/>
          <w:lang w:eastAsia="zh-CN"/>
        </w:rPr>
        <w:t>生</w:t>
      </w:r>
      <w:r>
        <w:rPr>
          <w:rFonts w:hint="eastAsia" w:ascii="Times New Roman" w:hAnsi="Times New Roman" w:eastAsia="仿宋_GB2312" w:cs="仿宋_GB2312"/>
          <w:color w:val="auto"/>
          <w:sz w:val="32"/>
          <w:szCs w:val="32"/>
          <w:lang w:val="en-US" w:eastAsia="zh-CN"/>
        </w:rPr>
        <w:t>应在系统学习本专业知识并完成有关实习实训基础上，全面提升知识、能力、素质，掌握并实际运用岗位（群）需要的专业核心技术技能，实现德智体美劳全面发展</w:t>
      </w:r>
      <w:r>
        <w:rPr>
          <w:rFonts w:hint="eastAsia" w:ascii="Times New Roman" w:hAnsi="Times New Roman"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lang w:eastAsia="zh-CN"/>
        </w:rPr>
        <w:t>总体上须达到以下要求：</w:t>
      </w:r>
    </w:p>
    <w:p w14:paraId="3EBB3805">
      <w:pPr>
        <w:pStyle w:val="3"/>
        <w:keepNext/>
        <w:keepLines/>
        <w:pageBreakBefore w:val="0"/>
        <w:widowControl w:val="0"/>
        <w:numPr>
          <w:ilvl w:val="0"/>
          <w:numId w:val="1"/>
        </w:numPr>
        <w:kinsoku/>
        <w:wordWrap/>
        <w:overflowPunct/>
        <w:topLinePunct w:val="0"/>
        <w:autoSpaceDE/>
        <w:autoSpaceDN/>
        <w:bidi w:val="0"/>
        <w:adjustRightInd/>
        <w:snapToGrid/>
        <w:spacing w:before="0" w:beforeLines="0" w:after="0" w:afterLines="0" w:afterAutospacing="0" w:line="520" w:lineRule="exact"/>
        <w:ind w:leftChars="0" w:firstLine="640" w:firstLineChars="200"/>
        <w:textAlignment w:val="auto"/>
        <w:rPr>
          <w:rFonts w:hint="eastAsia" w:ascii="Times New Roman" w:hAnsi="Times New Roman"/>
          <w:lang w:val="en-US" w:eastAsia="zh-CN"/>
        </w:rPr>
      </w:pPr>
      <w:bookmarkStart w:id="7" w:name="_Toc11925"/>
      <w:r>
        <w:rPr>
          <w:rFonts w:hint="eastAsia" w:ascii="Times New Roman" w:hAnsi="Times New Roman"/>
        </w:rPr>
        <w:t>知识</w:t>
      </w:r>
      <w:r>
        <w:rPr>
          <w:rFonts w:hint="eastAsia" w:ascii="Times New Roman" w:hAnsi="Times New Roman"/>
          <w:lang w:val="en-US" w:eastAsia="zh-CN"/>
        </w:rPr>
        <w:t>目标</w:t>
      </w:r>
      <w:bookmarkEnd w:id="7"/>
    </w:p>
    <w:p w14:paraId="2347DDE9">
      <w:pPr>
        <w:keepNext w:val="0"/>
        <w:keepLines w:val="0"/>
        <w:pageBreakBefore w:val="0"/>
        <w:widowControl w:val="0"/>
        <w:kinsoku/>
        <w:wordWrap/>
        <w:overflowPunct w:val="0"/>
        <w:topLinePunct w:val="0"/>
        <w:autoSpaceDE/>
        <w:autoSpaceDN/>
        <w:bidi w:val="0"/>
        <w:adjustRightInd w:val="0"/>
        <w:snapToGrid/>
        <w:spacing w:beforeAutospacing="0" w:after="0" w:line="520" w:lineRule="exact"/>
        <w:ind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1.掌握必备的思想政治理论、科学文化基础知识和中华优秀传统文化知识。</w:t>
      </w:r>
    </w:p>
    <w:p w14:paraId="19E7DEC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2.熟练掌握电工基础、模拟电子技术、数字电子技术等专业基础理论知识，理解电路原理与信号处理机制。</w:t>
      </w:r>
    </w:p>
    <w:p w14:paraId="1EADC8F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3.精通单片机技术应用、嵌入式技术与应用、智能电子产品设计、智能硬件的安装与调试等核心专业知识，具备智能电子产品设计开发的知识储备。</w:t>
      </w:r>
    </w:p>
    <w:p w14:paraId="490A2AB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4.熟悉电子产品制图与制版、电子产品生产与检验、电子产品生产设备操作与维护等知识，掌握从研发到生产全流程知识体系。</w:t>
      </w:r>
    </w:p>
    <w:p w14:paraId="5BE8A45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楷体" w:cs="楷体"/>
          <w:color w:val="auto"/>
          <w:sz w:val="32"/>
          <w:szCs w:val="32"/>
          <w:lang w:val="en-US" w:eastAsia="zh-CN"/>
        </w:rPr>
      </w:pPr>
      <w:r>
        <w:rPr>
          <w:rFonts w:hint="eastAsia" w:ascii="Times New Roman" w:hAnsi="Times New Roman" w:eastAsia="仿宋_GB2312" w:cs="仿宋_GB2312"/>
          <w:color w:val="auto"/>
          <w:sz w:val="32"/>
          <w:szCs w:val="32"/>
          <w:lang w:val="en-US" w:eastAsia="zh-CN"/>
        </w:rPr>
        <w:t>5.了解电子信息技术前沿动态、行业标准与政策法规，为职业发展奠定持续学习基础。</w:t>
      </w:r>
    </w:p>
    <w:p w14:paraId="06539F23">
      <w:pPr>
        <w:pStyle w:val="3"/>
        <w:keepNext/>
        <w:keepLines/>
        <w:pageBreakBefore w:val="0"/>
        <w:widowControl w:val="0"/>
        <w:numPr>
          <w:ilvl w:val="0"/>
          <w:numId w:val="1"/>
        </w:numPr>
        <w:kinsoku/>
        <w:wordWrap/>
        <w:overflowPunct/>
        <w:topLinePunct w:val="0"/>
        <w:autoSpaceDE/>
        <w:autoSpaceDN/>
        <w:bidi w:val="0"/>
        <w:adjustRightInd/>
        <w:snapToGrid/>
        <w:spacing w:before="0" w:beforeLines="0" w:after="0" w:afterLines="0" w:afterAutospacing="0" w:line="520" w:lineRule="exact"/>
        <w:ind w:leftChars="0" w:firstLine="640" w:firstLineChars="200"/>
        <w:textAlignment w:val="auto"/>
        <w:rPr>
          <w:rFonts w:hint="eastAsia" w:ascii="Times New Roman" w:hAnsi="Times New Roman"/>
          <w:lang w:val="en-US" w:eastAsia="zh-CN"/>
        </w:rPr>
      </w:pPr>
      <w:bookmarkStart w:id="8" w:name="_Toc5259"/>
      <w:r>
        <w:rPr>
          <w:rFonts w:hint="eastAsia" w:ascii="Times New Roman" w:hAnsi="Times New Roman"/>
        </w:rPr>
        <w:t>能力</w:t>
      </w:r>
      <w:r>
        <w:rPr>
          <w:rFonts w:hint="eastAsia" w:ascii="Times New Roman" w:hAnsi="Times New Roman"/>
          <w:lang w:val="en-US" w:eastAsia="zh-CN"/>
        </w:rPr>
        <w:t>目标</w:t>
      </w:r>
      <w:bookmarkEnd w:id="8"/>
    </w:p>
    <w:p w14:paraId="3C089D6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1.专业技术能力：具备运用专业软件进行电路设计、PCB 绘制，以及电子线路安装、调试和故障排除的能力；掌握嵌入式系统和智能硬件开发流程，能够完成电子产品软硬件协同设计与优化。</w:t>
      </w:r>
    </w:p>
    <w:p w14:paraId="6CE7499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2.实践操作能力：熟练操作常用电子仪器设备，具备电子产品生产工艺实施、生产设备操作与维护、产品质量检测与管理的实践技能，能独立完成电子产品从生产到质检的全流程操作。</w:t>
      </w:r>
    </w:p>
    <w:p w14:paraId="2CC3368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3.创新与问题解决能力：能够结合行业需求，提出电子产品创新设计思路；面对复杂技术问题，可运用所学知识进行系统分析，制定有效的解决方案。</w:t>
      </w:r>
    </w:p>
    <w:p w14:paraId="35604DB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楷体" w:cs="楷体"/>
          <w:color w:val="auto"/>
          <w:sz w:val="32"/>
          <w:szCs w:val="32"/>
          <w:lang w:val="en-US" w:eastAsia="zh-CN"/>
        </w:rPr>
      </w:pPr>
      <w:r>
        <w:rPr>
          <w:rFonts w:hint="eastAsia" w:ascii="Times New Roman" w:hAnsi="Times New Roman" w:eastAsia="仿宋_GB2312" w:cs="仿宋_GB2312"/>
          <w:color w:val="auto"/>
          <w:sz w:val="32"/>
          <w:szCs w:val="32"/>
          <w:lang w:val="en-US" w:eastAsia="zh-CN"/>
        </w:rPr>
        <w:t>4.职业拓展能力：具备良好的沟通协作能力，具有一般电子产品售后服务能力，具备快速适应岗位变化和职业发展的能力。</w:t>
      </w:r>
    </w:p>
    <w:p w14:paraId="3879A8F8">
      <w:pPr>
        <w:pStyle w:val="3"/>
        <w:keepNext/>
        <w:keepLines/>
        <w:pageBreakBefore w:val="0"/>
        <w:widowControl w:val="0"/>
        <w:numPr>
          <w:ilvl w:val="0"/>
          <w:numId w:val="1"/>
        </w:numPr>
        <w:kinsoku/>
        <w:wordWrap/>
        <w:overflowPunct/>
        <w:topLinePunct w:val="0"/>
        <w:autoSpaceDE/>
        <w:autoSpaceDN/>
        <w:bidi w:val="0"/>
        <w:adjustRightInd/>
        <w:snapToGrid/>
        <w:spacing w:before="0" w:beforeLines="0" w:after="0" w:afterLines="0" w:afterAutospacing="0" w:line="520" w:lineRule="exact"/>
        <w:ind w:leftChars="0" w:firstLine="640" w:firstLineChars="200"/>
        <w:textAlignment w:val="auto"/>
        <w:rPr>
          <w:rFonts w:hint="eastAsia" w:ascii="Times New Roman" w:hAnsi="Times New Roman"/>
          <w:lang w:val="en-US" w:eastAsia="zh-CN"/>
        </w:rPr>
      </w:pPr>
      <w:bookmarkStart w:id="9" w:name="_Toc4909"/>
      <w:r>
        <w:rPr>
          <w:rFonts w:hint="eastAsia" w:ascii="Times New Roman" w:hAnsi="Times New Roman"/>
          <w:lang w:val="en-US" w:eastAsia="zh-CN"/>
        </w:rPr>
        <w:t>素质目标</w:t>
      </w:r>
      <w:bookmarkEnd w:id="9"/>
    </w:p>
    <w:p w14:paraId="3C2258D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1.坚定拥护中国共产党领导和我国社会主义制度，在习近平新时代中国特色社会主义思想指引下，践行社会主义核心价值观，具有深厚的爱国情感和中华民族自豪感。</w:t>
      </w:r>
    </w:p>
    <w:p w14:paraId="558A66B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2.树立正确的</w:t>
      </w:r>
      <w:r>
        <w:rPr>
          <w:rFonts w:hint="eastAsia" w:ascii="Times New Roman" w:hAnsi="Times New Roman" w:eastAsia="仿宋_GB2312" w:cs="仿宋_GB2312"/>
          <w:color w:val="auto"/>
          <w:sz w:val="32"/>
          <w:szCs w:val="32"/>
          <w:highlight w:val="none"/>
          <w:lang w:val="en-US" w:eastAsia="zh-CN"/>
        </w:rPr>
        <w:t>世界观、人生观、价值观</w:t>
      </w:r>
      <w:r>
        <w:rPr>
          <w:rFonts w:hint="eastAsia" w:ascii="Times New Roman" w:hAnsi="Times New Roman" w:eastAsia="仿宋_GB2312" w:cs="仿宋_GB2312"/>
          <w:color w:val="auto"/>
          <w:sz w:val="32"/>
          <w:szCs w:val="32"/>
          <w:lang w:val="en-US" w:eastAsia="zh-CN"/>
        </w:rPr>
        <w:t>，具有良好的职业道德、社会责任感和爱国敬业精神，恪守电子行业职业规范。</w:t>
      </w:r>
    </w:p>
    <w:p w14:paraId="6DF0904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3.养成严谨求实、精益求精的工匠精神，具备终身学习意识和创新精神，持续关注行业技术发展，保持专业竞争力。</w:t>
      </w:r>
    </w:p>
    <w:p w14:paraId="7B8087B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4.拥有健康的体魄和积极乐观的心态，具备良好的抗压能力和情绪管理能力，有较强的集体意识和团队合作精神，能够适应高强度工作环境和职业挑战。</w:t>
      </w:r>
    </w:p>
    <w:p w14:paraId="222C02A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楷体" w:cs="楷体"/>
          <w:color w:val="auto"/>
          <w:sz w:val="32"/>
          <w:szCs w:val="32"/>
          <w:lang w:val="en-US" w:eastAsia="zh-CN"/>
        </w:rPr>
      </w:pPr>
      <w:r>
        <w:rPr>
          <w:rFonts w:hint="eastAsia" w:ascii="Times New Roman" w:hAnsi="Times New Roman" w:eastAsia="仿宋_GB2312" w:cs="仿宋_GB2312"/>
          <w:color w:val="auto"/>
          <w:sz w:val="32"/>
          <w:szCs w:val="32"/>
          <w:lang w:val="en-US" w:eastAsia="zh-CN"/>
        </w:rPr>
        <w:t>5.具有一定的审美和人文素养，能够形成1—2项艺术特长或爱好。</w:t>
      </w:r>
    </w:p>
    <w:p w14:paraId="75C47314">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leftChars="0" w:firstLine="640" w:firstLineChars="200"/>
        <w:textAlignment w:val="auto"/>
        <w:rPr>
          <w:rFonts w:hint="eastAsia" w:ascii="Times New Roman" w:hAnsi="Times New Roman"/>
          <w:b w:val="0"/>
          <w:bCs/>
          <w:lang w:val="en-US" w:eastAsia="zh-CN"/>
        </w:rPr>
      </w:pPr>
      <w:bookmarkStart w:id="10" w:name="_Toc9579"/>
      <w:r>
        <w:rPr>
          <w:rFonts w:hint="eastAsia" w:ascii="Times New Roman" w:hAnsi="Times New Roman"/>
          <w:b w:val="0"/>
          <w:bCs/>
          <w:lang w:val="en-US" w:eastAsia="zh-CN"/>
        </w:rPr>
        <w:t>七、课程设置</w:t>
      </w:r>
      <w:bookmarkEnd w:id="10"/>
    </w:p>
    <w:p w14:paraId="3115084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主要包括公共基础课程和专业课程。</w:t>
      </w:r>
    </w:p>
    <w:p w14:paraId="31F0EE46">
      <w:pPr>
        <w:pStyle w:val="3"/>
        <w:keepNext/>
        <w:keepLines/>
        <w:pageBreakBefore w:val="0"/>
        <w:widowControl w:val="0"/>
        <w:numPr>
          <w:ilvl w:val="0"/>
          <w:numId w:val="2"/>
        </w:numPr>
        <w:kinsoku/>
        <w:wordWrap/>
        <w:overflowPunct/>
        <w:topLinePunct w:val="0"/>
        <w:autoSpaceDE/>
        <w:autoSpaceDN/>
        <w:bidi w:val="0"/>
        <w:adjustRightInd/>
        <w:snapToGrid/>
        <w:spacing w:before="0" w:beforeLines="0" w:after="0" w:afterLines="0" w:line="520" w:lineRule="exact"/>
        <w:ind w:left="0" w:leftChars="0" w:firstLine="640" w:firstLineChars="200"/>
        <w:textAlignment w:val="auto"/>
        <w:rPr>
          <w:rFonts w:hint="eastAsia" w:ascii="Times New Roman" w:hAnsi="Times New Roman"/>
        </w:rPr>
      </w:pPr>
      <w:bookmarkStart w:id="11" w:name="_Toc9526"/>
      <w:r>
        <w:rPr>
          <w:rFonts w:hint="eastAsia" w:ascii="Times New Roman" w:hAnsi="Times New Roman"/>
        </w:rPr>
        <w:t>公共基础课程</w:t>
      </w:r>
      <w:bookmarkEnd w:id="11"/>
    </w:p>
    <w:p w14:paraId="18F9087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pPr>
      <w:bookmarkStart w:id="12" w:name="_Toc90734974"/>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分为公共必修课和公共选修课。</w:t>
      </w:r>
    </w:p>
    <w:p w14:paraId="6F2B90A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必修</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课程包括</w:t>
      </w:r>
      <w:bookmarkEnd w:id="12"/>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思想道德与法治</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形势与政策</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、国家安全教育、</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军事理论</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军训</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计算机基础</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高等数学</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大学英语</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lang w:val="en-US" w:eastAsia="zh-CN"/>
          <w14:textFill>
            <w14:solidFill>
              <w14:schemeClr w14:val="tx1"/>
            </w14:solidFill>
          </w14:textFill>
        </w:rPr>
        <w:t>大学</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体育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大学生职业发展与就业指导</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大学生心理健康教育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、劳动教育、</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毛泽东思想和中国特色社会主义理论体系概论</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创新创业教育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习近平新时代中国特色社会主义思想概论</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p>
    <w:p w14:paraId="15685E3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选修课程包括：</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中国民俗剪纸技法</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影视与鉴赏</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中国共产党简史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中华人民共和国简史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改革开放简史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32"/>
          <w:szCs w:val="32"/>
          <w:highlight w:val="none"/>
          <w14:textFill>
            <w14:solidFill>
              <w14:schemeClr w14:val="tx1"/>
            </w14:solidFill>
          </w14:textFill>
        </w:rPr>
        <w:t>社会主义发展简史</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、中华优秀传统文化、中华民族共同体概论、</w:t>
      </w:r>
      <w:r>
        <w:rPr>
          <w:rFonts w:hint="eastAsia" w:ascii="Times New Roman" w:hAnsi="Times New Roman" w:eastAsia="仿宋_GB2312" w:cs="仿宋_GB2312"/>
          <w:b w:val="0"/>
          <w:bCs w:val="0"/>
          <w:color w:val="000000" w:themeColor="text1"/>
          <w:sz w:val="32"/>
          <w:szCs w:val="32"/>
          <w:highlight w:val="none"/>
          <w:lang w:val="en-US" w:eastAsia="zh-CN"/>
          <w14:textFill>
            <w14:solidFill>
              <w14:schemeClr w14:val="tx1"/>
            </w14:solidFill>
          </w14:textFill>
        </w:rPr>
        <w:t>语文、物理</w:t>
      </w:r>
      <w:r>
        <w:rPr>
          <w:rFonts w:hint="eastAsia" w:ascii="Times New Roman" w:hAnsi="Times New Roman" w:eastAsia="仿宋_GB2312" w:cs="仿宋_GB2312"/>
          <w:b w:val="0"/>
          <w:bCs w:val="0"/>
          <w:color w:val="000000" w:themeColor="text1"/>
          <w:sz w:val="32"/>
          <w:szCs w:val="32"/>
          <w:highlight w:val="none"/>
          <w:lang w:eastAsia="zh-CN"/>
          <w14:textFill>
            <w14:solidFill>
              <w14:schemeClr w14:val="tx1"/>
            </w14:solidFill>
          </w14:textFill>
        </w:rPr>
        <w:t>。</w:t>
      </w:r>
    </w:p>
    <w:p w14:paraId="240DE4FF">
      <w:pPr>
        <w:pageBreakBefore w:val="0"/>
        <w:widowControl w:val="0"/>
        <w:kinsoku/>
        <w:wordWrap/>
        <w:overflowPunct w:val="0"/>
        <w:topLinePunct w:val="0"/>
        <w:autoSpaceDE/>
        <w:autoSpaceDN/>
        <w:bidi w:val="0"/>
        <w:adjustRightInd w:val="0"/>
        <w:snapToGrid/>
        <w:spacing w:after="0" w:line="520" w:lineRule="exact"/>
        <w:ind w:firstLine="640" w:firstLineChars="200"/>
        <w:jc w:val="center"/>
        <w:textAlignment w:val="auto"/>
        <w:outlineLvl w:val="9"/>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表2公共基础课</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2"/>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191"/>
        <w:gridCol w:w="2697"/>
        <w:gridCol w:w="2626"/>
      </w:tblGrid>
      <w:tr w14:paraId="21B3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F9E2556">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3" w:name="_Toc90734979"/>
            <w:bookmarkStart w:id="14" w:name="_Toc2022"/>
            <w:r>
              <w:rPr>
                <w:rFonts w:hint="eastAsia" w:ascii="Times New Roman" w:hAnsi="Times New Roman" w:eastAsia="仿宋_GB2312" w:cs="仿宋_GB2312"/>
                <w:color w:val="000000" w:themeColor="text1"/>
                <w:sz w:val="24"/>
                <w:szCs w:val="24"/>
                <w:highlight w:val="none"/>
                <w14:textFill>
                  <w14:solidFill>
                    <w14:schemeClr w14:val="tx1"/>
                  </w14:solidFill>
                </w14:textFill>
              </w:rPr>
              <w:t>序号</w:t>
            </w:r>
            <w:bookmarkEnd w:id="13"/>
            <w:bookmarkEnd w:id="14"/>
          </w:p>
        </w:tc>
        <w:tc>
          <w:tcPr>
            <w:tcW w:w="752" w:type="dxa"/>
            <w:vAlign w:val="center"/>
          </w:tcPr>
          <w:p w14:paraId="22F3724E">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5" w:name="_Toc90734980"/>
            <w:bookmarkStart w:id="16" w:name="_Toc2635"/>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课程名称</w:t>
            </w:r>
            <w:bookmarkEnd w:id="15"/>
            <w:bookmarkEnd w:id="16"/>
          </w:p>
        </w:tc>
        <w:tc>
          <w:tcPr>
            <w:tcW w:w="4191" w:type="dxa"/>
            <w:vAlign w:val="center"/>
          </w:tcPr>
          <w:p w14:paraId="0DBF4FFA">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7" w:name="_Toc90734981"/>
            <w:bookmarkStart w:id="18" w:name="_Toc24608"/>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目标</w:t>
            </w:r>
            <w:bookmarkEnd w:id="17"/>
            <w:bookmarkEnd w:id="18"/>
          </w:p>
        </w:tc>
        <w:tc>
          <w:tcPr>
            <w:tcW w:w="2697" w:type="dxa"/>
            <w:vAlign w:val="center"/>
          </w:tcPr>
          <w:p w14:paraId="3D64FD09">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9" w:name="_Toc90734982"/>
            <w:bookmarkStart w:id="20" w:name="_Toc23051"/>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教学内容</w:t>
            </w:r>
            <w:bookmarkEnd w:id="19"/>
            <w:bookmarkEnd w:id="20"/>
          </w:p>
        </w:tc>
        <w:tc>
          <w:tcPr>
            <w:tcW w:w="2626" w:type="dxa"/>
            <w:vAlign w:val="center"/>
          </w:tcPr>
          <w:p w14:paraId="1636FDB4">
            <w:pPr>
              <w:spacing w:line="360" w:lineRule="exact"/>
              <w:jc w:val="center"/>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教学要求</w:t>
            </w:r>
          </w:p>
        </w:tc>
      </w:tr>
      <w:tr w14:paraId="1534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jc w:val="center"/>
        </w:trPr>
        <w:tc>
          <w:tcPr>
            <w:tcW w:w="507" w:type="dxa"/>
            <w:vAlign w:val="center"/>
          </w:tcPr>
          <w:p w14:paraId="0D4F129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1</w:t>
            </w:r>
          </w:p>
        </w:tc>
        <w:tc>
          <w:tcPr>
            <w:tcW w:w="752" w:type="dxa"/>
            <w:vAlign w:val="center"/>
          </w:tcPr>
          <w:p w14:paraId="13B26F8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思想道德与法治</w:t>
            </w:r>
          </w:p>
        </w:tc>
        <w:tc>
          <w:tcPr>
            <w:tcW w:w="4191" w:type="dxa"/>
            <w:vAlign w:val="top"/>
          </w:tcPr>
          <w:p w14:paraId="387734C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401F8B8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00114B7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697" w:type="dxa"/>
            <w:vAlign w:val="top"/>
          </w:tcPr>
          <w:p w14:paraId="040117A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14:paraId="10755B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shd w:val="clear" w:color="auto" w:fill="FFFFFF"/>
                <w14:textFill>
                  <w14:solidFill>
                    <w14:schemeClr w14:val="tx1"/>
                  </w14:solidFill>
                </w14:textFill>
              </w:rPr>
            </w:pPr>
            <w:r>
              <w:rPr>
                <w:rFonts w:hint="eastAsia" w:ascii="Times New Roman" w:hAnsi="Times New Roman"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7FC3D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7C683BD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14:paraId="3DB378D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形势与政策</w:t>
            </w:r>
          </w:p>
        </w:tc>
        <w:tc>
          <w:tcPr>
            <w:tcW w:w="4191" w:type="dxa"/>
            <w:shd w:val="clear" w:color="auto" w:fill="auto"/>
            <w:vAlign w:val="top"/>
          </w:tcPr>
          <w:p w14:paraId="561659B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14:paraId="7AC0B03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14:paraId="1437ADF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“四个意识”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697" w:type="dxa"/>
            <w:shd w:val="clear" w:color="auto" w:fill="auto"/>
            <w:vAlign w:val="top"/>
          </w:tcPr>
          <w:p w14:paraId="158FB7E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根据</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内容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2643D56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应</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14:paraId="14E4E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1C50F9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14:paraId="194814E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国家安全教育</w:t>
            </w:r>
          </w:p>
        </w:tc>
        <w:tc>
          <w:tcPr>
            <w:tcW w:w="4191" w:type="dxa"/>
            <w:shd w:val="clear" w:color="auto" w:fill="auto"/>
            <w:vAlign w:val="top"/>
          </w:tcPr>
          <w:p w14:paraId="18CD438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01900B0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6948F08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697" w:type="dxa"/>
            <w:shd w:val="clear" w:color="auto" w:fill="auto"/>
            <w:vAlign w:val="top"/>
          </w:tcPr>
          <w:p w14:paraId="091E09C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26655E4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论文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考</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查</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14:paraId="4B523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507" w:type="dxa"/>
            <w:vAlign w:val="center"/>
          </w:tcPr>
          <w:p w14:paraId="62F9439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14:paraId="42AB70E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军事理论</w:t>
            </w:r>
          </w:p>
        </w:tc>
        <w:tc>
          <w:tcPr>
            <w:tcW w:w="4191" w:type="dxa"/>
            <w:shd w:val="clear" w:color="auto" w:fill="auto"/>
            <w:vAlign w:val="top"/>
          </w:tcPr>
          <w:p w14:paraId="3EF6609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14:paraId="4F1E5B7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1CC295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14:paraId="24147AF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697" w:type="dxa"/>
            <w:shd w:val="clear" w:color="auto" w:fill="auto"/>
            <w:vAlign w:val="top"/>
          </w:tcPr>
          <w:p w14:paraId="66365CC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14:paraId="732D62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5E8795C8">
            <w:pPr>
              <w:pStyle w:val="11"/>
              <w:keepNext w:val="0"/>
              <w:keepLines w:val="0"/>
              <w:pageBreakBefore w:val="0"/>
              <w:widowControl/>
              <w:suppressLineNumbers w:val="0"/>
              <w:kinsoku/>
              <w:wordWrap/>
              <w:overflowPunct/>
              <w:topLinePunct w:val="0"/>
              <w:autoSpaceDE/>
              <w:autoSpaceDN/>
              <w:bidi w:val="0"/>
              <w:adjustRightInd/>
              <w:snapToGrid/>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14:paraId="4B3949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14:paraId="4ABD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14:paraId="3E5022A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14:paraId="21A2FFB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军训</w:t>
            </w:r>
          </w:p>
        </w:tc>
        <w:tc>
          <w:tcPr>
            <w:tcW w:w="4191" w:type="dxa"/>
            <w:shd w:val="clear" w:color="auto" w:fill="auto"/>
            <w:vAlign w:val="top"/>
          </w:tcPr>
          <w:p w14:paraId="1C700A91">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14:paraId="6D650326">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14:paraId="3C0DB6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14:paraId="3CF70A8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697" w:type="dxa"/>
            <w:shd w:val="clear" w:color="auto" w:fill="auto"/>
            <w:vAlign w:val="top"/>
          </w:tcPr>
          <w:p w14:paraId="3753D2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14:paraId="47DB7B7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5DE56F9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14:paraId="13E48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0" w:hRule="atLeast"/>
          <w:jc w:val="center"/>
        </w:trPr>
        <w:tc>
          <w:tcPr>
            <w:tcW w:w="507" w:type="dxa"/>
            <w:vAlign w:val="center"/>
          </w:tcPr>
          <w:p w14:paraId="2561102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14:paraId="7233D68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4191" w:type="dxa"/>
            <w:shd w:val="clear" w:color="auto" w:fill="auto"/>
            <w:vAlign w:val="top"/>
          </w:tcPr>
          <w:p w14:paraId="16F4D8A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5C5C48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14:paraId="51C8B2F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14:paraId="769D79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697" w:type="dxa"/>
            <w:shd w:val="clear" w:color="auto" w:fill="auto"/>
            <w:vAlign w:val="top"/>
          </w:tcPr>
          <w:p w14:paraId="4B9C1BC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6C46D4D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4C986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507" w:type="dxa"/>
            <w:vAlign w:val="center"/>
          </w:tcPr>
          <w:p w14:paraId="2C4E798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14:paraId="1CDE75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4191" w:type="dxa"/>
            <w:shd w:val="clear" w:color="auto" w:fill="auto"/>
            <w:vAlign w:val="top"/>
          </w:tcPr>
          <w:p w14:paraId="27ED541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14:paraId="569CAA6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14:paraId="3B05C13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14:paraId="35F4014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697" w:type="dxa"/>
            <w:shd w:val="clear" w:color="auto" w:fill="auto"/>
            <w:vAlign w:val="top"/>
          </w:tcPr>
          <w:p w14:paraId="467BFB6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77AEAD7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54358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1" w:hRule="atLeast"/>
          <w:jc w:val="center"/>
        </w:trPr>
        <w:tc>
          <w:tcPr>
            <w:tcW w:w="507" w:type="dxa"/>
            <w:vAlign w:val="center"/>
          </w:tcPr>
          <w:p w14:paraId="295CFF1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14:paraId="3396221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4191" w:type="dxa"/>
            <w:shd w:val="clear" w:color="auto" w:fill="auto"/>
            <w:vAlign w:val="top"/>
          </w:tcPr>
          <w:p w14:paraId="09E0EE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14:paraId="7DB1DBC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14:paraId="669ADFC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14:paraId="4AA5372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697" w:type="dxa"/>
            <w:shd w:val="clear" w:color="auto" w:fill="auto"/>
            <w:vAlign w:val="top"/>
          </w:tcPr>
          <w:p w14:paraId="2EAAA4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459C2C3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14:paraId="0EA2F2F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14:paraId="1C282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14:paraId="107ED27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14:paraId="778F856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大学体育</w:t>
            </w:r>
          </w:p>
        </w:tc>
        <w:tc>
          <w:tcPr>
            <w:tcW w:w="4191" w:type="dxa"/>
            <w:shd w:val="clear" w:color="auto" w:fill="auto"/>
            <w:vAlign w:val="top"/>
          </w:tcPr>
          <w:p w14:paraId="72095E1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14:paraId="28A76D6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增强团队协作能力和体育竞赛组织能力。</w:t>
            </w:r>
          </w:p>
          <w:p w14:paraId="25AF82D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p>
          <w:p w14:paraId="1C2F26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697" w:type="dxa"/>
            <w:shd w:val="clear" w:color="auto" w:fill="auto"/>
            <w:vAlign w:val="top"/>
          </w:tcPr>
          <w:p w14:paraId="4115896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武术</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14:paraId="1FB4DB1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5667A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E562C9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14:paraId="1BDC993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大学生职业发展与就业指导</w:t>
            </w:r>
          </w:p>
        </w:tc>
        <w:tc>
          <w:tcPr>
            <w:tcW w:w="4191" w:type="dxa"/>
            <w:shd w:val="clear" w:color="auto" w:fill="auto"/>
            <w:vAlign w:val="top"/>
          </w:tcPr>
          <w:p w14:paraId="6D9068B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14:paraId="4B1776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14:paraId="235C137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14:paraId="426B6DD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Times New Roman" w:hAnsi="Times New Roman" w:eastAsia="仿宋_GB2312" w:cs="仿宋_GB2312"/>
                <w:b w:val="0"/>
                <w:bCs w:val="0"/>
                <w:color w:val="auto"/>
                <w:kern w:val="2"/>
                <w:sz w:val="24"/>
                <w:szCs w:val="24"/>
                <w:highlight w:val="none"/>
                <w:lang w:val="en-US" w:eastAsia="zh-CN" w:bidi="ar-SA"/>
              </w:rPr>
              <w:t>“以人民为中心”的发展理念，切实增</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强对国家保就业、稳增长工作的信心，充分感知国家在相关领域的坚实能力。</w:t>
            </w:r>
          </w:p>
        </w:tc>
        <w:tc>
          <w:tcPr>
            <w:tcW w:w="2697" w:type="dxa"/>
            <w:shd w:val="clear" w:color="auto" w:fill="auto"/>
            <w:vAlign w:val="top"/>
          </w:tcPr>
          <w:p w14:paraId="4BD4B34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0CFB761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0527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14:paraId="5A5004A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14:paraId="3C6B19B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大学生心理健康教育</w:t>
            </w:r>
          </w:p>
        </w:tc>
        <w:tc>
          <w:tcPr>
            <w:tcW w:w="4191" w:type="dxa"/>
            <w:shd w:val="clear" w:color="auto" w:fill="auto"/>
            <w:vAlign w:val="top"/>
          </w:tcPr>
          <w:p w14:paraId="6A0A811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14:paraId="65F888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14:paraId="3E0E192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14:paraId="2729EB5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697" w:type="dxa"/>
            <w:shd w:val="clear" w:color="auto" w:fill="auto"/>
            <w:vAlign w:val="top"/>
          </w:tcPr>
          <w:p w14:paraId="7E59A78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2882AFC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35EA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0" w:hRule="atLeast"/>
          <w:jc w:val="center"/>
        </w:trPr>
        <w:tc>
          <w:tcPr>
            <w:tcW w:w="507" w:type="dxa"/>
            <w:vAlign w:val="center"/>
          </w:tcPr>
          <w:p w14:paraId="032D1C6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14:paraId="689C486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劳动教育</w:t>
            </w:r>
          </w:p>
        </w:tc>
        <w:tc>
          <w:tcPr>
            <w:tcW w:w="4191" w:type="dxa"/>
            <w:shd w:val="clear" w:color="auto" w:fill="auto"/>
            <w:vAlign w:val="top"/>
          </w:tcPr>
          <w:p w14:paraId="1CF37FB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14:paraId="3F73EBF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14:paraId="49AF642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4F4ADF3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697" w:type="dxa"/>
            <w:shd w:val="clear" w:color="auto" w:fill="auto"/>
            <w:vAlign w:val="top"/>
          </w:tcPr>
          <w:p w14:paraId="1D049FB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33DD377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27876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69A5B99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14:paraId="56CF867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4191" w:type="dxa"/>
            <w:shd w:val="clear" w:color="auto" w:fill="auto"/>
            <w:vAlign w:val="top"/>
          </w:tcPr>
          <w:p w14:paraId="4B0E3D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14:paraId="6F2C650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Times New Roman" w:hAnsi="Times New Roman"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Times New Roman" w:hAnsi="Times New Roman"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697" w:type="dxa"/>
            <w:shd w:val="clear" w:color="auto" w:fill="auto"/>
            <w:vAlign w:val="top"/>
          </w:tcPr>
          <w:p w14:paraId="5CA0985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1D928E5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1135200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14:paraId="20602FA8">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14:paraId="1CB5FBC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226B9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8" w:hRule="atLeast"/>
          <w:jc w:val="center"/>
        </w:trPr>
        <w:tc>
          <w:tcPr>
            <w:tcW w:w="507" w:type="dxa"/>
            <w:vAlign w:val="center"/>
          </w:tcPr>
          <w:p w14:paraId="2BADF8F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14</w:t>
            </w:r>
          </w:p>
        </w:tc>
        <w:tc>
          <w:tcPr>
            <w:tcW w:w="752" w:type="dxa"/>
            <w:shd w:val="clear" w:color="auto" w:fill="auto"/>
            <w:vAlign w:val="center"/>
          </w:tcPr>
          <w:p w14:paraId="5FDE977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创新创业教育</w:t>
            </w:r>
          </w:p>
        </w:tc>
        <w:tc>
          <w:tcPr>
            <w:tcW w:w="4191" w:type="dxa"/>
            <w:shd w:val="clear" w:color="auto" w:fill="auto"/>
            <w:vAlign w:val="top"/>
          </w:tcPr>
          <w:p w14:paraId="4CAE01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了解创新创业政策法规。</w:t>
            </w:r>
          </w:p>
          <w:p w14:paraId="6624E7B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14:paraId="61E50D5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14:paraId="5901099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战略。</w:t>
            </w:r>
          </w:p>
        </w:tc>
        <w:tc>
          <w:tcPr>
            <w:tcW w:w="2697" w:type="dxa"/>
            <w:shd w:val="clear" w:color="auto" w:fill="auto"/>
            <w:vAlign w:val="top"/>
          </w:tcPr>
          <w:p w14:paraId="7AFB7C1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279F8A7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33F9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jc w:val="center"/>
        </w:trPr>
        <w:tc>
          <w:tcPr>
            <w:tcW w:w="507" w:type="dxa"/>
            <w:vAlign w:val="center"/>
          </w:tcPr>
          <w:p w14:paraId="3B74640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15</w:t>
            </w:r>
          </w:p>
        </w:tc>
        <w:tc>
          <w:tcPr>
            <w:tcW w:w="752" w:type="dxa"/>
            <w:vAlign w:val="center"/>
          </w:tcPr>
          <w:p w14:paraId="3FDC942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4191" w:type="dxa"/>
            <w:vAlign w:val="top"/>
          </w:tcPr>
          <w:p w14:paraId="53907F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14:paraId="258CBCBE">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14:paraId="587D736F">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14:paraId="278ECBFF">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14:paraId="538B1602">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14:paraId="7E4EA0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14:paraId="0728FE5A">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14:paraId="2C099C84">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14:paraId="5546672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7E2DA0E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09D80D9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14:paraId="7FC143A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14:paraId="306ADCA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697" w:type="dxa"/>
            <w:vAlign w:val="top"/>
          </w:tcPr>
          <w:p w14:paraId="6524F04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课程主要的知识模块</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14:paraId="6C000A1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181EF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3C67B8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14:paraId="5F72386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中国民俗剪纸技法</w:t>
            </w:r>
          </w:p>
        </w:tc>
        <w:tc>
          <w:tcPr>
            <w:tcW w:w="4191" w:type="dxa"/>
            <w:shd w:val="clear" w:color="auto" w:fill="auto"/>
            <w:vAlign w:val="top"/>
          </w:tcPr>
          <w:p w14:paraId="7BE39E4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14:paraId="6A9788C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14:paraId="3464EB1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14:paraId="41E8808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697" w:type="dxa"/>
            <w:shd w:val="clear" w:color="auto" w:fill="auto"/>
            <w:vAlign w:val="top"/>
          </w:tcPr>
          <w:p w14:paraId="138FB04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27E5027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7C6C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1B45524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14:paraId="7387CC5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影视与鉴赏</w:t>
            </w:r>
          </w:p>
        </w:tc>
        <w:tc>
          <w:tcPr>
            <w:tcW w:w="4191" w:type="dxa"/>
            <w:shd w:val="clear" w:color="auto" w:fill="auto"/>
            <w:vAlign w:val="top"/>
          </w:tcPr>
          <w:p w14:paraId="3320635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掌握影视创作基本流程。</w:t>
            </w:r>
          </w:p>
          <w:p w14:paraId="7FC736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14:paraId="14D2C57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14:paraId="09D37FF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697" w:type="dxa"/>
            <w:shd w:val="clear" w:color="auto" w:fill="auto"/>
            <w:vAlign w:val="top"/>
          </w:tcPr>
          <w:p w14:paraId="58DF8D6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4DA6682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76E4E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1D31E9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14:paraId="2D079CB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中国共产党简史</w:t>
            </w:r>
          </w:p>
        </w:tc>
        <w:tc>
          <w:tcPr>
            <w:tcW w:w="4191" w:type="dxa"/>
            <w:shd w:val="clear" w:color="auto" w:fill="auto"/>
            <w:vAlign w:val="top"/>
          </w:tcPr>
          <w:p w14:paraId="28FB397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斗的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14:paraId="41C52F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6D97F4C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697" w:type="dxa"/>
            <w:shd w:val="clear" w:color="auto" w:fill="auto"/>
            <w:vAlign w:val="top"/>
          </w:tcPr>
          <w:p w14:paraId="67FECE9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793964C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5BEA3FF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7835404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7234268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6D12C8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1BCA25E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掀起土地革命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风暴</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全民族抗日战争的中流砥柱</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伟大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历史</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在新</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2FD9EC7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0F30FA0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3D08C46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20695CD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45DC150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25502CF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69059CE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”，感悟党的伟大，做“青春心向党</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踔厉奋发建新功”的新时代青年。</w:t>
            </w:r>
          </w:p>
        </w:tc>
      </w:tr>
      <w:tr w14:paraId="1C35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7" w:hRule="atLeast"/>
          <w:jc w:val="center"/>
        </w:trPr>
        <w:tc>
          <w:tcPr>
            <w:tcW w:w="507" w:type="dxa"/>
            <w:shd w:val="clear" w:color="auto" w:fill="auto"/>
            <w:vAlign w:val="center"/>
          </w:tcPr>
          <w:p w14:paraId="4F34EF7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14:paraId="05E1E05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中华人民共和国简史</w:t>
            </w:r>
          </w:p>
        </w:tc>
        <w:tc>
          <w:tcPr>
            <w:tcW w:w="4191" w:type="dxa"/>
            <w:shd w:val="clear" w:color="auto" w:fill="auto"/>
            <w:vAlign w:val="top"/>
          </w:tcPr>
          <w:p w14:paraId="2E850CD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68C27E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280BBE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697" w:type="dxa"/>
            <w:shd w:val="clear" w:color="auto" w:fill="auto"/>
            <w:vAlign w:val="top"/>
          </w:tcPr>
          <w:p w14:paraId="4EFB04F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14:paraId="51F92B5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14:paraId="0F75401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14:paraId="7BF3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402563B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14:paraId="56C0378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改革开放简史</w:t>
            </w:r>
          </w:p>
        </w:tc>
        <w:tc>
          <w:tcPr>
            <w:tcW w:w="4191" w:type="dxa"/>
            <w:shd w:val="clear" w:color="auto" w:fill="auto"/>
            <w:vAlign w:val="top"/>
          </w:tcPr>
          <w:p w14:paraId="261F56F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7C7A839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09E1F5E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697" w:type="dxa"/>
            <w:shd w:val="clear" w:color="auto" w:fill="auto"/>
            <w:vAlign w:val="top"/>
          </w:tcPr>
          <w:p w14:paraId="34DB787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改革开放拉开大幕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改革开放全面展开</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改革开放开创新局面</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改革开放在科学发展中深化</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改革开放进入新时代</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坚定不移推进全面深化改革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3647260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5A0B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95D5BC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14:paraId="4034A18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社会主义发展简史</w:t>
            </w:r>
          </w:p>
        </w:tc>
        <w:tc>
          <w:tcPr>
            <w:tcW w:w="4191" w:type="dxa"/>
            <w:shd w:val="clear" w:color="auto" w:fill="auto"/>
            <w:vAlign w:val="top"/>
          </w:tcPr>
          <w:p w14:paraId="64F4BA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从而增强对社会主义制度的认识与信心。</w:t>
            </w:r>
          </w:p>
          <w:p w14:paraId="0E2FF70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1CF5DC5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697" w:type="dxa"/>
            <w:shd w:val="clear" w:color="auto" w:fill="auto"/>
            <w:vAlign w:val="top"/>
          </w:tcPr>
          <w:p w14:paraId="02124B2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4845BF5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增强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14:paraId="0D728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53ECC4E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22</w:t>
            </w:r>
          </w:p>
        </w:tc>
        <w:tc>
          <w:tcPr>
            <w:tcW w:w="752" w:type="dxa"/>
            <w:shd w:val="clear" w:color="auto" w:fill="auto"/>
            <w:vAlign w:val="center"/>
          </w:tcPr>
          <w:p w14:paraId="185B719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中华优秀传统文化</w:t>
            </w:r>
          </w:p>
        </w:tc>
        <w:tc>
          <w:tcPr>
            <w:tcW w:w="4191" w:type="dxa"/>
            <w:shd w:val="clear" w:color="auto" w:fill="auto"/>
            <w:vAlign w:val="top"/>
          </w:tcPr>
          <w:p w14:paraId="7E78BA2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主要内容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14:paraId="7E3E400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14:paraId="1A77D5E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697" w:type="dxa"/>
            <w:shd w:val="clear" w:color="auto" w:fill="auto"/>
            <w:vAlign w:val="top"/>
          </w:tcPr>
          <w:p w14:paraId="1191BC5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7D07C98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14:paraId="5E36CB9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p w14:paraId="0013159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p>
        </w:tc>
      </w:tr>
      <w:tr w14:paraId="46846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9" w:hRule="atLeast"/>
          <w:jc w:val="center"/>
        </w:trPr>
        <w:tc>
          <w:tcPr>
            <w:tcW w:w="507" w:type="dxa"/>
            <w:vAlign w:val="center"/>
          </w:tcPr>
          <w:p w14:paraId="2A3D95B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23</w:t>
            </w:r>
          </w:p>
        </w:tc>
        <w:tc>
          <w:tcPr>
            <w:tcW w:w="752" w:type="dxa"/>
            <w:vAlign w:val="center"/>
          </w:tcPr>
          <w:p w14:paraId="5C0B68B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中华民族共同体概论</w:t>
            </w:r>
          </w:p>
        </w:tc>
        <w:tc>
          <w:tcPr>
            <w:tcW w:w="4191" w:type="dxa"/>
            <w:vAlign w:val="top"/>
          </w:tcPr>
          <w:p w14:paraId="2C287FB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15AC04E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Style w:val="15"/>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14:paraId="3D1B1C7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p w14:paraId="04A33E8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p>
        </w:tc>
        <w:tc>
          <w:tcPr>
            <w:tcW w:w="2697" w:type="dxa"/>
            <w:vAlign w:val="top"/>
          </w:tcPr>
          <w:p w14:paraId="62D885F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14:paraId="331B3DF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76BC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B1F550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14:paraId="0806B0D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语文</w:t>
            </w:r>
          </w:p>
        </w:tc>
        <w:tc>
          <w:tcPr>
            <w:tcW w:w="4191" w:type="dxa"/>
            <w:shd w:val="clear" w:color="auto" w:fill="auto"/>
            <w:vAlign w:val="top"/>
          </w:tcPr>
          <w:p w14:paraId="2D1510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14:paraId="0947A52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14:paraId="7D64E5B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14:paraId="4DB29C5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p w14:paraId="471FD9E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p>
        </w:tc>
        <w:tc>
          <w:tcPr>
            <w:tcW w:w="2697" w:type="dxa"/>
            <w:shd w:val="clear" w:color="auto" w:fill="auto"/>
            <w:vAlign w:val="top"/>
          </w:tcPr>
          <w:p w14:paraId="2C71D96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5FAB25F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r w14:paraId="4BB2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17F9580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25</w:t>
            </w:r>
          </w:p>
        </w:tc>
        <w:tc>
          <w:tcPr>
            <w:tcW w:w="752" w:type="dxa"/>
            <w:shd w:val="clear" w:color="auto" w:fill="auto"/>
            <w:vAlign w:val="center"/>
          </w:tcPr>
          <w:p w14:paraId="5338BAF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物理</w:t>
            </w:r>
          </w:p>
        </w:tc>
        <w:tc>
          <w:tcPr>
            <w:tcW w:w="4191" w:type="dxa"/>
            <w:shd w:val="clear" w:color="auto" w:fill="auto"/>
            <w:vAlign w:val="top"/>
          </w:tcPr>
          <w:p w14:paraId="70C240F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掌握力学、热学、电磁学等经典物理核心概念与规律，了解其在高新技术和工程实践中的具体应用，构建必要的物理知识体系。</w:t>
            </w:r>
          </w:p>
          <w:p w14:paraId="7528208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能够运用物理原理分析和解决生产生活中的实际问题，具备基本的实验操作、数据处理和科学思维能力，提升技术应用与创新意识。</w:t>
            </w:r>
          </w:p>
          <w:p w14:paraId="12DB33F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培养严谨求实的科学态度、精益求精的工匠精神和探索未知的好奇心，为未来职业发展和终身学习奠定坚实基础。</w:t>
            </w:r>
          </w:p>
          <w:p w14:paraId="5610995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通过物理学史和科学家故事，弘扬科学精神和爱国情怀，培养职业道德、团队协作意识与社会责任感。</w:t>
            </w:r>
          </w:p>
          <w:p w14:paraId="07D060C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p>
        </w:tc>
        <w:tc>
          <w:tcPr>
            <w:tcW w:w="2697" w:type="dxa"/>
            <w:shd w:val="clear" w:color="auto" w:fill="auto"/>
            <w:vAlign w:val="top"/>
          </w:tcPr>
          <w:p w14:paraId="44652B0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14:paraId="0DE768A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bl>
    <w:p w14:paraId="45BE228E">
      <w:pPr>
        <w:pStyle w:val="3"/>
        <w:keepNext/>
        <w:keepLines/>
        <w:pageBreakBefore w:val="0"/>
        <w:widowControl w:val="0"/>
        <w:numPr>
          <w:ilvl w:val="0"/>
          <w:numId w:val="2"/>
        </w:numPr>
        <w:kinsoku/>
        <w:wordWrap/>
        <w:overflowPunct/>
        <w:topLinePunct w:val="0"/>
        <w:autoSpaceDE/>
        <w:autoSpaceDN/>
        <w:bidi w:val="0"/>
        <w:adjustRightInd/>
        <w:snapToGrid/>
        <w:spacing w:before="0" w:beforeLines="0" w:after="0" w:afterLines="0" w:line="520" w:lineRule="exact"/>
        <w:ind w:left="0" w:leftChars="0" w:firstLine="640" w:firstLineChars="200"/>
        <w:textAlignment w:val="auto"/>
        <w:rPr>
          <w:rFonts w:hint="eastAsia" w:ascii="Times New Roman" w:hAnsi="Times New Roman"/>
        </w:rPr>
      </w:pPr>
      <w:bookmarkStart w:id="21" w:name="_Toc8050"/>
      <w:r>
        <w:rPr>
          <w:rFonts w:hint="eastAsia" w:ascii="Times New Roman" w:hAnsi="Times New Roman"/>
        </w:rPr>
        <w:t>专业课程</w:t>
      </w:r>
      <w:bookmarkEnd w:id="21"/>
    </w:p>
    <w:p w14:paraId="3895963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color w:val="auto"/>
          <w:sz w:val="32"/>
          <w:szCs w:val="32"/>
        </w:rPr>
        <w:t>一般包括专业基础课程、专业核心课程和专业拓展课程</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b w:val="0"/>
          <w:bCs w:val="0"/>
          <w:color w:val="auto"/>
          <w:sz w:val="32"/>
          <w:szCs w:val="32"/>
          <w:highlight w:val="none"/>
          <w:lang w:val="en-US" w:eastAsia="zh-CN"/>
        </w:rPr>
        <w:t>并涵盖有关实践性教学环节。</w:t>
      </w:r>
    </w:p>
    <w:p w14:paraId="4BBEBE2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rPr>
      </w:pPr>
      <w:bookmarkStart w:id="22" w:name="_Toc90734975"/>
      <w:r>
        <w:rPr>
          <w:rFonts w:hint="eastAsia" w:ascii="Times New Roman" w:hAnsi="Times New Roman" w:eastAsia="仿宋_GB2312" w:cs="仿宋_GB2312"/>
          <w:b w:val="0"/>
          <w:bCs w:val="0"/>
          <w:color w:val="auto"/>
          <w:sz w:val="32"/>
          <w:szCs w:val="32"/>
        </w:rPr>
        <w:t>1.专业基础课程</w:t>
      </w:r>
      <w:bookmarkEnd w:id="22"/>
    </w:p>
    <w:p w14:paraId="1F630A6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专业基础课程</w:t>
      </w:r>
      <w:r>
        <w:rPr>
          <w:rFonts w:hint="eastAsia" w:ascii="Times New Roman" w:hAnsi="Times New Roman" w:eastAsia="仿宋_GB2312" w:cs="仿宋_GB2312"/>
          <w:color w:val="auto"/>
          <w:sz w:val="32"/>
          <w:szCs w:val="32"/>
          <w:lang w:val="en-US" w:eastAsia="zh-CN"/>
        </w:rPr>
        <w:t>是</w:t>
      </w:r>
      <w:r>
        <w:rPr>
          <w:rFonts w:hint="eastAsia" w:ascii="Times New Roman" w:hAnsi="Times New Roman" w:eastAsia="仿宋_GB2312" w:cs="仿宋_GB2312"/>
          <w:color w:val="auto"/>
          <w:sz w:val="32"/>
          <w:szCs w:val="32"/>
        </w:rPr>
        <w:t>构建电子技术知识体系的核心，为学生掌握电子电路设计、元器件应用及电子设备调试等技能奠定坚实理论与实践基础</w:t>
      </w:r>
      <w:r>
        <w:rPr>
          <w:rFonts w:hint="eastAsia" w:ascii="Times New Roman" w:hAnsi="Times New Roman" w:eastAsia="仿宋_GB2312" w:cs="仿宋_GB2312"/>
          <w:color w:val="auto"/>
          <w:sz w:val="32"/>
          <w:szCs w:val="32"/>
          <w:lang w:val="en-US" w:eastAsia="zh-CN"/>
        </w:rPr>
        <w:t>。</w:t>
      </w:r>
      <w:r>
        <w:rPr>
          <w:rFonts w:hint="eastAsia" w:ascii="Times New Roman" w:hAnsi="Times New Roman" w:eastAsia="仿宋_GB2312" w:cs="仿宋_GB2312"/>
          <w:color w:val="auto"/>
          <w:sz w:val="32"/>
          <w:szCs w:val="32"/>
        </w:rPr>
        <w:t>包括：</w:t>
      </w:r>
      <w:r>
        <w:rPr>
          <w:rFonts w:hint="eastAsia" w:ascii="Times New Roman" w:hAnsi="Times New Roman" w:eastAsia="仿宋_GB2312" w:cs="仿宋_GB2312"/>
          <w:color w:val="auto"/>
          <w:sz w:val="32"/>
          <w:szCs w:val="32"/>
          <w:lang w:val="en-US" w:eastAsia="zh-CN"/>
        </w:rPr>
        <w:t>电工基础、C语言程序设计、</w:t>
      </w:r>
      <w:bookmarkStart w:id="23" w:name="_Toc90734976"/>
      <w:r>
        <w:rPr>
          <w:rFonts w:hint="eastAsia" w:ascii="Times New Roman" w:hAnsi="Times New Roman" w:eastAsia="仿宋_GB2312" w:cs="仿宋_GB2312"/>
          <w:color w:val="auto"/>
          <w:sz w:val="32"/>
          <w:szCs w:val="32"/>
          <w:lang w:val="en-US" w:eastAsia="zh-CN"/>
        </w:rPr>
        <w:t>工程制图、模拟电子技术、数字电子技术、信号与系统、</w:t>
      </w:r>
      <w:bookmarkEnd w:id="23"/>
      <w:r>
        <w:rPr>
          <w:rFonts w:hint="eastAsia" w:ascii="Times New Roman" w:hAnsi="Times New Roman" w:eastAsia="仿宋_GB2312" w:cs="仿宋_GB2312"/>
          <w:color w:val="auto"/>
          <w:sz w:val="32"/>
          <w:szCs w:val="32"/>
          <w:lang w:val="en-US" w:eastAsia="zh-CN"/>
        </w:rPr>
        <w:t>家电原理与维修、智能传感与检测技术、</w:t>
      </w:r>
      <w:r>
        <w:rPr>
          <w:rFonts w:hint="eastAsia" w:ascii="Times New Roman" w:hAnsi="Times New Roman" w:eastAsia="仿宋_GB2312" w:cs="仿宋_GB2312"/>
          <w:color w:val="auto"/>
          <w:spacing w:val="-4"/>
          <w:sz w:val="32"/>
          <w:szCs w:val="32"/>
        </w:rPr>
        <w:t>智能系统导论等课程。</w:t>
      </w:r>
    </w:p>
    <w:p w14:paraId="033F60B5">
      <w:pPr>
        <w:pageBreakBefore w:val="0"/>
        <w:widowControl w:val="0"/>
        <w:kinsoku/>
        <w:wordWrap/>
        <w:overflowPunct w:val="0"/>
        <w:topLinePunct w:val="0"/>
        <w:autoSpaceDE/>
        <w:autoSpaceDN/>
        <w:bidi w:val="0"/>
        <w:adjustRightInd w:val="0"/>
        <w:snapToGrid/>
        <w:spacing w:after="0" w:line="520" w:lineRule="exact"/>
        <w:ind w:firstLine="640" w:firstLineChars="200"/>
        <w:jc w:val="center"/>
        <w:textAlignment w:val="auto"/>
        <w:rPr>
          <w:rFonts w:hint="default" w:ascii="Times New Roman" w:hAnsi="Times New Roman" w:eastAsia="仿宋_GB2312" w:cs="仿宋_GB2312"/>
          <w:color w:val="auto"/>
          <w:sz w:val="32"/>
          <w:szCs w:val="32"/>
          <w:highlight w:val="green"/>
          <w:lang w:val="en-US" w:eastAsia="zh-CN"/>
        </w:rPr>
      </w:pPr>
      <w:r>
        <w:rPr>
          <w:rFonts w:hint="eastAsia" w:ascii="Times New Roman" w:hAnsi="Times New Roman" w:eastAsia="仿宋_GB2312" w:cs="仿宋_GB2312"/>
          <w:color w:val="auto"/>
          <w:sz w:val="32"/>
          <w:szCs w:val="32"/>
        </w:rPr>
        <w:t>表3专业</w:t>
      </w:r>
      <w:r>
        <w:rPr>
          <w:rFonts w:hint="eastAsia" w:ascii="Times New Roman" w:hAnsi="Times New Roman" w:eastAsia="仿宋_GB2312" w:cs="仿宋_GB2312"/>
          <w:color w:val="auto"/>
          <w:sz w:val="32"/>
          <w:szCs w:val="32"/>
          <w:highlight w:val="none"/>
        </w:rPr>
        <w:t>基础课</w:t>
      </w:r>
      <w:r>
        <w:rPr>
          <w:rFonts w:hint="eastAsia" w:ascii="Times New Roman" w:hAnsi="Times New Roman" w:eastAsia="仿宋_GB2312" w:cs="仿宋_GB2312"/>
          <w:color w:val="auto"/>
          <w:sz w:val="32"/>
          <w:szCs w:val="32"/>
          <w:highlight w:val="none"/>
          <w:lang w:val="en-US" w:eastAsia="zh-CN"/>
        </w:rPr>
        <w:t>课</w:t>
      </w:r>
      <w:r>
        <w:rPr>
          <w:rFonts w:hint="eastAsia" w:ascii="Times New Roman" w:hAnsi="Times New Roman" w:eastAsia="仿宋_GB2312" w:cs="仿宋_GB2312"/>
          <w:color w:val="auto"/>
          <w:sz w:val="32"/>
          <w:szCs w:val="32"/>
          <w:highlight w:val="none"/>
        </w:rPr>
        <w:t>程</w:t>
      </w:r>
      <w:r>
        <w:rPr>
          <w:rFonts w:hint="eastAsia" w:ascii="Times New Roman" w:hAnsi="Times New Roman" w:eastAsia="仿宋_GB2312" w:cs="仿宋_GB2312"/>
          <w:color w:val="auto"/>
          <w:sz w:val="32"/>
          <w:szCs w:val="32"/>
          <w:highlight w:val="none"/>
          <w:lang w:val="en-US" w:eastAsia="zh-CN"/>
        </w:rPr>
        <w:t>目标、主要教学内容与要求</w:t>
      </w:r>
    </w:p>
    <w:tbl>
      <w:tblPr>
        <w:tblStyle w:val="13"/>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784"/>
        <w:gridCol w:w="2868"/>
        <w:gridCol w:w="3325"/>
        <w:gridCol w:w="2831"/>
      </w:tblGrid>
      <w:tr w14:paraId="5FE5B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03CBA5C2">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rPr>
              <w:t>序号</w:t>
            </w:r>
          </w:p>
        </w:tc>
        <w:tc>
          <w:tcPr>
            <w:tcW w:w="784" w:type="dxa"/>
            <w:vAlign w:val="center"/>
          </w:tcPr>
          <w:p w14:paraId="2F3C0C0F">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szCs w:val="24"/>
              </w:rPr>
              <w:t>课程名称</w:t>
            </w:r>
          </w:p>
        </w:tc>
        <w:tc>
          <w:tcPr>
            <w:tcW w:w="2868" w:type="dxa"/>
            <w:vAlign w:val="center"/>
          </w:tcPr>
          <w:p w14:paraId="67405D5D">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szCs w:val="24"/>
                <w:lang w:val="en-US" w:eastAsia="zh-CN"/>
              </w:rPr>
              <w:t>课程</w:t>
            </w:r>
            <w:r>
              <w:rPr>
                <w:rFonts w:hint="eastAsia" w:ascii="Times New Roman" w:hAnsi="Times New Roman" w:eastAsia="仿宋_GB2312" w:cs="仿宋_GB2312"/>
                <w:b w:val="0"/>
                <w:bCs w:val="0"/>
                <w:color w:val="auto"/>
                <w:sz w:val="24"/>
                <w:szCs w:val="24"/>
              </w:rPr>
              <w:t>目标</w:t>
            </w:r>
          </w:p>
        </w:tc>
        <w:tc>
          <w:tcPr>
            <w:tcW w:w="3325" w:type="dxa"/>
            <w:vAlign w:val="center"/>
          </w:tcPr>
          <w:p w14:paraId="67395BC2">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szCs w:val="24"/>
                <w:lang w:val="en-US" w:eastAsia="zh-CN"/>
              </w:rPr>
              <w:t>主要</w:t>
            </w:r>
            <w:r>
              <w:rPr>
                <w:rFonts w:hint="eastAsia" w:ascii="Times New Roman" w:hAnsi="Times New Roman" w:eastAsia="仿宋_GB2312" w:cs="仿宋_GB2312"/>
                <w:b w:val="0"/>
                <w:bCs w:val="0"/>
                <w:color w:val="auto"/>
                <w:sz w:val="24"/>
                <w:szCs w:val="24"/>
              </w:rPr>
              <w:t>教学内容</w:t>
            </w:r>
          </w:p>
        </w:tc>
        <w:tc>
          <w:tcPr>
            <w:tcW w:w="2831" w:type="dxa"/>
            <w:vAlign w:val="center"/>
          </w:tcPr>
          <w:p w14:paraId="3E3551EF">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szCs w:val="24"/>
              </w:rPr>
              <w:t>教学要求</w:t>
            </w:r>
          </w:p>
        </w:tc>
      </w:tr>
      <w:tr w14:paraId="41AE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0" w:hRule="atLeast"/>
          <w:jc w:val="center"/>
        </w:trPr>
        <w:tc>
          <w:tcPr>
            <w:tcW w:w="465" w:type="dxa"/>
            <w:vAlign w:val="center"/>
          </w:tcPr>
          <w:p w14:paraId="59AB2A5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1</w:t>
            </w:r>
          </w:p>
        </w:tc>
        <w:tc>
          <w:tcPr>
            <w:tcW w:w="784" w:type="dxa"/>
            <w:vAlign w:val="center"/>
          </w:tcPr>
          <w:p w14:paraId="5D3F3CE5">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val="0"/>
                <w:bCs w:val="0"/>
                <w:color w:val="auto"/>
                <w:sz w:val="24"/>
                <w:szCs w:val="24"/>
                <w:lang w:val="en-US" w:eastAsia="zh-CN"/>
              </w:rPr>
              <w:t>电工基础</w:t>
            </w:r>
          </w:p>
        </w:tc>
        <w:tc>
          <w:tcPr>
            <w:tcW w:w="2868" w:type="dxa"/>
            <w:vAlign w:val="top"/>
          </w:tcPr>
          <w:p w14:paraId="0D4BD76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掌握电路基本定律、直流电路与交流电路分析方法，理解常用电工元器件的工作原理及参数特性。</w:t>
            </w:r>
          </w:p>
          <w:p w14:paraId="65D682F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能正确使用万用表、示波器等电工仪器，完成简单电路的连接、测试与故障排查；能计算电路中的电压、电流、功率等参数。</w:t>
            </w:r>
          </w:p>
          <w:p w14:paraId="46323EE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培养严谨的操作规范意识和安全用电习惯，提升逻辑分析与问题解决能力。</w:t>
            </w:r>
          </w:p>
          <w:p w14:paraId="461827D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通过电工技术发展史中科学家的探索故事，培养学生追求真理、勇于创新的科学精神；强调</w:t>
            </w:r>
            <w:r>
              <w:rPr>
                <w:rFonts w:hint="eastAsia" w:ascii="Times New Roman" w:hAnsi="Times New Roman" w:eastAsia="仿宋_GB2312" w:cs="仿宋_GB2312"/>
                <w:color w:val="auto"/>
                <w:sz w:val="24"/>
                <w:szCs w:val="24"/>
                <w:highlight w:val="none"/>
                <w:lang w:val="en-US" w:eastAsia="zh-CN"/>
              </w:rPr>
              <w:t>电路系统</w:t>
            </w:r>
            <w:r>
              <w:rPr>
                <w:rFonts w:hint="eastAsia" w:ascii="Times New Roman" w:hAnsi="Times New Roman" w:eastAsia="仿宋_GB2312" w:cs="仿宋_GB2312"/>
                <w:color w:val="auto"/>
                <w:sz w:val="24"/>
                <w:szCs w:val="24"/>
                <w:lang w:val="en-US" w:eastAsia="zh-CN"/>
              </w:rPr>
              <w:t>中 “协同工作” 的特性，渗透团队协作与系统思维。</w:t>
            </w:r>
          </w:p>
        </w:tc>
        <w:tc>
          <w:tcPr>
            <w:tcW w:w="3325" w:type="dxa"/>
            <w:vAlign w:val="top"/>
          </w:tcPr>
          <w:p w14:paraId="035D848F">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电路基本概念与物理量：详细阐释电路构成要素，包括电源、负载、连接导线、控制保护装置的功能与特性。对电流、电压、电位、电动势等物理量，从定义、单位、参考方向等维度深入讲解，同时明晰电功率和电能的概念及运算方法。</w:t>
            </w:r>
          </w:p>
          <w:p w14:paraId="23055A5C">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电源与电路分析方法：系统介绍电压源和电流源的概念、特性及二者间的等效变换规则，并结合具体电路分析案例，阐述其在电路简化分析中的应用价值。全面讲解支路电流法、节点电压法、叠加定理、戴维南定理和诺顿定理等电路分析方法的原理、解题流程，通过大量电路实例训练，让学生熟练运用这些方法解决实际问题。</w:t>
            </w:r>
          </w:p>
          <w:p w14:paraId="7C8EA570">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sz w:val="24"/>
                <w:szCs w:val="24"/>
                <w:lang w:val="en-US" w:eastAsia="zh-CN"/>
              </w:rPr>
              <w:t>电路元件知识：全面介绍电阻器、电容器、电感器的种类、结构、电路符号，详细讲解其主要参数。深入分析它们在电路中的作用、选用原则，以及各自独特的特性。</w:t>
            </w:r>
          </w:p>
        </w:tc>
        <w:tc>
          <w:tcPr>
            <w:tcW w:w="2831" w:type="dxa"/>
            <w:vAlign w:val="top"/>
          </w:tcPr>
          <w:p w14:paraId="7FC6BFD5">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课堂讲授过程中，严格遵循知识的内在逻辑结构，由浅入深、层层递进地展开课程内容讲解。积极运用生活中常见的电学实例以及形象生动的比喻，帮助学生将抽象晦涩的电学概念与原理具象化。</w:t>
            </w:r>
          </w:p>
          <w:p w14:paraId="2EB0126E">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sz w:val="24"/>
                <w:szCs w:val="24"/>
                <w:lang w:val="en-US" w:eastAsia="zh-CN"/>
              </w:rPr>
              <w:t>充分借助多媒体教学手段，通过制作精美的电路工作过程动画、电场与磁场分布模拟视频等，将复杂的电路现象和抽象的物理概念直观地呈现给学生，增强教学内容的直观性与趣味性，有效提升学生的学习积极性和课堂参与度。</w:t>
            </w:r>
          </w:p>
        </w:tc>
      </w:tr>
      <w:tr w14:paraId="4AB43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56770E61">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szCs w:val="24"/>
                <w:lang w:val="en-US" w:eastAsia="zh-CN"/>
              </w:rPr>
            </w:pPr>
            <w:bookmarkStart w:id="24" w:name="_Hlk194587108"/>
            <w:r>
              <w:rPr>
                <w:rFonts w:hint="eastAsia" w:ascii="Times New Roman" w:hAnsi="Times New Roman" w:eastAsia="仿宋_GB2312" w:cs="仿宋_GB2312"/>
                <w:b w:val="0"/>
                <w:bCs w:val="0"/>
                <w:color w:val="auto"/>
                <w:sz w:val="24"/>
                <w:szCs w:val="24"/>
                <w:lang w:val="en-US" w:eastAsia="zh-CN"/>
              </w:rPr>
              <w:t>2</w:t>
            </w:r>
          </w:p>
        </w:tc>
        <w:tc>
          <w:tcPr>
            <w:tcW w:w="784" w:type="dxa"/>
            <w:vAlign w:val="center"/>
          </w:tcPr>
          <w:p w14:paraId="2B6EF406">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C语言程序设计</w:t>
            </w:r>
          </w:p>
        </w:tc>
        <w:tc>
          <w:tcPr>
            <w:tcW w:w="2868" w:type="dxa"/>
            <w:vAlign w:val="top"/>
          </w:tcPr>
          <w:p w14:paraId="23DCD5A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掌握C语言的基本语法，理解程序设计的基本思想和模块化编程方法。</w:t>
            </w:r>
          </w:p>
          <w:p w14:paraId="6FF88E5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能独立编写、调试简单的 C 语言程序，实现数据处理、逻辑控制等功能；能阅读和分析中等复杂度的 C 语言代码。</w:t>
            </w:r>
          </w:p>
          <w:p w14:paraId="17F5594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培养编程逻辑思维和代码规范性，提升自主学习与问题拆解能力。</w:t>
            </w:r>
          </w:p>
          <w:p w14:paraId="3FC4B1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通过编程中 “算法优化” 的实践，引导学生树立精益求精的工匠精神；结合信息技术领域的国产化案例，增强科技自立自强的责任感。</w:t>
            </w:r>
          </w:p>
        </w:tc>
        <w:tc>
          <w:tcPr>
            <w:tcW w:w="3325" w:type="dxa"/>
            <w:vAlign w:val="top"/>
          </w:tcPr>
          <w:p w14:paraId="5125A884">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程序设计概述：介绍程序设计的基本概念、发展历程以及程序设计语言的分类。讲解 C 语言的特点、应用领域和发展趋势，使学生对 C 语言有初步的认识。</w:t>
            </w:r>
          </w:p>
          <w:p w14:paraId="0636D394">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sz w:val="24"/>
                <w:szCs w:val="24"/>
                <w:lang w:val="en-US" w:eastAsia="zh-CN"/>
              </w:rPr>
              <w:t>C 语言基本语法：详细讲解 C 语言的数据类型，包括基本数据类型、构造数据类型、指针类型和空类型，介绍各数据类型的定义、取值范围和存储方式。介绍 C 语言的运算符与表达式，包括算术运算符、关系运算符、逻辑运算符、赋值运算符等，讲解运算符的优先级和结合性，以及表达式的求值规则。</w:t>
            </w:r>
          </w:p>
        </w:tc>
        <w:tc>
          <w:tcPr>
            <w:tcW w:w="2831" w:type="dxa"/>
            <w:vAlign w:val="top"/>
          </w:tcPr>
          <w:p w14:paraId="7E3B44B2">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运用多媒体教学手段，如动画演示、代码演示等，直观展示程序的运行过程和内存的变化情况，增强教学的直观性和趣味性，提高学生的学习积极性和课堂参与度。</w:t>
            </w:r>
          </w:p>
          <w:p w14:paraId="5B7F8DD3">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在讲解编程知识时，注重引导学生思考和分析问题，培养学生的编程思维能力。</w:t>
            </w:r>
          </w:p>
          <w:p w14:paraId="75F0FB33">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sz w:val="24"/>
                <w:szCs w:val="24"/>
                <w:lang w:val="en-US" w:eastAsia="zh-CN"/>
              </w:rPr>
              <w:t>结合实际应用场景，介绍 C 语言在不同领域的应用案例，拓宽学生的视野，使学生了解 C 语言的实际价值和应用前景，提高学生学习的动力和目标性。</w:t>
            </w:r>
          </w:p>
        </w:tc>
      </w:tr>
      <w:tr w14:paraId="3A587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0BDA24FA">
            <w:pPr>
              <w:keepNext w:val="0"/>
              <w:pageBreakBefore w:val="0"/>
              <w:widowControl w:val="0"/>
              <w:wordWrap/>
              <w:topLinePunct w:val="0"/>
              <w:bidi w:val="0"/>
              <w:adjustRightInd/>
              <w:snapToGrid/>
              <w:spacing w:after="0" w:line="300" w:lineRule="exact"/>
              <w:jc w:val="center"/>
              <w:textAlignment w:val="auto"/>
              <w:rPr>
                <w:rFonts w:hint="default" w:ascii="Times New Roman" w:hAnsi="Times New Roman" w:eastAsia="仿宋_GB2312" w:cs="仿宋_GB2312"/>
                <w:b w:val="0"/>
                <w:bCs w:val="0"/>
                <w:color w:val="auto"/>
                <w:sz w:val="24"/>
                <w:szCs w:val="24"/>
                <w:lang w:val="en-US" w:eastAsia="zh-CN"/>
              </w:rPr>
            </w:pPr>
            <w:bookmarkStart w:id="25" w:name="_Toc90734977"/>
            <w:r>
              <w:rPr>
                <w:rFonts w:hint="eastAsia" w:ascii="Times New Roman" w:hAnsi="Times New Roman" w:eastAsia="仿宋_GB2312" w:cs="仿宋_GB2312"/>
                <w:b w:val="0"/>
                <w:bCs w:val="0"/>
                <w:color w:val="auto"/>
                <w:sz w:val="24"/>
                <w:szCs w:val="24"/>
                <w:lang w:val="en-US" w:eastAsia="zh-CN"/>
              </w:rPr>
              <w:t>3</w:t>
            </w:r>
          </w:p>
        </w:tc>
        <w:tc>
          <w:tcPr>
            <w:tcW w:w="784" w:type="dxa"/>
            <w:vAlign w:val="center"/>
          </w:tcPr>
          <w:p w14:paraId="56A0E7FE">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工程制图</w:t>
            </w:r>
          </w:p>
        </w:tc>
        <w:tc>
          <w:tcPr>
            <w:tcW w:w="2868" w:type="dxa"/>
            <w:vAlign w:val="top"/>
          </w:tcPr>
          <w:p w14:paraId="3BBA4EF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掌握机械制图国家标准、投影原理、三视图绘制规则，理解零件图、装配图的构成要素及标注方法。</w:t>
            </w:r>
          </w:p>
          <w:p w14:paraId="3B415D5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能使用绘图工具或 CAD 软件绘制简单零件的三视图和装配图，能读懂典型电子设备的机械结构图。</w:t>
            </w:r>
          </w:p>
          <w:p w14:paraId="756EC9F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培养空间想象能力和绘图规范性，养成细致严谨的工作态度。</w:t>
            </w:r>
          </w:p>
          <w:p w14:paraId="1F639CB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通过工程图纸在工业生产中的 “通用性”，强调标准意识与责任担当；结合我国工程建设成就，增强民族自豪感</w:t>
            </w:r>
            <w:r>
              <w:rPr>
                <w:rFonts w:ascii="Times New Roman" w:hAnsi="Times New Roman" w:eastAsia="Segoe UI" w:cs="Segoe UI"/>
                <w:i w:val="0"/>
                <w:iCs w:val="0"/>
                <w:caps w:val="0"/>
                <w:spacing w:val="0"/>
                <w:sz w:val="19"/>
                <w:szCs w:val="19"/>
                <w:shd w:val="clear" w:fill="FFFFFF"/>
              </w:rPr>
              <w:t>。</w:t>
            </w:r>
          </w:p>
        </w:tc>
        <w:tc>
          <w:tcPr>
            <w:tcW w:w="3325" w:type="dxa"/>
            <w:vAlign w:val="top"/>
          </w:tcPr>
          <w:p w14:paraId="3FA2669C">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投影法原理与应用：详细阐释投影法定义，全面剖析中心投影法和平行投影法形成机制。通过对比两者特性，结合建筑效果图、工程图纸等实例，让学生明晰中心投影法在艺术设计领域的直观呈现优势，以及平行投影法因能精准度量物体尺寸、形状，在工程制图领域广泛应用的缘由。</w:t>
            </w:r>
          </w:p>
          <w:p w14:paraId="7A8822D2">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p>
        </w:tc>
        <w:tc>
          <w:tcPr>
            <w:tcW w:w="2831" w:type="dxa"/>
            <w:vAlign w:val="top"/>
          </w:tcPr>
          <w:p w14:paraId="72781033">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sz w:val="24"/>
                <w:szCs w:val="24"/>
                <w:lang w:val="en-US" w:eastAsia="zh-CN"/>
              </w:rPr>
              <w:t>紧密联系工程实际，介绍工程制图在机械制造、建筑设计、电子工程等领域的具体应用。邀请企业工程师分享实际项目绘图经验，展示真实工程图纸，讲解图纸中各类符号、标注含义及实际生产中的作用，使学生了解课程实用性，明确学习目标，提升学习动力。</w:t>
            </w:r>
          </w:p>
        </w:tc>
      </w:tr>
      <w:tr w14:paraId="19A1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5E40ED16">
            <w:pPr>
              <w:keepNext w:val="0"/>
              <w:pageBreakBefore w:val="0"/>
              <w:widowControl w:val="0"/>
              <w:wordWrap/>
              <w:topLinePunct w:val="0"/>
              <w:bidi w:val="0"/>
              <w:adjustRightInd/>
              <w:snapToGrid/>
              <w:spacing w:after="0" w:line="300" w:lineRule="exact"/>
              <w:jc w:val="center"/>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4</w:t>
            </w:r>
          </w:p>
        </w:tc>
        <w:tc>
          <w:tcPr>
            <w:tcW w:w="784" w:type="dxa"/>
            <w:vAlign w:val="center"/>
          </w:tcPr>
          <w:p w14:paraId="55E8CC42">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模拟电子技术</w:t>
            </w:r>
          </w:p>
        </w:tc>
        <w:tc>
          <w:tcPr>
            <w:tcW w:w="2868" w:type="dxa"/>
            <w:vAlign w:val="top"/>
          </w:tcPr>
          <w:p w14:paraId="14473C3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掌握二极管、三极管、场效应管等半导体器件的工作原理，理解放大电路、滤波电路、稳压电路、振荡电路的组成及工作特性。</w:t>
            </w:r>
          </w:p>
          <w:p w14:paraId="53EF0BE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能分析典型模拟电路的工作状态，设计简单的放大或稳压电路，使用仪器完成电路调试与性能参数测量。</w:t>
            </w:r>
          </w:p>
          <w:p w14:paraId="02C887A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培养电路设计的创新思维和实验操作的耐心细致，提升工程实践能力。</w:t>
            </w:r>
          </w:p>
          <w:p w14:paraId="6D9153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通过模拟电路在精密仪器、医疗设备中的应用案例，引导学生认识技术的社会价值，树立科技服务民生的理念。</w:t>
            </w:r>
          </w:p>
        </w:tc>
        <w:tc>
          <w:tcPr>
            <w:tcW w:w="3325" w:type="dxa"/>
            <w:vAlign w:val="top"/>
          </w:tcPr>
          <w:p w14:paraId="6CC7F9C5">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半导体器件基础：包括半导体基础知识，半导体二极管及应用，双极型晶体管及应用原理，场效应晶体管及应用原理等。通过这部分内容的学习，学生可以掌握半导体器件的工作原理、外部特性、主要参数、等效电路、分析方法及应用原理。</w:t>
            </w:r>
          </w:p>
          <w:p w14:paraId="28C64442">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sz w:val="24"/>
                <w:szCs w:val="24"/>
                <w:lang w:val="en-US" w:eastAsia="zh-CN"/>
              </w:rPr>
              <w:t>放大器基础：涉及偏置电路和耦合方式，放大器的主要性能指标，基本组态放大器，差分放大电路，电流源电路，互补输出级放大电路等内容。学生将学习如何分析和设计各种基本放大电路，理解放大电路的频率响应和负反馈放大电路的原理。集成运放和直流稳压电源：包括集成运算放大器的组成和典型电路，理想运放的概念，集成运放的线性和非线性应用原理及典型电路。此外，还将学习一般直流电源的组成，整流、滤波、稳压的工作原理。</w:t>
            </w:r>
          </w:p>
        </w:tc>
        <w:tc>
          <w:tcPr>
            <w:tcW w:w="2831" w:type="dxa"/>
            <w:vAlign w:val="top"/>
          </w:tcPr>
          <w:p w14:paraId="329B1F53">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sz w:val="24"/>
                <w:szCs w:val="24"/>
                <w:lang w:val="en-US" w:eastAsia="zh-CN"/>
              </w:rPr>
              <w:t>学生需深入理解半导体器件的工作原理和特性，掌握放大电路、负反馈电路、集成运算放大器和直流电源的基本理论知识。能够运用所学知识分析和解决实际问题。通过实验课程，学生需掌握常用电子仪器的使用方法，能够独立完成实验项目。培养学生的动手能力和实践操作能力，使其能够设计和调试简单的模拟电路。通过系统的理论学习和实践训练，使学生全面掌握模拟电子技术的基本理论、基本知识和基本技能，并培养其分析问题、解决问题和设计模拟电路系统的能力。</w:t>
            </w:r>
          </w:p>
        </w:tc>
      </w:tr>
      <w:tr w14:paraId="2F02C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13A9C726">
            <w:pPr>
              <w:keepNext w:val="0"/>
              <w:pageBreakBefore w:val="0"/>
              <w:widowControl w:val="0"/>
              <w:wordWrap/>
              <w:topLinePunct w:val="0"/>
              <w:bidi w:val="0"/>
              <w:adjustRightInd/>
              <w:snapToGrid/>
              <w:spacing w:after="0" w:line="300" w:lineRule="exact"/>
              <w:jc w:val="center"/>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5</w:t>
            </w:r>
          </w:p>
        </w:tc>
        <w:tc>
          <w:tcPr>
            <w:tcW w:w="784" w:type="dxa"/>
            <w:vAlign w:val="center"/>
          </w:tcPr>
          <w:p w14:paraId="3C61683C">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数字电子技术</w:t>
            </w:r>
          </w:p>
        </w:tc>
        <w:tc>
          <w:tcPr>
            <w:tcW w:w="2868" w:type="dxa"/>
            <w:vAlign w:val="top"/>
          </w:tcPr>
          <w:p w14:paraId="27709EB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掌握逻辑代数基本定律、组合逻辑电路与时序逻辑电路的分析方法，理解触发器、计数器、编码器等数字电路的工作原理。</w:t>
            </w:r>
          </w:p>
          <w:p w14:paraId="53BE630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能设计简单的数字逻辑电路，使用仿真软件或实验板验证电路功能，完成数字系统的基本调试。</w:t>
            </w:r>
          </w:p>
          <w:p w14:paraId="1F2BAAB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培养抽象逻辑思维和系统设计能力，养成严谨的电路测试习惯。</w:t>
            </w:r>
          </w:p>
          <w:p w14:paraId="2182668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结合数字技术在信息安全、人工智能中的应用，强调技术伦理与社会责任；通过数字电路的 “模块化” 设计，渗透分工协作的团队精神。</w:t>
            </w:r>
          </w:p>
        </w:tc>
        <w:tc>
          <w:tcPr>
            <w:tcW w:w="3325" w:type="dxa"/>
            <w:vAlign w:val="top"/>
          </w:tcPr>
          <w:p w14:paraId="47A77A79">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sz w:val="24"/>
                <w:szCs w:val="24"/>
                <w:lang w:val="en-US" w:eastAsia="zh-CN"/>
              </w:rPr>
              <w:t>数字电路的基础知识：包括数制和码制、逻辑代数基础等。门电路：探讨半导体器件的开关特性及其门电路的应用。组合逻辑电路：分析组合逻辑电路的设计与工作原理。触发器：研究触发器的类型、功能及其在时序逻辑电路中的应用。时序逻辑电路：学习时序逻辑电路的分析与设计方法。脉冲产生与整形电路：讨论脉冲信号的产生、整形及其应用。存储器和可编程逻辑器件：介绍常用存储器的结构、工作原理，以及可编程逻辑器件的应用。</w:t>
            </w:r>
          </w:p>
        </w:tc>
        <w:tc>
          <w:tcPr>
            <w:tcW w:w="2831" w:type="dxa"/>
            <w:vAlign w:val="top"/>
          </w:tcPr>
          <w:p w14:paraId="07F5E7D2">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sz w:val="24"/>
                <w:szCs w:val="24"/>
                <w:lang w:val="en-US" w:eastAsia="zh-CN"/>
              </w:rPr>
              <w:t>学生需深入理解数字电子技术的基本原理和基本概念，掌握逻辑代数的基本定律和逻辑函数的化简方法。熟悉各种门电路、组合逻辑电路和时序逻辑电路的工作原理和设计方法。通过实验课程，学生需掌握常用实验仪器的使用方法，能够独立完成数字电路的设计、调试和故障排除。培养学生的动手能力和实践操作能力，使其能够运用所学知识解决实际问题。</w:t>
            </w:r>
          </w:p>
        </w:tc>
      </w:tr>
      <w:tr w14:paraId="3B462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5140AD44">
            <w:pPr>
              <w:keepNext w:val="0"/>
              <w:pageBreakBefore w:val="0"/>
              <w:widowControl w:val="0"/>
              <w:wordWrap/>
              <w:topLinePunct w:val="0"/>
              <w:bidi w:val="0"/>
              <w:adjustRightInd/>
              <w:snapToGrid/>
              <w:spacing w:after="0" w:line="300" w:lineRule="exact"/>
              <w:jc w:val="center"/>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6</w:t>
            </w:r>
          </w:p>
        </w:tc>
        <w:tc>
          <w:tcPr>
            <w:tcW w:w="784" w:type="dxa"/>
            <w:vAlign w:val="center"/>
          </w:tcPr>
          <w:p w14:paraId="0F625812">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信号与系统</w:t>
            </w:r>
          </w:p>
        </w:tc>
        <w:tc>
          <w:tcPr>
            <w:tcW w:w="2868" w:type="dxa"/>
            <w:vAlign w:val="top"/>
          </w:tcPr>
          <w:p w14:paraId="4E9C1FF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掌握信号的分类与表示方法、线性系统的基本特性，理解傅里叶变换、拉普拉斯变换在信号分析中的应用。</w:t>
            </w:r>
          </w:p>
          <w:p w14:paraId="1AA4566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能对典型信号进行时域和频域分析，判断系统的稳定性与响应特性，解决简单的信号处理问题。</w:t>
            </w:r>
          </w:p>
          <w:p w14:paraId="3E64EFC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培养从数学角度分析工程问题的思维，提升抽象建模与系统分析能力。</w:t>
            </w:r>
          </w:p>
          <w:p w14:paraId="00E5FDC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通过信号传输中的 “抗干扰” 原理，类比人生成长中面对困难的韧性；结合通信技术发展历程，激发学生勇攀科技高峰的使命感。</w:t>
            </w:r>
          </w:p>
        </w:tc>
        <w:tc>
          <w:tcPr>
            <w:tcW w:w="3325" w:type="dxa"/>
            <w:vAlign w:val="top"/>
          </w:tcPr>
          <w:p w14:paraId="6C19F631">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信号的定义与分类：详细讲解信号作为信息载体的定义，从不同角度对信号进行分类。按信号取值的连续性和离散性，区分连续时间信号与离散时间信号；依据信号的确定性，辨别确定信号与随机信号。通过丰富实例展示各类信号特点，帮</w:t>
            </w:r>
            <w:r>
              <w:rPr>
                <w:rFonts w:hint="eastAsia" w:ascii="Times New Roman" w:hAnsi="Times New Roman" w:eastAsia="仿宋_GB2312" w:cs="仿宋_GB2312"/>
                <w:color w:val="auto"/>
                <w:sz w:val="24"/>
                <w:szCs w:val="24"/>
                <w:lang w:val="en-US" w:eastAsia="zh-CN"/>
              </w:rPr>
              <w:t>助学生理解信号本质。</w:t>
            </w:r>
          </w:p>
          <w:p w14:paraId="5E8F71FB">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系统的定义与分类：给出系统作为由若干相互关联的单元组成，用于对输入信号进行处理并产生输出信号的整体的定义。按系统的性质，分类讲解线性系统与非线性系统，时不变系统与时变系统；按系统输入输出信号类型，区分连续时间系统与离散时间系统。结合实际生活中的系统，如通信系统、控制系统，帮助学生理解不同类型系统特点。</w:t>
            </w:r>
          </w:p>
          <w:p w14:paraId="73C45914">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p>
        </w:tc>
        <w:tc>
          <w:tcPr>
            <w:tcW w:w="2831" w:type="dxa"/>
            <w:vAlign w:val="top"/>
          </w:tcPr>
          <w:p w14:paraId="1CDD59A2">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知识掌握‌：学生需掌握信号与系统的基本概念、原理和分析方法，包括信号的描述、分类、变换，以及系统的特性、模型和分析等。</w:t>
            </w:r>
          </w:p>
          <w:p w14:paraId="214D2228">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能力培养‌：培养学生分析问题和解决问题的能力，使其能够运用所学知识解决复杂的工程问题，如信号的处理、系统的分析与设计等。</w:t>
            </w:r>
          </w:p>
          <w:p w14:paraId="20A89207">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sz w:val="24"/>
                <w:szCs w:val="24"/>
                <w:lang w:val="en-US" w:eastAsia="zh-CN"/>
              </w:rPr>
              <w:t>素质提升‌：通过课程学习，提高学生的抽象思维能力、系统思维方式和多角度分析解决问题的能力，为后续课程的学习及未来的科研和工作奠定坚实基础。</w:t>
            </w:r>
          </w:p>
        </w:tc>
      </w:tr>
      <w:tr w14:paraId="0857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58D5837E">
            <w:pPr>
              <w:keepNext w:val="0"/>
              <w:pageBreakBefore w:val="0"/>
              <w:widowControl w:val="0"/>
              <w:wordWrap/>
              <w:topLinePunct w:val="0"/>
              <w:bidi w:val="0"/>
              <w:adjustRightInd/>
              <w:snapToGrid/>
              <w:spacing w:after="0" w:line="300" w:lineRule="exact"/>
              <w:jc w:val="center"/>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7</w:t>
            </w:r>
          </w:p>
        </w:tc>
        <w:tc>
          <w:tcPr>
            <w:tcW w:w="784" w:type="dxa"/>
            <w:vAlign w:val="center"/>
          </w:tcPr>
          <w:p w14:paraId="390E1E1E">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家电原理与维修</w:t>
            </w:r>
          </w:p>
        </w:tc>
        <w:tc>
          <w:tcPr>
            <w:tcW w:w="2868" w:type="dxa"/>
            <w:vAlign w:val="top"/>
          </w:tcPr>
          <w:p w14:paraId="26C75DA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掌握常见家电的基本结构、工作原理及电路组成，理解故障诊断的基本方法。</w:t>
            </w:r>
          </w:p>
          <w:p w14:paraId="3CED161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能识别家电核心部件，分析典型故障原因并进行维修操作，制定家电维护保养方案。</w:t>
            </w:r>
          </w:p>
          <w:p w14:paraId="08D3487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培养动手实践能力和服务意识，养成节约资源、绿色环保的理念。</w:t>
            </w:r>
          </w:p>
          <w:p w14:paraId="138B2FB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color w:val="auto"/>
                <w:sz w:val="24"/>
                <w:szCs w:val="24"/>
                <w:lang w:val="en-US" w:eastAsia="zh-CN"/>
              </w:rPr>
              <w:t>课程思政育人目标：通过家电维修中的 “工匠精神”，强调爱岗敬业与精益求精；结合废旧家电回收处理知识，渗透生态文明与可持续发展理念。</w:t>
            </w:r>
          </w:p>
        </w:tc>
        <w:tc>
          <w:tcPr>
            <w:tcW w:w="3325" w:type="dxa"/>
            <w:vAlign w:val="top"/>
          </w:tcPr>
          <w:p w14:paraId="6D65B4A0">
            <w:pPr>
              <w:keepNext w:val="0"/>
              <w:pageBreakBefore w:val="0"/>
              <w:widowControl w:val="0"/>
              <w:wordWrap/>
              <w:topLinePunct w:val="0"/>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sz w:val="24"/>
                <w:szCs w:val="24"/>
                <w:lang w:val="en-US" w:eastAsia="zh-CN"/>
              </w:rPr>
              <w:t>工作机制及故障处理，注重理论与实践结合。课程先讲解家电分类与发展、安全操作规范及常用维修工具与仪器的使用，帮助学生建立行业认知与安全意识；接着阐述家电核心系统与通用原理，包括电力拖动系统、制冷与制热系统、控制系统的相关知识；再针对电冰箱与冰柜、空调器、洗衣机、电视机、小家电等典型家电，详解其原理并进行维修实践训练；还教授故障诊断方法与维修流程规范，培养系统排查思维和标准化操作能力；最后进行智能家电入门、家电保养与节能以及案例分析与综合实训等拓展内容。</w:t>
            </w:r>
          </w:p>
        </w:tc>
        <w:tc>
          <w:tcPr>
            <w:tcW w:w="2831" w:type="dxa"/>
            <w:vAlign w:val="top"/>
          </w:tcPr>
          <w:p w14:paraId="1E9405C0">
            <w:pPr>
              <w:keepNext w:val="0"/>
              <w:pageBreakBefore w:val="0"/>
              <w:widowControl w:val="0"/>
              <w:wordWrap/>
              <w:topLinePunct w:val="0"/>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sz w:val="24"/>
                <w:szCs w:val="24"/>
                <w:lang w:val="en-US" w:eastAsia="zh-CN"/>
              </w:rPr>
              <w:t>知识掌握‌：学生需掌握常用家用电器的结构特点、工作原理及常见故障的分析和排除方法，了解电热器具、电动器具等大类家用电器的相关知识。技能培养‌：通过大量的实训课题，培养学生的维修技术与操作工艺，使其能够熟练进行家电的拆装、检修等操作。综合素质提升‌：着重培养学生的科学思维方法、分析与解决问题的能力，以及创新精神和实践能力，使其成为高素质技术人才。职业导向‌：课程设计与职业资格考试标准相结合，旨在帮助学生顺利考取“家电维修中级”职业资格证，为未来的职业发展打下坚实基础。</w:t>
            </w:r>
          </w:p>
        </w:tc>
      </w:tr>
      <w:tr w14:paraId="02130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2" w:hRule="atLeast"/>
          <w:jc w:val="center"/>
        </w:trPr>
        <w:tc>
          <w:tcPr>
            <w:tcW w:w="465" w:type="dxa"/>
            <w:vAlign w:val="center"/>
          </w:tcPr>
          <w:p w14:paraId="39870B9A">
            <w:pPr>
              <w:keepNext w:val="0"/>
              <w:pageBreakBefore w:val="0"/>
              <w:widowControl w:val="0"/>
              <w:wordWrap/>
              <w:topLinePunct w:val="0"/>
              <w:bidi w:val="0"/>
              <w:adjustRightInd/>
              <w:snapToGrid/>
              <w:spacing w:after="0" w:line="300" w:lineRule="exact"/>
              <w:jc w:val="center"/>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8</w:t>
            </w:r>
          </w:p>
        </w:tc>
        <w:tc>
          <w:tcPr>
            <w:tcW w:w="784" w:type="dxa"/>
            <w:vAlign w:val="center"/>
          </w:tcPr>
          <w:p w14:paraId="248CA23C">
            <w:pPr>
              <w:keepNext w:val="0"/>
              <w:pageBreakBefore w:val="0"/>
              <w:widowControl w:val="0"/>
              <w:wordWrap/>
              <w:topLinePunct w:val="0"/>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智能传感与检测技术</w:t>
            </w:r>
          </w:p>
        </w:tc>
        <w:tc>
          <w:tcPr>
            <w:tcW w:w="2868" w:type="dxa"/>
            <w:vAlign w:val="top"/>
          </w:tcPr>
          <w:p w14:paraId="3C9BA91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掌握常用传感器的工作原理、特性参数及选型方法，理解传感数据采集与处理的基本原理。</w:t>
            </w:r>
          </w:p>
          <w:p w14:paraId="3FD7090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能搭建简单的传感检测系统，完成传感器的校准与数据采集，分析检测结果并解决实际问题。</w:t>
            </w:r>
          </w:p>
          <w:p w14:paraId="1409C13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培养跨学科思维和创新应用能力，提升对智能系统的认知水平。</w:t>
            </w:r>
          </w:p>
          <w:p w14:paraId="17CA0FC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通过传感器技术在工业自动化、智慧城市中的应用，展现科技对社会进步的推动作用；结合我国传感器产业的发展现状，激发学生自主创新、突破技术壁垒的责任感。</w:t>
            </w:r>
          </w:p>
        </w:tc>
        <w:tc>
          <w:tcPr>
            <w:tcW w:w="3325" w:type="dxa"/>
            <w:vAlign w:val="top"/>
          </w:tcPr>
          <w:p w14:paraId="22F6E83A">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传感与检测技术基础：阐释传感器定义、结构、分类方式及特性参数，通过实例与实验助学生理解工作原理并掌握特性参数测量分析方法；介绍检测系统组成架构，结合案例分析其工作流程。</w:t>
            </w:r>
          </w:p>
          <w:p w14:paraId="45DF1E8D">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智能传感器技术：说明智能传感</w:t>
            </w:r>
            <w:r>
              <w:rPr>
                <w:rFonts w:hint="eastAsia" w:ascii="Times New Roman" w:hAnsi="Times New Roman" w:eastAsia="仿宋_GB2312" w:cs="仿宋_GB2312"/>
                <w:sz w:val="24"/>
                <w:szCs w:val="24"/>
                <w:highlight w:val="none"/>
                <w:lang w:val="en-US" w:eastAsia="zh-CN"/>
              </w:rPr>
              <w:t>器</w:t>
            </w:r>
            <w:r>
              <w:rPr>
                <w:rFonts w:hint="eastAsia" w:ascii="Times New Roman" w:hAnsi="Times New Roman" w:eastAsia="仿宋_GB2312" w:cs="仿宋_GB2312"/>
                <w:sz w:val="24"/>
                <w:szCs w:val="24"/>
                <w:lang w:val="en-US" w:eastAsia="zh-CN"/>
              </w:rPr>
              <w:t>概念、特点，对比传统传感器凸显优势，讲解其结构与实现方式；介绍纳米、量子传感器等新型智能传感器，阐述原理、性能特点及应用前景。</w:t>
            </w:r>
          </w:p>
          <w:p w14:paraId="35C19AA1">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智能检测系统构建：讲解信号调理技术，包括放大、滤波、调制解调原理；介绍数据采集与处理知识，涵盖 A/D 转换原理、数据采集系统设计要点及常见数据处理算法；介绍数据传输技术，包括有线与无线传输原理及特点。</w:t>
            </w:r>
          </w:p>
          <w:p w14:paraId="2D9672A8">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p>
        </w:tc>
        <w:tc>
          <w:tcPr>
            <w:tcW w:w="2831" w:type="dxa"/>
            <w:vAlign w:val="top"/>
          </w:tcPr>
          <w:p w14:paraId="4E363022">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秉持由浅入深原则，系统讲解从基础概念到智能系统构建及应用的知识，通过多媒体、案例、课堂讨论等多样教学方法，融入前沿技术，并注重知识理解与应用引导，助力学生构建知识体系，培养思考与创新能力。</w:t>
            </w:r>
          </w:p>
          <w:p w14:paraId="7F8A960A">
            <w:pPr>
              <w:keepNext w:val="0"/>
              <w:keepLines/>
              <w:pageBreakBefore w:val="0"/>
              <w:widowControl w:val="0"/>
              <w:kinsoku w:val="0"/>
              <w:wordWrap/>
              <w:overflowPunct w:val="0"/>
              <w:topLinePunct w:val="0"/>
              <w:autoSpaceDE w:val="0"/>
              <w:autoSpaceDN w:val="0"/>
              <w:bidi w:val="0"/>
              <w:adjustRightInd/>
              <w:snapToGrid/>
              <w:spacing w:after="0" w:line="300" w:lineRule="exact"/>
              <w:jc w:val="both"/>
              <w:textAlignment w:val="auto"/>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sz w:val="24"/>
                <w:szCs w:val="24"/>
                <w:lang w:val="en-US" w:eastAsia="zh-CN"/>
              </w:rPr>
              <w:t>实验紧密结合理论，涵盖传感器参数测量、信号调理电路设计、检测系统搭建等项目。实验前教师充分指导，学生做好预习；实验中规范操作，教师巡视纠错；实验后学生认真撰写报告总结。此外，组织课程设计，以小组形式完成综合性项目，培养学生多方面能力。</w:t>
            </w:r>
          </w:p>
        </w:tc>
      </w:tr>
      <w:tr w14:paraId="2A4E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6" w:hRule="atLeast"/>
          <w:jc w:val="center"/>
        </w:trPr>
        <w:tc>
          <w:tcPr>
            <w:tcW w:w="465" w:type="dxa"/>
            <w:vAlign w:val="center"/>
          </w:tcPr>
          <w:p w14:paraId="4629BF13">
            <w:pPr>
              <w:keepNext w:val="0"/>
              <w:pageBreakBefore w:val="0"/>
              <w:widowControl w:val="0"/>
              <w:wordWrap/>
              <w:topLinePunct w:val="0"/>
              <w:bidi w:val="0"/>
              <w:adjustRightInd/>
              <w:snapToGrid/>
              <w:spacing w:after="0" w:line="300" w:lineRule="exact"/>
              <w:jc w:val="center"/>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9</w:t>
            </w:r>
          </w:p>
        </w:tc>
        <w:tc>
          <w:tcPr>
            <w:tcW w:w="784" w:type="dxa"/>
            <w:shd w:val="clear" w:color="auto" w:fill="auto"/>
            <w:vAlign w:val="center"/>
          </w:tcPr>
          <w:p w14:paraId="55B60BD1">
            <w:pPr>
              <w:keepNext w:val="0"/>
              <w:pageBreakBefore w:val="0"/>
              <w:widowControl w:val="0"/>
              <w:wordWrap/>
              <w:topLinePunct w:val="0"/>
              <w:bidi w:val="0"/>
              <w:adjustRightInd/>
              <w:snapToGrid/>
              <w:spacing w:after="0" w:line="320" w:lineRule="exact"/>
              <w:jc w:val="center"/>
              <w:textAlignment w:val="auto"/>
              <w:rPr>
                <w:rFonts w:hint="eastAsia" w:ascii="Times New Roman" w:hAnsi="Times New Roman" w:eastAsia="仿宋_GB2312" w:cs="仿宋_GB2312"/>
                <w:sz w:val="24"/>
              </w:rPr>
            </w:pPr>
          </w:p>
          <w:p w14:paraId="5D42E35C">
            <w:pPr>
              <w:keepNext w:val="0"/>
              <w:pageBreakBefore w:val="0"/>
              <w:widowControl w:val="0"/>
              <w:wordWrap/>
              <w:topLinePunct w:val="0"/>
              <w:bidi w:val="0"/>
              <w:adjustRightInd/>
              <w:snapToGrid/>
              <w:spacing w:after="0" w:line="320" w:lineRule="exact"/>
              <w:jc w:val="center"/>
              <w:textAlignment w:val="auto"/>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rPr>
              <w:t>智能系统导论</w:t>
            </w:r>
          </w:p>
        </w:tc>
        <w:tc>
          <w:tcPr>
            <w:tcW w:w="2868" w:type="dxa"/>
            <w:shd w:val="clear" w:color="auto" w:fill="auto"/>
            <w:vAlign w:val="top"/>
          </w:tcPr>
          <w:p w14:paraId="58846870">
            <w:pPr>
              <w:keepNext w:val="0"/>
              <w:pageBreakBefore w:val="0"/>
              <w:widowControl w:val="0"/>
              <w:wordWrap/>
              <w:topLinePunct w:val="0"/>
              <w:bidi w:val="0"/>
              <w:adjustRightInd/>
              <w:snapToGrid/>
              <w:spacing w:after="0" w:line="320" w:lineRule="exact"/>
              <w:jc w:val="left"/>
              <w:textAlignment w:val="auto"/>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b/>
                <w:bCs/>
                <w:color w:val="auto"/>
                <w:sz w:val="24"/>
                <w:szCs w:val="24"/>
                <w:lang w:val="en-US" w:eastAsia="zh-CN"/>
              </w:rPr>
              <w:t>知识目标：</w:t>
            </w:r>
            <w:r>
              <w:rPr>
                <w:rFonts w:ascii="Times New Roman" w:hAnsi="Times New Roman" w:eastAsia="仿宋_GB2312" w:cs="仿宋_GB2312"/>
                <w:sz w:val="24"/>
              </w:rPr>
              <w:t>理解智能系统概念、架构及发展历程，掌握人工智能基础算法、传感器技术原理，了解边缘计算、脑机接口等前沿方向。</w:t>
            </w:r>
            <w:r>
              <w:rPr>
                <w:rFonts w:ascii="Times New Roman" w:hAnsi="Times New Roman" w:eastAsia="仿宋_GB2312" w:cs="仿宋_GB2312"/>
                <w:sz w:val="24"/>
              </w:rPr>
              <w:br w:type="textWrapping"/>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spacing w:val="-17"/>
                <w:sz w:val="24"/>
                <w:lang w:val="en-US" w:eastAsia="zh-CN"/>
              </w:rPr>
              <w:t>能运用</w:t>
            </w:r>
            <w:r>
              <w:rPr>
                <w:rFonts w:ascii="Times New Roman" w:hAnsi="Times New Roman" w:eastAsia="仿宋_GB2312" w:cs="仿宋_GB2312"/>
                <w:spacing w:val="-17"/>
                <w:sz w:val="24"/>
              </w:rPr>
              <w:t>Python</w:t>
            </w:r>
            <w:r>
              <w:rPr>
                <w:rFonts w:ascii="Times New Roman" w:hAnsi="Times New Roman" w:eastAsia="仿宋_GB2312" w:cs="仿宋_GB2312"/>
                <w:spacing w:val="-11"/>
                <w:sz w:val="24"/>
              </w:rPr>
              <w:t> 实现基础机器学习算法，借助树莓派 / Arduino 搭建智能系统并完成调试，具备智能系统设计与应用基础能力。</w:t>
            </w:r>
            <w:r>
              <w:rPr>
                <w:rFonts w:ascii="Times New Roman" w:hAnsi="Times New Roman" w:eastAsia="仿宋_GB2312" w:cs="仿宋_GB2312"/>
                <w:sz w:val="24"/>
              </w:rPr>
              <w:br w:type="textWrapping"/>
            </w:r>
            <w:r>
              <w:rPr>
                <w:rFonts w:hint="eastAsia" w:ascii="Times New Roman" w:hAnsi="Times New Roman" w:eastAsia="仿宋_GB2312" w:cs="仿宋_GB2312"/>
                <w:b/>
                <w:bCs/>
                <w:color w:val="auto"/>
                <w:sz w:val="24"/>
                <w:szCs w:val="24"/>
                <w:lang w:val="en-US" w:eastAsia="zh-CN"/>
              </w:rPr>
              <w:t>素质目标：</w:t>
            </w:r>
            <w:r>
              <w:rPr>
                <w:rFonts w:ascii="Times New Roman" w:hAnsi="Times New Roman" w:eastAsia="仿宋_GB2312" w:cs="仿宋_GB2312"/>
                <w:sz w:val="24"/>
              </w:rPr>
              <w:t>培养跨学科融合思维与创新实践素养，提升技术整合与问题解决能力，养成严谨的科学实验与系统优化习惯。</w:t>
            </w:r>
            <w:r>
              <w:rPr>
                <w:rFonts w:ascii="Times New Roman" w:hAnsi="Times New Roman" w:eastAsia="仿宋_GB2312" w:cs="仿宋_GB2312"/>
                <w:sz w:val="24"/>
              </w:rPr>
              <w:br w:type="textWrapping"/>
            </w:r>
            <w:r>
              <w:rPr>
                <w:rFonts w:hint="eastAsia" w:ascii="Times New Roman" w:hAnsi="Times New Roman" w:eastAsia="仿宋_GB2312" w:cs="仿宋_GB2312"/>
                <w:b/>
                <w:bCs/>
                <w:color w:val="auto"/>
                <w:sz w:val="24"/>
                <w:szCs w:val="24"/>
                <w:lang w:val="en-US" w:eastAsia="zh-CN"/>
              </w:rPr>
              <w:t>课程思政育人目标：</w:t>
            </w:r>
            <w:r>
              <w:rPr>
                <w:rFonts w:ascii="Times New Roman" w:hAnsi="Times New Roman" w:eastAsia="仿宋_GB2312" w:cs="仿宋_GB2312"/>
                <w:sz w:val="24"/>
              </w:rPr>
              <w:t>结合我国智能系统在工业自动化、医疗辅助等领域的应用案例，强调技术伦理与社会责任，激发学生用智能技术服务社会的使命感。</w:t>
            </w:r>
          </w:p>
        </w:tc>
        <w:tc>
          <w:tcPr>
            <w:tcW w:w="3325" w:type="dxa"/>
            <w:shd w:val="clear" w:color="auto" w:fill="auto"/>
            <w:vAlign w:val="top"/>
          </w:tcPr>
          <w:p w14:paraId="288D4955">
            <w:pPr>
              <w:keepNext w:val="0"/>
              <w:pageBreakBefore w:val="0"/>
              <w:widowControl w:val="0"/>
              <w:wordWrap/>
              <w:topLinePunct w:val="0"/>
              <w:bidi w:val="0"/>
              <w:adjustRightInd/>
              <w:snapToGrid/>
              <w:spacing w:after="0" w:line="320" w:lineRule="exact"/>
              <w:jc w:val="both"/>
              <w:textAlignment w:val="auto"/>
              <w:rPr>
                <w:rFonts w:hint="eastAsia" w:ascii="Times New Roman" w:hAnsi="Times New Roman" w:eastAsia="仿宋_GB2312" w:cs="仿宋_GB2312"/>
                <w:kern w:val="2"/>
                <w:sz w:val="24"/>
                <w:szCs w:val="24"/>
                <w:lang w:val="en-US" w:eastAsia="zh-CN" w:bidi="ar-SA"/>
              </w:rPr>
            </w:pPr>
            <w:r>
              <w:rPr>
                <w:rFonts w:ascii="Times New Roman" w:hAnsi="Times New Roman" w:eastAsia="仿宋_GB2312" w:cs="仿宋_GB2312"/>
                <w:sz w:val="24"/>
              </w:rPr>
              <w:t>理论层面，阐述智能系统概念、架构与发展历程，讲解人工智能、传感器技术等核心技术原理，让学生构建扎实的知识框架。实践环节，以Python编程为工具，引导学生实现机器学习算法，借助树莓派、Arduino等硬件平台搭建智能系统，完成从算法设计到系统整合与调试的全流程实操。此外，课程剖析工业、医疗、交通等领域的典型应用案例，引入边缘计算、脑机接口等前沿技术，帮助学生了解行业动态，拓宽技术视野 。</w:t>
            </w:r>
          </w:p>
        </w:tc>
        <w:tc>
          <w:tcPr>
            <w:tcW w:w="2831" w:type="dxa"/>
            <w:shd w:val="clear" w:color="auto" w:fill="auto"/>
            <w:vAlign w:val="top"/>
          </w:tcPr>
          <w:p w14:paraId="18E230CD">
            <w:pPr>
              <w:keepNext w:val="0"/>
              <w:pageBreakBefore w:val="0"/>
              <w:widowControl w:val="0"/>
              <w:wordWrap/>
              <w:topLinePunct w:val="0"/>
              <w:bidi w:val="0"/>
              <w:adjustRightInd/>
              <w:snapToGrid/>
              <w:spacing w:after="0" w:line="320" w:lineRule="exact"/>
              <w:jc w:val="both"/>
              <w:textAlignment w:val="auto"/>
              <w:rPr>
                <w:rFonts w:hint="eastAsia" w:ascii="Times New Roman" w:hAnsi="Times New Roman" w:eastAsia="仿宋_GB2312" w:cs="仿宋_GB2312"/>
                <w:kern w:val="2"/>
                <w:sz w:val="24"/>
                <w:szCs w:val="24"/>
                <w:lang w:val="en-US" w:eastAsia="zh-CN" w:bidi="ar-SA"/>
              </w:rPr>
            </w:pPr>
            <w:r>
              <w:rPr>
                <w:rFonts w:ascii="Times New Roman" w:hAnsi="Times New Roman" w:eastAsia="仿宋_GB2312" w:cs="仿宋_GB2312"/>
                <w:sz w:val="24"/>
              </w:rPr>
              <w:t>在智能系统导论教学中，教师需引导学生搭建完备的知识体系，深入理解智能系统的概念、架构，熟练掌握人工智能、传感器技术等理论知识，并关注行业前沿进展。在实践环节，要求学生以Python为工具，实现机器学习算法，借助硬件平台完成智能系统从设计到调试的全流程操作，提升实操能力。同时，通过案例分析与小组项目，锻炼学生将理论知识应用于解决实际问题的能力，培养其团队协作、沟通交流以及创新思维，引导学生养成严谨的科学态度，为后续在智能系统领域的深入学习和职业发展筑牢根基 。</w:t>
            </w:r>
          </w:p>
        </w:tc>
      </w:tr>
      <w:bookmarkEnd w:id="24"/>
    </w:tbl>
    <w:p w14:paraId="1778D741">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rPr>
      </w:pPr>
      <w:r>
        <w:rPr>
          <w:rFonts w:hint="eastAsia" w:ascii="Times New Roman" w:hAnsi="Times New Roman" w:eastAsia="仿宋_GB2312" w:cs="仿宋_GB2312"/>
          <w:b w:val="0"/>
          <w:bCs w:val="0"/>
          <w:color w:val="auto"/>
          <w:sz w:val="32"/>
          <w:szCs w:val="32"/>
        </w:rPr>
        <w:t>2.专业核心课程</w:t>
      </w:r>
      <w:bookmarkEnd w:id="25"/>
    </w:p>
    <w:p w14:paraId="0821BDF4">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9"/>
        <w:rPr>
          <w:rFonts w:hint="eastAsia" w:ascii="Times New Roman" w:hAnsi="Times New Roman" w:eastAsia="仿宋_GB2312" w:cs="仿宋_GB2312"/>
          <w:color w:val="auto"/>
          <w:sz w:val="32"/>
          <w:szCs w:val="32"/>
          <w:highlight w:val="none"/>
        </w:rPr>
      </w:pPr>
      <w:bookmarkStart w:id="26" w:name="OLE_LINK7"/>
      <w:r>
        <w:rPr>
          <w:rFonts w:hint="eastAsia" w:ascii="Times New Roman" w:hAnsi="Times New Roman" w:eastAsia="仿宋_GB2312" w:cs="仿宋_GB2312"/>
          <w:color w:val="auto"/>
          <w:sz w:val="32"/>
          <w:szCs w:val="32"/>
        </w:rPr>
        <w:t>专业核心课是</w:t>
      </w:r>
      <w:bookmarkEnd w:id="26"/>
      <w:r>
        <w:rPr>
          <w:rFonts w:hint="eastAsia" w:ascii="Times New Roman" w:hAnsi="Times New Roman" w:eastAsia="仿宋_GB2312" w:cs="仿宋_GB2312"/>
          <w:color w:val="auto"/>
          <w:sz w:val="32"/>
          <w:szCs w:val="32"/>
        </w:rPr>
        <w:t>支撑应用电子技术专业知识体系、培养学生核心专业能力的关键课程，聚焦电子技术在实际工程中的应用与创新。包括</w:t>
      </w:r>
      <w:r>
        <w:rPr>
          <w:rFonts w:hint="eastAsia" w:ascii="Times New Roman" w:hAnsi="Times New Roman" w:eastAsia="仿宋_GB2312" w:cs="仿宋_GB2312"/>
          <w:color w:val="auto"/>
          <w:sz w:val="32"/>
          <w:szCs w:val="32"/>
          <w:lang w:val="en-US" w:eastAsia="zh-CN"/>
        </w:rPr>
        <w:t>电子产品制图与制版、电子产品生产与检验、电子产品生产设备操作与维护、高频电子技术、智能硬件的安装与调试、单片机技术应用、嵌入式技术与应用、智能电子产品设计</w:t>
      </w:r>
      <w:r>
        <w:rPr>
          <w:rFonts w:hint="eastAsia" w:ascii="Times New Roman" w:hAnsi="Times New Roman" w:eastAsia="仿宋_GB2312" w:cs="仿宋_GB2312"/>
          <w:color w:val="auto"/>
          <w:spacing w:val="-4"/>
          <w:sz w:val="32"/>
          <w:szCs w:val="32"/>
        </w:rPr>
        <w:t>等课程。</w:t>
      </w:r>
    </w:p>
    <w:p w14:paraId="1D08CEF7">
      <w:pPr>
        <w:overflowPunct w:val="0"/>
        <w:adjustRightInd w:val="0"/>
        <w:spacing w:line="520" w:lineRule="exact"/>
        <w:jc w:val="center"/>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表4专业核心课</w:t>
      </w:r>
      <w:r>
        <w:rPr>
          <w:rFonts w:hint="eastAsia" w:ascii="Times New Roman" w:hAnsi="Times New Roman" w:eastAsia="仿宋_GB2312" w:cs="仿宋_GB2312"/>
          <w:color w:val="auto"/>
          <w:sz w:val="32"/>
          <w:szCs w:val="32"/>
          <w:highlight w:val="none"/>
          <w:lang w:val="en-US" w:eastAsia="zh-CN"/>
        </w:rPr>
        <w:t>课程目标、主要教学内容与要求</w:t>
      </w:r>
    </w:p>
    <w:tbl>
      <w:tblPr>
        <w:tblStyle w:val="13"/>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255"/>
        <w:gridCol w:w="1972"/>
        <w:gridCol w:w="2972"/>
      </w:tblGrid>
      <w:tr w14:paraId="2BADA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6FF8EAC2">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序号</w:t>
            </w:r>
          </w:p>
        </w:tc>
        <w:tc>
          <w:tcPr>
            <w:tcW w:w="775" w:type="dxa"/>
            <w:vAlign w:val="center"/>
          </w:tcPr>
          <w:p w14:paraId="0CEBEAFF">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课程名称</w:t>
            </w:r>
          </w:p>
        </w:tc>
        <w:tc>
          <w:tcPr>
            <w:tcW w:w="4255" w:type="dxa"/>
            <w:vAlign w:val="center"/>
          </w:tcPr>
          <w:p w14:paraId="378756E6">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课程</w:t>
            </w:r>
            <w:r>
              <w:rPr>
                <w:rFonts w:hint="eastAsia" w:ascii="Times New Roman" w:hAnsi="Times New Roman" w:eastAsia="仿宋_GB2312" w:cs="仿宋_GB2312"/>
                <w:color w:val="auto"/>
                <w:sz w:val="24"/>
                <w:szCs w:val="24"/>
              </w:rPr>
              <w:t>目标</w:t>
            </w:r>
          </w:p>
        </w:tc>
        <w:tc>
          <w:tcPr>
            <w:tcW w:w="1972" w:type="dxa"/>
            <w:vAlign w:val="center"/>
          </w:tcPr>
          <w:p w14:paraId="4094EE18">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主要</w:t>
            </w:r>
            <w:r>
              <w:rPr>
                <w:rFonts w:hint="eastAsia" w:ascii="Times New Roman" w:hAnsi="Times New Roman" w:eastAsia="仿宋_GB2312" w:cs="仿宋_GB2312"/>
                <w:color w:val="auto"/>
                <w:sz w:val="24"/>
                <w:szCs w:val="24"/>
              </w:rPr>
              <w:t>教学内容</w:t>
            </w:r>
          </w:p>
        </w:tc>
        <w:tc>
          <w:tcPr>
            <w:tcW w:w="2972" w:type="dxa"/>
            <w:vAlign w:val="center"/>
          </w:tcPr>
          <w:p w14:paraId="67D08CDA">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教学要求</w:t>
            </w:r>
          </w:p>
        </w:tc>
      </w:tr>
      <w:tr w14:paraId="3DB3C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4827AB53">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1</w:t>
            </w:r>
          </w:p>
        </w:tc>
        <w:tc>
          <w:tcPr>
            <w:tcW w:w="775" w:type="dxa"/>
            <w:vAlign w:val="center"/>
          </w:tcPr>
          <w:p w14:paraId="08CA48C9">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电子产品制图与制版</w:t>
            </w:r>
          </w:p>
        </w:tc>
        <w:tc>
          <w:tcPr>
            <w:tcW w:w="4255" w:type="dxa"/>
            <w:vAlign w:val="top"/>
          </w:tcPr>
          <w:p w14:paraId="14392ED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掌握电子电路原理图的绘制规范，熟悉印制电路板的设计原则、布局布线规则及常用 EDA 软件的操作方法，了解不同类型印制电路板的材料特性与工艺要求。</w:t>
            </w:r>
          </w:p>
          <w:p w14:paraId="7A35B01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能使用 EDA 软件独立绘制中等复杂度的电子电路原理图，完成单、双层印制电路板的设计、布局与布线，并能进行设计规则检查与优化，具备根据电路功能需求选择合适印制电路板类型的能力。</w:t>
            </w:r>
          </w:p>
          <w:p w14:paraId="4CBE24F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培养严谨细致的设计态度和空间布局思维，提升对电子产品设计规范性和经济性的认知，增强团队协作中图纸沟通的能力。</w:t>
            </w:r>
          </w:p>
          <w:p w14:paraId="0132B81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通过了解我国印制电路板产业的发展历程，激发学生的产业自信与创新精神；在设计中强调规范意识，培养学生精益求精的工匠精神和对产品质量的责任担当。</w:t>
            </w:r>
          </w:p>
        </w:tc>
        <w:tc>
          <w:tcPr>
            <w:tcW w:w="1972" w:type="dxa"/>
            <w:vAlign w:val="top"/>
          </w:tcPr>
          <w:p w14:paraId="0BA529C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电子产品电路原理图 绘制；电子产品印制电 路板（</w:t>
            </w:r>
            <w:r>
              <w:rPr>
                <w:rFonts w:hint="default" w:ascii="Times New Roman" w:hAnsi="Times New Roman" w:eastAsia="仿宋_GB2312" w:cs="仿宋_GB2312"/>
                <w:sz w:val="24"/>
                <w:szCs w:val="24"/>
                <w:lang w:val="en-US" w:eastAsia="zh-CN"/>
              </w:rPr>
              <w:t>PCB</w:t>
            </w:r>
            <w:r>
              <w:rPr>
                <w:rFonts w:hint="eastAsia" w:ascii="Times New Roman" w:hAnsi="Times New Roman" w:eastAsia="仿宋_GB2312" w:cs="仿宋_GB2312"/>
                <w:sz w:val="24"/>
                <w:szCs w:val="24"/>
                <w:lang w:val="en-US" w:eastAsia="zh-CN"/>
              </w:rPr>
              <w:t>）的设计与 绘制；</w:t>
            </w:r>
            <w:r>
              <w:rPr>
                <w:rFonts w:hint="default" w:ascii="Times New Roman" w:hAnsi="Times New Roman" w:eastAsia="仿宋_GB2312" w:cs="仿宋_GB2312"/>
                <w:sz w:val="24"/>
                <w:szCs w:val="24"/>
                <w:lang w:val="en-US" w:eastAsia="zh-CN"/>
              </w:rPr>
              <w:t xml:space="preserve">BOM </w:t>
            </w:r>
            <w:r>
              <w:rPr>
                <w:rFonts w:hint="eastAsia" w:ascii="Times New Roman" w:hAnsi="Times New Roman" w:eastAsia="仿宋_GB2312" w:cs="仿宋_GB2312"/>
                <w:sz w:val="24"/>
                <w:szCs w:val="24"/>
                <w:lang w:val="en-US" w:eastAsia="zh-CN"/>
              </w:rPr>
              <w:t>表等相关文 档的生成和输出。</w:t>
            </w:r>
          </w:p>
          <w:p w14:paraId="14EA861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p>
        </w:tc>
        <w:tc>
          <w:tcPr>
            <w:tcW w:w="2972" w:type="dxa"/>
            <w:vAlign w:val="top"/>
          </w:tcPr>
          <w:p w14:paraId="26615A6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default" w:ascii="Times New Roman" w:hAnsi="Times New Roman" w:eastAsia="仿宋_GB2312" w:cs="仿宋_GB2312"/>
                <w:sz w:val="24"/>
                <w:szCs w:val="24"/>
                <w:lang w:val="en-US" w:eastAsia="zh-CN"/>
              </w:rPr>
              <w:t>注重引导学生实践，培养问题解决与创新能力，同时强化团队协作与质量意识，确保教学效果与行业需求接轨。学生掌握电路原理图与PCB设计软件操作，熟悉设计规范与工艺要求，能独立完成原理图绘制、PCB布局布线及文档生成，具备问题解决、团队协作及创新能力，确保设计质量。</w:t>
            </w:r>
          </w:p>
        </w:tc>
      </w:tr>
      <w:tr w14:paraId="583C4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90945E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lang w:val="en-US" w:eastAsia="zh-CN"/>
              </w:rPr>
            </w:pPr>
          </w:p>
          <w:p w14:paraId="3A18A9B6">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2</w:t>
            </w:r>
          </w:p>
        </w:tc>
        <w:tc>
          <w:tcPr>
            <w:tcW w:w="775" w:type="dxa"/>
            <w:vAlign w:val="center"/>
          </w:tcPr>
          <w:p w14:paraId="13C42F96">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p>
          <w:p w14:paraId="100689E6">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电子产品生产与检验</w:t>
            </w:r>
          </w:p>
        </w:tc>
        <w:tc>
          <w:tcPr>
            <w:tcW w:w="4255" w:type="dxa"/>
            <w:vAlign w:val="top"/>
          </w:tcPr>
          <w:p w14:paraId="374E0F5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掌握电子产品的生产工艺流程，熟悉电子产品的质量标准与检验规范，了解常见电子产品的性能参数及测试方法。</w:t>
            </w:r>
          </w:p>
          <w:p w14:paraId="2D09BB4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能参与电子产品的生产过程，正确执行各环节操作规范，使用常用检测仪器对电子产品进行性能测试与质量检验，识别并分析生产及检验中出现的常见问题。</w:t>
            </w:r>
          </w:p>
          <w:p w14:paraId="6E9332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培养严格遵守生产流程和质量标准的意识，提升团队协作能力和问题解决能力，树立注重效率和质量的工作理念。</w:t>
            </w:r>
          </w:p>
          <w:p w14:paraId="715625E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结合生产中的质量案例，强调诚信经营和责任意识，培养学生对产品质量和用户安全的责任感；通过了解我国电子制造业的发展成就，增强民族自豪感和产业使命感。</w:t>
            </w:r>
          </w:p>
        </w:tc>
        <w:tc>
          <w:tcPr>
            <w:tcW w:w="1972" w:type="dxa"/>
            <w:vAlign w:val="top"/>
          </w:tcPr>
          <w:p w14:paraId="2B83F95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电子组件（</w:t>
            </w:r>
            <w:r>
              <w:rPr>
                <w:rFonts w:hint="default" w:ascii="Times New Roman" w:hAnsi="Times New Roman" w:eastAsia="仿宋_GB2312" w:cs="仿宋_GB2312"/>
                <w:sz w:val="24"/>
                <w:szCs w:val="24"/>
                <w:lang w:val="en-US" w:eastAsia="zh-CN"/>
              </w:rPr>
              <w:t>PCBA</w:t>
            </w:r>
            <w:r>
              <w:rPr>
                <w:rFonts w:hint="eastAsia" w:ascii="Times New Roman" w:hAnsi="Times New Roman" w:eastAsia="仿宋_GB2312" w:cs="仿宋_GB2312"/>
                <w:sz w:val="24"/>
                <w:szCs w:val="24"/>
                <w:lang w:val="en-US" w:eastAsia="zh-CN"/>
              </w:rPr>
              <w:t>）、 电子产品整机的装接； 电子产品组件、电子产 品整机生产工艺管理与 检验；电子产品组件、电子产品整机的测试与检修。</w:t>
            </w:r>
          </w:p>
        </w:tc>
        <w:tc>
          <w:tcPr>
            <w:tcW w:w="2972" w:type="dxa"/>
            <w:vAlign w:val="top"/>
          </w:tcPr>
          <w:p w14:paraId="5F71898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能结合案例清晰讲解理论，示范操作规范，注重理论与实践结合；</w:t>
            </w:r>
            <w:r>
              <w:rPr>
                <w:rFonts w:hint="default" w:ascii="Times New Roman" w:hAnsi="Times New Roman" w:eastAsia="仿宋_GB2312" w:cs="仿宋_GB2312"/>
                <w:sz w:val="24"/>
                <w:szCs w:val="24"/>
                <w:lang w:val="en-US" w:eastAsia="zh-CN"/>
              </w:rPr>
              <w:t>强化学生质量意识、工艺执行力及问题解决能力，确保教学贴合企业需求。</w:t>
            </w:r>
          </w:p>
        </w:tc>
      </w:tr>
      <w:tr w14:paraId="0113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648A61F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bookmarkStart w:id="27" w:name="_Toc90734991"/>
            <w:r>
              <w:rPr>
                <w:rFonts w:hint="eastAsia" w:ascii="Times New Roman" w:hAnsi="Times New Roman" w:eastAsia="仿宋_GB2312" w:cs="仿宋_GB2312"/>
                <w:color w:val="auto"/>
                <w:sz w:val="24"/>
                <w:lang w:val="en-US" w:eastAsia="zh-CN"/>
              </w:rPr>
              <w:t>3</w:t>
            </w:r>
          </w:p>
        </w:tc>
        <w:tc>
          <w:tcPr>
            <w:tcW w:w="775" w:type="dxa"/>
            <w:vAlign w:val="center"/>
          </w:tcPr>
          <w:p w14:paraId="2ACD8E1D">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电子产品生产设备操作与维护</w:t>
            </w:r>
          </w:p>
        </w:tc>
        <w:tc>
          <w:tcPr>
            <w:tcW w:w="4255" w:type="dxa"/>
            <w:vAlign w:val="top"/>
          </w:tcPr>
          <w:p w14:paraId="1B07CAF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掌握常见电子产品生产设备的工作原理、结构组成及操作规范，了解设备的日常维护、保养知识及常见故障的判断与处理方法。</w:t>
            </w:r>
          </w:p>
          <w:p w14:paraId="4D2092B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能按照操作规范正确操作常用生产设备，进行设备的日常维护和保养工作，能对设备出现的简</w:t>
            </w:r>
            <w:r>
              <w:rPr>
                <w:rFonts w:hint="eastAsia" w:ascii="Times New Roman" w:hAnsi="Times New Roman" w:eastAsia="仿宋_GB2312" w:cs="仿宋_GB2312"/>
                <w:color w:val="auto"/>
                <w:sz w:val="24"/>
                <w:szCs w:val="24"/>
                <w:highlight w:val="none"/>
                <w:lang w:val="en-US" w:eastAsia="zh-CN"/>
              </w:rPr>
              <w:t>单故障进</w:t>
            </w:r>
            <w:r>
              <w:rPr>
                <w:rFonts w:hint="eastAsia" w:ascii="Times New Roman" w:hAnsi="Times New Roman" w:eastAsia="仿宋_GB2312" w:cs="仿宋_GB2312"/>
                <w:color w:val="auto"/>
                <w:sz w:val="24"/>
                <w:szCs w:val="24"/>
                <w:lang w:val="en-US" w:eastAsia="zh-CN"/>
              </w:rPr>
              <w:t>行判断并采取相应的处理措施。</w:t>
            </w:r>
          </w:p>
          <w:p w14:paraId="6D08A2D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培养严谨的操作安全意识和设备维护意识，提升动手操作能力和应急处理能力，树立节约设备资源和提高设备利用率的观念。</w:t>
            </w:r>
          </w:p>
          <w:p w14:paraId="1CFDAB2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通过设备操作中的规范要求，培养学生的纪律意识和责任意识；结合设备维护中的案例，强调精益求精的工匠精神，培养学生对工作的认真负责态度。</w:t>
            </w:r>
          </w:p>
        </w:tc>
        <w:tc>
          <w:tcPr>
            <w:tcW w:w="1972" w:type="dxa"/>
            <w:vAlign w:val="top"/>
          </w:tcPr>
          <w:p w14:paraId="2F2A5F6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电子产品主流生产设备的操作使用；定期巡视保养，使设备正常运转；快速维修，及时清理作业现场；填写工作记录、故障报修单等文件。</w:t>
            </w:r>
          </w:p>
          <w:p w14:paraId="45CC4F1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p>
        </w:tc>
        <w:tc>
          <w:tcPr>
            <w:tcW w:w="2972" w:type="dxa"/>
            <w:vAlign w:val="top"/>
          </w:tcPr>
          <w:p w14:paraId="176E4A1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default" w:ascii="Times New Roman" w:hAnsi="Times New Roman" w:eastAsia="仿宋_GB2312" w:cs="仿宋_GB2312"/>
                <w:sz w:val="24"/>
                <w:szCs w:val="24"/>
                <w:lang w:val="en-US" w:eastAsia="zh-CN"/>
              </w:rPr>
              <w:t>结合案例清晰讲解理论，示范操作流程，强调安全规范；注重培养故障排查、日常保养及应急处理能力，确保学生掌握实用技能。培养学生设备日常保养、定期检修及故障排查能力。强化数据记录与报告撰写能力，确保维护过程可追溯。融入行业新技术，提升学生前瞻性技能。注重安全意识、责任意识及团队协作能力的培养。引导学生理解设备维护对产品质量与生产效率的关键作用。</w:t>
            </w:r>
          </w:p>
        </w:tc>
      </w:tr>
      <w:tr w14:paraId="3E6E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1BA895F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4</w:t>
            </w:r>
          </w:p>
        </w:tc>
        <w:tc>
          <w:tcPr>
            <w:tcW w:w="775" w:type="dxa"/>
            <w:vAlign w:val="center"/>
          </w:tcPr>
          <w:p w14:paraId="0EA2A431">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高频电子技术</w:t>
            </w:r>
          </w:p>
        </w:tc>
        <w:tc>
          <w:tcPr>
            <w:tcW w:w="4255" w:type="dxa"/>
            <w:vAlign w:val="top"/>
          </w:tcPr>
          <w:p w14:paraId="3A6D36E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掌握高频信号的产生、放大、调制、解调及传输的基本原理，熟悉高频电子电路的组成及工作特性，了解高频电子技术在通信、雷达等领域的应用。</w:t>
            </w:r>
          </w:p>
          <w:p w14:paraId="338B2CA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能分析典型高频电子电路的工作状态，设计简单的高频电路，使用仪器对高频电路的性能参数进行测试与调试，解决高频电路中的常见问题。</w:t>
            </w:r>
          </w:p>
          <w:p w14:paraId="0008CF5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培养抽象思维和高频电路设计的创新意识，提升对复杂电子系统的分析能力和实验操作的耐心细致程度。</w:t>
            </w:r>
          </w:p>
          <w:p w14:paraId="42229AF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结合高频电子技术在国防、通信等领域的重要应用，激发学生的爱国情怀和科技报国的责任感；通过学习科学家在高频技术领域的探索历程，培养学生勇于探索、追求真理的科学精神。</w:t>
            </w:r>
          </w:p>
          <w:p w14:paraId="64F8579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p>
        </w:tc>
        <w:tc>
          <w:tcPr>
            <w:tcW w:w="1972" w:type="dxa"/>
            <w:vAlign w:val="top"/>
          </w:tcPr>
          <w:p w14:paraId="754D900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高频电子技术概论；选频与滤波电路；高频小信号放大器；正弦波振荡器；频率变换与混频电路；高频功率放大电路；振幅调制与解调；角度调制与解调；数字调制与解调；频率合成电路。</w:t>
            </w:r>
          </w:p>
        </w:tc>
        <w:tc>
          <w:tcPr>
            <w:tcW w:w="2972" w:type="dxa"/>
            <w:vAlign w:val="top"/>
          </w:tcPr>
          <w:p w14:paraId="5756CE0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sz w:val="24"/>
                <w:szCs w:val="24"/>
                <w:lang w:val="en-US" w:eastAsia="zh-CN"/>
              </w:rPr>
            </w:pPr>
            <w:r>
              <w:rPr>
                <w:rFonts w:hint="default" w:ascii="Times New Roman" w:hAnsi="Times New Roman" w:eastAsia="仿宋_GB2312" w:cs="仿宋_GB2312"/>
                <w:sz w:val="24"/>
                <w:szCs w:val="24"/>
                <w:lang w:val="en-US" w:eastAsia="zh-CN"/>
              </w:rPr>
              <w:t>通过高频电路实验（如谐振电路调试、滤波器设计）强化理论理解。以无线通信系统（如蓝牙、</w:t>
            </w:r>
            <w:r>
              <w:rPr>
                <w:rFonts w:hint="default" w:ascii="Times New Roman" w:hAnsi="Times New Roman" w:eastAsia="仿宋_GB2312" w:cs="仿宋_GB2312"/>
                <w:sz w:val="24"/>
                <w:szCs w:val="24"/>
                <w:highlight w:val="none"/>
                <w:lang w:val="en-US" w:eastAsia="zh-CN"/>
              </w:rPr>
              <w:t>WiFi</w:t>
            </w:r>
            <w:r>
              <w:rPr>
                <w:rFonts w:hint="default" w:ascii="Times New Roman" w:hAnsi="Times New Roman" w:eastAsia="仿宋_GB2312" w:cs="仿宋_GB2312"/>
                <w:sz w:val="24"/>
                <w:szCs w:val="24"/>
                <w:lang w:val="en-US" w:eastAsia="zh-CN"/>
              </w:rPr>
              <w:t>）为例，讲解高频模块的应用场景。融入5G、物联网等新技术，</w:t>
            </w:r>
            <w:r>
              <w:rPr>
                <w:rFonts w:hint="default" w:ascii="Times New Roman" w:hAnsi="Times New Roman" w:eastAsia="仿宋_GB2312" w:cs="仿宋_GB2312"/>
                <w:sz w:val="24"/>
                <w:szCs w:val="24"/>
                <w:highlight w:val="none"/>
                <w:lang w:val="en-US" w:eastAsia="zh-CN"/>
              </w:rPr>
              <w:t>拓展学生视野</w:t>
            </w:r>
            <w:r>
              <w:rPr>
                <w:rFonts w:hint="default" w:ascii="Times New Roman" w:hAnsi="Times New Roman" w:eastAsia="仿宋_GB2312" w:cs="仿宋_GB2312"/>
                <w:sz w:val="24"/>
                <w:szCs w:val="24"/>
                <w:lang w:val="en-US" w:eastAsia="zh-CN"/>
              </w:rPr>
              <w:t>。培养学生独立完成高频电路原理图与PCB布局的能力。通过实验故障分析，提升学生对高频干扰、阻抗匹配等问题的解决能力。强调高频电路的EMC（电磁兼容）设计规范与安全标准。</w:t>
            </w:r>
          </w:p>
          <w:p w14:paraId="443E54C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default" w:ascii="Times New Roman" w:hAnsi="Times New Roman" w:eastAsia="仿宋_GB2312" w:cs="仿宋_GB2312"/>
                <w:sz w:val="24"/>
                <w:szCs w:val="24"/>
                <w:lang w:val="en-US" w:eastAsia="zh-CN"/>
              </w:rPr>
              <w:t>鼓励学生探索高频技术的前沿应用（如雷达、卫星通信）。</w:t>
            </w:r>
          </w:p>
        </w:tc>
      </w:tr>
      <w:tr w14:paraId="4435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085B6E72">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5</w:t>
            </w:r>
          </w:p>
        </w:tc>
        <w:tc>
          <w:tcPr>
            <w:tcW w:w="775" w:type="dxa"/>
            <w:vAlign w:val="center"/>
          </w:tcPr>
          <w:p w14:paraId="4BDAE916">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智能硬件的安装与调试</w:t>
            </w:r>
          </w:p>
        </w:tc>
        <w:tc>
          <w:tcPr>
            <w:tcW w:w="4255" w:type="dxa"/>
            <w:vAlign w:val="top"/>
          </w:tcPr>
          <w:p w14:paraId="0073D1D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掌握智能硬件的工作原理、接口特性及选型方法，了解智能硬件系统的组成及各部分之间的连接方式。</w:t>
            </w:r>
          </w:p>
          <w:p w14:paraId="51C977B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能根据智能硬件系统的设计要求，正确选择并安装相关硬件组件，进行硬件之间的连接与调试，实现智能硬件系统的基本功能，对安装和调试过程中出现的问题能进行分析和解决。</w:t>
            </w:r>
          </w:p>
          <w:p w14:paraId="296894F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培养跨学科思维和动手实践能力，提升对智能硬件系统的整体认知和协同工作意识，树立创新应用和服务社会的理念。</w:t>
            </w:r>
          </w:p>
          <w:p w14:paraId="0BA6ED3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通过智能硬件在智能家居、智能医疗等领域的应用案例，引导学生认识技术的社会价值，培养学生科技服务民生的意识；结合我国智能硬件产业的发展，激发学生的创新精神和民族自信心。</w:t>
            </w:r>
          </w:p>
          <w:p w14:paraId="784253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p>
        </w:tc>
        <w:tc>
          <w:tcPr>
            <w:tcW w:w="1972" w:type="dxa"/>
            <w:vAlign w:val="top"/>
          </w:tcPr>
          <w:p w14:paraId="3A38B08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使用设备仪器完成智能硬件的装配与调试； 智能硬件应用系统的参数调测、方案应用和部署实施；智能硬件在环境感知、自动控制、人机交互等应用方面的适配、安装、调试。</w:t>
            </w:r>
          </w:p>
          <w:p w14:paraId="45B081E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p>
        </w:tc>
        <w:tc>
          <w:tcPr>
            <w:tcW w:w="2972" w:type="dxa"/>
            <w:vAlign w:val="top"/>
          </w:tcPr>
          <w:p w14:paraId="4B9A943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通过“案例+实验”模式，引导学生完成硬件安装、固件烧录及通信调试。结合实际故障，教授排查方法。融入电子、通信、计算机知识，提升学生综合应用能力。熟练使用焊接工具、万用表、示波器、编程器等设备。强调安全操作、布线规范及文档记录。培养快速定位硬件、软件问题并制定修复方案的能力。</w:t>
            </w:r>
          </w:p>
        </w:tc>
      </w:tr>
      <w:tr w14:paraId="04753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7" w:hRule="atLeast"/>
          <w:jc w:val="center"/>
        </w:trPr>
        <w:tc>
          <w:tcPr>
            <w:tcW w:w="475" w:type="dxa"/>
            <w:vAlign w:val="center"/>
          </w:tcPr>
          <w:p w14:paraId="5D5C91D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6</w:t>
            </w:r>
          </w:p>
        </w:tc>
        <w:tc>
          <w:tcPr>
            <w:tcW w:w="775" w:type="dxa"/>
            <w:vAlign w:val="center"/>
          </w:tcPr>
          <w:p w14:paraId="7D5418AF">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单片机技术应用</w:t>
            </w:r>
          </w:p>
        </w:tc>
        <w:tc>
          <w:tcPr>
            <w:tcW w:w="4255" w:type="dxa"/>
            <w:vAlign w:val="top"/>
          </w:tcPr>
          <w:p w14:paraId="554674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掌握单片机的基本结构、工作原理、指令系统及编程方法，熟悉单片机外围接口电路的扩展与应用。</w:t>
            </w:r>
          </w:p>
          <w:p w14:paraId="42EEEC6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能使用汇编语言或 C 语言编写单片机应用程序，设计简单的单片机外围接口电路，完成单片机系统的硬件搭建与软件调试，实现对外部设备的控制与数据采集。</w:t>
            </w:r>
          </w:p>
          <w:p w14:paraId="639C1C1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培养编程逻辑思维和软硬件结合的系统设计能力，提升问题分析与解决能力，养成严谨的程序调试和系统测试习惯。</w:t>
            </w:r>
          </w:p>
          <w:p w14:paraId="22C5BA5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通过单片机技术在工业控制、智能设备等领域的应用，展现技术对社会生产效率的提升作用，培养学生的工程应用意识；结合我国单片机技术的发展，激发学生的自主创新精神和技术突破的责任感。</w:t>
            </w:r>
          </w:p>
          <w:p w14:paraId="75D6DC4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p>
        </w:tc>
        <w:tc>
          <w:tcPr>
            <w:tcW w:w="1972" w:type="dxa"/>
            <w:vAlign w:val="top"/>
          </w:tcPr>
          <w:p w14:paraId="6A7075B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以单片机为控制核心的应用电路的硬件电路设计；外围器件选型与应用；单片机软件设计与编程；系统调试。</w:t>
            </w:r>
          </w:p>
          <w:p w14:paraId="5CADB1A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p>
        </w:tc>
        <w:tc>
          <w:tcPr>
            <w:tcW w:w="2972" w:type="dxa"/>
            <w:vAlign w:val="top"/>
          </w:tcPr>
          <w:p w14:paraId="337A116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通过“功能实现”项目（如温湿度监测、智能小车）引导学生掌握硬件连接、代码编写与调试流程。结合实际案例（如程序跑飞、外设异常），教授问题定位方法（如断点调试、逻辑分析仪）。结合电子电路、通信协议（如I2C、SPI）、传感器技术，提升学生系统设计能力。熟练使用焊接工具、万用表、示波器完成单片机最小系统搭建与测试。培养低功耗设计、实时性优化、代码重构等工程思维。强调代码注释、版本管理（如Git）、文档编写（如设计说明书）等工程习惯。</w:t>
            </w:r>
          </w:p>
        </w:tc>
      </w:tr>
      <w:tr w14:paraId="58525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6551D7D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7</w:t>
            </w:r>
          </w:p>
        </w:tc>
        <w:tc>
          <w:tcPr>
            <w:tcW w:w="775" w:type="dxa"/>
            <w:vAlign w:val="center"/>
          </w:tcPr>
          <w:p w14:paraId="49832A66">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嵌入式技术与应用</w:t>
            </w:r>
          </w:p>
        </w:tc>
        <w:tc>
          <w:tcPr>
            <w:tcW w:w="4255" w:type="dxa"/>
            <w:vAlign w:val="top"/>
          </w:tcPr>
          <w:p w14:paraId="7985D91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掌握嵌入式系统的基本架构、操作系统的原理及应用，熟悉嵌入式处理器的编程接口和外围设备驱动开发方法，了解嵌入式系统在智能终端、工业控制等领域的应用。</w:t>
            </w:r>
          </w:p>
          <w:p w14:paraId="6ADA6D3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能搭建嵌入式系统开发环境，编写简单的嵌入式应用程序和设备驱动程序，进行嵌入式系统的调试与性能优化，具备设计简单嵌入式应用系统的能力。</w:t>
            </w:r>
          </w:p>
          <w:p w14:paraId="23CE058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培养嵌入式系统设计的全局思维和创新意识，提升跨平台开发能力和团队协作中的技术沟通能力。</w:t>
            </w:r>
          </w:p>
          <w:p w14:paraId="003FC2A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结合嵌入式技术在航空航天、智能制造等国家重点领域的应用，激发学生的家国情怀和为国家科技发展贡献力量的使命感；在项目开发中强调团队协作，培养学生的集体荣誉感和合作精神。</w:t>
            </w:r>
          </w:p>
        </w:tc>
        <w:tc>
          <w:tcPr>
            <w:tcW w:w="1972" w:type="dxa"/>
            <w:vAlign w:val="top"/>
          </w:tcPr>
          <w:p w14:paraId="781BCAF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以嵌入式系统为核心的应用电路的硬件电路设计；嵌入式系统软件设计与编程；典型应用项目系统构建与调试。</w:t>
            </w:r>
          </w:p>
          <w:p w14:paraId="09E0151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p>
        </w:tc>
        <w:tc>
          <w:tcPr>
            <w:tcW w:w="2972" w:type="dxa"/>
            <w:vAlign w:val="top"/>
          </w:tcPr>
          <w:p w14:paraId="429D600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通过“功能实现”项目（如智能手环、工业网关）引导学生完成硬件选型、驱动开发、系统集成。强调“需求分析→硬件设计→软件编程→测试验证”全流程，培养工程思维。</w:t>
            </w:r>
          </w:p>
          <w:p w14:paraId="03E4D21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结合实际案例（如内存泄漏、中断冲突），教授问题定位方法（如逻辑分析仪、静态代码分析）。</w:t>
            </w:r>
          </w:p>
        </w:tc>
      </w:tr>
      <w:tr w14:paraId="1CB98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14:paraId="60A4CE62">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8</w:t>
            </w:r>
          </w:p>
        </w:tc>
        <w:tc>
          <w:tcPr>
            <w:tcW w:w="775" w:type="dxa"/>
            <w:vAlign w:val="center"/>
          </w:tcPr>
          <w:p w14:paraId="2315C3EF">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智能电子产品设计</w:t>
            </w:r>
          </w:p>
        </w:tc>
        <w:tc>
          <w:tcPr>
            <w:tcW w:w="4255" w:type="dxa"/>
            <w:vAlign w:val="top"/>
          </w:tcPr>
          <w:p w14:paraId="1F28377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掌握智能电子产品的设计流程，熟悉智能电子产品中硬件与软件的协同设计方法，了解智能电子产品的行业标准与市场需求。</w:t>
            </w:r>
          </w:p>
          <w:p w14:paraId="5A96F48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能根据用户需求进行智能电子产品的方案设计，完成硬件选型与电路设计、软件编程与调试，制作产品原型并进行功能测试与性能优化，具备撰写设计报告和展示设计成果的能力。</w:t>
            </w:r>
          </w:p>
          <w:p w14:paraId="2B2D8E0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培养创新设计思维和项目管理能力，提升对市场需求的敏感度和产品设计的综合素养，增强团队协作中的创新实践能力。</w:t>
            </w:r>
          </w:p>
          <w:p w14:paraId="6A164D7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通过智能电子产品设计中对用户需求的关注，培养学生以人民为中心的设计理念和服务社会的意识；结合我国智能电子产业的创新成果，激发学生的民族创新精神和品牌意识。</w:t>
            </w:r>
          </w:p>
        </w:tc>
        <w:tc>
          <w:tcPr>
            <w:tcW w:w="1972" w:type="dxa"/>
            <w:vAlign w:val="top"/>
          </w:tcPr>
          <w:p w14:paraId="55491C1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智能电子产品的需求分析与设计方案编制；智能电子产品的硬件电路设计与制作；软件程序编写与调试；整机及应用系统调试与测试。</w:t>
            </w:r>
          </w:p>
        </w:tc>
        <w:tc>
          <w:tcPr>
            <w:tcW w:w="2972" w:type="dxa"/>
            <w:vAlign w:val="top"/>
          </w:tcPr>
          <w:p w14:paraId="0732640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通过“需求导向”项目（如智能门锁、健康监测手环），引导学生完成硬件选型、算法优化及系统集成。强调“用户场景→功能定义→技术实现”的闭环思维，培养问题拆解能力。结合行业趋势（如智能家居、可穿戴设备），鼓励学生提出创新方案（如手势识别、环境感知）。熟练使用Altium Designer、KiCad进行原理图与PCB设计，掌握焊接、调试及故障排查技能。掌握嵌入式C/C++编程、RTOS应用开发及AI模型部署。培养与机械、工业设计、市场营销团队的沟通协作能力，理解产品全生命周期管理。</w:t>
            </w:r>
          </w:p>
        </w:tc>
      </w:tr>
    </w:tbl>
    <w:p w14:paraId="5CBFE548">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left="0" w:leftChars="0" w:firstLine="640" w:firstLineChars="200"/>
        <w:textAlignment w:val="auto"/>
        <w:outlineLvl w:val="9"/>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专业拓展课程</w:t>
      </w:r>
      <w:bookmarkEnd w:id="27"/>
    </w:p>
    <w:p w14:paraId="688CF357">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after="0" w:line="520" w:lineRule="exact"/>
        <w:ind w:firstLine="640" w:firstLineChars="200"/>
        <w:textAlignment w:val="auto"/>
        <w:outlineLvl w:val="9"/>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color w:val="auto"/>
          <w:sz w:val="32"/>
          <w:szCs w:val="32"/>
        </w:rPr>
        <w:t>专业拓展课程是应用电子技术专业在核心知识体系基础上，为拓宽学生专业视野、适应行业多元发展需求而设置的课程，注重技术交叉融合与实践创新延伸。</w:t>
      </w:r>
      <w:r>
        <w:rPr>
          <w:rFonts w:hint="eastAsia" w:ascii="Times New Roman" w:hAnsi="Times New Roman" w:eastAsia="仿宋_GB2312" w:cs="仿宋_GB2312"/>
          <w:color w:val="auto"/>
          <w:sz w:val="32"/>
          <w:szCs w:val="32"/>
          <w:lang w:val="en-US" w:eastAsia="zh-CN"/>
        </w:rPr>
        <w:t>由</w:t>
      </w:r>
      <w:r>
        <w:rPr>
          <w:rFonts w:hint="eastAsia" w:ascii="Times New Roman" w:hAnsi="Times New Roman" w:eastAsia="仿宋_GB2312" w:cs="仿宋_GB2312"/>
          <w:sz w:val="32"/>
          <w:szCs w:val="32"/>
          <w:lang w:val="en-US" w:eastAsia="zh-CN"/>
        </w:rPr>
        <w:t>智能终端应用开发、智能家电技术、智能电子产品销售与服务、智能机器人技术、无线通信应用技术、物联网技术应用、人工智能程序设计、FPGA技术及应用、集成电路测试技术、集成电路设计技术、电机与电气控制技术、PLC技术应用、虚拟仪器技术应用、电子创新设计与制作、数字视听设备、新能源电子器件、新能源汽车电子技术、铁道车辆电子技术、电子信息类专业英语、电子产品营销等</w:t>
      </w:r>
      <w:r>
        <w:rPr>
          <w:rFonts w:hint="eastAsia" w:ascii="Times New Roman" w:hAnsi="Times New Roman" w:eastAsia="仿宋_GB2312" w:cs="仿宋_GB2312"/>
          <w:b w:val="0"/>
          <w:bCs w:val="0"/>
          <w:color w:val="auto"/>
          <w:sz w:val="32"/>
          <w:szCs w:val="32"/>
          <w:highlight w:val="none"/>
        </w:rPr>
        <w:t>课程构成专业拓展课。</w:t>
      </w:r>
    </w:p>
    <w:p w14:paraId="4A5081C7">
      <w:pPr>
        <w:keepNext w:val="0"/>
        <w:keepLines w:val="0"/>
        <w:pageBreakBefore w:val="0"/>
        <w:widowControl w:val="0"/>
        <w:wordWrap/>
        <w:overflowPunct w:val="0"/>
        <w:topLinePunct w:val="0"/>
        <w:bidi w:val="0"/>
        <w:adjustRightInd w:val="0"/>
        <w:spacing w:after="0" w:line="520" w:lineRule="exact"/>
        <w:ind w:firstLine="640" w:firstLineChars="200"/>
        <w:jc w:val="center"/>
        <w:textAlignment w:val="auto"/>
        <w:rPr>
          <w:rFonts w:hint="eastAsia" w:ascii="Times New Roman" w:hAnsi="Times New Roman" w:eastAsia="仿宋_GB2312" w:cs="仿宋_GB2312"/>
          <w:color w:val="auto"/>
          <w:sz w:val="32"/>
          <w:szCs w:val="32"/>
          <w:highlight w:val="green"/>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rPr>
        <w:t>专业拓展</w:t>
      </w:r>
      <w:r>
        <w:rPr>
          <w:rFonts w:hint="eastAsia" w:ascii="Times New Roman" w:hAnsi="Times New Roman" w:eastAsia="仿宋_GB2312" w:cs="仿宋_GB2312"/>
          <w:color w:val="000000" w:themeColor="text1"/>
          <w:sz w:val="32"/>
          <w:szCs w:val="32"/>
          <w:highlight w:val="none"/>
          <w14:textFill>
            <w14:solidFill>
              <w14:schemeClr w14:val="tx1"/>
            </w14:solidFill>
          </w14:textFill>
        </w:rPr>
        <w:t>课</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3"/>
        <w:tblpPr w:leftFromText="180" w:rightFromText="180" w:vertAnchor="text" w:tblpXSpec="center" w:tblpY="1"/>
        <w:tblOverlap w:val="never"/>
        <w:tblW w:w="10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779"/>
        <w:gridCol w:w="4495"/>
        <w:gridCol w:w="2686"/>
        <w:gridCol w:w="1892"/>
      </w:tblGrid>
      <w:tr w14:paraId="2B15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1ED5919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序号</w:t>
            </w:r>
          </w:p>
        </w:tc>
        <w:tc>
          <w:tcPr>
            <w:tcW w:w="779" w:type="dxa"/>
            <w:vAlign w:val="center"/>
          </w:tcPr>
          <w:p w14:paraId="1187565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课程</w:t>
            </w:r>
            <w:r>
              <w:rPr>
                <w:rFonts w:hint="eastAsia" w:ascii="Times New Roman" w:hAnsi="Times New Roman" w:eastAsia="仿宋_GB2312" w:cs="仿宋_GB2312"/>
                <w:color w:val="auto"/>
                <w:sz w:val="24"/>
                <w:szCs w:val="24"/>
                <w:lang w:val="en-US" w:eastAsia="zh-CN"/>
              </w:rPr>
              <w:t xml:space="preserve"> </w:t>
            </w:r>
            <w:r>
              <w:rPr>
                <w:rFonts w:hint="eastAsia" w:ascii="Times New Roman" w:hAnsi="Times New Roman" w:eastAsia="仿宋_GB2312" w:cs="仿宋_GB2312"/>
                <w:color w:val="auto"/>
                <w:sz w:val="24"/>
                <w:szCs w:val="24"/>
              </w:rPr>
              <w:t>名称</w:t>
            </w:r>
          </w:p>
        </w:tc>
        <w:tc>
          <w:tcPr>
            <w:tcW w:w="4495" w:type="dxa"/>
            <w:vAlign w:val="center"/>
          </w:tcPr>
          <w:p w14:paraId="635459B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课程</w:t>
            </w:r>
            <w:r>
              <w:rPr>
                <w:rFonts w:hint="eastAsia" w:ascii="Times New Roman" w:hAnsi="Times New Roman" w:eastAsia="仿宋_GB2312" w:cs="仿宋_GB2312"/>
                <w:color w:val="auto"/>
                <w:sz w:val="24"/>
                <w:szCs w:val="24"/>
              </w:rPr>
              <w:t>目标</w:t>
            </w:r>
          </w:p>
        </w:tc>
        <w:tc>
          <w:tcPr>
            <w:tcW w:w="2686" w:type="dxa"/>
            <w:vAlign w:val="center"/>
          </w:tcPr>
          <w:p w14:paraId="0CD7560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主要</w:t>
            </w:r>
            <w:r>
              <w:rPr>
                <w:rFonts w:hint="eastAsia" w:ascii="Times New Roman" w:hAnsi="Times New Roman" w:eastAsia="仿宋_GB2312" w:cs="仿宋_GB2312"/>
                <w:color w:val="auto"/>
                <w:sz w:val="24"/>
                <w:szCs w:val="24"/>
              </w:rPr>
              <w:t>教学内容</w:t>
            </w:r>
          </w:p>
        </w:tc>
        <w:tc>
          <w:tcPr>
            <w:tcW w:w="1892" w:type="dxa"/>
            <w:vAlign w:val="center"/>
          </w:tcPr>
          <w:p w14:paraId="7556C4C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教学要求</w:t>
            </w:r>
          </w:p>
        </w:tc>
      </w:tr>
      <w:tr w14:paraId="34A4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11134B7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rPr>
              <w:t>1</w:t>
            </w:r>
          </w:p>
        </w:tc>
        <w:tc>
          <w:tcPr>
            <w:tcW w:w="779" w:type="dxa"/>
            <w:vAlign w:val="center"/>
          </w:tcPr>
          <w:p w14:paraId="2DB24B7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智能终端应用开发</w:t>
            </w:r>
          </w:p>
        </w:tc>
        <w:tc>
          <w:tcPr>
            <w:tcW w:w="4495" w:type="dxa"/>
            <w:vAlign w:val="top"/>
          </w:tcPr>
          <w:p w14:paraId="70A9532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掌握智能终端的硬件架构与操作系统特性，理解移动应用开发的基本原理、常用开发框架及接口调用方法，了解智能终端应用的设计规范与发布流程。</w:t>
            </w:r>
          </w:p>
          <w:p w14:paraId="177E1F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能使用主流开发工</w:t>
            </w:r>
            <w:r>
              <w:rPr>
                <w:rFonts w:hint="eastAsia" w:ascii="Times New Roman" w:hAnsi="Times New Roman" w:eastAsia="仿宋_GB2312" w:cs="仿宋_GB2312"/>
                <w:color w:val="auto"/>
                <w:sz w:val="24"/>
                <w:szCs w:val="24"/>
                <w:highlight w:val="none"/>
                <w:lang w:val="en-US" w:eastAsia="zh-CN"/>
              </w:rPr>
              <w:t>具，开发</w:t>
            </w:r>
            <w:r>
              <w:rPr>
                <w:rFonts w:hint="eastAsia" w:ascii="Times New Roman" w:hAnsi="Times New Roman" w:eastAsia="仿宋_GB2312" w:cs="仿宋_GB2312"/>
                <w:color w:val="auto"/>
                <w:sz w:val="24"/>
                <w:szCs w:val="24"/>
                <w:lang w:val="en-US" w:eastAsia="zh-CN"/>
              </w:rPr>
              <w:t>简单的智能终端应用，实现数据交互、界面展示、传感器调用等功能，具备对应用进行调试、优化及适配不同终端的能力</w:t>
            </w:r>
          </w:p>
          <w:p w14:paraId="5BC73BE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培养以用户需求为导向的开发思维，提升跨平台学习与团队协作能力，增强对技术迭代的敏感度与适应性。</w:t>
            </w:r>
          </w:p>
          <w:p w14:paraId="01E501D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通过开发便民类智能终端应用案例，引导学生树立科技服务民生的理念；结合我国智能终端产业的发展成就，增强民族自豪感与创新自信心。</w:t>
            </w:r>
          </w:p>
        </w:tc>
        <w:tc>
          <w:tcPr>
            <w:tcW w:w="2686" w:type="dxa"/>
            <w:vAlign w:val="top"/>
          </w:tcPr>
          <w:p w14:paraId="7F624C0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_GB2312"/>
                <w:sz w:val="24"/>
                <w:szCs w:val="24"/>
              </w:rPr>
              <w:t>详细讲解主流智能终端操作系统的架构与特性；深入剖析应用开发框架，包括视图布局、组件交互等；强化编程语言的高级编程技巧；深度钻研界面设计原则与美学，结合用户体验设计规范打造优质交互界面；系统学习数据存储与管理技术，涵盖本地数据库、云存储等应用；全面掌握网络通信在应用开发中的实现，包括 HTTP/HTTPS 协议、Socket 通信等。</w:t>
            </w:r>
          </w:p>
        </w:tc>
        <w:tc>
          <w:tcPr>
            <w:tcW w:w="1892" w:type="dxa"/>
            <w:vAlign w:val="top"/>
          </w:tcPr>
          <w:p w14:paraId="7022219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要求学生熟练运用至少一种主流开发平台，独立完成具有完整功能模块、良好用户体验的应用程序开发，程序需通过严格的测试流程，包括功能测试、性能测试、兼容性测试等，且能够根据测试反馈进行优化改进。</w:t>
            </w:r>
          </w:p>
        </w:tc>
      </w:tr>
      <w:tr w14:paraId="1679D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1E075DE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2</w:t>
            </w:r>
          </w:p>
        </w:tc>
        <w:tc>
          <w:tcPr>
            <w:tcW w:w="779" w:type="dxa"/>
            <w:vAlign w:val="center"/>
          </w:tcPr>
          <w:p w14:paraId="1835B85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智能家电技术</w:t>
            </w:r>
          </w:p>
        </w:tc>
        <w:tc>
          <w:tcPr>
            <w:tcW w:w="4495" w:type="dxa"/>
            <w:vAlign w:val="top"/>
          </w:tcPr>
          <w:p w14:paraId="7DA5F74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掌握智能家电的系统构成、工作原理及智能化控制逻辑，熟悉智能家电的网络通信协议及与智能家居平台的对接方式，了解智能家电的能效标准与安全规范。</w:t>
            </w:r>
          </w:p>
          <w:p w14:paraId="5880A7C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能分析典型智能家电的控制电路与软件逻辑，完成智能家电的安装、联网配置及简单故障排查，具备设计小型智能家电控制系统的初步能力。</w:t>
            </w:r>
          </w:p>
          <w:p w14:paraId="14F2470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培养对智能家居生态的系统认知，提升动手实践与问题解决能力，树立绿色节能与安全使用的意识。</w:t>
            </w:r>
          </w:p>
          <w:p w14:paraId="6BD1B09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结合智能家电在改善生活品质、助力老龄化社会服务中的作用，体现技术的人文关怀；强调产品质量与安全责任，培养学生的工匠精神与社会责任感。</w:t>
            </w:r>
          </w:p>
          <w:p w14:paraId="04265BB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p>
        </w:tc>
        <w:tc>
          <w:tcPr>
            <w:tcW w:w="2686" w:type="dxa"/>
            <w:vAlign w:val="top"/>
          </w:tcPr>
          <w:p w14:paraId="1E1B1DD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旨在让学生透彻理解智能家电技术体系，能够针对不同类型智能家电进行控制系统的创新设计与开发，并具备智能家电产品全生命周期管理能力。旨在让学生透彻理解智能家电技术体系，能够针对不同类型智能家电进行控制系统的创新设计与开发，并具备智能家电产品全生命周期管理能力。</w:t>
            </w:r>
          </w:p>
        </w:tc>
        <w:tc>
          <w:tcPr>
            <w:tcW w:w="1892" w:type="dxa"/>
            <w:vAlign w:val="top"/>
          </w:tcPr>
          <w:p w14:paraId="6D81696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学生需能够独立设计并实现具有多种控制功能、稳定可靠的智能家电控制系统，能够对智能家电产品进行全方位测试，包括功能测试、稳定性测试、安全性测试等，并能根据测试结果进行产品优化与故障排除。</w:t>
            </w:r>
          </w:p>
        </w:tc>
      </w:tr>
      <w:tr w14:paraId="234E0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2" w:type="dxa"/>
            <w:vAlign w:val="center"/>
          </w:tcPr>
          <w:p w14:paraId="58DFB9D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3</w:t>
            </w:r>
          </w:p>
        </w:tc>
        <w:tc>
          <w:tcPr>
            <w:tcW w:w="779" w:type="dxa"/>
            <w:vAlign w:val="center"/>
          </w:tcPr>
          <w:p w14:paraId="7070BE4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智能电子产品销售与服务</w:t>
            </w:r>
          </w:p>
        </w:tc>
        <w:tc>
          <w:tcPr>
            <w:tcW w:w="4495" w:type="dxa"/>
            <w:vAlign w:val="top"/>
          </w:tcPr>
          <w:p w14:paraId="748921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掌握智能电子产品的性能参数、市场定位及目标客户群体分析方法，熟悉销售流程、沟通技巧及售后服务规范，了解智能电子产品的行业政策与市场竞争格局。</w:t>
            </w:r>
          </w:p>
          <w:p w14:paraId="0C4DC03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能准确介绍智能电子产品的功能与优势，根据客户需求提供个性化推荐，妥善处理客户投诉与售后问题，具备开展简单市场调研与分析的能力。</w:t>
            </w:r>
          </w:p>
          <w:p w14:paraId="5052AFE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培养良好的沟通表达与客户服务意识，提升市场洞察力与应变能力，树立诚信经营与职业操守观念。</w:t>
            </w:r>
          </w:p>
          <w:p w14:paraId="7DDEF0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通过诚信销售案例，强调职业道德与社会责任；结合国产智能电子产品的品牌崛起，激发学生的民族品牌自信与推广热情。</w:t>
            </w:r>
          </w:p>
        </w:tc>
        <w:tc>
          <w:tcPr>
            <w:tcW w:w="2686" w:type="dxa"/>
            <w:vAlign w:val="top"/>
          </w:tcPr>
          <w:p w14:paraId="1415CD3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详细介绍各类智能电子产品的核心技术、功能特性、性能参数等产品知识；深入讲解市场调研方法与工具，包括用户需求调研、竞品分析等；系统学习销售策略制定与执行，涵盖销售渠道拓展、营销策略设计、销售谈判技巧等；全面掌握客户服务理念与技巧，包括客户需求挖掘、客户沟通技巧等；深入学习售后服务流程与规范，包括产品安装调试、故障维修、客户投诉处理等。</w:t>
            </w:r>
          </w:p>
        </w:tc>
        <w:tc>
          <w:tcPr>
            <w:tcW w:w="1892" w:type="dxa"/>
            <w:vAlign w:val="top"/>
          </w:tcPr>
          <w:p w14:paraId="3FF2E26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学生应能够准确、专业地向客户介绍智能电子产品，制定有效的销售方案并成功实施，能够妥善处理客户各类服务需求与投诉，建立良好的客户关系，实现客户满意度的提升与客户忠诚度的培养。</w:t>
            </w:r>
          </w:p>
        </w:tc>
      </w:tr>
      <w:tr w14:paraId="6996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7" w:hRule="atLeast"/>
          <w:jc w:val="center"/>
        </w:trPr>
        <w:tc>
          <w:tcPr>
            <w:tcW w:w="772" w:type="dxa"/>
            <w:vAlign w:val="center"/>
          </w:tcPr>
          <w:p w14:paraId="2BC65BD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4</w:t>
            </w:r>
          </w:p>
        </w:tc>
        <w:tc>
          <w:tcPr>
            <w:tcW w:w="779" w:type="dxa"/>
            <w:vAlign w:val="center"/>
          </w:tcPr>
          <w:p w14:paraId="240EA3E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智能机器人技术</w:t>
            </w:r>
          </w:p>
        </w:tc>
        <w:tc>
          <w:tcPr>
            <w:tcW w:w="4495" w:type="dxa"/>
            <w:vAlign w:val="top"/>
          </w:tcPr>
          <w:p w14:paraId="47582C0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掌握智能机器人的基本结构与工作原理，理解机器人运动控制算法、路径规划及人机交互的基本方法，了解智能机器人在工业、服务、医疗等领域的应用场景。</w:t>
            </w:r>
          </w:p>
          <w:p w14:paraId="1EA62A3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能组装简单的智能机器人，使用编程软件实现基本运动与感知功能，具备对机器人进行调试与性能优化的初步能力。</w:t>
            </w:r>
          </w:p>
          <w:p w14:paraId="18FCB52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培养跨学科整合思维，提升创新设计与团队协作能力，增强对人工智能技术的探索兴趣。</w:t>
            </w:r>
          </w:p>
          <w:p w14:paraId="576F861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结合智能机器人在工业自动化、抢险救灾等领域的应用，展现技术对社会生产力的推动作用；学习科研人员在机器人领域的攻坚精神，培养学生勇于探索、攻坚克难的品质。</w:t>
            </w:r>
          </w:p>
        </w:tc>
        <w:tc>
          <w:tcPr>
            <w:tcW w:w="2686" w:type="dxa"/>
            <w:vAlign w:val="top"/>
          </w:tcPr>
          <w:p w14:paraId="2AAE48F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深入学习机器人运动学与动力学原理，包括机器人关节运动学、空间运动学、动力学建模与控制等；全面掌握各类传感器（如视觉传感器、力传感器等）在机器人中的应用；深入探讨机器人路径规划算法，包括全局路径规划、局部路径规划等；系统学习机器学习在机器人中的应用，包括机器人自主学习、行为决策等；全面学习人机交互技术在机器人中的实现，包括语音交互、手势交互等。</w:t>
            </w:r>
          </w:p>
        </w:tc>
        <w:tc>
          <w:tcPr>
            <w:tcW w:w="1892" w:type="dxa"/>
            <w:vAlign w:val="top"/>
          </w:tcPr>
          <w:p w14:paraId="459D19D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学生需能够设计并搭建具有多种功能的智能机器人实验平台，编写高效的控制程序实现机器人复杂任务执行，能够运用机器学习算法提升机器人的智能化水平，并能根据实际应用场景对机器人系统进行优化改进。</w:t>
            </w:r>
          </w:p>
        </w:tc>
      </w:tr>
      <w:tr w14:paraId="38440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46CB67E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5</w:t>
            </w:r>
          </w:p>
        </w:tc>
        <w:tc>
          <w:tcPr>
            <w:tcW w:w="779" w:type="dxa"/>
            <w:vAlign w:val="center"/>
          </w:tcPr>
          <w:p w14:paraId="009149E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无线通信应用技术</w:t>
            </w:r>
          </w:p>
        </w:tc>
        <w:tc>
          <w:tcPr>
            <w:tcW w:w="4495" w:type="dxa"/>
            <w:vAlign w:val="top"/>
          </w:tcPr>
          <w:p w14:paraId="6885667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掌握无线通信的基本原理，熟悉常用无线通信技术的协议规范与应用场景，了解无线通信系统的组成及性能指标。</w:t>
            </w:r>
          </w:p>
          <w:p w14:paraId="0B4F168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能搭建简单的无线通信系统，使用仪器测试无线通信信号的强度与质量，排查无线通信中的常见干扰问题。</w:t>
            </w:r>
          </w:p>
          <w:p w14:paraId="5562069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培养对无线通信技术的系统认知，提升技术应用与问题诊断能力，树立规范使用频谱资源的意识</w:t>
            </w:r>
          </w:p>
          <w:p w14:paraId="61A34B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结合我国5G等无线通信技术的领先成果，增强学生的科技自信与民族自豪感；强调通信安全的重要性，培养学生信息安全意识与责任担当。</w:t>
            </w:r>
          </w:p>
        </w:tc>
        <w:tc>
          <w:tcPr>
            <w:tcW w:w="2686" w:type="dxa"/>
            <w:vAlign w:val="top"/>
          </w:tcPr>
          <w:p w14:paraId="0D3F508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详细讲解无线通信系统的组成架构，包括发射机、接收机、信道等；深入学习调制解调技术，包括模拟调制、数字调制等；全面学习信道编码技术，包括纠错编码、交织编码等；深入探讨多址技术，包括频分多址、时分多址、码分多址等；系统学习无线网络规划与优化，包括网络拓扑设计、频率规划、功率控制等。</w:t>
            </w:r>
          </w:p>
        </w:tc>
        <w:tc>
          <w:tcPr>
            <w:tcW w:w="1892" w:type="dxa"/>
            <w:vAlign w:val="top"/>
          </w:tcPr>
          <w:p w14:paraId="74E5265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学生应能够根据具体应用需求设计完整的无线通信系统方案，进行系统搭建与调试，能够运用专业工具对无线通信系统进行性能测试与优化，解决实际应用中的通信问题。</w:t>
            </w:r>
          </w:p>
        </w:tc>
      </w:tr>
      <w:tr w14:paraId="4A49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31F6C02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6</w:t>
            </w:r>
          </w:p>
        </w:tc>
        <w:tc>
          <w:tcPr>
            <w:tcW w:w="779" w:type="dxa"/>
            <w:vAlign w:val="center"/>
          </w:tcPr>
          <w:p w14:paraId="36458F0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物联网技术应用</w:t>
            </w:r>
          </w:p>
        </w:tc>
        <w:tc>
          <w:tcPr>
            <w:tcW w:w="4495" w:type="dxa"/>
            <w:vAlign w:val="top"/>
          </w:tcPr>
          <w:p w14:paraId="214B8B1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掌握物联网的体系架构及关键技术，熟悉物联网数据采集、传输与处理的基本流程，了解物联网在智能交通、智慧农业、工业物联网等领域的应用案例。</w:t>
            </w:r>
          </w:p>
          <w:p w14:paraId="3C48F50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能设计简单的物联网应用系统，完成感知节点部署、数据传输链路搭建及应用平台数据展示，具备对系统进行初步调试与优化的能力。</w:t>
            </w:r>
          </w:p>
          <w:p w14:paraId="2E54D3C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培养物联网系统的全局思维，提升跨领域技术整合能力，增强创新应用与可持续发展意识。</w:t>
            </w:r>
          </w:p>
          <w:p w14:paraId="521FE45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通过物联网技术在乡村振兴、环境保护中的应用，展现技术的社会价值；结合我国物联网产业的发展规划</w:t>
            </w:r>
            <w:r>
              <w:rPr>
                <w:rFonts w:hint="eastAsia" w:ascii="Times New Roman" w:hAnsi="Times New Roman" w:eastAsia="仿宋_GB2312" w:cs="仿宋_GB2312"/>
                <w:color w:val="auto"/>
                <w:spacing w:val="-6"/>
                <w:sz w:val="24"/>
                <w:szCs w:val="24"/>
                <w:lang w:val="en-US" w:eastAsia="zh-CN"/>
              </w:rPr>
              <w:t>，激发学生投身科技强国建设的使命感。</w:t>
            </w:r>
          </w:p>
        </w:tc>
        <w:tc>
          <w:tcPr>
            <w:tcW w:w="2686" w:type="dxa"/>
            <w:vAlign w:val="top"/>
          </w:tcPr>
          <w:p w14:paraId="6A1A96E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深入解析物联网的体系结构，包括感知层、网络层、平台层、应用层的技术构成；全面学习传感器技术与 RFID 技术在物联网中的应用；详细讲解无线传感器网络的组建与管理；系统学习云计算与大数据技术在物联网中的融合应用。</w:t>
            </w:r>
          </w:p>
        </w:tc>
        <w:tc>
          <w:tcPr>
            <w:tcW w:w="1892" w:type="dxa"/>
            <w:vAlign w:val="top"/>
          </w:tcPr>
          <w:p w14:paraId="56C7868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学生需能够设计并实现具有数据采集、传输、处理与应用功能的物联网系统，能够根据不同行业应用场景进行系统定制开发，能够对物联网系统进行安全管理与运维保障。</w:t>
            </w:r>
          </w:p>
        </w:tc>
      </w:tr>
      <w:tr w14:paraId="6C4A9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7DB4665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7</w:t>
            </w:r>
          </w:p>
        </w:tc>
        <w:tc>
          <w:tcPr>
            <w:tcW w:w="779" w:type="dxa"/>
            <w:vAlign w:val="center"/>
          </w:tcPr>
          <w:p w14:paraId="5AF50EC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人工智能程序设计</w:t>
            </w:r>
          </w:p>
        </w:tc>
        <w:tc>
          <w:tcPr>
            <w:tcW w:w="4495" w:type="dxa"/>
            <w:vAlign w:val="top"/>
          </w:tcPr>
          <w:p w14:paraId="25B6802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掌握人工智能的基本概念、常用算法及编程实现方法，熟悉人工智能开发框架的基本使用，了解人工智能在图像识别、语音处理、智能推荐等领域的应用原理。</w:t>
            </w:r>
          </w:p>
          <w:p w14:paraId="7CD66A7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能使用 Python 等语言实现简单的人工智能算法，完成小型数据集的处理与模型训练，对模型性能进行评估与优化，具备开发简单智能应用的初步能力。</w:t>
            </w:r>
          </w:p>
          <w:p w14:paraId="6C672F7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培养数据思维与算法优化意识，提升逻辑推理与创新编程能力，树立对人工智能伦理的正确认知。</w:t>
            </w:r>
          </w:p>
          <w:p w14:paraId="5CDAFAC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结合我国人工智能领域的科研突破，激发学生的创新精神与爱国情怀；讨论人工智能伦理问题，引导学生树立科技向善的价值观与社会责任感。</w:t>
            </w:r>
          </w:p>
        </w:tc>
        <w:tc>
          <w:tcPr>
            <w:tcW w:w="2686" w:type="dxa"/>
            <w:vAlign w:val="top"/>
          </w:tcPr>
          <w:p w14:paraId="3F0C6C2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深入学习机器学习算法，包括监督学习、无监督学习等；全面学习深度学习算法，包括神经网络架构（如多层感知机、卷积神经网络、循环神经网络等）、深度学习框架的应用；深入探讨自然语言处理技术，包括文本分类、情感分析、机器翻译等；系统学习计算机视觉技术，包括图像识别、目标检测、图像分割等。</w:t>
            </w:r>
          </w:p>
        </w:tc>
        <w:tc>
          <w:tcPr>
            <w:tcW w:w="1892" w:type="dxa"/>
            <w:vAlign w:val="top"/>
          </w:tcPr>
          <w:p w14:paraId="7E0952D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学生应能够运用至少一种深度学习框架实现多种人工智能算法，解决实际领域中的复杂问题，能够对人工智能模型进行优化与调参，提升模型性能，并能将人工智能技术创新性地应用于新场景。</w:t>
            </w:r>
          </w:p>
        </w:tc>
      </w:tr>
      <w:tr w14:paraId="0590D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563466F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8</w:t>
            </w:r>
          </w:p>
        </w:tc>
        <w:tc>
          <w:tcPr>
            <w:tcW w:w="779" w:type="dxa"/>
            <w:vAlign w:val="center"/>
          </w:tcPr>
          <w:p w14:paraId="0F631AB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FPGA技术及应用</w:t>
            </w:r>
          </w:p>
        </w:tc>
        <w:tc>
          <w:tcPr>
            <w:tcW w:w="4495" w:type="dxa"/>
            <w:vAlign w:val="top"/>
          </w:tcPr>
          <w:p w14:paraId="5410D47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 FPGA的基本结构、工作原理及编程模型，熟悉 FPGA 开发流程及常用开发工具，了解 FPGA 在数字信号处理、通信系统、工业控制等领域的应用。</w:t>
            </w:r>
          </w:p>
          <w:p w14:paraId="780575D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能使用硬件描述语言设计简单的数字逻辑电路，通过 FPGA 开发工具完成设计验证与下载调试，具备对 FPGA 系统进行时序分析与优化的初步能力。</w:t>
            </w:r>
          </w:p>
          <w:p w14:paraId="0D0CF92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培养硬件编程的逻辑思维，提升并行设计与系统优化能力，增强严谨细致的工程设计态度。</w:t>
            </w:r>
          </w:p>
          <w:p w14:paraId="1AAAE4F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 FPGA 在高端装备、航天航空等领域的应用，强调核心技术自主可控的重要性；学习工程师在 FPGA 设计中的精益求精精神，培养学生的工匠精神与家国情怀。</w:t>
            </w:r>
          </w:p>
        </w:tc>
        <w:tc>
          <w:tcPr>
            <w:tcW w:w="2686" w:type="dxa"/>
            <w:vAlign w:val="top"/>
          </w:tcPr>
          <w:p w14:paraId="746FF59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详细讲解 FPGA 的体系结构，包括可编程逻辑单元、布线资源、I/O 单元等；深入学习硬件描述语言的高级编程技巧；全面学习逻辑设计方法，包括组合逻辑设计、时序逻辑设计等；深入探讨时序分析与优化方法；系统学习 IP 核的应用与开发。</w:t>
            </w:r>
          </w:p>
        </w:tc>
        <w:tc>
          <w:tcPr>
            <w:tcW w:w="1892" w:type="dxa"/>
            <w:vAlign w:val="top"/>
          </w:tcPr>
          <w:p w14:paraId="7303E49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学生需能够运用硬件描述语言设计复杂数字逻辑电路，使用 FPGA 开发工具进行综合、仿真、布局布线与下载，实现具有高性能、低功耗的数字系统功能，并能对设计进行优化与改进。</w:t>
            </w:r>
          </w:p>
        </w:tc>
      </w:tr>
      <w:tr w14:paraId="73959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0475279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9</w:t>
            </w:r>
          </w:p>
        </w:tc>
        <w:tc>
          <w:tcPr>
            <w:tcW w:w="779" w:type="dxa"/>
            <w:vAlign w:val="center"/>
          </w:tcPr>
          <w:p w14:paraId="0B37EB0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集成电路测试技术</w:t>
            </w:r>
          </w:p>
        </w:tc>
        <w:tc>
          <w:tcPr>
            <w:tcW w:w="4495" w:type="dxa"/>
            <w:vAlign w:val="top"/>
          </w:tcPr>
          <w:p w14:paraId="25F26E7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掌握集成电路的基本结构、测试原理及测试流程，熟悉常用集成电路测试设备的工作原理与操作规范，了解集成电路测试标准与故障分析方法。</w:t>
            </w:r>
          </w:p>
          <w:p w14:paraId="2B23932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能参与简单集成电路的测试方案设计，操作测试设备完成芯片的功能与性能测试，记录分析测试数据并判断芯片合格性，具备初步排查测试过程中常见问题的能力。</w:t>
            </w:r>
          </w:p>
          <w:p w14:paraId="0C6418E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培养对集成电路质量的严苛意识，提升精密操作与数据分析能力，树立团队协作中的责任分工观念。</w:t>
            </w:r>
          </w:p>
          <w:p w14:paraId="29D0148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结合我国集成电路产业的发展困境与突围努力，激发学生的产业使命感与技术攻坚精神；强调测试工作对芯片可靠性的关键作用，培养学生的质量责任与严谨态度。</w:t>
            </w:r>
          </w:p>
        </w:tc>
        <w:tc>
          <w:tcPr>
            <w:tcW w:w="2686" w:type="dxa"/>
            <w:vAlign w:val="top"/>
          </w:tcPr>
          <w:p w14:paraId="3E1C46A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详细讲解集成电路测试原理，包括功能测试、性能测试、可靠性测试等；深入学习测试向量生成方法，包括基于故障模型的测试向量生成、随机测试向量生成等；全面学习测试设备与仪器的操作与应用，包括自动测试设备（ATE）、示波器、逻辑分析仪等；深入探讨故障诊断与分析方法，包括基于测试结果的故障定位、故障机理分析等。</w:t>
            </w:r>
          </w:p>
        </w:tc>
        <w:tc>
          <w:tcPr>
            <w:tcW w:w="1892" w:type="dxa"/>
            <w:vAlign w:val="top"/>
          </w:tcPr>
          <w:p w14:paraId="5A7D429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学生应能够根据集成电路设计规范制定详细的测试方案，熟练操作测试设备进行各类测试，准确分析测试结果，定位并解决集成电路中的故障问题。</w:t>
            </w:r>
          </w:p>
        </w:tc>
      </w:tr>
      <w:tr w14:paraId="07F1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1B94CD7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10</w:t>
            </w:r>
          </w:p>
        </w:tc>
        <w:tc>
          <w:tcPr>
            <w:tcW w:w="779" w:type="dxa"/>
            <w:vAlign w:val="center"/>
          </w:tcPr>
          <w:p w14:paraId="7C5C266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集成电路设计技术</w:t>
            </w:r>
          </w:p>
        </w:tc>
        <w:tc>
          <w:tcPr>
            <w:tcW w:w="4495" w:type="dxa"/>
            <w:vAlign w:val="top"/>
          </w:tcPr>
          <w:p w14:paraId="2B5FBE1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掌握集成电路设计的基本流程、常用设计方法及设计工具，熟悉数字集成电路的基本单元及设计规范，了解集成电路制造工艺的基本原理。</w:t>
            </w:r>
          </w:p>
          <w:p w14:paraId="1291A29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能使用硬件描述语言完成简单数字集成电路的前端设计与仿真验证，参与后端布局布线的初步工作，具备对设计结果进行基本时序分析的能力。</w:t>
            </w:r>
          </w:p>
          <w:p w14:paraId="352ACA5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培养集成电路设计的系统思维，提升复杂问题拆解与团队协作能力，增强对前沿技术的学习主动性。</w:t>
            </w:r>
          </w:p>
          <w:p w14:paraId="4EC4D16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通过我国集成电路设计领域的自主创新案例，激发学生的科技自立自强意识；强调设计过程中的知识产</w:t>
            </w:r>
            <w:r>
              <w:rPr>
                <w:rFonts w:hint="eastAsia" w:ascii="Times New Roman" w:hAnsi="Times New Roman" w:eastAsia="仿宋_GB2312" w:cs="仿宋_GB2312"/>
                <w:color w:val="auto"/>
                <w:spacing w:val="-6"/>
                <w:sz w:val="24"/>
                <w:szCs w:val="24"/>
                <w:lang w:val="en-US" w:eastAsia="zh-CN"/>
              </w:rPr>
              <w:t>权保护，培养学生的法律意识与创新伦理。</w:t>
            </w:r>
          </w:p>
        </w:tc>
        <w:tc>
          <w:tcPr>
            <w:tcW w:w="2686" w:type="dxa"/>
            <w:vAlign w:val="top"/>
          </w:tcPr>
          <w:p w14:paraId="77ABC15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深入解析集成电路设计流程，包括需求分析、规格制定、前端设计、后端设计等；全面学习半导体器件物理基础；详细讲解电路设计方法，包括模拟电路设计、数字电路设计等；深入探讨版图设计规则与技巧；系统学习设计验证方法，包括功能验证、物理验证等。</w:t>
            </w:r>
          </w:p>
        </w:tc>
        <w:tc>
          <w:tcPr>
            <w:tcW w:w="1892" w:type="dxa"/>
            <w:vAlign w:val="top"/>
          </w:tcPr>
          <w:p w14:paraId="4AD5714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学生需能够根据设计需求完成集成电路的前端设计与后端版图设计，通过严格的设计验证流程，确保设计的正确性与可靠性，并能对设计进行优化以满足性能、面积、功耗等指标要求。</w:t>
            </w:r>
          </w:p>
        </w:tc>
      </w:tr>
      <w:tr w14:paraId="2764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7708E86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11</w:t>
            </w:r>
          </w:p>
        </w:tc>
        <w:tc>
          <w:tcPr>
            <w:tcW w:w="779" w:type="dxa"/>
            <w:vAlign w:val="center"/>
          </w:tcPr>
          <w:p w14:paraId="27350D5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电机与电气控制技术</w:t>
            </w:r>
          </w:p>
        </w:tc>
        <w:tc>
          <w:tcPr>
            <w:tcW w:w="4495" w:type="dxa"/>
            <w:vAlign w:val="top"/>
          </w:tcPr>
          <w:p w14:paraId="2C20AA1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掌握常用电机的工作原理、特性及控制方法，熟悉电气控制电路的基本组成及典型控制环节，了解电机拖动系统的设计与选型原则。</w:t>
            </w:r>
          </w:p>
          <w:p w14:paraId="0E785A0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能分析典型电机控制电路的工作原理，正确连接与调试简单的电气控制线路，使用仪器测量电机的工作参数，具备初步排查电机及控制电路故障的能力。</w:t>
            </w:r>
          </w:p>
          <w:p w14:paraId="4AE64BC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培养电气控制的安全操作意识，提升动手实践与系统分析能力，树立节能环保的电机应用理念。</w:t>
            </w:r>
          </w:p>
          <w:p w14:paraId="6B2F2D5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结合电机技术在工业生产、轨道交通等国家基础设施中的应用，展现技术对国家发展的支撑作用；学习电气工程师的安全责任案例，培养学生的安全意识与职业操守。</w:t>
            </w:r>
          </w:p>
        </w:tc>
        <w:tc>
          <w:tcPr>
            <w:tcW w:w="2686" w:type="dxa"/>
            <w:vAlign w:val="top"/>
          </w:tcPr>
          <w:p w14:paraId="476226E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深入学习电机的结构与原理，包括直流电机、交流电机、步进电机等；全面学习电机的特性分析，包括机械特性、调速特性等；详细讲解电气控制电路设计，包括继电器接触器控制电路、PLC 控制电路等；深入探讨 PLC 控制技术在电机控制中的应用，包括 PLC 编程、电机控制算法实现等。</w:t>
            </w:r>
          </w:p>
        </w:tc>
        <w:tc>
          <w:tcPr>
            <w:tcW w:w="1892" w:type="dxa"/>
            <w:vAlign w:val="top"/>
          </w:tcPr>
          <w:p w14:paraId="0670BAB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学生应能够根据实际应用需求设计合理的电机控制系统，进行电气控制电路的安装与调试，熟练运用 PLC 编程实现电机的精确控制，并能对电机控制系统进行故障诊断与维护。</w:t>
            </w:r>
          </w:p>
        </w:tc>
      </w:tr>
      <w:tr w14:paraId="0B631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1B8B7D7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12</w:t>
            </w:r>
          </w:p>
        </w:tc>
        <w:tc>
          <w:tcPr>
            <w:tcW w:w="779" w:type="dxa"/>
            <w:vAlign w:val="center"/>
          </w:tcPr>
          <w:p w14:paraId="6D16EDB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PLC技术应用</w:t>
            </w:r>
          </w:p>
        </w:tc>
        <w:tc>
          <w:tcPr>
            <w:tcW w:w="4495" w:type="dxa"/>
            <w:vAlign w:val="top"/>
          </w:tcPr>
          <w:p w14:paraId="6AF1440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 PLC的基本结构、工作原理、编程语言及编程规则，熟悉 PLC 的输入输出接口、通信功能及与外围设备的连接方式，了解 PLC 在工业自动化生产线、机床控制等领域的应用案例</w:t>
            </w:r>
          </w:p>
          <w:p w14:paraId="5843ED5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能根据控制需求进行 PLC 控制系统的硬件选型与电路设计，使用编程软件编写与调试控制程序，实现对电机、阀门等设备的逻辑控制与过程控制。</w:t>
            </w:r>
          </w:p>
          <w:p w14:paraId="4A01089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培养工业控制的逻辑思维，提升自动化系统设计与调试能力，增强对工业 4.0 等前沿趋势的认知。</w:t>
            </w:r>
          </w:p>
          <w:p w14:paraId="744DA63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 PLC 技术在智能制造中的应用，展现我国工业自动化的发展成就，激发学生的产业自信；强调程序设计的严谨性对生产安全的重要性，培养学生的责任意识与工匠精神。</w:t>
            </w:r>
          </w:p>
        </w:tc>
        <w:tc>
          <w:tcPr>
            <w:tcW w:w="2686" w:type="dxa"/>
            <w:vAlign w:val="top"/>
          </w:tcPr>
          <w:p w14:paraId="389F85C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详细讲解 PLC 的硬件结构，包括 CPU 模块、I/O 模块、电源模块等；深入学习 PLC 的编程语言，包括梯形图、指令表、功能块图等；全面学习逻辑控制编程方法，包括顺序控制、条件控制等；深入探讨定时器与计数器的应用；系统学习数据处理与通信网络技术在 PLC 中的应用。</w:t>
            </w:r>
          </w:p>
        </w:tc>
        <w:tc>
          <w:tcPr>
            <w:tcW w:w="1892" w:type="dxa"/>
            <w:vAlign w:val="top"/>
          </w:tcPr>
          <w:p w14:paraId="436C912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通过教师运用信息化技术学生需能够根据工业自动化控制要求编写高效、可靠的 PLC 程序，进行 PLC 控制系统的硬件选型与安装调试，实现复杂工业生产过程的自动化控制，并能对 PLC 系统进行维护与升级。</w:t>
            </w:r>
          </w:p>
        </w:tc>
      </w:tr>
      <w:tr w14:paraId="71701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3D89B86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13</w:t>
            </w:r>
          </w:p>
        </w:tc>
        <w:tc>
          <w:tcPr>
            <w:tcW w:w="779" w:type="dxa"/>
            <w:vAlign w:val="center"/>
          </w:tcPr>
          <w:p w14:paraId="1A806B8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虚拟仪器技术应用</w:t>
            </w:r>
          </w:p>
        </w:tc>
        <w:tc>
          <w:tcPr>
            <w:tcW w:w="4495" w:type="dxa"/>
            <w:vAlign w:val="top"/>
          </w:tcPr>
          <w:p w14:paraId="4EF865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掌握虚拟仪器的基本概念、构成及工作原理，熟悉 LabVIEW 等虚拟仪器开发软件的编程环境与常用函数，了解虚拟仪器在数据采集、自动测试、过程监控等领域的应用。</w:t>
            </w:r>
          </w:p>
          <w:p w14:paraId="3EEBC6D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能使用虚拟仪器开发软件设计简单的测试系统，完成硬件设备与软件的连接调试，实现数据的实时显示、存储与分析。</w:t>
            </w:r>
          </w:p>
          <w:p w14:paraId="0CD115A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培养软件与硬件结合的系统设计思维，提升技术创新与跨平台应用能力</w:t>
            </w:r>
            <w:r>
              <w:rPr>
                <w:rFonts w:hint="eastAsia" w:ascii="Times New Roman" w:hAnsi="Times New Roman" w:eastAsia="仿宋_GB2312" w:cs="仿宋_GB2312"/>
                <w:color w:val="auto"/>
                <w:spacing w:val="-6"/>
                <w:sz w:val="24"/>
                <w:szCs w:val="24"/>
                <w:lang w:val="en-US" w:eastAsia="zh-CN"/>
              </w:rPr>
              <w:t>，增强对测试技术自动化、智能化的理解。</w:t>
            </w:r>
          </w:p>
          <w:p w14:paraId="3531FFC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结合虚拟仪器在科研、国防等领域的应用，强调自主可控测试技术的重要性；通过设计高效便捷的测试系统，培养学生的创新意识与服务科研的理念。</w:t>
            </w:r>
          </w:p>
        </w:tc>
        <w:tc>
          <w:tcPr>
            <w:tcW w:w="2686" w:type="dxa"/>
            <w:vAlign w:val="top"/>
          </w:tcPr>
          <w:p w14:paraId="4B5E1A9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深入解析虚拟仪器的体系结构，包括硬件平台、软件平台等；全面学习软件开发平台的编程技巧，包括图形化编程、数据采集与处理、仪器面板设计等；详细讲解数据采集与处理技术，包括模拟信号采集、数字信号处理等；深入探讨仪器面板设计原则与方法；系统学习测试系统集成技术。</w:t>
            </w:r>
          </w:p>
        </w:tc>
        <w:tc>
          <w:tcPr>
            <w:tcW w:w="1892" w:type="dxa"/>
            <w:vAlign w:val="top"/>
          </w:tcPr>
          <w:p w14:paraId="69EB06E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学生应能够运用虚拟仪器开发平台设计具有多种功能的虚拟仪器，进行数据采集与分析处理，实现测试系统的集成与优化，满足不同测试测量应用场景的需求。</w:t>
            </w:r>
          </w:p>
        </w:tc>
      </w:tr>
      <w:tr w14:paraId="633F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506527C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14</w:t>
            </w:r>
          </w:p>
        </w:tc>
        <w:tc>
          <w:tcPr>
            <w:tcW w:w="779" w:type="dxa"/>
            <w:vAlign w:val="center"/>
          </w:tcPr>
          <w:p w14:paraId="7A7E5F8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电子创新设计与制作</w:t>
            </w:r>
          </w:p>
        </w:tc>
        <w:tc>
          <w:tcPr>
            <w:tcW w:w="4495" w:type="dxa"/>
            <w:vAlign w:val="top"/>
          </w:tcPr>
          <w:p w14:paraId="4443007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掌握电子创新设计的流程及方法，熟悉常用电子元器件的特性与选型技巧，了解创新设计中知识产权保护的基本常识。</w:t>
            </w:r>
          </w:p>
          <w:p w14:paraId="2D1F95C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能结合实际需求提出电子创新设计方案，使用 EDA 工具完成电路设计与仿真，动手制作产品原型并进行功能测试与优化，具备撰写设计报告与展示创新成果的能力。</w:t>
            </w:r>
          </w:p>
          <w:p w14:paraId="4AE88F3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培养创新思维与实践探索精神，提升团队协作与问题解决能力，增强对科技发明的兴趣与热情。</w:t>
            </w:r>
          </w:p>
          <w:p w14:paraId="0E9CA5D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通过我国青少年电子创新大赛中的优秀案例，激发学生的创新热情与报国志向；强调创新过程中的坚持不懈与团队协作，培养学生的毅力与集体荣誉感。</w:t>
            </w:r>
          </w:p>
        </w:tc>
        <w:tc>
          <w:tcPr>
            <w:tcW w:w="2686" w:type="dxa"/>
            <w:vAlign w:val="top"/>
          </w:tcPr>
          <w:p w14:paraId="7A37B27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全面复习电子电路设计基础，包括模拟电路设计、数字电路设计等；深入学习创新设计方法与理念，包括头脑风暴、TRIZ 理论等；详细讲解电子元件选型与应用，包括电阻、电容、电感、集成电路等；深入探讨 PCB 设计与制作流程与技巧；系统学习电子系统调试与优化方法。</w:t>
            </w:r>
          </w:p>
        </w:tc>
        <w:tc>
          <w:tcPr>
            <w:tcW w:w="1892" w:type="dxa"/>
            <w:vAlign w:val="top"/>
          </w:tcPr>
          <w:p w14:paraId="62A09C7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学生需能够提出创新性电子系统设计方案，进行电路设计、元件选型、PCB 制作与系统调试，实现具有创新性功能的电子系统，并能撰写详细的设计报告与总结经验。</w:t>
            </w:r>
          </w:p>
        </w:tc>
      </w:tr>
      <w:tr w14:paraId="2138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01C61AB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15</w:t>
            </w:r>
          </w:p>
        </w:tc>
        <w:tc>
          <w:tcPr>
            <w:tcW w:w="779" w:type="dxa"/>
            <w:vAlign w:val="center"/>
          </w:tcPr>
          <w:p w14:paraId="71324EB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数字视听设备</w:t>
            </w:r>
          </w:p>
        </w:tc>
        <w:tc>
          <w:tcPr>
            <w:tcW w:w="4495" w:type="dxa"/>
            <w:vAlign w:val="top"/>
          </w:tcPr>
          <w:p w14:paraId="5506FBC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掌握数字视听设备的基本结构、工作原理及信号处理流程，熟悉数字音视频编码标准及接口规范，了解数字视听技术的发展趋势。</w:t>
            </w:r>
          </w:p>
          <w:p w14:paraId="45C69E6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能分析数字视听设备的电路组成与工作状态，完成设备的安装、调试与日常维护，排查常见故障。</w:t>
            </w:r>
          </w:p>
          <w:p w14:paraId="4C388F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培养对数字视听技术的审美与品质追求，提升动手操作与技术理解能力，树立科技改善生活体验的意识。</w:t>
            </w:r>
          </w:p>
          <w:p w14:paraId="12BFC01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结合我国数字视听产业的自主创新成果，增强民族品牌自信；强调设备使用中的版权保护，培养学生的法律意识与文化尊重。</w:t>
            </w:r>
          </w:p>
        </w:tc>
        <w:tc>
          <w:tcPr>
            <w:tcW w:w="2686" w:type="dxa"/>
            <w:vAlign w:val="top"/>
          </w:tcPr>
          <w:p w14:paraId="3AA2F49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深入学习数字音频技术，包括音频编码、解码、混音等；全面学习数字视频技术，包括视频编码、解码、图像处理等；详细讲解数字视听设备的结构与原理，包括数字电视、投影仪、音响系统等；深入探讨数字视听设备的操作与调试方法；系统学习数字视听设备的维护与管理知识。</w:t>
            </w:r>
          </w:p>
        </w:tc>
        <w:tc>
          <w:tcPr>
            <w:tcW w:w="1892" w:type="dxa"/>
            <w:vAlign w:val="top"/>
          </w:tcPr>
          <w:p w14:paraId="19D9D9A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学生应能够熟练操作各类数字视听设备，进行设备的安装、调试与故障排除，能够对数字视听设备进行定期维护与管理，确保设备的正常运行与性能优化。</w:t>
            </w:r>
          </w:p>
        </w:tc>
      </w:tr>
      <w:tr w14:paraId="12C12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2F6AE90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16</w:t>
            </w:r>
          </w:p>
        </w:tc>
        <w:tc>
          <w:tcPr>
            <w:tcW w:w="779" w:type="dxa"/>
            <w:vAlign w:val="center"/>
          </w:tcPr>
          <w:p w14:paraId="640EDFF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新能源电子器件</w:t>
            </w:r>
          </w:p>
        </w:tc>
        <w:tc>
          <w:tcPr>
            <w:tcW w:w="4495" w:type="dxa"/>
            <w:vAlign w:val="top"/>
          </w:tcPr>
          <w:p w14:paraId="575456C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掌握新能源电子器件的工作原理、特性参数及应用场景，熟悉器件的选型标准、测试方法及安全使用规范，了解新能源电子器件的技术发展动态。</w:t>
            </w:r>
          </w:p>
          <w:p w14:paraId="60B1E06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能识别不同类型的新能源电子器件，使用仪器测量其关键参数，分析器件在电路中的工作状态，具备初步选择与应用新能源电子器件的能力。</w:t>
            </w:r>
          </w:p>
          <w:p w14:paraId="5DE4071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培养对新能源技术的环保认知，提升技术应用与参数分析能力，树立可持续发展理念。</w:t>
            </w:r>
          </w:p>
          <w:p w14:paraId="1024CE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结合我国在新能源领域的领先地位及 “双碳” 目标，激发学生的绿色发展意识与时代责任感；学习科研人员在新能源器件研发中的攻坚精神，培养学生的创新精神与毅力。</w:t>
            </w:r>
          </w:p>
        </w:tc>
        <w:tc>
          <w:tcPr>
            <w:tcW w:w="2686" w:type="dxa"/>
            <w:vAlign w:val="top"/>
          </w:tcPr>
          <w:p w14:paraId="1DC6F88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深入学习太阳能电池、风力发电机、锂离子电池等新能源器件的工作原理与性能特性；全面学习新能源发电系统的控制技术，包括最大功率点跟踪、逆变器控制等；详细讲解新能源储能系统的管理技术，包括电池管理系统（BMS）等；深入探讨新能源电子器件的应用场景与系统集成方法。</w:t>
            </w:r>
          </w:p>
        </w:tc>
        <w:tc>
          <w:tcPr>
            <w:tcW w:w="1892" w:type="dxa"/>
            <w:vAlign w:val="top"/>
          </w:tcPr>
          <w:p w14:paraId="309DE08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学生应能够根据实际需求设计新能源发电与储能系统方案，选择合适的新能源电子器件进行系统搭建与调试，能够对新能源系统进行性能分析与优化改进。</w:t>
            </w:r>
          </w:p>
        </w:tc>
      </w:tr>
      <w:tr w14:paraId="11169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4" w:hRule="atLeast"/>
          <w:jc w:val="center"/>
        </w:trPr>
        <w:tc>
          <w:tcPr>
            <w:tcW w:w="772" w:type="dxa"/>
            <w:vAlign w:val="center"/>
          </w:tcPr>
          <w:p w14:paraId="089F67D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17</w:t>
            </w:r>
          </w:p>
        </w:tc>
        <w:tc>
          <w:tcPr>
            <w:tcW w:w="779" w:type="dxa"/>
            <w:vAlign w:val="center"/>
          </w:tcPr>
          <w:p w14:paraId="269E83C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新能源汽车电子技术</w:t>
            </w:r>
          </w:p>
        </w:tc>
        <w:tc>
          <w:tcPr>
            <w:tcW w:w="4495" w:type="dxa"/>
            <w:vAlign w:val="top"/>
          </w:tcPr>
          <w:p w14:paraId="4B22A46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掌握新能源汽车的电子控制系统组成，熟悉新能源汽车的充电技术、高压安全规范及车载网络通信原理，了解新能源汽车电子技术的发展趋势。</w:t>
            </w:r>
          </w:p>
          <w:p w14:paraId="077E706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能分析新能源汽车电子控制系统的基本工作原理，使用专用设备读取车载故障码，完成简单的高压部件检查与低压电路故障排查，具备初步的新能源汽车电子系统维护能力。</w:t>
            </w:r>
          </w:p>
          <w:p w14:paraId="6F1E02E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培养新能源汽车技术的安全操作意识，提升系统思维与故障诊断能力，增强对汽车产业变革的适应性。</w:t>
            </w:r>
          </w:p>
          <w:p w14:paraId="4A7B79B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结合我国新能源汽车产业的崛起与技术突破，增强学生的民族自豪感与产业自信；强调高压安全操作规范，培养学生的安全责任与严谨态度。</w:t>
            </w:r>
          </w:p>
        </w:tc>
        <w:tc>
          <w:tcPr>
            <w:tcW w:w="2686" w:type="dxa"/>
            <w:vAlign w:val="top"/>
          </w:tcPr>
          <w:p w14:paraId="645FCD0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深入解析新能源汽车的电气系统架构，包括高压系统、低压系统等；全面学习电池管理系统（BMS）的原理与应用，包括电池状态监测、充放电控制等；详细讲解驱动电机控制系统的原理与实现，包括电机控制算法、逆变器设计等；深入探讨充电系统的技术与应用，包括交流充电、直流充电等；系统学习电子控制单元（ECU）的功能与开发。</w:t>
            </w:r>
          </w:p>
        </w:tc>
        <w:tc>
          <w:tcPr>
            <w:tcW w:w="1892" w:type="dxa"/>
            <w:vAlign w:val="top"/>
          </w:tcPr>
          <w:p w14:paraId="5B3FFCD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学生需能够根据新能源汽车设计要求进行电子系统的设计与选型，进行电子系统的安装调试与维护，能够运用专业工具对新能源汽车电子系统进行故障诊断与修复。</w:t>
            </w:r>
          </w:p>
        </w:tc>
      </w:tr>
      <w:tr w14:paraId="731F1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36E37F7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18</w:t>
            </w:r>
          </w:p>
        </w:tc>
        <w:tc>
          <w:tcPr>
            <w:tcW w:w="779" w:type="dxa"/>
            <w:vAlign w:val="center"/>
          </w:tcPr>
          <w:p w14:paraId="02776DC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铁道车辆电子技术</w:t>
            </w:r>
          </w:p>
        </w:tc>
        <w:tc>
          <w:tcPr>
            <w:tcW w:w="4495" w:type="dxa"/>
            <w:vAlign w:val="top"/>
          </w:tcPr>
          <w:p w14:paraId="21518D5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掌握铁道车辆的电子系统组成，熟悉各电子系统的工作原理、控制逻辑及故障诊断方法，了解铁道车辆电子技术的行业标准与安全规范。</w:t>
            </w:r>
          </w:p>
          <w:p w14:paraId="3CDB59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识别铁道车辆电子系统的关键部件，分析典型电子控制系统的工作流程，了解系统调试与故障排查工作，具备阅读铁道车辆电子系统原理图的能力。</w:t>
            </w:r>
          </w:p>
          <w:p w14:paraId="5CA893B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培养对</w:t>
            </w:r>
            <w:r>
              <w:rPr>
                <w:rFonts w:hint="eastAsia" w:ascii="Times New Roman" w:hAnsi="Times New Roman" w:eastAsia="仿宋_GB2312" w:cs="仿宋_GB2312"/>
                <w:color w:val="auto"/>
                <w:sz w:val="24"/>
                <w:szCs w:val="24"/>
                <w:highlight w:val="none"/>
                <w:lang w:val="en-US" w:eastAsia="zh-CN"/>
              </w:rPr>
              <w:t>铁道</w:t>
            </w:r>
            <w:r>
              <w:rPr>
                <w:rFonts w:hint="eastAsia" w:ascii="Times New Roman" w:hAnsi="Times New Roman" w:eastAsia="仿宋_GB2312" w:cs="仿宋_GB2312"/>
                <w:color w:val="auto"/>
                <w:sz w:val="24"/>
                <w:szCs w:val="24"/>
                <w:lang w:val="en-US" w:eastAsia="zh-CN"/>
              </w:rPr>
              <w:t>交通技术的安全敬畏意识，提升系统分析与团队协作能力，增强对国家轨道交通事业发展的认同感</w:t>
            </w:r>
          </w:p>
          <w:p w14:paraId="5C8476E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通过我国高铁电子技术的自主创新与领先成就，激发学生的爱国情怀与民族自信；强调铁道车辆电子系统的可靠性对行车安全的重要性，培养学生的责任担当与工匠精神。</w:t>
            </w:r>
          </w:p>
        </w:tc>
        <w:tc>
          <w:tcPr>
            <w:tcW w:w="2686" w:type="dxa"/>
            <w:vAlign w:val="top"/>
          </w:tcPr>
          <w:p w14:paraId="00F81E1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深入学习铁道车辆的电气系统，包括牵引系统、辅助供电系统等；全面学习电子控制装置在铁道车辆中的应用，包括列车网络控制系统、制动控制系统等；详细讲解通信与信号系统在铁道车辆中的原理与应用；深入探讨传感器技术在铁道车辆中的应用；系统学习铁道车辆电子设备的维护与检修方法。</w:t>
            </w:r>
          </w:p>
        </w:tc>
        <w:tc>
          <w:tcPr>
            <w:tcW w:w="1892" w:type="dxa"/>
            <w:vAlign w:val="top"/>
          </w:tcPr>
          <w:p w14:paraId="541D6EE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学生应能够熟练掌握铁道车辆电子设备的工作原理与操作方法，进行电子设备的日常维护与定期检修，能够运用专业知识解决电子设备故障问题，并能对电子设备进行技术改进与优化。</w:t>
            </w:r>
          </w:p>
        </w:tc>
      </w:tr>
      <w:tr w14:paraId="0E6D0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300F786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19</w:t>
            </w:r>
          </w:p>
        </w:tc>
        <w:tc>
          <w:tcPr>
            <w:tcW w:w="779" w:type="dxa"/>
            <w:vAlign w:val="center"/>
          </w:tcPr>
          <w:p w14:paraId="5EF65ED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电子信息类专业英语</w:t>
            </w:r>
          </w:p>
        </w:tc>
        <w:tc>
          <w:tcPr>
            <w:tcW w:w="4495" w:type="dxa"/>
            <w:vAlign w:val="top"/>
          </w:tcPr>
          <w:p w14:paraId="45BB576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掌握电子信息领域的专业词汇、常用句型及文献写作规范，熟悉英文技术手册、学术论文、行业报告的结构与阅读方法，了解国际电子信息领域的前沿动态与专业英语表达习惯。</w:t>
            </w:r>
          </w:p>
          <w:p w14:paraId="63B363F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能阅读和理解英文专业资料，撰写简单的英文技术报告或邮件，具备基本的专业英语听说交流能力。</w:t>
            </w:r>
          </w:p>
          <w:p w14:paraId="1661618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培养跨文化交流意识，提升获取国际前沿信息的能力，增强专业学习的国际化视野。</w:t>
            </w:r>
          </w:p>
          <w:p w14:paraId="792024D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通过翻译我国电子信息领域的创新成果英文资料，传播中国科技声音，增强学生的文化自信；了解国际合作中的技术伦理与规范，培养学生的全球视野与责任担当。</w:t>
            </w:r>
          </w:p>
        </w:tc>
        <w:tc>
          <w:tcPr>
            <w:tcW w:w="2686" w:type="dxa"/>
            <w:vAlign w:val="top"/>
          </w:tcPr>
          <w:p w14:paraId="65ED24A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系统学习电子信息领域的专业词汇，包括电路、通信、计算机等方向；深入学习专业文献阅读技巧，包括科技论文、专利文献等；全面学习专业英语写作规范，包括学术论文写作、技术报告写作等；深入探讨专业英语听说能力训练，包括学术会议报告、技术交流讨论等。</w:t>
            </w:r>
          </w:p>
        </w:tc>
        <w:tc>
          <w:tcPr>
            <w:tcW w:w="1892" w:type="dxa"/>
            <w:vAlign w:val="top"/>
          </w:tcPr>
          <w:p w14:paraId="2ED751D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学生应能够快速准确阅读电子信息领域英文文献，提取关键信息；能够按照国际规范撰写专业英语报告与论文；能够在国际学术交流场合流利表达观点，进行专业沟通与交流。</w:t>
            </w:r>
          </w:p>
        </w:tc>
      </w:tr>
      <w:tr w14:paraId="6BB01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2" w:type="dxa"/>
            <w:vAlign w:val="center"/>
          </w:tcPr>
          <w:p w14:paraId="6F6DA45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20</w:t>
            </w:r>
          </w:p>
        </w:tc>
        <w:tc>
          <w:tcPr>
            <w:tcW w:w="779" w:type="dxa"/>
            <w:vAlign w:val="center"/>
          </w:tcPr>
          <w:p w14:paraId="1B3E97A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电子产品营销</w:t>
            </w:r>
          </w:p>
        </w:tc>
        <w:tc>
          <w:tcPr>
            <w:tcW w:w="4495" w:type="dxa"/>
            <w:vAlign w:val="top"/>
          </w:tcPr>
          <w:p w14:paraId="46B6839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掌握电子产品的市场调研方法、目标市场定位策略及营销组合理论，熟悉电子产品的品牌建设、竞品分析及线上线下营销策略，了解电子市场的法律法规与行业竞争规则。</w:t>
            </w:r>
          </w:p>
          <w:p w14:paraId="639685F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能制定简单的电子产品营销方案，开展市场调研与数据分析，运用新媒体等渠道进行产品推广，具备与客户进行有效沟通及促成交易的能力。</w:t>
            </w:r>
          </w:p>
          <w:p w14:paraId="683B79C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培养市场敏锐度与客户服务意识，提升团队协作与资源整合能力，树立诚信经营与合规营销的职业操守，增强对市场动态的适应能力。</w:t>
            </w:r>
          </w:p>
          <w:p w14:paraId="03EC1E5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国产电子产品走向国际市场的案例，激发学生的民族自豪感与品牌自信心；通过分析营销中的伦理困境，引导学生坚守职业道德底线，培养社会责任意识；强调团队协作在营销中的重要性，增强集体荣誉感与合作精神。</w:t>
            </w:r>
          </w:p>
        </w:tc>
        <w:tc>
          <w:tcPr>
            <w:tcW w:w="2686" w:type="dxa"/>
            <w:vAlign w:val="top"/>
          </w:tcPr>
          <w:p w14:paraId="58A0FF0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深入学习电子产品市场分析方法，包括市场规模预测、市场趋势分析等；全面学习产品定位与品牌建设策略；详细讲解电子产品营销策略制定，包括产品策略、价格策略、渠道策略、促销策略等；深入探讨客户关系管理在电子产品营销中的应用；系统学习销售团队管理与销售技巧提升方法。</w:t>
            </w:r>
          </w:p>
        </w:tc>
        <w:tc>
          <w:tcPr>
            <w:tcW w:w="1892" w:type="dxa"/>
            <w:vAlign w:val="top"/>
          </w:tcPr>
          <w:p w14:paraId="43C8D7D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sz w:val="24"/>
                <w:szCs w:val="24"/>
              </w:rPr>
              <w:t>学生应能够根据电子产品特点与市场需求制定完整的市场营销方案，有效拓展销售渠道，运用销售技巧提升产品销量，维护良好的客户关系，实现电子产品营销目标。</w:t>
            </w:r>
          </w:p>
        </w:tc>
      </w:tr>
    </w:tbl>
    <w:p w14:paraId="456F07F7">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9"/>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4</w:t>
      </w:r>
      <w:r>
        <w:rPr>
          <w:rFonts w:hint="eastAsia" w:ascii="Times New Roman" w:hAnsi="Times New Roman" w:eastAsia="仿宋_GB2312" w:cs="仿宋_GB2312"/>
          <w:color w:val="auto"/>
          <w:sz w:val="32"/>
          <w:szCs w:val="32"/>
        </w:rPr>
        <w:t>.实践</w:t>
      </w:r>
      <w:r>
        <w:rPr>
          <w:rFonts w:hint="eastAsia" w:ascii="Times New Roman" w:hAnsi="Times New Roman" w:eastAsia="仿宋_GB2312" w:cs="仿宋_GB2312"/>
          <w:color w:val="auto"/>
          <w:sz w:val="32"/>
          <w:szCs w:val="32"/>
          <w:lang w:val="en-US" w:eastAsia="zh-CN"/>
        </w:rPr>
        <w:t>性</w:t>
      </w:r>
      <w:r>
        <w:rPr>
          <w:rFonts w:hint="eastAsia" w:ascii="Times New Roman" w:hAnsi="Times New Roman" w:eastAsia="仿宋_GB2312" w:cs="仿宋_GB2312"/>
          <w:color w:val="auto"/>
          <w:sz w:val="32"/>
          <w:szCs w:val="32"/>
        </w:rPr>
        <w:t>教学环节 ：</w:t>
      </w:r>
      <w:r>
        <w:rPr>
          <w:rFonts w:hint="eastAsia" w:ascii="Times New Roman" w:hAnsi="Times New Roman" w:eastAsia="仿宋_GB2312" w:cs="仿宋_GB2312"/>
          <w:sz w:val="32"/>
          <w:szCs w:val="32"/>
          <w:lang w:val="en-US" w:eastAsia="zh-CN"/>
        </w:rPr>
        <w:t>初级维修电工实训、</w:t>
      </w:r>
      <w:r>
        <w:rPr>
          <w:rFonts w:hint="eastAsia" w:ascii="Times New Roman" w:hAnsi="Times New Roman" w:eastAsia="仿宋_GB2312" w:cs="仿宋_GB2312"/>
          <w:sz w:val="32"/>
          <w:szCs w:val="32"/>
        </w:rPr>
        <w:t>中级维修电工实训、毕业设计（论文）、岗位实习。</w:t>
      </w:r>
    </w:p>
    <w:p w14:paraId="7AC1F93C">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6</w:t>
      </w:r>
      <w:r>
        <w:rPr>
          <w:rFonts w:hint="eastAsia" w:ascii="Times New Roman" w:hAnsi="Times New Roman" w:eastAsia="仿宋_GB2312" w:cs="仿宋_GB2312"/>
          <w:color w:val="auto"/>
          <w:sz w:val="32"/>
          <w:szCs w:val="32"/>
          <w:highlight w:val="none"/>
        </w:rPr>
        <w:t>实践</w:t>
      </w:r>
      <w:r>
        <w:rPr>
          <w:rFonts w:hint="eastAsia" w:ascii="Times New Roman" w:hAnsi="Times New Roman" w:eastAsia="仿宋_GB2312" w:cs="仿宋_GB2312"/>
          <w:color w:val="auto"/>
          <w:sz w:val="32"/>
          <w:szCs w:val="32"/>
          <w:highlight w:val="none"/>
          <w:lang w:val="en-US" w:eastAsia="zh-CN"/>
        </w:rPr>
        <w:t>性</w:t>
      </w:r>
      <w:r>
        <w:rPr>
          <w:rFonts w:hint="eastAsia" w:ascii="Times New Roman" w:hAnsi="Times New Roman" w:eastAsia="仿宋_GB2312" w:cs="仿宋_GB2312"/>
          <w:color w:val="auto"/>
          <w:sz w:val="32"/>
          <w:szCs w:val="32"/>
          <w:highlight w:val="none"/>
        </w:rPr>
        <w:t>教学环节课程</w:t>
      </w:r>
      <w:r>
        <w:rPr>
          <w:rFonts w:hint="eastAsia" w:ascii="Times New Roman" w:hAnsi="Times New Roman" w:eastAsia="仿宋_GB2312" w:cs="仿宋_GB2312"/>
          <w:color w:val="auto"/>
          <w:sz w:val="32"/>
          <w:szCs w:val="32"/>
          <w:highlight w:val="none"/>
          <w:lang w:val="en-US" w:eastAsia="zh-CN"/>
        </w:rPr>
        <w:t>目标、主要教学内容与要求</w:t>
      </w:r>
    </w:p>
    <w:tbl>
      <w:tblPr>
        <w:tblStyle w:val="13"/>
        <w:tblW w:w="107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800"/>
        <w:gridCol w:w="3845"/>
        <w:gridCol w:w="2500"/>
        <w:gridCol w:w="2841"/>
      </w:tblGrid>
      <w:tr w14:paraId="5CBF7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14:paraId="50349E3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rPr>
            </w:pPr>
            <w:bookmarkStart w:id="28" w:name="OLE_LINK21"/>
            <w:r>
              <w:rPr>
                <w:rFonts w:hint="eastAsia" w:ascii="Times New Roman" w:hAnsi="Times New Roman" w:eastAsia="仿宋_GB2312" w:cs="仿宋_GB2312"/>
                <w:color w:val="auto"/>
                <w:sz w:val="24"/>
              </w:rPr>
              <w:t>序号</w:t>
            </w:r>
          </w:p>
        </w:tc>
        <w:tc>
          <w:tcPr>
            <w:tcW w:w="800" w:type="dxa"/>
            <w:vAlign w:val="center"/>
          </w:tcPr>
          <w:p w14:paraId="4659906F">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课程</w:t>
            </w:r>
            <w:r>
              <w:rPr>
                <w:rFonts w:hint="eastAsia" w:ascii="Times New Roman" w:hAnsi="Times New Roman" w:eastAsia="仿宋_GB2312" w:cs="仿宋_GB2312"/>
                <w:color w:val="auto"/>
                <w:sz w:val="24"/>
                <w:szCs w:val="24"/>
                <w:lang w:val="en-US" w:eastAsia="zh-CN"/>
              </w:rPr>
              <w:t xml:space="preserve"> </w:t>
            </w:r>
            <w:r>
              <w:rPr>
                <w:rFonts w:hint="eastAsia" w:ascii="Times New Roman" w:hAnsi="Times New Roman" w:eastAsia="仿宋_GB2312" w:cs="仿宋_GB2312"/>
                <w:color w:val="auto"/>
                <w:sz w:val="24"/>
                <w:szCs w:val="24"/>
              </w:rPr>
              <w:t>名称</w:t>
            </w:r>
          </w:p>
        </w:tc>
        <w:tc>
          <w:tcPr>
            <w:tcW w:w="3845" w:type="dxa"/>
            <w:vAlign w:val="center"/>
          </w:tcPr>
          <w:p w14:paraId="1BF565D9">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课程</w:t>
            </w:r>
            <w:r>
              <w:rPr>
                <w:rFonts w:hint="eastAsia" w:ascii="Times New Roman" w:hAnsi="Times New Roman" w:eastAsia="仿宋_GB2312" w:cs="仿宋_GB2312"/>
                <w:color w:val="auto"/>
                <w:sz w:val="24"/>
                <w:szCs w:val="24"/>
              </w:rPr>
              <w:t>目标</w:t>
            </w:r>
          </w:p>
        </w:tc>
        <w:tc>
          <w:tcPr>
            <w:tcW w:w="2500" w:type="dxa"/>
            <w:vAlign w:val="center"/>
          </w:tcPr>
          <w:p w14:paraId="59A20CE2">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主要</w:t>
            </w:r>
            <w:r>
              <w:rPr>
                <w:rFonts w:hint="eastAsia" w:ascii="Times New Roman" w:hAnsi="Times New Roman" w:eastAsia="仿宋_GB2312" w:cs="仿宋_GB2312"/>
                <w:color w:val="auto"/>
                <w:sz w:val="24"/>
                <w:szCs w:val="24"/>
              </w:rPr>
              <w:t>教学内容</w:t>
            </w:r>
          </w:p>
        </w:tc>
        <w:tc>
          <w:tcPr>
            <w:tcW w:w="2841" w:type="dxa"/>
            <w:vAlign w:val="center"/>
          </w:tcPr>
          <w:p w14:paraId="4F1F5F20">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教学要求</w:t>
            </w:r>
          </w:p>
        </w:tc>
      </w:tr>
      <w:tr w14:paraId="61521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7" w:hRule="atLeast"/>
          <w:jc w:val="center"/>
        </w:trPr>
        <w:tc>
          <w:tcPr>
            <w:tcW w:w="743" w:type="dxa"/>
            <w:vAlign w:val="center"/>
          </w:tcPr>
          <w:p w14:paraId="45C8A4E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1</w:t>
            </w:r>
          </w:p>
        </w:tc>
        <w:tc>
          <w:tcPr>
            <w:tcW w:w="800" w:type="dxa"/>
            <w:vAlign w:val="center"/>
          </w:tcPr>
          <w:p w14:paraId="4541F6B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初级维修电工实训</w:t>
            </w:r>
          </w:p>
        </w:tc>
        <w:tc>
          <w:tcPr>
            <w:tcW w:w="3845" w:type="dxa"/>
            <w:vAlign w:val="top"/>
          </w:tcPr>
          <w:p w14:paraId="1A9A90F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掌握常用电工工具的正确使用方法，熟悉基本电路的组成及工作原理，了解安全用电常识和电工操作规程。</w:t>
            </w:r>
          </w:p>
          <w:p w14:paraId="345AE3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能正确识别和选用常用电工元器件，完成简单照明电路、单相电动机控制电路的连接与调试，能使用万用表检测电路的基本参数并排查简单短路、断路故障。</w:t>
            </w:r>
          </w:p>
          <w:p w14:paraId="60F5E20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培养严谨规范的操作习惯和安全第一的责任意识，提升动手实践能力和细致耐心的工作态度，增强遵守操作规程的自觉性。</w:t>
            </w:r>
          </w:p>
          <w:p w14:paraId="046CB33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通过学习电工行业前辈的敬业故事，培养学生爱岗敬业的职业精神；强调安全操作对个人和他人的重要性，树立 “安全无小事” 的责任担当；在小组协作实训中，培养团队互助意识和集体观念。</w:t>
            </w:r>
          </w:p>
        </w:tc>
        <w:tc>
          <w:tcPr>
            <w:tcW w:w="2500" w:type="dxa"/>
            <w:vAlign w:val="top"/>
          </w:tcPr>
          <w:p w14:paraId="6DFD6F3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本课程紧密围绕初级维修电工所需的技能展开。首先，介绍电工安全知识和操作规程，确保学生具备基本的安全意识。理论知识方面，涵盖电路基础原理、电磁学基本知识、常用电气设备的结构与工作原理。实践操作包括常用电工工具（如电工刀、螺丝刀、钳子等）和仪器仪表（如万用表、钳形电流表等）的使用练习；进行简单照明电路、电动机控制电路的安装与调试；学习识别和检测电气元件（如电阻、电容、开关等）的好坏；模拟常见电路故障进行排查与修复训练等内容。</w:t>
            </w:r>
          </w:p>
        </w:tc>
        <w:tc>
          <w:tcPr>
            <w:tcW w:w="2841" w:type="dxa"/>
            <w:vAlign w:val="top"/>
          </w:tcPr>
          <w:p w14:paraId="062F210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学生需认真遵守实训课堂纪律和安全操作规程，未经允许不得随意动用实训设备和工具。在理论学习环节做好笔记，积极思考，主动提问，深刻理解电工基础理论知识。实践操作时，严格按照步骤进行，规范使用工具和仪器仪表，注重操作细节，确保操作过程安全无误。认真记录操作过程和实验数据，独立完成实训报告，对实训内容进行总结和反思。在团队协作项目中，要积极参与讨论和分工合作，发挥自身优势，共同完成实训任务。若在实训过程中遇到问题，应及时向教师请教，不得擅自处理，以保证实训顺利进行和自身及设备安全。</w:t>
            </w:r>
          </w:p>
        </w:tc>
      </w:tr>
      <w:tr w14:paraId="3C41E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14:paraId="4902AE6E">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2</w:t>
            </w:r>
          </w:p>
        </w:tc>
        <w:tc>
          <w:tcPr>
            <w:tcW w:w="800" w:type="dxa"/>
            <w:vAlign w:val="center"/>
          </w:tcPr>
          <w:p w14:paraId="5148A37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中级维修电工实训</w:t>
            </w:r>
          </w:p>
        </w:tc>
        <w:tc>
          <w:tcPr>
            <w:tcW w:w="3845" w:type="dxa"/>
            <w:vAlign w:val="top"/>
          </w:tcPr>
          <w:p w14:paraId="2B577DE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掌握三相交流电路的构成及工作原理，熟悉三相异步电动机的启动、制动、调速控制电路的组成与工作过程，了解电气控制线路图的识图方法和常用低压电器的工作特性及选型原则。</w:t>
            </w:r>
          </w:p>
          <w:p w14:paraId="2821591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能独立阅读和分析中等复杂程度的电气控制原理图，完成三相电动机典型控制电路的安装、接线与调试，能诊断并排除控制电路中的常见故障，具备使用兆欧表等仪器进行绝缘测试的能力。</w:t>
            </w:r>
          </w:p>
          <w:p w14:paraId="3CE0017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培养系统分析电路故障的逻辑思维能力，提升复杂电路操作的精准性和规范性，增强面对问题的沉着应对和解决能力，树立质量至上的工匠精神。</w:t>
            </w:r>
          </w:p>
          <w:p w14:paraId="779FD5A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工业电气自动化的发展历程，展现技术进步对国家工业实力的推动作用，激发学生的民族自豪感；通过复杂电路调试中的耐心与坚持，培养学生精益求精、攻坚克难的品质；强调团队分工协作在实训项目中的重要性，增强集体协作精神。</w:t>
            </w:r>
          </w:p>
        </w:tc>
        <w:tc>
          <w:tcPr>
            <w:tcW w:w="2500" w:type="dxa"/>
            <w:vAlign w:val="top"/>
          </w:tcPr>
          <w:p w14:paraId="4AD67A1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中级维修电工实训课程内容丰富且实用，围绕实际工作需求展开。涵盖电气安全知识的深度讲解与严格实操规范训练，确保学生具备扎实的安全意识和操作能力。深入剖析常用电工工具、仪器仪表（如万用表、兆欧表、钳形电流表等）的精准使用方法和精细维护要点。系统学习电气控制线路（如电动机正反转控制、星三角降压启动控制、多地控制等）的原理、细致安装调试步骤和高效故障排除技巧。详细介绍PLC的基础理论、编程方法以及在实际工业控制中的广泛应用。此外，还包括典型电气设备</w:t>
            </w:r>
            <w:r>
              <w:rPr>
                <w:rFonts w:hint="eastAsia" w:ascii="Times New Roman" w:hAnsi="Times New Roman" w:eastAsia="仿宋_GB2312" w:cs="仿宋_GB2312"/>
                <w:spacing w:val="-20"/>
                <w:sz w:val="24"/>
                <w:szCs w:val="24"/>
                <w:lang w:val="en-US" w:eastAsia="zh-CN"/>
              </w:rPr>
              <w:t>（</w:t>
            </w:r>
            <w:r>
              <w:rPr>
                <w:rFonts w:hint="eastAsia" w:ascii="Times New Roman" w:hAnsi="Times New Roman" w:eastAsia="仿宋_GB2312" w:cs="仿宋_GB2312"/>
                <w:sz w:val="24"/>
                <w:szCs w:val="24"/>
                <w:lang w:val="en-US" w:eastAsia="zh-CN"/>
              </w:rPr>
              <w:t>如机床电气、配电柜等）的全面安装、精心调试、定期维护和及时故障检修等实训项目，使学生在实践中积累丰富的工作经验。</w:t>
            </w:r>
          </w:p>
        </w:tc>
        <w:tc>
          <w:tcPr>
            <w:tcW w:w="2841" w:type="dxa"/>
            <w:vAlign w:val="top"/>
          </w:tcPr>
          <w:p w14:paraId="29BBFF2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学生在参与中级维修电工实训课程时，需严格遵守多项要求。在思想态度上，高度重视安全问题，时刻严格遵守实训室的各项安全规章制度，规范操作流程，杜绝任何安全事故的发生。积极主动地参与实训项目，全身心投入到实践操作中，遇到问题时勤于思考、勇于尝试，不断提升自身的动手能力和解决问题的能力。在知识技能方面，熟练掌握课程所涉及的专业理论知识，能够灵活且准确地运用所学知识指导实践操作。认真完成每一个实训任务，确保操作规范、结果准确，并详细记录实训过程和结果，按时提交高质量的实训报告。在团队协作方面，积极与团队成员进行沟通交流，密切配合，共同完成团队任务，培养良好的团队合作精神和沟通能力。尊重教师和其他同学，保持实训室的整洁和设备的完好，爱护公共财物。</w:t>
            </w:r>
          </w:p>
        </w:tc>
      </w:tr>
      <w:tr w14:paraId="46D2D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14:paraId="7DAF38E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3</w:t>
            </w:r>
          </w:p>
        </w:tc>
        <w:tc>
          <w:tcPr>
            <w:tcW w:w="800" w:type="dxa"/>
            <w:vAlign w:val="center"/>
          </w:tcPr>
          <w:p w14:paraId="1DB2F01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毕业设计（论文）</w:t>
            </w:r>
          </w:p>
        </w:tc>
        <w:tc>
          <w:tcPr>
            <w:tcW w:w="3845" w:type="dxa"/>
            <w:vAlign w:val="top"/>
          </w:tcPr>
          <w:p w14:paraId="0352A0A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掌握应用电子技术领域相关课题的研究方法，熟悉电子产品设计、电路调试、故障分析等方面的专业理论和技术标准，了解毕业设计（论文）的写作规范。</w:t>
            </w:r>
          </w:p>
          <w:p w14:paraId="2D84F56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能独立完成具有一定实用性的应用电子技术相关课题，具备对课题进行深入分析、方案设计、实验验证及结果总结的能力，能规范撰写毕业设计报告或学术论文，并进行清晰的成果展示与答辩。</w:t>
            </w:r>
          </w:p>
          <w:p w14:paraId="084A904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培养自主研究、创新思维和解决复杂问题的能力，提升项目管理和时间规划能力，增强学术诚信和严谨务实的科研态度，树立勇于探索、敢于创新的科学精神。</w:t>
            </w:r>
          </w:p>
          <w:p w14:paraId="4CD41BF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结合国家电子信息产业发展需求选择课题，引导学生将个人研究与国家发展相结合，培养科技报国的使命感；强调毕业设计（论文）中的原创性和学术诚信，培养学生的诚信意识和学术道德；在课题研究的挫折与突破中，培养学生坚韧不拔、追求真理的科研精神。</w:t>
            </w:r>
          </w:p>
        </w:tc>
        <w:tc>
          <w:tcPr>
            <w:tcW w:w="2500" w:type="dxa"/>
            <w:vAlign w:val="top"/>
          </w:tcPr>
          <w:p w14:paraId="71891A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学生选择教师给定题目或学生自选题。</w:t>
            </w:r>
          </w:p>
        </w:tc>
        <w:tc>
          <w:tcPr>
            <w:tcW w:w="2841" w:type="dxa"/>
            <w:vAlign w:val="top"/>
          </w:tcPr>
          <w:p w14:paraId="51A97A7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知识掌握‌：要求学生掌握所学专业的核心理论和技术，能够综合运用所学知识解决实际问题。实践能力‌：强调实践操作能力，包括实验设计、数据分析、系统调试等，以提升学生的动手能力和解决实际问题的能力。创新能力‌：鼓励学生发挥创新思维，提出新颖的设计方案或研究思路，培养学生的科研能力和创新意识。</w:t>
            </w:r>
          </w:p>
          <w:p w14:paraId="4F9C19C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论文写作‌：要求学生撰写规范的毕业论文，包括选题、文献综述、研究方法、实验过程、结果分析、结论等部分，以锻炼学生的论文写作能力。答辩环节‌：毕业设计完成后需进行答辩，以检验学生的研究成果和表达能力，同时促进学生之间的交流和学习。</w:t>
            </w:r>
          </w:p>
          <w:p w14:paraId="3903EB1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p>
        </w:tc>
      </w:tr>
      <w:tr w14:paraId="75985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14:paraId="1A425C7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4</w:t>
            </w:r>
          </w:p>
        </w:tc>
        <w:tc>
          <w:tcPr>
            <w:tcW w:w="800" w:type="dxa"/>
            <w:vAlign w:val="center"/>
          </w:tcPr>
          <w:p w14:paraId="190F35B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sz w:val="24"/>
                <w:szCs w:val="24"/>
                <w:lang w:val="en-US" w:eastAsia="zh-CN"/>
              </w:rPr>
              <w:t>毕业岗位实习</w:t>
            </w:r>
          </w:p>
        </w:tc>
        <w:tc>
          <w:tcPr>
            <w:tcW w:w="3845" w:type="dxa"/>
            <w:vAlign w:val="top"/>
          </w:tcPr>
          <w:p w14:paraId="4465E9E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实习岗位相关的电子产品生产流程、技术标准、质量控制体系及行业规范，熟悉企业中常用的电子设备操作方法、生产管理模式和安全管理制度，了解应用电子技术专业在实际工作中的应用场景和最新技术动态。</w:t>
            </w:r>
          </w:p>
          <w:p w14:paraId="5B6DD01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能胜任实习岗位的具体工作，具备与同事、领导有效沟通协作的能力，能快速适应企业工作节奏并解决实习中遇到的实际问题，具备对工作过程进行总结反思和持续改进的能力。</w:t>
            </w:r>
          </w:p>
          <w:p w14:paraId="2043E20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培养职业素养，提升职场适应能力和人际沟通能力，增强对企业文化的认同感和团队归属感，树立理论联系实际的应用意识。</w:t>
            </w:r>
          </w:p>
          <w:p w14:paraId="03C52FE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体验企业生产中的标准化管理和精益求精的质量要求，培养学生的工匠精神和责任担当；结合实习单位的发展成就和爱国敬业的企业文化，激发学生的职业自豪感和奉献精神；在与同事的协作中，培养团队合作意识和集体荣誉感，树立正确的职业价值观。</w:t>
            </w:r>
          </w:p>
        </w:tc>
        <w:tc>
          <w:tcPr>
            <w:tcW w:w="2500" w:type="dxa"/>
            <w:vAlign w:val="top"/>
          </w:tcPr>
          <w:p w14:paraId="04F259C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学生根据自己的职业规划和具体情况，可以选择生产技术、维修技术、材料供应与检测、产品测试等岗位，参与企业相关岗位的具体工作，查缺补漏，完善自己的知识体系。</w:t>
            </w:r>
          </w:p>
        </w:tc>
        <w:tc>
          <w:tcPr>
            <w:tcW w:w="2841" w:type="dxa"/>
            <w:vAlign w:val="top"/>
          </w:tcPr>
          <w:p w14:paraId="3B2F25E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知识掌握‌：要求学生将所学专业知识与实习岗位实际工作相结合，深化对专业知识的理解。</w:t>
            </w:r>
          </w:p>
          <w:p w14:paraId="1AA344A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sz w:val="24"/>
                <w:szCs w:val="24"/>
                <w:lang w:val="en-US" w:eastAsia="zh-CN"/>
              </w:rPr>
              <w:t>实践能力‌：通过实习，培养学生的实际操作能力、问题解决能力和团队协作能力，使其能够胜任实习岗位的工作。职业素养‌：强调职业道德、工作态度和责任心的培养，使学生具备良好的职业素养，为未来的职业发展奠定基础。实习报告‌：要求学生撰写实习报告，总结实习经历、收获和反思，以检验实习成果并提升书面表达能力。考核与评价‌：通过实习单位评价、指导教师考核和学生自评等多种方式，全面评估学生的实习表现，确保实习教学质量</w:t>
            </w:r>
          </w:p>
        </w:tc>
      </w:tr>
      <w:bookmarkEnd w:id="28"/>
    </w:tbl>
    <w:p w14:paraId="466CD132">
      <w:pPr>
        <w:pStyle w:val="3"/>
        <w:keepNext/>
        <w:keepLines/>
        <w:pageBreakBefore w:val="0"/>
        <w:widowControl w:val="0"/>
        <w:numPr>
          <w:ilvl w:val="0"/>
          <w:numId w:val="2"/>
        </w:numPr>
        <w:kinsoku/>
        <w:wordWrap/>
        <w:overflowPunct/>
        <w:topLinePunct w:val="0"/>
        <w:autoSpaceDE/>
        <w:autoSpaceDN/>
        <w:bidi w:val="0"/>
        <w:adjustRightInd/>
        <w:snapToGrid/>
        <w:spacing w:before="0" w:beforeLines="0" w:after="0" w:afterLines="0" w:line="520" w:lineRule="exact"/>
        <w:ind w:left="0" w:leftChars="0" w:firstLine="640" w:firstLineChars="200"/>
        <w:textAlignment w:val="auto"/>
        <w:rPr>
          <w:rFonts w:hint="eastAsia" w:ascii="Times New Roman" w:hAnsi="Times New Roman"/>
        </w:rPr>
      </w:pPr>
      <w:bookmarkStart w:id="29" w:name="_Toc11344"/>
      <w:r>
        <w:rPr>
          <w:rFonts w:hint="eastAsia" w:ascii="Times New Roman" w:hAnsi="Times New Roman"/>
        </w:rPr>
        <w:t>第二课堂</w:t>
      </w:r>
      <w:r>
        <w:rPr>
          <w:rFonts w:hint="eastAsia" w:ascii="Times New Roman" w:hAnsi="Times New Roman"/>
          <w:lang w:val="en-US" w:eastAsia="zh-CN"/>
        </w:rPr>
        <w:t>素质教育课</w:t>
      </w:r>
      <w:bookmarkEnd w:id="29"/>
    </w:p>
    <w:p w14:paraId="20AD4D1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第二课堂</w:t>
      </w:r>
      <w:r>
        <w:rPr>
          <w:rFonts w:hint="eastAsia" w:ascii="Times New Roman" w:hAnsi="Times New Roman" w:eastAsia="仿宋_GB2312" w:cs="仿宋_GB2312"/>
          <w:color w:val="auto"/>
          <w:sz w:val="32"/>
          <w:szCs w:val="32"/>
          <w:lang w:val="en-US" w:eastAsia="zh-CN"/>
        </w:rPr>
        <w:t>素质教育课</w:t>
      </w:r>
      <w:r>
        <w:rPr>
          <w:rFonts w:hint="eastAsia" w:ascii="Times New Roman" w:hAnsi="Times New Roman" w:eastAsia="仿宋_GB2312" w:cs="仿宋_GB2312"/>
          <w:color w:val="auto"/>
          <w:sz w:val="32"/>
          <w:szCs w:val="32"/>
        </w:rPr>
        <w:t>包括思想成长、</w:t>
      </w:r>
      <w:r>
        <w:rPr>
          <w:rFonts w:hint="eastAsia" w:ascii="Times New Roman" w:hAnsi="Times New Roman" w:eastAsia="仿宋_GB2312" w:cs="仿宋_GB2312"/>
          <w:color w:val="auto"/>
          <w:sz w:val="32"/>
          <w:szCs w:val="32"/>
          <w:lang w:val="en-US" w:eastAsia="zh-CN"/>
        </w:rPr>
        <w:t>实践实习</w:t>
      </w:r>
      <w:r>
        <w:rPr>
          <w:rFonts w:hint="eastAsia" w:ascii="Times New Roman" w:hAnsi="Times New Roman" w:eastAsia="仿宋_GB2312" w:cs="仿宋_GB2312"/>
          <w:color w:val="auto"/>
          <w:sz w:val="32"/>
          <w:szCs w:val="32"/>
        </w:rPr>
        <w:t>、创新创业、</w:t>
      </w:r>
      <w:r>
        <w:rPr>
          <w:rFonts w:hint="eastAsia" w:ascii="Times New Roman" w:hAnsi="Times New Roman" w:eastAsia="仿宋_GB2312" w:cs="仿宋_GB2312"/>
          <w:color w:val="auto"/>
          <w:sz w:val="32"/>
          <w:szCs w:val="32"/>
          <w:lang w:val="en-US" w:eastAsia="zh-CN"/>
        </w:rPr>
        <w:t>志愿公益、</w:t>
      </w:r>
      <w:r>
        <w:rPr>
          <w:rFonts w:hint="eastAsia" w:ascii="Times New Roman" w:hAnsi="Times New Roman" w:eastAsia="仿宋_GB2312" w:cs="仿宋_GB2312"/>
          <w:color w:val="auto"/>
          <w:sz w:val="32"/>
          <w:szCs w:val="32"/>
        </w:rPr>
        <w:t>文体</w:t>
      </w:r>
      <w:r>
        <w:rPr>
          <w:rFonts w:hint="eastAsia" w:ascii="Times New Roman" w:hAnsi="Times New Roman" w:eastAsia="仿宋_GB2312" w:cs="仿宋_GB2312"/>
          <w:color w:val="auto"/>
          <w:sz w:val="32"/>
          <w:szCs w:val="32"/>
          <w:lang w:val="en-US" w:eastAsia="zh-CN"/>
        </w:rPr>
        <w:t>活动</w:t>
      </w:r>
      <w:r>
        <w:rPr>
          <w:rFonts w:hint="eastAsia" w:ascii="Times New Roman" w:hAnsi="Times New Roman" w:eastAsia="仿宋_GB2312" w:cs="仿宋_GB2312"/>
          <w:color w:val="auto"/>
          <w:sz w:val="32"/>
          <w:szCs w:val="32"/>
        </w:rPr>
        <w:t>、工作履历</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专业技能特长等其他各类课程及活动。</w:t>
      </w:r>
    </w:p>
    <w:p w14:paraId="6B3265B8">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7</w:t>
      </w:r>
      <w:r>
        <w:rPr>
          <w:rFonts w:hint="eastAsia" w:ascii="Times New Roman" w:hAnsi="Times New Roman" w:eastAsia="仿宋_GB2312" w:cs="仿宋_GB2312"/>
          <w:color w:val="auto"/>
          <w:sz w:val="32"/>
          <w:szCs w:val="32"/>
        </w:rPr>
        <w:t xml:space="preserve"> </w:t>
      </w:r>
      <w:r>
        <w:rPr>
          <w:rFonts w:hint="eastAsia" w:ascii="Times New Roman" w:hAnsi="Times New Roman" w:eastAsia="仿宋_GB2312" w:cs="仿宋_GB2312"/>
          <w:color w:val="auto"/>
          <w:sz w:val="32"/>
          <w:szCs w:val="32"/>
          <w:lang w:val="en-US" w:eastAsia="zh-CN"/>
        </w:rPr>
        <w:t>第二课堂素质教育课安排表</w:t>
      </w:r>
    </w:p>
    <w:tbl>
      <w:tblPr>
        <w:tblStyle w:val="13"/>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14:paraId="7DFBA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742DE9D2">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val="en-US" w:eastAsia="zh-CN"/>
              </w:rPr>
              <w:t>模块</w:t>
            </w:r>
          </w:p>
        </w:tc>
        <w:tc>
          <w:tcPr>
            <w:tcW w:w="3573" w:type="dxa"/>
            <w:vAlign w:val="center"/>
          </w:tcPr>
          <w:p w14:paraId="64C0ABED">
            <w:pPr>
              <w:keepNext w:val="0"/>
              <w:keepLines w:val="0"/>
              <w:pageBreakBefore w:val="0"/>
              <w:widowControl w:val="0"/>
              <w:kinsoku/>
              <w:wordWrap/>
              <w:topLinePunct w:val="0"/>
              <w:autoSpaceDE/>
              <w:autoSpaceDN/>
              <w:bidi w:val="0"/>
              <w:snapToGrid/>
              <w:spacing w:after="0" w:line="280" w:lineRule="exact"/>
              <w:ind w:left="0"/>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szCs w:val="24"/>
                <w:lang w:val="en-US" w:eastAsia="zh-CN"/>
              </w:rPr>
              <w:t>内容</w:t>
            </w:r>
          </w:p>
        </w:tc>
        <w:tc>
          <w:tcPr>
            <w:tcW w:w="880" w:type="dxa"/>
            <w:vAlign w:val="center"/>
          </w:tcPr>
          <w:p w14:paraId="1D6127D5">
            <w:pPr>
              <w:keepNext w:val="0"/>
              <w:keepLines w:val="0"/>
              <w:pageBreakBefore w:val="0"/>
              <w:widowControl w:val="0"/>
              <w:kinsoku/>
              <w:wordWrap/>
              <w:topLinePunct w:val="0"/>
              <w:autoSpaceDE/>
              <w:autoSpaceDN/>
              <w:bidi w:val="0"/>
              <w:snapToGrid/>
              <w:spacing w:after="0" w:line="280" w:lineRule="exact"/>
              <w:ind w:left="0"/>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性质</w:t>
            </w:r>
          </w:p>
        </w:tc>
        <w:tc>
          <w:tcPr>
            <w:tcW w:w="1013" w:type="dxa"/>
            <w:vAlign w:val="center"/>
          </w:tcPr>
          <w:p w14:paraId="6D96D8AF">
            <w:pPr>
              <w:keepNext w:val="0"/>
              <w:keepLines w:val="0"/>
              <w:pageBreakBefore w:val="0"/>
              <w:widowControl w:val="0"/>
              <w:kinsoku/>
              <w:wordWrap/>
              <w:topLinePunct w:val="0"/>
              <w:autoSpaceDE/>
              <w:autoSpaceDN/>
              <w:bidi w:val="0"/>
              <w:snapToGrid/>
              <w:spacing w:after="0" w:line="2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组织</w:t>
            </w:r>
          </w:p>
          <w:p w14:paraId="26B1688F">
            <w:pPr>
              <w:keepNext w:val="0"/>
              <w:keepLines w:val="0"/>
              <w:pageBreakBefore w:val="0"/>
              <w:widowControl w:val="0"/>
              <w:kinsoku/>
              <w:wordWrap/>
              <w:topLinePunct w:val="0"/>
              <w:autoSpaceDE/>
              <w:autoSpaceDN/>
              <w:bidi w:val="0"/>
              <w:snapToGrid/>
              <w:spacing w:after="0" w:line="2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实施</w:t>
            </w:r>
          </w:p>
        </w:tc>
        <w:tc>
          <w:tcPr>
            <w:tcW w:w="1040" w:type="dxa"/>
            <w:vAlign w:val="center"/>
          </w:tcPr>
          <w:p w14:paraId="05CA6E52">
            <w:pPr>
              <w:keepNext w:val="0"/>
              <w:keepLines w:val="0"/>
              <w:pageBreakBefore w:val="0"/>
              <w:widowControl w:val="0"/>
              <w:kinsoku/>
              <w:wordWrap/>
              <w:topLinePunct w:val="0"/>
              <w:autoSpaceDE/>
              <w:autoSpaceDN/>
              <w:bidi w:val="0"/>
              <w:snapToGrid/>
              <w:spacing w:after="0" w:line="2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认定者</w:t>
            </w:r>
          </w:p>
        </w:tc>
        <w:tc>
          <w:tcPr>
            <w:tcW w:w="1236" w:type="dxa"/>
            <w:vAlign w:val="center"/>
          </w:tcPr>
          <w:p w14:paraId="31B01AEB">
            <w:pPr>
              <w:keepNext w:val="0"/>
              <w:keepLines w:val="0"/>
              <w:pageBreakBefore w:val="0"/>
              <w:widowControl w:val="0"/>
              <w:kinsoku/>
              <w:wordWrap/>
              <w:topLinePunct w:val="0"/>
              <w:autoSpaceDE/>
              <w:autoSpaceDN/>
              <w:bidi w:val="0"/>
              <w:snapToGrid/>
              <w:spacing w:after="0" w:line="2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计分标准</w:t>
            </w:r>
          </w:p>
        </w:tc>
        <w:tc>
          <w:tcPr>
            <w:tcW w:w="1236" w:type="dxa"/>
            <w:vAlign w:val="center"/>
          </w:tcPr>
          <w:p w14:paraId="0E2C7ECC">
            <w:pPr>
              <w:keepNext w:val="0"/>
              <w:keepLines w:val="0"/>
              <w:pageBreakBefore w:val="0"/>
              <w:widowControl w:val="0"/>
              <w:kinsoku/>
              <w:wordWrap/>
              <w:topLinePunct w:val="0"/>
              <w:autoSpaceDE/>
              <w:autoSpaceDN/>
              <w:bidi w:val="0"/>
              <w:snapToGrid/>
              <w:spacing w:after="0" w:line="280" w:lineRule="exact"/>
              <w:ind w:left="0"/>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223E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3" w:hRule="atLeast"/>
          <w:jc w:val="center"/>
        </w:trPr>
        <w:tc>
          <w:tcPr>
            <w:tcW w:w="1265" w:type="dxa"/>
            <w:vAlign w:val="center"/>
          </w:tcPr>
          <w:p w14:paraId="16275066">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思想成长</w:t>
            </w:r>
          </w:p>
        </w:tc>
        <w:tc>
          <w:tcPr>
            <w:tcW w:w="3573" w:type="dxa"/>
            <w:vAlign w:val="center"/>
          </w:tcPr>
          <w:p w14:paraId="73E1CE7D">
            <w:pPr>
              <w:keepNext w:val="0"/>
              <w:keepLines w:val="0"/>
              <w:pageBreakBefore w:val="0"/>
              <w:widowControl w:val="0"/>
              <w:numPr>
                <w:ilvl w:val="0"/>
                <w:numId w:val="0"/>
              </w:numPr>
              <w:kinsoku/>
              <w:wordWrap/>
              <w:topLinePunct w:val="0"/>
              <w:autoSpaceDE/>
              <w:autoSpaceDN/>
              <w:bidi w:val="0"/>
              <w:snapToGrid/>
              <w:spacing w:after="0" w:line="280" w:lineRule="exact"/>
              <w:ind w:left="0"/>
              <w:jc w:val="left"/>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lang w:val="en-US" w:eastAsia="zh-CN"/>
              </w:rPr>
              <w:t>1.思想政治教育</w:t>
            </w:r>
            <w:r>
              <w:rPr>
                <w:rFonts w:hint="eastAsia" w:ascii="Times New Roman" w:hAnsi="Times New Roman" w:eastAsia="仿宋_GB2312" w:cs="仿宋_GB2312"/>
                <w:b w:val="0"/>
                <w:bCs w:val="0"/>
                <w:color w:val="000000"/>
                <w:sz w:val="24"/>
                <w:szCs w:val="24"/>
              </w:rPr>
              <w:t>主题</w:t>
            </w:r>
            <w:r>
              <w:rPr>
                <w:rFonts w:hint="eastAsia" w:ascii="Times New Roman" w:hAnsi="Times New Roman" w:eastAsia="仿宋_GB2312" w:cs="仿宋_GB2312"/>
                <w:b w:val="0"/>
                <w:bCs w:val="0"/>
                <w:color w:val="000000"/>
                <w:sz w:val="24"/>
                <w:szCs w:val="24"/>
                <w:lang w:val="en-US" w:eastAsia="zh-CN"/>
              </w:rPr>
              <w:t>讲</w:t>
            </w:r>
            <w:r>
              <w:rPr>
                <w:rFonts w:hint="eastAsia" w:ascii="Times New Roman" w:hAnsi="Times New Roman" w:eastAsia="仿宋_GB2312" w:cs="仿宋_GB2312"/>
                <w:b w:val="0"/>
                <w:bCs w:val="0"/>
                <w:color w:val="000000"/>
                <w:sz w:val="24"/>
                <w:szCs w:val="24"/>
              </w:rPr>
              <w:t>座、形势与政策报告会</w:t>
            </w:r>
          </w:p>
          <w:p w14:paraId="55EBF7CB">
            <w:pPr>
              <w:keepNext w:val="0"/>
              <w:keepLines w:val="0"/>
              <w:pageBreakBefore w:val="0"/>
              <w:widowControl w:val="0"/>
              <w:numPr>
                <w:ilvl w:val="0"/>
                <w:numId w:val="0"/>
              </w:numPr>
              <w:kinsoku/>
              <w:wordWrap/>
              <w:topLinePunct w:val="0"/>
              <w:autoSpaceDE/>
              <w:autoSpaceDN/>
              <w:bidi w:val="0"/>
              <w:snapToGrid/>
              <w:spacing w:after="0" w:line="280" w:lineRule="exact"/>
              <w:ind w:left="0"/>
              <w:jc w:val="left"/>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lang w:val="en-US" w:eastAsia="zh-CN"/>
              </w:rPr>
              <w:t>2.</w:t>
            </w:r>
            <w:r>
              <w:rPr>
                <w:rFonts w:hint="eastAsia" w:ascii="Times New Roman" w:hAnsi="Times New Roman" w:eastAsia="仿宋_GB2312" w:cs="仿宋_GB2312"/>
                <w:b w:val="0"/>
                <w:bCs w:val="0"/>
                <w:color w:val="000000"/>
                <w:sz w:val="24"/>
                <w:szCs w:val="24"/>
              </w:rPr>
              <w:t>爱国主义教育活动</w:t>
            </w:r>
          </w:p>
          <w:p w14:paraId="061A1813">
            <w:pPr>
              <w:keepNext w:val="0"/>
              <w:keepLines w:val="0"/>
              <w:pageBreakBefore w:val="0"/>
              <w:widowControl w:val="0"/>
              <w:numPr>
                <w:ilvl w:val="0"/>
                <w:numId w:val="0"/>
              </w:numPr>
              <w:kinsoku/>
              <w:wordWrap/>
              <w:topLinePunct w:val="0"/>
              <w:autoSpaceDE/>
              <w:autoSpaceDN/>
              <w:bidi w:val="0"/>
              <w:snapToGrid/>
              <w:spacing w:after="0" w:line="280" w:lineRule="exact"/>
              <w:ind w:left="0" w:leftChars="0"/>
              <w:jc w:val="left"/>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lang w:val="en-US" w:eastAsia="zh-CN"/>
              </w:rPr>
              <w:t>3.</w:t>
            </w:r>
            <w:r>
              <w:rPr>
                <w:rFonts w:hint="eastAsia" w:ascii="Times New Roman" w:hAnsi="Times New Roman" w:eastAsia="仿宋_GB2312" w:cs="仿宋_GB2312"/>
                <w:b w:val="0"/>
                <w:bCs w:val="0"/>
                <w:color w:val="000000"/>
                <w:sz w:val="24"/>
                <w:szCs w:val="24"/>
              </w:rPr>
              <w:t>党团组织生活</w:t>
            </w:r>
          </w:p>
          <w:p w14:paraId="39E422A1">
            <w:pPr>
              <w:keepNext w:val="0"/>
              <w:keepLines w:val="0"/>
              <w:pageBreakBefore w:val="0"/>
              <w:widowControl w:val="0"/>
              <w:numPr>
                <w:ilvl w:val="0"/>
                <w:numId w:val="0"/>
              </w:numPr>
              <w:kinsoku/>
              <w:wordWrap/>
              <w:topLinePunct w:val="0"/>
              <w:autoSpaceDE/>
              <w:autoSpaceDN/>
              <w:bidi w:val="0"/>
              <w:snapToGrid/>
              <w:spacing w:after="0" w:line="280" w:lineRule="exact"/>
              <w:ind w:left="0" w:leftChars="0"/>
              <w:jc w:val="left"/>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lang w:val="en-US" w:eastAsia="zh-CN"/>
              </w:rPr>
              <w:t>4.</w:t>
            </w:r>
            <w:r>
              <w:rPr>
                <w:rFonts w:hint="eastAsia" w:ascii="Times New Roman" w:hAnsi="Times New Roman" w:eastAsia="仿宋_GB2312" w:cs="仿宋_GB2312"/>
                <w:b w:val="0"/>
                <w:bCs w:val="0"/>
                <w:color w:val="000000"/>
                <w:sz w:val="24"/>
                <w:szCs w:val="24"/>
              </w:rPr>
              <w:t xml:space="preserve">党团培训 </w:t>
            </w:r>
          </w:p>
          <w:p w14:paraId="0A6E61E2">
            <w:pPr>
              <w:keepNext w:val="0"/>
              <w:keepLines w:val="0"/>
              <w:pageBreakBefore w:val="0"/>
              <w:widowControl w:val="0"/>
              <w:numPr>
                <w:ilvl w:val="0"/>
                <w:numId w:val="0"/>
              </w:numPr>
              <w:kinsoku/>
              <w:wordWrap/>
              <w:topLinePunct w:val="0"/>
              <w:autoSpaceDE/>
              <w:autoSpaceDN/>
              <w:bidi w:val="0"/>
              <w:snapToGrid/>
              <w:spacing w:after="0" w:line="280" w:lineRule="exact"/>
              <w:ind w:left="0"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000000"/>
                <w:sz w:val="24"/>
                <w:szCs w:val="24"/>
                <w:lang w:val="en-US" w:eastAsia="zh-CN"/>
              </w:rPr>
              <w:t>5.</w:t>
            </w:r>
            <w:r>
              <w:rPr>
                <w:rFonts w:hint="eastAsia" w:ascii="Times New Roman" w:hAnsi="Times New Roman" w:eastAsia="仿宋_GB2312" w:cs="仿宋_GB2312"/>
                <w:b w:val="0"/>
                <w:bCs w:val="0"/>
                <w:color w:val="000000"/>
                <w:sz w:val="24"/>
                <w:szCs w:val="24"/>
              </w:rPr>
              <w:t>青年大学习</w:t>
            </w:r>
          </w:p>
        </w:tc>
        <w:tc>
          <w:tcPr>
            <w:tcW w:w="880" w:type="dxa"/>
            <w:vAlign w:val="center"/>
          </w:tcPr>
          <w:p w14:paraId="016B0BEB">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3F6ACB0D">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default" w:ascii="Times New Roman" w:hAnsi="Times New Roman" w:eastAsia="仿宋_GB2312" w:cs="仿宋_GB2312"/>
                <w:color w:val="auto"/>
                <w:sz w:val="24"/>
                <w:szCs w:val="24"/>
                <w:lang w:val="en-US" w:eastAsia="zh-CN"/>
              </w:rPr>
            </w:pPr>
            <w:bookmarkStart w:id="30" w:name="OLE_LINK4"/>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bookmarkEnd w:id="30"/>
          </w:p>
        </w:tc>
        <w:tc>
          <w:tcPr>
            <w:tcW w:w="1040" w:type="dxa"/>
            <w:vAlign w:val="center"/>
          </w:tcPr>
          <w:p w14:paraId="60FDFA2C">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校团委</w:t>
            </w:r>
          </w:p>
        </w:tc>
        <w:tc>
          <w:tcPr>
            <w:tcW w:w="1236" w:type="dxa"/>
            <w:vAlign w:val="center"/>
          </w:tcPr>
          <w:p w14:paraId="4870DAD1">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236" w:type="dxa"/>
            <w:vMerge w:val="restart"/>
            <w:vAlign w:val="center"/>
          </w:tcPr>
          <w:p w14:paraId="01292587">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000000"/>
                <w:sz w:val="24"/>
                <w:szCs w:val="24"/>
              </w:rPr>
              <w:t>第二课堂成绩</w:t>
            </w:r>
            <w:r>
              <w:rPr>
                <w:rFonts w:hint="eastAsia" w:ascii="Times New Roman" w:hAnsi="Times New Roman" w:eastAsia="仿宋_GB2312" w:cs="仿宋_GB2312"/>
                <w:b w:val="0"/>
                <w:bCs w:val="0"/>
                <w:color w:val="000000"/>
                <w:sz w:val="24"/>
                <w:szCs w:val="24"/>
                <w:lang w:val="en-US" w:eastAsia="zh-CN"/>
              </w:rPr>
              <w:t>由</w:t>
            </w:r>
            <w:r>
              <w:rPr>
                <w:rFonts w:hint="eastAsia" w:ascii="Times New Roman" w:hAnsi="Times New Roman" w:eastAsia="仿宋_GB2312" w:cs="仿宋_GB2312"/>
                <w:b w:val="0"/>
                <w:bCs w:val="0"/>
                <w:color w:val="000000"/>
                <w:sz w:val="24"/>
                <w:szCs w:val="24"/>
              </w:rPr>
              <w:t xml:space="preserve">网络管理系 统（到梦 空间）实 时记录，学生在大一、 </w:t>
            </w:r>
            <w:r>
              <w:rPr>
                <w:rFonts w:hint="eastAsia" w:ascii="Times New Roman" w:hAnsi="Times New Roman" w:eastAsia="仿宋_GB2312" w:cs="仿宋_GB2312"/>
                <w:b w:val="0"/>
                <w:bCs w:val="0"/>
                <w:color w:val="000000"/>
                <w:sz w:val="24"/>
                <w:szCs w:val="24"/>
                <w:lang w:val="en-US" w:eastAsia="zh-CN"/>
              </w:rPr>
              <w:t>大</w:t>
            </w:r>
            <w:r>
              <w:rPr>
                <w:rFonts w:hint="eastAsia" w:ascii="Times New Roman" w:hAnsi="Times New Roman" w:eastAsia="仿宋_GB2312" w:cs="仿宋_GB2312"/>
                <w:b w:val="0"/>
                <w:bCs w:val="0"/>
                <w:color w:val="000000"/>
                <w:sz w:val="24"/>
                <w:szCs w:val="24"/>
              </w:rPr>
              <w:t>二期间</w:t>
            </w:r>
            <w:r>
              <w:rPr>
                <w:rFonts w:hint="eastAsia" w:ascii="Times New Roman" w:hAnsi="Times New Roman" w:eastAsia="仿宋_GB2312" w:cs="仿宋_GB2312"/>
                <w:b w:val="0"/>
                <w:bCs w:val="0"/>
                <w:color w:val="000000"/>
                <w:sz w:val="24"/>
                <w:szCs w:val="24"/>
                <w:lang w:val="en-US" w:eastAsia="zh-CN"/>
              </w:rPr>
              <w:t>积分达60分及以上，可获4</w:t>
            </w:r>
            <w:r>
              <w:rPr>
                <w:rFonts w:hint="eastAsia" w:ascii="Times New Roman" w:hAnsi="Times New Roman" w:eastAsia="仿宋_GB2312" w:cs="仿宋_GB2312"/>
                <w:b w:val="0"/>
                <w:bCs w:val="0"/>
                <w:color w:val="000000"/>
                <w:sz w:val="24"/>
                <w:szCs w:val="24"/>
              </w:rPr>
              <w:t>学分。</w:t>
            </w:r>
          </w:p>
        </w:tc>
      </w:tr>
      <w:tr w14:paraId="346C3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0" w:hRule="atLeast"/>
          <w:jc w:val="center"/>
        </w:trPr>
        <w:tc>
          <w:tcPr>
            <w:tcW w:w="1265" w:type="dxa"/>
            <w:vAlign w:val="center"/>
          </w:tcPr>
          <w:p w14:paraId="72F41250">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rPr>
              <w:t>实践</w:t>
            </w:r>
            <w:r>
              <w:rPr>
                <w:rFonts w:hint="eastAsia" w:ascii="Times New Roman" w:hAnsi="Times New Roman" w:eastAsia="仿宋_GB2312" w:cs="仿宋_GB2312"/>
                <w:color w:val="auto"/>
                <w:sz w:val="24"/>
                <w:szCs w:val="24"/>
                <w:lang w:val="en-US" w:eastAsia="zh-CN"/>
              </w:rPr>
              <w:t>实习</w:t>
            </w:r>
          </w:p>
        </w:tc>
        <w:tc>
          <w:tcPr>
            <w:tcW w:w="3573" w:type="dxa"/>
            <w:vAlign w:val="center"/>
          </w:tcPr>
          <w:p w14:paraId="72667ED4">
            <w:pPr>
              <w:keepNext w:val="0"/>
              <w:keepLines w:val="0"/>
              <w:pageBreakBefore w:val="0"/>
              <w:widowControl w:val="0"/>
              <w:numPr>
                <w:ilvl w:val="0"/>
                <w:numId w:val="0"/>
              </w:numPr>
              <w:kinsoku/>
              <w:wordWrap/>
              <w:topLinePunct w:val="0"/>
              <w:autoSpaceDE/>
              <w:autoSpaceDN/>
              <w:bidi w:val="0"/>
              <w:snapToGrid/>
              <w:spacing w:after="0" w:line="280" w:lineRule="exact"/>
              <w:ind w:left="0"/>
              <w:jc w:val="left"/>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lang w:val="en-US" w:eastAsia="zh-CN"/>
              </w:rPr>
              <w:t>1.</w:t>
            </w:r>
            <w:r>
              <w:rPr>
                <w:rFonts w:hint="eastAsia" w:ascii="Times New Roman" w:hAnsi="Times New Roman" w:eastAsia="仿宋_GB2312" w:cs="仿宋_GB2312"/>
                <w:b w:val="0"/>
                <w:bCs w:val="0"/>
                <w:color w:val="000000"/>
                <w:sz w:val="24"/>
                <w:szCs w:val="24"/>
              </w:rPr>
              <w:t xml:space="preserve">暑期“三下乡”社会实践活动 </w:t>
            </w:r>
            <w:r>
              <w:rPr>
                <w:rFonts w:hint="eastAsia" w:ascii="Times New Roman" w:hAnsi="Times New Roman" w:eastAsia="仿宋_GB2312" w:cs="仿宋_GB2312"/>
                <w:b w:val="0"/>
                <w:bCs w:val="0"/>
                <w:color w:val="000000"/>
                <w:sz w:val="24"/>
                <w:szCs w:val="24"/>
                <w:lang w:val="en-US" w:eastAsia="zh-CN"/>
              </w:rPr>
              <w:t>2.</w:t>
            </w:r>
            <w:r>
              <w:rPr>
                <w:rFonts w:hint="eastAsia" w:ascii="Times New Roman" w:hAnsi="Times New Roman" w:eastAsia="仿宋_GB2312" w:cs="仿宋_GB2312"/>
                <w:b w:val="0"/>
                <w:bCs w:val="0"/>
                <w:color w:val="000000"/>
                <w:sz w:val="24"/>
                <w:szCs w:val="24"/>
              </w:rPr>
              <w:t xml:space="preserve">寒暑假“返家乡”实践活动 </w:t>
            </w:r>
          </w:p>
          <w:p w14:paraId="7FFCA3AB">
            <w:pPr>
              <w:keepNext w:val="0"/>
              <w:keepLines w:val="0"/>
              <w:pageBreakBefore w:val="0"/>
              <w:widowControl w:val="0"/>
              <w:numPr>
                <w:ilvl w:val="0"/>
                <w:numId w:val="0"/>
              </w:numPr>
              <w:kinsoku/>
              <w:wordWrap/>
              <w:topLinePunct w:val="0"/>
              <w:autoSpaceDE/>
              <w:autoSpaceDN/>
              <w:bidi w:val="0"/>
              <w:snapToGrid/>
              <w:spacing w:after="0" w:line="280" w:lineRule="exact"/>
              <w:ind w:left="0" w:leftChars="0"/>
              <w:jc w:val="left"/>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lang w:val="en-US" w:eastAsia="zh-CN"/>
              </w:rPr>
              <w:t>3.</w:t>
            </w:r>
            <w:r>
              <w:rPr>
                <w:rFonts w:hint="eastAsia" w:ascii="Times New Roman" w:hAnsi="Times New Roman" w:eastAsia="仿宋_GB2312" w:cs="仿宋_GB2312"/>
                <w:b w:val="0"/>
                <w:bCs w:val="0"/>
                <w:color w:val="000000"/>
                <w:sz w:val="24"/>
                <w:szCs w:val="24"/>
              </w:rPr>
              <w:t xml:space="preserve">企业见习实践 </w:t>
            </w:r>
          </w:p>
          <w:p w14:paraId="1D3ACAEA">
            <w:pPr>
              <w:keepNext w:val="0"/>
              <w:keepLines w:val="0"/>
              <w:pageBreakBefore w:val="0"/>
              <w:widowControl w:val="0"/>
              <w:numPr>
                <w:ilvl w:val="0"/>
                <w:numId w:val="0"/>
              </w:numPr>
              <w:kinsoku/>
              <w:wordWrap/>
              <w:topLinePunct w:val="0"/>
              <w:autoSpaceDE/>
              <w:autoSpaceDN/>
              <w:bidi w:val="0"/>
              <w:snapToGrid/>
              <w:spacing w:after="0" w:line="280" w:lineRule="exact"/>
              <w:ind w:left="0" w:leftChars="0"/>
              <w:jc w:val="left"/>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lang w:val="en-US" w:eastAsia="zh-CN"/>
              </w:rPr>
              <w:t>4.</w:t>
            </w:r>
            <w:r>
              <w:rPr>
                <w:rFonts w:hint="eastAsia" w:ascii="Times New Roman" w:hAnsi="Times New Roman" w:eastAsia="仿宋_GB2312" w:cs="仿宋_GB2312"/>
                <w:b w:val="0"/>
                <w:bCs w:val="0"/>
                <w:color w:val="000000"/>
                <w:sz w:val="24"/>
                <w:szCs w:val="24"/>
              </w:rPr>
              <w:t xml:space="preserve">上级、校院交予专项工作项目实践活动含兼挂职锻炼 </w:t>
            </w:r>
          </w:p>
          <w:p w14:paraId="4B38DC49">
            <w:pPr>
              <w:keepNext w:val="0"/>
              <w:keepLines w:val="0"/>
              <w:pageBreakBefore w:val="0"/>
              <w:widowControl w:val="0"/>
              <w:numPr>
                <w:ilvl w:val="0"/>
                <w:numId w:val="0"/>
              </w:numPr>
              <w:kinsoku/>
              <w:wordWrap/>
              <w:topLinePunct w:val="0"/>
              <w:autoSpaceDE/>
              <w:autoSpaceDN/>
              <w:bidi w:val="0"/>
              <w:snapToGrid/>
              <w:spacing w:after="0" w:line="280" w:lineRule="exact"/>
              <w:ind w:left="0"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000000"/>
                <w:sz w:val="24"/>
                <w:szCs w:val="24"/>
                <w:lang w:val="en-US" w:eastAsia="zh-CN"/>
              </w:rPr>
              <w:t>5.</w:t>
            </w:r>
            <w:r>
              <w:rPr>
                <w:rFonts w:hint="eastAsia" w:ascii="Times New Roman" w:hAnsi="Times New Roman" w:eastAsia="仿宋_GB2312" w:cs="仿宋_GB2312"/>
                <w:b w:val="0"/>
                <w:bCs w:val="0"/>
                <w:color w:val="000000"/>
                <w:sz w:val="24"/>
                <w:szCs w:val="24"/>
              </w:rPr>
              <w:t xml:space="preserve">新闻宣传报道被学校、学院采用或转发 </w:t>
            </w:r>
          </w:p>
          <w:p w14:paraId="7C068425">
            <w:pPr>
              <w:keepNext w:val="0"/>
              <w:keepLines w:val="0"/>
              <w:pageBreakBefore w:val="0"/>
              <w:widowControl w:val="0"/>
              <w:numPr>
                <w:ilvl w:val="0"/>
                <w:numId w:val="0"/>
              </w:numPr>
              <w:kinsoku/>
              <w:wordWrap/>
              <w:topLinePunct w:val="0"/>
              <w:autoSpaceDE/>
              <w:autoSpaceDN/>
              <w:bidi w:val="0"/>
              <w:snapToGrid/>
              <w:spacing w:after="0" w:line="280" w:lineRule="exact"/>
              <w:ind w:left="0"/>
              <w:jc w:val="left"/>
              <w:textAlignment w:val="auto"/>
              <w:rPr>
                <w:rFonts w:hint="default" w:ascii="Times New Roman" w:hAnsi="Times New Roman" w:eastAsia="仿宋_GB2312" w:cs="仿宋_GB2312"/>
                <w:b w:val="0"/>
                <w:bCs w:val="0"/>
                <w:color w:val="000000"/>
                <w:sz w:val="24"/>
                <w:szCs w:val="24"/>
                <w:lang w:val="en-US" w:eastAsia="zh-CN"/>
              </w:rPr>
            </w:pPr>
            <w:r>
              <w:rPr>
                <w:rFonts w:hint="eastAsia" w:ascii="Times New Roman" w:hAnsi="Times New Roman" w:eastAsia="仿宋_GB2312" w:cs="仿宋_GB2312"/>
                <w:b w:val="0"/>
                <w:bCs w:val="0"/>
                <w:color w:val="000000"/>
                <w:sz w:val="24"/>
                <w:szCs w:val="24"/>
                <w:lang w:val="en-US" w:eastAsia="zh-CN"/>
              </w:rPr>
              <w:t>6.晨读</w:t>
            </w:r>
          </w:p>
          <w:p w14:paraId="32DFA176">
            <w:pPr>
              <w:keepNext w:val="0"/>
              <w:keepLines w:val="0"/>
              <w:pageBreakBefore w:val="0"/>
              <w:widowControl w:val="0"/>
              <w:numPr>
                <w:ilvl w:val="0"/>
                <w:numId w:val="0"/>
              </w:numPr>
              <w:kinsoku/>
              <w:wordWrap/>
              <w:topLinePunct w:val="0"/>
              <w:autoSpaceDE/>
              <w:autoSpaceDN/>
              <w:bidi w:val="0"/>
              <w:snapToGrid/>
              <w:spacing w:after="0" w:line="28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000000"/>
                <w:sz w:val="24"/>
                <w:szCs w:val="24"/>
                <w:lang w:val="en-US" w:eastAsia="zh-CN"/>
              </w:rPr>
              <w:t>7</w:t>
            </w:r>
            <w:r>
              <w:rPr>
                <w:rFonts w:hint="eastAsia" w:ascii="Times New Roman" w:hAnsi="Times New Roman" w:eastAsia="仿宋_GB2312" w:cs="仿宋_GB2312"/>
                <w:b w:val="0"/>
                <w:bCs w:val="0"/>
                <w:color w:val="000000"/>
                <w:sz w:val="24"/>
                <w:szCs w:val="24"/>
              </w:rPr>
              <w:t xml:space="preserve">.劳动精神、劳模精神、工匠精神专题教育 </w:t>
            </w:r>
          </w:p>
          <w:p w14:paraId="416430B8">
            <w:pPr>
              <w:keepNext w:val="0"/>
              <w:keepLines w:val="0"/>
              <w:pageBreakBefore w:val="0"/>
              <w:widowControl w:val="0"/>
              <w:numPr>
                <w:ilvl w:val="0"/>
                <w:numId w:val="0"/>
              </w:numPr>
              <w:kinsoku/>
              <w:wordWrap/>
              <w:topLinePunct w:val="0"/>
              <w:autoSpaceDE/>
              <w:autoSpaceDN/>
              <w:bidi w:val="0"/>
              <w:snapToGrid/>
              <w:spacing w:after="0" w:line="28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000000"/>
                <w:sz w:val="24"/>
                <w:szCs w:val="24"/>
                <w:lang w:val="en-US" w:eastAsia="zh-CN"/>
              </w:rPr>
              <w:t>8.</w:t>
            </w:r>
            <w:r>
              <w:rPr>
                <w:rFonts w:hint="eastAsia" w:ascii="Times New Roman" w:hAnsi="Times New Roman" w:eastAsia="仿宋_GB2312" w:cs="仿宋_GB2312"/>
                <w:b w:val="0"/>
                <w:bCs w:val="0"/>
                <w:color w:val="000000"/>
                <w:sz w:val="24"/>
                <w:szCs w:val="24"/>
              </w:rPr>
              <w:t>实践活动的相关荣誉</w:t>
            </w:r>
          </w:p>
        </w:tc>
        <w:tc>
          <w:tcPr>
            <w:tcW w:w="880" w:type="dxa"/>
            <w:vAlign w:val="center"/>
          </w:tcPr>
          <w:p w14:paraId="097E986C">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7B52AD27">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01C14B58">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36" w:type="dxa"/>
            <w:vAlign w:val="center"/>
          </w:tcPr>
          <w:p w14:paraId="04B01DE4">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236" w:type="dxa"/>
            <w:vMerge w:val="continue"/>
            <w:vAlign w:val="center"/>
          </w:tcPr>
          <w:p w14:paraId="055C1EDC">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p>
        </w:tc>
      </w:tr>
      <w:tr w14:paraId="636F2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1265" w:type="dxa"/>
            <w:vAlign w:val="center"/>
          </w:tcPr>
          <w:p w14:paraId="268DCE32">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创新创业</w:t>
            </w:r>
          </w:p>
        </w:tc>
        <w:tc>
          <w:tcPr>
            <w:tcW w:w="3573" w:type="dxa"/>
            <w:vAlign w:val="center"/>
          </w:tcPr>
          <w:p w14:paraId="1613E2F7">
            <w:pPr>
              <w:keepNext w:val="0"/>
              <w:keepLines w:val="0"/>
              <w:pageBreakBefore w:val="0"/>
              <w:widowControl w:val="0"/>
              <w:numPr>
                <w:ilvl w:val="0"/>
                <w:numId w:val="0"/>
              </w:numPr>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w:t>
            </w:r>
            <w:r>
              <w:rPr>
                <w:rFonts w:hint="eastAsia" w:ascii="Times New Roman" w:hAnsi="Times New Roman" w:eastAsia="仿宋_GB2312" w:cs="仿宋_GB2312"/>
                <w:color w:val="auto"/>
                <w:sz w:val="24"/>
                <w:szCs w:val="24"/>
              </w:rPr>
              <w:t xml:space="preserve">发表文章、出版专著 </w:t>
            </w:r>
          </w:p>
          <w:p w14:paraId="2756DBE7">
            <w:pPr>
              <w:keepNext w:val="0"/>
              <w:keepLines w:val="0"/>
              <w:pageBreakBefore w:val="0"/>
              <w:widowControl w:val="0"/>
              <w:numPr>
                <w:ilvl w:val="0"/>
                <w:numId w:val="0"/>
              </w:numPr>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2.</w:t>
            </w:r>
            <w:r>
              <w:rPr>
                <w:rFonts w:hint="eastAsia" w:ascii="Times New Roman" w:hAnsi="Times New Roman" w:eastAsia="仿宋_GB2312" w:cs="仿宋_GB2312"/>
                <w:color w:val="auto"/>
                <w:sz w:val="24"/>
                <w:szCs w:val="24"/>
              </w:rPr>
              <w:t xml:space="preserve">发明专利 </w:t>
            </w:r>
          </w:p>
          <w:p w14:paraId="08BEEF7E">
            <w:pPr>
              <w:keepNext w:val="0"/>
              <w:keepLines w:val="0"/>
              <w:pageBreakBefore w:val="0"/>
              <w:widowControl w:val="0"/>
              <w:numPr>
                <w:ilvl w:val="0"/>
                <w:numId w:val="0"/>
              </w:numPr>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3.</w:t>
            </w:r>
            <w:r>
              <w:rPr>
                <w:rFonts w:hint="eastAsia" w:ascii="Times New Roman" w:hAnsi="Times New Roman" w:eastAsia="仿宋_GB2312" w:cs="仿宋_GB2312"/>
                <w:color w:val="auto"/>
                <w:sz w:val="24"/>
                <w:szCs w:val="24"/>
              </w:rPr>
              <w:t xml:space="preserve">创新创业项目竞赛 </w:t>
            </w:r>
          </w:p>
          <w:p w14:paraId="7E7B3E3E">
            <w:pPr>
              <w:keepNext w:val="0"/>
              <w:keepLines w:val="0"/>
              <w:pageBreakBefore w:val="0"/>
              <w:widowControl w:val="0"/>
              <w:numPr>
                <w:ilvl w:val="0"/>
                <w:numId w:val="0"/>
              </w:numPr>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4.</w:t>
            </w:r>
            <w:r>
              <w:rPr>
                <w:rFonts w:hint="eastAsia" w:ascii="Times New Roman" w:hAnsi="Times New Roman" w:eastAsia="仿宋_GB2312" w:cs="仿宋_GB2312"/>
                <w:color w:val="auto"/>
                <w:sz w:val="24"/>
                <w:szCs w:val="24"/>
              </w:rPr>
              <w:t xml:space="preserve">创新创业项目培训 </w:t>
            </w:r>
          </w:p>
          <w:p w14:paraId="1310E77A">
            <w:pPr>
              <w:keepNext w:val="0"/>
              <w:keepLines w:val="0"/>
              <w:pageBreakBefore w:val="0"/>
              <w:widowControl w:val="0"/>
              <w:numPr>
                <w:ilvl w:val="0"/>
                <w:numId w:val="0"/>
              </w:numPr>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5.</w:t>
            </w:r>
            <w:r>
              <w:rPr>
                <w:rFonts w:hint="eastAsia" w:ascii="Times New Roman" w:hAnsi="Times New Roman" w:eastAsia="仿宋_GB2312" w:cs="仿宋_GB2312"/>
                <w:color w:val="auto"/>
                <w:sz w:val="24"/>
                <w:szCs w:val="24"/>
              </w:rPr>
              <w:t xml:space="preserve">创新创业课程、讲座 </w:t>
            </w:r>
          </w:p>
          <w:p w14:paraId="13BE999D">
            <w:pPr>
              <w:keepNext w:val="0"/>
              <w:keepLines w:val="0"/>
              <w:pageBreakBefore w:val="0"/>
              <w:widowControl w:val="0"/>
              <w:numPr>
                <w:ilvl w:val="0"/>
                <w:numId w:val="0"/>
              </w:numPr>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6.</w:t>
            </w:r>
            <w:r>
              <w:rPr>
                <w:rFonts w:hint="eastAsia" w:ascii="Times New Roman" w:hAnsi="Times New Roman" w:eastAsia="仿宋_GB2312" w:cs="仿宋_GB2312"/>
                <w:color w:val="auto"/>
                <w:sz w:val="24"/>
                <w:szCs w:val="24"/>
              </w:rPr>
              <w:t>自主创业</w:t>
            </w:r>
          </w:p>
        </w:tc>
        <w:tc>
          <w:tcPr>
            <w:tcW w:w="880" w:type="dxa"/>
            <w:vAlign w:val="center"/>
          </w:tcPr>
          <w:p w14:paraId="2AE65CDE">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0AEF8D23">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06EFBAA1">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36" w:type="dxa"/>
            <w:vAlign w:val="center"/>
          </w:tcPr>
          <w:p w14:paraId="1BB0A2EB">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236" w:type="dxa"/>
            <w:vMerge w:val="continue"/>
            <w:vAlign w:val="center"/>
          </w:tcPr>
          <w:p w14:paraId="4033CDAD">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p>
        </w:tc>
      </w:tr>
      <w:tr w14:paraId="7733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0CAFA014">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p>
          <w:p w14:paraId="6F01FBF9">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志愿公益</w:t>
            </w:r>
          </w:p>
        </w:tc>
        <w:tc>
          <w:tcPr>
            <w:tcW w:w="3573" w:type="dxa"/>
            <w:vAlign w:val="center"/>
          </w:tcPr>
          <w:p w14:paraId="2F35E552">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1.校级、学院、社团、班级等学生组织开展的志愿服务活动 </w:t>
            </w:r>
          </w:p>
          <w:p w14:paraId="36C3F2DC">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2.无偿献血活动 </w:t>
            </w:r>
          </w:p>
          <w:p w14:paraId="30674BE7">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3.捐献造血干细胞 </w:t>
            </w:r>
          </w:p>
          <w:p w14:paraId="5DDAD9FD">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4.相关公益类宣传讲座、报告会等志愿服务表彰</w:t>
            </w:r>
          </w:p>
          <w:p w14:paraId="478FF3E1">
            <w:pPr>
              <w:keepNext w:val="0"/>
              <w:keepLines w:val="0"/>
              <w:pageBreakBefore w:val="0"/>
              <w:widowControl w:val="0"/>
              <w:numPr>
                <w:ilvl w:val="0"/>
                <w:numId w:val="0"/>
              </w:numPr>
              <w:kinsoku/>
              <w:wordWrap/>
              <w:topLinePunct w:val="0"/>
              <w:autoSpaceDE/>
              <w:autoSpaceDN/>
              <w:bidi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val="0"/>
                <w:bCs w:val="0"/>
                <w:color w:val="000000"/>
                <w:sz w:val="24"/>
                <w:szCs w:val="24"/>
                <w:lang w:val="en-US" w:eastAsia="zh-CN"/>
              </w:rPr>
              <w:t>5.</w:t>
            </w:r>
            <w:r>
              <w:rPr>
                <w:rFonts w:hint="eastAsia" w:ascii="Times New Roman" w:hAnsi="Times New Roman" w:eastAsia="仿宋_GB2312" w:cs="仿宋_GB2312"/>
                <w:b w:val="0"/>
                <w:bCs w:val="0"/>
                <w:color w:val="000000"/>
                <w:sz w:val="24"/>
                <w:szCs w:val="24"/>
              </w:rPr>
              <w:t xml:space="preserve">公益劳动 </w:t>
            </w:r>
          </w:p>
        </w:tc>
        <w:tc>
          <w:tcPr>
            <w:tcW w:w="880" w:type="dxa"/>
            <w:vAlign w:val="center"/>
          </w:tcPr>
          <w:p w14:paraId="3419729C">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029E5182">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42A54DD3">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36" w:type="dxa"/>
            <w:vAlign w:val="center"/>
          </w:tcPr>
          <w:p w14:paraId="63A38F2C">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236" w:type="dxa"/>
            <w:vMerge w:val="continue"/>
            <w:vAlign w:val="center"/>
          </w:tcPr>
          <w:p w14:paraId="03244F30">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p>
        </w:tc>
      </w:tr>
      <w:tr w14:paraId="0C9D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0462BE31">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000000"/>
                <w:sz w:val="24"/>
                <w:szCs w:val="24"/>
              </w:rPr>
              <w:t xml:space="preserve">文体活动 </w:t>
            </w:r>
          </w:p>
        </w:tc>
        <w:tc>
          <w:tcPr>
            <w:tcW w:w="3573" w:type="dxa"/>
            <w:vAlign w:val="center"/>
          </w:tcPr>
          <w:p w14:paraId="743A6A49">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1.文艺竞赛 </w:t>
            </w:r>
          </w:p>
          <w:p w14:paraId="1ACFBEF2">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2.体育竞赛 </w:t>
            </w:r>
          </w:p>
          <w:p w14:paraId="338F2E07">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3.文艺演出 </w:t>
            </w:r>
          </w:p>
          <w:p w14:paraId="7563FE55">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4.体育活动 </w:t>
            </w:r>
          </w:p>
          <w:p w14:paraId="359DEA90">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color w:val="auto"/>
                <w:sz w:val="24"/>
                <w:szCs w:val="24"/>
                <w:lang w:val="en-US" w:eastAsia="zh-CN"/>
              </w:rPr>
              <w:t>5.文体讲座</w:t>
            </w:r>
          </w:p>
        </w:tc>
        <w:tc>
          <w:tcPr>
            <w:tcW w:w="880" w:type="dxa"/>
            <w:vAlign w:val="center"/>
          </w:tcPr>
          <w:p w14:paraId="2B54CC75">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40A438F2">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02B02678">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36" w:type="dxa"/>
            <w:vAlign w:val="center"/>
          </w:tcPr>
          <w:p w14:paraId="37AFCACC">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236" w:type="dxa"/>
            <w:vMerge w:val="continue"/>
            <w:vAlign w:val="center"/>
          </w:tcPr>
          <w:p w14:paraId="1F1CC5F6">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p>
        </w:tc>
      </w:tr>
      <w:tr w14:paraId="5996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79714476">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rPr>
              <w:t xml:space="preserve">工作履历 </w:t>
            </w:r>
          </w:p>
        </w:tc>
        <w:tc>
          <w:tcPr>
            <w:tcW w:w="3573" w:type="dxa"/>
            <w:vAlign w:val="center"/>
          </w:tcPr>
          <w:p w14:paraId="7E823EE4">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1.团学干部任职</w:t>
            </w:r>
          </w:p>
          <w:p w14:paraId="42083265">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2.团学先进个人</w:t>
            </w:r>
          </w:p>
          <w:p w14:paraId="3E74E8B4">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3.勤工俭学</w:t>
            </w:r>
          </w:p>
          <w:p w14:paraId="7CC24FC3">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4.社会任职 </w:t>
            </w:r>
          </w:p>
          <w:p w14:paraId="398AE814">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color w:val="auto"/>
                <w:sz w:val="24"/>
                <w:szCs w:val="24"/>
                <w:lang w:val="en-US" w:eastAsia="zh-CN"/>
              </w:rPr>
              <w:t>5.退伍军人</w:t>
            </w:r>
          </w:p>
        </w:tc>
        <w:tc>
          <w:tcPr>
            <w:tcW w:w="880" w:type="dxa"/>
            <w:vAlign w:val="center"/>
          </w:tcPr>
          <w:p w14:paraId="6A2EB844">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128AC9E6">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7D7E6B43">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36" w:type="dxa"/>
            <w:vAlign w:val="center"/>
          </w:tcPr>
          <w:p w14:paraId="4E0EB7AF">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236" w:type="dxa"/>
            <w:vMerge w:val="continue"/>
            <w:vAlign w:val="center"/>
          </w:tcPr>
          <w:p w14:paraId="4A2F01C0">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p>
        </w:tc>
      </w:tr>
      <w:tr w14:paraId="2B503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2C15F2FD">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技能特长 </w:t>
            </w:r>
          </w:p>
        </w:tc>
        <w:tc>
          <w:tcPr>
            <w:tcW w:w="3573" w:type="dxa"/>
            <w:vAlign w:val="center"/>
          </w:tcPr>
          <w:p w14:paraId="5F7108B5">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1.职业资格证书 </w:t>
            </w:r>
          </w:p>
          <w:p w14:paraId="1F75D263">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2.职业技能证书 </w:t>
            </w:r>
          </w:p>
          <w:p w14:paraId="50D5055A">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3.机动车驾驶证</w:t>
            </w:r>
          </w:p>
          <w:p w14:paraId="408E52B7">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4.从业人员上岗资格证 </w:t>
            </w:r>
          </w:p>
          <w:p w14:paraId="27B06CE6">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5.技能比赛获奖</w:t>
            </w:r>
          </w:p>
        </w:tc>
        <w:tc>
          <w:tcPr>
            <w:tcW w:w="880" w:type="dxa"/>
            <w:vAlign w:val="center"/>
          </w:tcPr>
          <w:p w14:paraId="3A899D9D">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6C343D61">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13B41873">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36" w:type="dxa"/>
            <w:vAlign w:val="center"/>
          </w:tcPr>
          <w:p w14:paraId="47DEC878">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236" w:type="dxa"/>
            <w:vMerge w:val="continue"/>
            <w:vAlign w:val="center"/>
          </w:tcPr>
          <w:p w14:paraId="65C5EBC2">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p>
        </w:tc>
      </w:tr>
      <w:tr w14:paraId="3F7DC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7242C790">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其他</w:t>
            </w:r>
          </w:p>
        </w:tc>
        <w:tc>
          <w:tcPr>
            <w:tcW w:w="3573" w:type="dxa"/>
            <w:vAlign w:val="center"/>
          </w:tcPr>
          <w:p w14:paraId="3DB71ED3">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1.其他证书（社会职业类证书） </w:t>
            </w:r>
          </w:p>
          <w:p w14:paraId="76776261">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2.校内各单位其他类型活动 </w:t>
            </w:r>
          </w:p>
          <w:p w14:paraId="62F71C2E">
            <w:pPr>
              <w:keepNext w:val="0"/>
              <w:keepLines w:val="0"/>
              <w:pageBreakBefore w:val="0"/>
              <w:widowControl w:val="0"/>
              <w:kinsoku/>
              <w:wordWrap/>
              <w:overflowPunct w:val="0"/>
              <w:topLinePunct w:val="0"/>
              <w:autoSpaceDE/>
              <w:autoSpaceDN/>
              <w:bidi w:val="0"/>
              <w:adjustRightInd w:val="0"/>
              <w:snapToGrid/>
              <w:spacing w:after="0" w:line="280" w:lineRule="exact"/>
              <w:ind w:left="0"/>
              <w:jc w:val="left"/>
              <w:textAlignment w:val="auto"/>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color w:val="auto"/>
                <w:sz w:val="24"/>
                <w:szCs w:val="24"/>
                <w:lang w:val="en-US" w:eastAsia="zh-CN"/>
              </w:rPr>
              <w:t>3.升旗仪式工作人员</w:t>
            </w:r>
          </w:p>
        </w:tc>
        <w:tc>
          <w:tcPr>
            <w:tcW w:w="880" w:type="dxa"/>
            <w:vAlign w:val="center"/>
          </w:tcPr>
          <w:p w14:paraId="3EEC5E7C">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15983D97">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35B841D7">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36" w:type="dxa"/>
            <w:vAlign w:val="center"/>
          </w:tcPr>
          <w:p w14:paraId="40881997">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236" w:type="dxa"/>
            <w:vMerge w:val="continue"/>
            <w:vAlign w:val="center"/>
          </w:tcPr>
          <w:p w14:paraId="47092B0A">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Times New Roman" w:hAnsi="Times New Roman" w:eastAsia="仿宋_GB2312" w:cs="仿宋_GB2312"/>
                <w:color w:val="auto"/>
                <w:sz w:val="24"/>
                <w:szCs w:val="24"/>
              </w:rPr>
            </w:pPr>
          </w:p>
        </w:tc>
      </w:tr>
    </w:tbl>
    <w:p w14:paraId="7219212D">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leftChars="0" w:firstLine="640" w:firstLineChars="200"/>
        <w:textAlignment w:val="auto"/>
        <w:rPr>
          <w:rFonts w:hint="eastAsia" w:ascii="Times New Roman" w:hAnsi="Times New Roman"/>
          <w:b w:val="0"/>
          <w:bCs/>
          <w:lang w:val="en-US" w:eastAsia="zh-CN"/>
        </w:rPr>
      </w:pPr>
      <w:bookmarkStart w:id="31" w:name="_Toc6577"/>
      <w:r>
        <w:rPr>
          <w:rFonts w:hint="eastAsia" w:ascii="Times New Roman" w:hAnsi="Times New Roman"/>
          <w:b w:val="0"/>
          <w:bCs/>
          <w:lang w:val="en-US" w:eastAsia="zh-CN"/>
        </w:rPr>
        <w:t>八、教学进程总体安排</w:t>
      </w:r>
      <w:bookmarkEnd w:id="31"/>
    </w:p>
    <w:p w14:paraId="741218A2">
      <w:pPr>
        <w:pStyle w:val="3"/>
        <w:keepNext/>
        <w:keepLines/>
        <w:pageBreakBefore w:val="0"/>
        <w:widowControl w:val="0"/>
        <w:numPr>
          <w:ilvl w:val="0"/>
          <w:numId w:val="3"/>
        </w:numPr>
        <w:kinsoku/>
        <w:wordWrap/>
        <w:overflowPunct/>
        <w:topLinePunct w:val="0"/>
        <w:autoSpaceDE/>
        <w:autoSpaceDN/>
        <w:bidi w:val="0"/>
        <w:adjustRightInd/>
        <w:snapToGrid/>
        <w:spacing w:before="0" w:beforeLines="0" w:after="0" w:afterLines="0" w:line="520" w:lineRule="exact"/>
        <w:ind w:left="0" w:leftChars="0" w:firstLine="640" w:firstLineChars="200"/>
        <w:textAlignment w:val="auto"/>
        <w:rPr>
          <w:rFonts w:hint="eastAsia" w:ascii="Times New Roman" w:hAnsi="Times New Roman"/>
        </w:rPr>
      </w:pPr>
      <w:bookmarkStart w:id="32" w:name="_Toc16784"/>
      <w:r>
        <w:rPr>
          <w:rFonts w:hint="eastAsia" w:ascii="Times New Roman" w:hAnsi="Times New Roman"/>
        </w:rPr>
        <w:t>教学环节分配表</w:t>
      </w:r>
      <w:bookmarkEnd w:id="32"/>
      <w:r>
        <w:rPr>
          <w:rFonts w:hint="eastAsia" w:ascii="Times New Roman" w:hAnsi="Times New Roman"/>
        </w:rPr>
        <w:t xml:space="preserve"> </w:t>
      </w:r>
    </w:p>
    <w:p w14:paraId="2A63D39E">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jc w:val="lef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教学周数分配表每学期总周数合计应为</w:t>
      </w:r>
      <w:r>
        <w:rPr>
          <w:rFonts w:hint="eastAsia" w:ascii="Times New Roman" w:hAnsi="Times New Roman" w:eastAsia="仿宋_GB2312" w:cs="仿宋_GB2312"/>
          <w:color w:val="auto"/>
          <w:sz w:val="32"/>
          <w:szCs w:val="32"/>
          <w:lang w:val="en-US" w:eastAsia="zh-CN"/>
        </w:rPr>
        <w:t>20</w:t>
      </w:r>
      <w:r>
        <w:rPr>
          <w:rFonts w:hint="eastAsia" w:ascii="Times New Roman" w:hAnsi="Times New Roman" w:eastAsia="仿宋_GB2312" w:cs="仿宋_GB2312"/>
          <w:color w:val="auto"/>
          <w:sz w:val="32"/>
          <w:szCs w:val="32"/>
        </w:rPr>
        <w:t>周，各学期教学周数应与教学计划进程表一致，军训、入学教育、考试环节、实习开展、毕业设计</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社会实践及毕业教育</w:t>
      </w:r>
      <w:r>
        <w:rPr>
          <w:rFonts w:hint="eastAsia" w:ascii="Times New Roman" w:hAnsi="Times New Roman" w:eastAsia="仿宋_GB2312" w:cs="仿宋_GB2312"/>
          <w:color w:val="auto"/>
          <w:sz w:val="32"/>
          <w:szCs w:val="32"/>
        </w:rPr>
        <w:t>等</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学期合计周数</w:t>
      </w:r>
      <w:r>
        <w:rPr>
          <w:rFonts w:hint="eastAsia" w:ascii="Times New Roman" w:hAnsi="Times New Roman" w:eastAsia="仿宋_GB2312" w:cs="仿宋_GB2312"/>
          <w:color w:val="auto"/>
          <w:sz w:val="32"/>
          <w:szCs w:val="32"/>
          <w:lang w:val="en-US" w:eastAsia="zh-CN"/>
        </w:rPr>
        <w:t>为</w:t>
      </w:r>
      <w:r>
        <w:rPr>
          <w:rFonts w:hint="eastAsia" w:ascii="Times New Roman" w:hAnsi="Times New Roman" w:eastAsia="仿宋_GB2312" w:cs="仿宋_GB2312"/>
          <w:color w:val="auto"/>
          <w:sz w:val="32"/>
          <w:szCs w:val="32"/>
        </w:rPr>
        <w:t>20周。</w:t>
      </w:r>
    </w:p>
    <w:p w14:paraId="2E14C397">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Times New Roman" w:hAnsi="Times New Roman" w:eastAsia="仿宋_GB2312" w:cs="仿宋_GB2312"/>
          <w:color w:val="auto"/>
          <w:sz w:val="32"/>
          <w:szCs w:val="32"/>
        </w:rPr>
      </w:pPr>
    </w:p>
    <w:p w14:paraId="2E13C586">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Times New Roman" w:hAnsi="Times New Roman" w:eastAsia="仿宋_GB2312" w:cs="仿宋_GB2312"/>
          <w:color w:val="auto"/>
          <w:sz w:val="32"/>
          <w:szCs w:val="32"/>
          <w:lang w:eastAsia="zh-CN"/>
        </w:rPr>
      </w:pPr>
    </w:p>
    <w:p w14:paraId="0C982C24">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Times New Roman" w:hAnsi="Times New Roman" w:eastAsia="仿宋_GB2312" w:cs="仿宋_GB2312"/>
          <w:color w:val="auto"/>
          <w:sz w:val="32"/>
          <w:szCs w:val="32"/>
          <w:lang w:eastAsia="zh-CN"/>
        </w:rPr>
      </w:pPr>
    </w:p>
    <w:p w14:paraId="1C5D1013">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8</w:t>
      </w:r>
      <w:r>
        <w:rPr>
          <w:rFonts w:hint="eastAsia" w:ascii="Times New Roman" w:hAnsi="Times New Roman" w:eastAsia="仿宋_GB2312" w:cs="仿宋_GB2312"/>
          <w:color w:val="auto"/>
          <w:sz w:val="32"/>
          <w:szCs w:val="32"/>
        </w:rPr>
        <w:t xml:space="preserve"> 教育活动时间分配表（单位：周）</w:t>
      </w:r>
    </w:p>
    <w:tbl>
      <w:tblPr>
        <w:tblStyle w:val="13"/>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29"/>
        <w:gridCol w:w="1108"/>
        <w:gridCol w:w="1108"/>
        <w:gridCol w:w="1108"/>
        <w:gridCol w:w="1108"/>
        <w:gridCol w:w="1110"/>
      </w:tblGrid>
      <w:tr w14:paraId="0EFA8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74361DE4">
            <w:pPr>
              <w:spacing w:after="0" w:line="240" w:lineRule="auto"/>
              <w:rPr>
                <w:rFonts w:hint="eastAsia" w:ascii="Times New Roman" w:hAnsi="Times New Roman" w:eastAsia="仿宋_GB2312" w:cs="仿宋_GB2312"/>
                <w:color w:val="auto"/>
                <w:sz w:val="24"/>
                <w:szCs w:val="24"/>
              </w:rPr>
            </w:pPr>
          </w:p>
          <w:p w14:paraId="64126493">
            <w:pPr>
              <w:spacing w:after="0" w:line="240" w:lineRule="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项目</w:t>
            </w:r>
          </w:p>
          <w:p w14:paraId="17571BEA">
            <w:pPr>
              <w:spacing w:after="0" w:line="240" w:lineRule="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周数</w:t>
            </w:r>
          </w:p>
          <w:p w14:paraId="0F47A5C3">
            <w:pPr>
              <w:spacing w:after="0" w:line="240" w:lineRule="auto"/>
              <mc:AlternateContent>
                <mc:Choice Requires="wpsCustomData">
                  <wpsCustomData:diagonalParaType/>
                </mc:Choice>
              </mc:AlternateContent>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内容</w:t>
            </w:r>
          </w:p>
          <w:p w14:paraId="63F74F23">
            <w:pPr>
              <w:spacing w:after="0" w:line="240" w:lineRule="auto"/>
              <w:rPr>
                <w:rFonts w:hint="eastAsia" w:ascii="Times New Roman" w:hAnsi="Times New Roman" w:eastAsia="仿宋_GB2312" w:cs="仿宋_GB2312"/>
                <w:color w:val="auto"/>
                <w:sz w:val="24"/>
                <w:szCs w:val="24"/>
                <w:lang w:val="en-US" w:eastAsia="zh-CN"/>
              </w:rPr>
            </w:pPr>
          </w:p>
          <w:p w14:paraId="1A584869">
            <w:pPr>
              <w:spacing w:after="0" w:line="240" w:lineRule="auto"/>
              <mc:AlternateContent>
                <mc:Choice Requires="wpsCustomData">
                  <wpsCustomData:diagonalParaType/>
                </mc:Choice>
              </mc:AlternateContent>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周数</w:t>
            </w:r>
          </w:p>
          <w:p w14:paraId="5F2B9D6B">
            <w:pPr>
              <w:spacing w:after="0" w:line="240" w:lineRule="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学年</w:t>
            </w:r>
          </w:p>
        </w:tc>
        <w:tc>
          <w:tcPr>
            <w:tcW w:w="1229" w:type="pct"/>
            <w:gridSpan w:val="2"/>
            <w:vAlign w:val="center"/>
          </w:tcPr>
          <w:p w14:paraId="40F5F603">
            <w:pPr>
              <w:spacing w:after="0" w:line="240" w:lineRule="auto"/>
              <w:jc w:val="center"/>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一</w:t>
            </w:r>
          </w:p>
        </w:tc>
        <w:tc>
          <w:tcPr>
            <w:tcW w:w="1165" w:type="pct"/>
            <w:gridSpan w:val="2"/>
            <w:vAlign w:val="center"/>
          </w:tcPr>
          <w:p w14:paraId="707C9523">
            <w:pPr>
              <w:spacing w:after="0" w:line="240" w:lineRule="auto"/>
              <w:jc w:val="center"/>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二</w:t>
            </w:r>
          </w:p>
        </w:tc>
        <w:tc>
          <w:tcPr>
            <w:tcW w:w="1167" w:type="pct"/>
            <w:gridSpan w:val="2"/>
            <w:vAlign w:val="center"/>
          </w:tcPr>
          <w:p w14:paraId="0B7FC671">
            <w:pPr>
              <w:spacing w:after="0" w:line="240" w:lineRule="auto"/>
              <w:jc w:val="center"/>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三</w:t>
            </w:r>
          </w:p>
        </w:tc>
      </w:tr>
      <w:tr w14:paraId="519EC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14:paraId="74A535F8">
            <w:pPr>
              <w:spacing w:after="0" w:line="240" w:lineRule="auto"/>
              <w:rPr>
                <w:rFonts w:hint="eastAsia" w:ascii="Times New Roman" w:hAnsi="Times New Roman" w:eastAsia="仿宋_GB2312" w:cs="仿宋_GB2312"/>
                <w:sz w:val="24"/>
                <w:szCs w:val="24"/>
              </w:rPr>
            </w:pPr>
          </w:p>
        </w:tc>
        <w:tc>
          <w:tcPr>
            <w:tcW w:w="646" w:type="pct"/>
            <w:vAlign w:val="center"/>
          </w:tcPr>
          <w:p w14:paraId="420AD61A">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w:t>
            </w:r>
          </w:p>
        </w:tc>
        <w:tc>
          <w:tcPr>
            <w:tcW w:w="582" w:type="pct"/>
            <w:vAlign w:val="center"/>
          </w:tcPr>
          <w:p w14:paraId="0FAE1AC5">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w:t>
            </w:r>
          </w:p>
        </w:tc>
        <w:tc>
          <w:tcPr>
            <w:tcW w:w="582" w:type="pct"/>
            <w:vAlign w:val="center"/>
          </w:tcPr>
          <w:p w14:paraId="44ED8318">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w:t>
            </w:r>
          </w:p>
        </w:tc>
        <w:tc>
          <w:tcPr>
            <w:tcW w:w="582" w:type="pct"/>
            <w:vAlign w:val="center"/>
          </w:tcPr>
          <w:p w14:paraId="0BD4C013">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w:t>
            </w:r>
          </w:p>
        </w:tc>
        <w:tc>
          <w:tcPr>
            <w:tcW w:w="582" w:type="pct"/>
            <w:vAlign w:val="center"/>
          </w:tcPr>
          <w:p w14:paraId="12681B7A">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w:t>
            </w:r>
          </w:p>
        </w:tc>
        <w:tc>
          <w:tcPr>
            <w:tcW w:w="584" w:type="pct"/>
            <w:vAlign w:val="center"/>
          </w:tcPr>
          <w:p w14:paraId="72EB1BF9">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6</w:t>
            </w:r>
          </w:p>
        </w:tc>
      </w:tr>
      <w:tr w14:paraId="28E5C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14:paraId="45A70F9B">
            <w:pPr>
              <w:spacing w:after="0" w:line="240" w:lineRule="auto"/>
              <w:jc w:val="center"/>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课堂教学</w:t>
            </w:r>
          </w:p>
        </w:tc>
        <w:tc>
          <w:tcPr>
            <w:tcW w:w="646" w:type="pct"/>
            <w:vAlign w:val="center"/>
          </w:tcPr>
          <w:p w14:paraId="619D90D9">
            <w:pPr>
              <w:spacing w:after="0" w:line="240" w:lineRule="auto"/>
              <w:jc w:val="center"/>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1-18</w:t>
            </w:r>
          </w:p>
        </w:tc>
        <w:tc>
          <w:tcPr>
            <w:tcW w:w="582" w:type="pct"/>
            <w:vAlign w:val="center"/>
          </w:tcPr>
          <w:p w14:paraId="732F8958">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c>
          <w:tcPr>
            <w:tcW w:w="582" w:type="pct"/>
            <w:vAlign w:val="center"/>
          </w:tcPr>
          <w:p w14:paraId="114E2AC4">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c>
          <w:tcPr>
            <w:tcW w:w="582" w:type="pct"/>
            <w:vAlign w:val="center"/>
          </w:tcPr>
          <w:p w14:paraId="06325E2C">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c>
          <w:tcPr>
            <w:tcW w:w="582" w:type="pct"/>
            <w:vAlign w:val="center"/>
          </w:tcPr>
          <w:p w14:paraId="78CF014C">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c>
          <w:tcPr>
            <w:tcW w:w="584" w:type="pct"/>
            <w:vAlign w:val="center"/>
          </w:tcPr>
          <w:p w14:paraId="39C73C54">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1-18</w:t>
            </w:r>
          </w:p>
        </w:tc>
      </w:tr>
      <w:tr w14:paraId="18E4A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33DB31A5">
            <w:pPr>
              <w:spacing w:after="0" w:line="240" w:lineRule="auto"/>
              <w:jc w:val="center"/>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考试</w:t>
            </w:r>
          </w:p>
        </w:tc>
        <w:tc>
          <w:tcPr>
            <w:tcW w:w="646" w:type="pct"/>
            <w:vAlign w:val="center"/>
          </w:tcPr>
          <w:p w14:paraId="05B6988F">
            <w:pPr>
              <w:spacing w:after="0" w:line="240" w:lineRule="auto"/>
              <w:jc w:val="center"/>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19-20</w:t>
            </w:r>
          </w:p>
        </w:tc>
        <w:tc>
          <w:tcPr>
            <w:tcW w:w="582" w:type="pct"/>
            <w:vAlign w:val="center"/>
          </w:tcPr>
          <w:p w14:paraId="3A6639D5">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c>
          <w:tcPr>
            <w:tcW w:w="582" w:type="pct"/>
            <w:vAlign w:val="center"/>
          </w:tcPr>
          <w:p w14:paraId="32C81AC2">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c>
          <w:tcPr>
            <w:tcW w:w="582" w:type="pct"/>
            <w:vAlign w:val="center"/>
          </w:tcPr>
          <w:p w14:paraId="4318AE2B">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c>
          <w:tcPr>
            <w:tcW w:w="582" w:type="pct"/>
            <w:vAlign w:val="center"/>
          </w:tcPr>
          <w:p w14:paraId="5AB728F8">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c>
          <w:tcPr>
            <w:tcW w:w="584" w:type="pct"/>
            <w:vAlign w:val="center"/>
          </w:tcPr>
          <w:p w14:paraId="01EBD98A">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sz w:val="24"/>
                <w:szCs w:val="24"/>
                <w:lang w:val="en-US" w:eastAsia="zh-CN"/>
              </w:rPr>
              <w:t>19-20</w:t>
            </w:r>
          </w:p>
        </w:tc>
      </w:tr>
      <w:tr w14:paraId="61058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E06AC08">
            <w:pPr>
              <w:spacing w:after="0" w:line="240" w:lineRule="auto"/>
              <w:jc w:val="center"/>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军训</w:t>
            </w:r>
          </w:p>
        </w:tc>
        <w:tc>
          <w:tcPr>
            <w:tcW w:w="646" w:type="pct"/>
            <w:vAlign w:val="center"/>
          </w:tcPr>
          <w:p w14:paraId="4E22BA94">
            <w:pPr>
              <w:spacing w:after="0" w:line="240" w:lineRule="auto"/>
              <w:jc w:val="center"/>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1-2</w:t>
            </w:r>
          </w:p>
        </w:tc>
        <w:tc>
          <w:tcPr>
            <w:tcW w:w="582" w:type="pct"/>
            <w:vAlign w:val="center"/>
          </w:tcPr>
          <w:p w14:paraId="479DD14D">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32E3C5AA">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17CA41BA">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32BAE118">
            <w:pPr>
              <w:spacing w:after="0" w:line="240" w:lineRule="auto"/>
              <w:jc w:val="center"/>
              <w:rPr>
                <w:rFonts w:hint="eastAsia" w:ascii="Times New Roman" w:hAnsi="Times New Roman" w:eastAsia="仿宋_GB2312" w:cs="仿宋_GB2312"/>
                <w:color w:val="auto"/>
                <w:sz w:val="24"/>
                <w:szCs w:val="24"/>
              </w:rPr>
            </w:pPr>
          </w:p>
        </w:tc>
        <w:tc>
          <w:tcPr>
            <w:tcW w:w="584" w:type="pct"/>
            <w:vAlign w:val="center"/>
          </w:tcPr>
          <w:p w14:paraId="01C7A463">
            <w:pPr>
              <w:spacing w:after="0" w:line="240" w:lineRule="auto"/>
              <w:jc w:val="center"/>
              <w:rPr>
                <w:rFonts w:hint="eastAsia" w:ascii="Times New Roman" w:hAnsi="Times New Roman" w:eastAsia="仿宋_GB2312" w:cs="仿宋_GB2312"/>
                <w:color w:val="auto"/>
                <w:sz w:val="24"/>
                <w:szCs w:val="24"/>
              </w:rPr>
            </w:pPr>
          </w:p>
        </w:tc>
      </w:tr>
      <w:tr w14:paraId="1CA37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2983AD8">
            <w:pPr>
              <w:spacing w:after="0" w:line="240" w:lineRule="auto"/>
              <w:jc w:val="center"/>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rPr>
              <w:t>入学教育</w:t>
            </w:r>
          </w:p>
        </w:tc>
        <w:tc>
          <w:tcPr>
            <w:tcW w:w="646" w:type="pct"/>
            <w:vAlign w:val="center"/>
          </w:tcPr>
          <w:p w14:paraId="4295282E">
            <w:pPr>
              <w:spacing w:after="0" w:line="240" w:lineRule="auto"/>
              <w:jc w:val="center"/>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3-8</w:t>
            </w:r>
          </w:p>
        </w:tc>
        <w:tc>
          <w:tcPr>
            <w:tcW w:w="582" w:type="pct"/>
            <w:vAlign w:val="center"/>
          </w:tcPr>
          <w:p w14:paraId="6AA6D552">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40BB407C">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47A241E3">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7AFB8C44">
            <w:pPr>
              <w:spacing w:after="0" w:line="240" w:lineRule="auto"/>
              <w:jc w:val="center"/>
              <w:rPr>
                <w:rFonts w:hint="eastAsia" w:ascii="Times New Roman" w:hAnsi="Times New Roman" w:eastAsia="仿宋_GB2312" w:cs="仿宋_GB2312"/>
                <w:color w:val="auto"/>
                <w:sz w:val="24"/>
                <w:szCs w:val="24"/>
              </w:rPr>
            </w:pPr>
          </w:p>
        </w:tc>
        <w:tc>
          <w:tcPr>
            <w:tcW w:w="584" w:type="pct"/>
            <w:vAlign w:val="center"/>
          </w:tcPr>
          <w:p w14:paraId="072FAC20">
            <w:pPr>
              <w:spacing w:after="0" w:line="240" w:lineRule="auto"/>
              <w:jc w:val="center"/>
              <w:rPr>
                <w:rFonts w:hint="eastAsia" w:ascii="Times New Roman" w:hAnsi="Times New Roman" w:eastAsia="仿宋_GB2312" w:cs="仿宋_GB2312"/>
                <w:color w:val="auto"/>
                <w:sz w:val="24"/>
                <w:szCs w:val="24"/>
              </w:rPr>
            </w:pPr>
          </w:p>
        </w:tc>
      </w:tr>
      <w:tr w14:paraId="23288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258893B">
            <w:pPr>
              <w:spacing w:after="0" w:line="240" w:lineRule="auto"/>
              <w:jc w:val="center"/>
              <w:rPr>
                <w:rFonts w:hint="eastAsia" w:ascii="Times New Roman" w:hAnsi="Times New Roman" w:eastAsia="仿宋_GB2312" w:cs="仿宋_GB2312"/>
                <w:b w:val="0"/>
                <w:bCs w:val="0"/>
                <w:color w:val="000000"/>
                <w:sz w:val="24"/>
                <w:szCs w:val="24"/>
              </w:rPr>
            </w:pPr>
            <w:r>
              <w:rPr>
                <w:rFonts w:hint="eastAsia" w:ascii="Times New Roman" w:hAnsi="Times New Roman" w:eastAsia="仿宋_GB2312" w:cs="仿宋_GB2312"/>
                <w:b w:val="0"/>
                <w:bCs w:val="0"/>
                <w:color w:val="000000"/>
                <w:sz w:val="24"/>
                <w:szCs w:val="24"/>
              </w:rPr>
              <w:t>毕业设计</w:t>
            </w:r>
          </w:p>
        </w:tc>
        <w:tc>
          <w:tcPr>
            <w:tcW w:w="646" w:type="pct"/>
            <w:vAlign w:val="center"/>
          </w:tcPr>
          <w:p w14:paraId="295F2873">
            <w:pPr>
              <w:spacing w:after="0" w:line="240" w:lineRule="auto"/>
              <w:jc w:val="center"/>
              <w:rPr>
                <w:rFonts w:hint="eastAsia" w:ascii="Times New Roman" w:hAnsi="Times New Roman" w:eastAsia="仿宋_GB2312" w:cs="仿宋_GB2312"/>
                <w:sz w:val="24"/>
                <w:szCs w:val="24"/>
                <w:lang w:val="en-US" w:eastAsia="zh-CN"/>
              </w:rPr>
            </w:pPr>
          </w:p>
        </w:tc>
        <w:tc>
          <w:tcPr>
            <w:tcW w:w="582" w:type="pct"/>
            <w:vAlign w:val="center"/>
          </w:tcPr>
          <w:p w14:paraId="7A00D0CB">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4745EA3D">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30286726">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5F43135E">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4" w:type="pct"/>
            <w:vAlign w:val="center"/>
          </w:tcPr>
          <w:p w14:paraId="485AF1F7">
            <w:pPr>
              <w:spacing w:after="0" w:line="240" w:lineRule="auto"/>
              <w:jc w:val="center"/>
              <w:rPr>
                <w:rFonts w:hint="eastAsia" w:ascii="Times New Roman" w:hAnsi="Times New Roman" w:eastAsia="仿宋_GB2312" w:cs="仿宋_GB2312"/>
                <w:color w:val="auto"/>
                <w:sz w:val="24"/>
                <w:szCs w:val="24"/>
              </w:rPr>
            </w:pPr>
          </w:p>
        </w:tc>
      </w:tr>
      <w:tr w14:paraId="57EC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256FE459">
            <w:pPr>
              <w:spacing w:after="0" w:line="240" w:lineRule="auto"/>
              <w:jc w:val="center"/>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岗位实习</w:t>
            </w:r>
          </w:p>
        </w:tc>
        <w:tc>
          <w:tcPr>
            <w:tcW w:w="646" w:type="pct"/>
            <w:vAlign w:val="center"/>
          </w:tcPr>
          <w:p w14:paraId="4B437226">
            <w:pPr>
              <w:spacing w:after="0" w:line="240" w:lineRule="auto"/>
              <w:jc w:val="center"/>
              <w:rPr>
                <w:rFonts w:hint="eastAsia" w:ascii="Times New Roman" w:hAnsi="Times New Roman" w:eastAsia="仿宋_GB2312" w:cs="仿宋_GB2312"/>
                <w:sz w:val="24"/>
                <w:szCs w:val="24"/>
              </w:rPr>
            </w:pPr>
          </w:p>
        </w:tc>
        <w:tc>
          <w:tcPr>
            <w:tcW w:w="582" w:type="pct"/>
            <w:vAlign w:val="center"/>
          </w:tcPr>
          <w:p w14:paraId="489DF0D5">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3715F6F9">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58C5318B">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500D517C">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14:paraId="0AEF7916">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1-18</w:t>
            </w:r>
          </w:p>
        </w:tc>
      </w:tr>
      <w:tr w14:paraId="5BEA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3DC50B8">
            <w:pPr>
              <w:spacing w:after="0" w:line="240" w:lineRule="auto"/>
              <w:jc w:val="center"/>
              <w:rPr>
                <w:rFonts w:hint="eastAsia" w:ascii="Times New Roman" w:hAnsi="Times New Roman" w:eastAsia="仿宋_GB2312" w:cs="仿宋_GB2312"/>
                <w:b w:val="0"/>
                <w:bCs w:val="0"/>
                <w:color w:val="000000"/>
                <w:sz w:val="24"/>
                <w:szCs w:val="24"/>
                <w:highlight w:val="green"/>
                <w:lang w:val="en-US" w:eastAsia="zh-CN"/>
              </w:rPr>
            </w:pPr>
            <w:r>
              <w:rPr>
                <w:rFonts w:hint="eastAsia" w:ascii="Times New Roman" w:hAnsi="Times New Roman" w:eastAsia="仿宋_GB2312" w:cs="仿宋_GB2312"/>
                <w:b w:val="0"/>
                <w:bCs w:val="0"/>
                <w:color w:val="000000"/>
                <w:sz w:val="24"/>
                <w:szCs w:val="24"/>
                <w:highlight w:val="none"/>
                <w:lang w:val="en-US" w:eastAsia="zh-CN"/>
              </w:rPr>
              <w:t>社会实践</w:t>
            </w:r>
          </w:p>
        </w:tc>
        <w:tc>
          <w:tcPr>
            <w:tcW w:w="646" w:type="pct"/>
            <w:vAlign w:val="center"/>
          </w:tcPr>
          <w:p w14:paraId="2A4C11B6">
            <w:pPr>
              <w:spacing w:after="0" w:line="240" w:lineRule="auto"/>
              <w:jc w:val="center"/>
              <w:rPr>
                <w:rFonts w:hint="eastAsia" w:ascii="Times New Roman" w:hAnsi="Times New Roman" w:eastAsia="仿宋_GB2312" w:cs="仿宋_GB2312"/>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037A4901">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491A73A2">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4A31AF6D">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1016CCE8">
            <w:pPr>
              <w:spacing w:after="0" w:line="240" w:lineRule="auto"/>
              <w:jc w:val="center"/>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14:paraId="532C7E72">
            <w:pPr>
              <w:spacing w:after="0" w:line="240" w:lineRule="auto"/>
              <w:jc w:val="center"/>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r>
      <w:tr w14:paraId="7A03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31611F06">
            <w:pPr>
              <w:spacing w:after="0" w:line="240" w:lineRule="auto"/>
              <w:jc w:val="center"/>
              <w:rPr>
                <w:rFonts w:hint="eastAsia" w:ascii="Times New Roman" w:hAnsi="Times New Roman" w:eastAsia="仿宋_GB2312" w:cs="仿宋_GB2312"/>
                <w:b w:val="0"/>
                <w:bCs w:val="0"/>
                <w:color w:val="000000"/>
                <w:sz w:val="24"/>
                <w:szCs w:val="24"/>
                <w:lang w:val="en-US" w:eastAsia="zh-CN"/>
              </w:rPr>
            </w:pPr>
            <w:r>
              <w:rPr>
                <w:rFonts w:hint="eastAsia" w:ascii="Times New Roman" w:hAnsi="Times New Roman" w:eastAsia="仿宋_GB2312" w:cs="仿宋_GB2312"/>
                <w:b w:val="0"/>
                <w:bCs w:val="0"/>
                <w:color w:val="000000"/>
                <w:sz w:val="24"/>
                <w:szCs w:val="24"/>
                <w:lang w:val="en-US" w:eastAsia="zh-CN"/>
              </w:rPr>
              <w:t>毕业教育</w:t>
            </w:r>
          </w:p>
        </w:tc>
        <w:tc>
          <w:tcPr>
            <w:tcW w:w="646" w:type="pct"/>
            <w:vAlign w:val="center"/>
          </w:tcPr>
          <w:p w14:paraId="6B2F0C15">
            <w:pPr>
              <w:spacing w:after="0" w:line="240" w:lineRule="auto"/>
              <w:jc w:val="center"/>
              <w:rPr>
                <w:rFonts w:hint="eastAsia" w:ascii="Times New Roman" w:hAnsi="Times New Roman" w:eastAsia="仿宋_GB2312" w:cs="仿宋_GB2312"/>
                <w:sz w:val="24"/>
                <w:szCs w:val="24"/>
              </w:rPr>
            </w:pPr>
          </w:p>
        </w:tc>
        <w:tc>
          <w:tcPr>
            <w:tcW w:w="582" w:type="pct"/>
            <w:vAlign w:val="center"/>
          </w:tcPr>
          <w:p w14:paraId="2146C242">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673215E1">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1B530F56">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652FE54D">
            <w:pPr>
              <w:spacing w:after="0" w:line="240" w:lineRule="auto"/>
              <w:jc w:val="center"/>
              <w:rPr>
                <w:rFonts w:hint="eastAsia" w:ascii="Times New Roman" w:hAnsi="Times New Roman" w:eastAsia="仿宋_GB2312" w:cs="仿宋_GB2312"/>
                <w:color w:val="auto"/>
                <w:sz w:val="24"/>
                <w:szCs w:val="24"/>
                <w:lang w:val="en-US" w:eastAsia="zh-CN"/>
              </w:rPr>
            </w:pPr>
          </w:p>
        </w:tc>
        <w:tc>
          <w:tcPr>
            <w:tcW w:w="584" w:type="pct"/>
            <w:vAlign w:val="center"/>
          </w:tcPr>
          <w:p w14:paraId="475F492D">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18-19</w:t>
            </w:r>
          </w:p>
        </w:tc>
      </w:tr>
      <w:tr w14:paraId="6850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2581ED5">
            <w:pPr>
              <w:spacing w:after="0" w:line="240" w:lineRule="auto"/>
              <w:jc w:val="center"/>
              <w:rPr>
                <w:rFonts w:hint="eastAsia" w:ascii="Times New Roman" w:hAnsi="Times New Roman" w:eastAsia="仿宋_GB2312" w:cs="仿宋_GB2312"/>
                <w:sz w:val="24"/>
                <w:szCs w:val="24"/>
              </w:rPr>
            </w:pPr>
            <w:r>
              <w:rPr>
                <w:rFonts w:hint="eastAsia" w:ascii="Times New Roman" w:hAnsi="Times New Roman" w:eastAsia="仿宋_GB2312" w:cs="仿宋_GB2312"/>
                <w:b w:val="0"/>
                <w:bCs w:val="0"/>
                <w:color w:val="000000"/>
                <w:sz w:val="24"/>
                <w:szCs w:val="24"/>
              </w:rPr>
              <w:t>学期教学总周数</w:t>
            </w:r>
          </w:p>
        </w:tc>
        <w:tc>
          <w:tcPr>
            <w:tcW w:w="646" w:type="pct"/>
            <w:vAlign w:val="center"/>
          </w:tcPr>
          <w:p w14:paraId="616CE6D9">
            <w:pPr>
              <w:spacing w:after="0" w:line="240" w:lineRule="auto"/>
              <w:jc w:val="center"/>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20周</w:t>
            </w:r>
          </w:p>
        </w:tc>
        <w:tc>
          <w:tcPr>
            <w:tcW w:w="582" w:type="pct"/>
            <w:vAlign w:val="center"/>
          </w:tcPr>
          <w:p w14:paraId="1157150B">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c>
          <w:tcPr>
            <w:tcW w:w="582" w:type="pct"/>
            <w:vAlign w:val="center"/>
          </w:tcPr>
          <w:p w14:paraId="67426B91">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c>
          <w:tcPr>
            <w:tcW w:w="582" w:type="pct"/>
            <w:vAlign w:val="center"/>
          </w:tcPr>
          <w:p w14:paraId="18DD993F">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c>
          <w:tcPr>
            <w:tcW w:w="582" w:type="pct"/>
            <w:vAlign w:val="center"/>
          </w:tcPr>
          <w:p w14:paraId="477EEA62">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c>
          <w:tcPr>
            <w:tcW w:w="584" w:type="pct"/>
            <w:vAlign w:val="center"/>
          </w:tcPr>
          <w:p w14:paraId="626BCE4A">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sz w:val="24"/>
                <w:szCs w:val="24"/>
                <w:lang w:val="en-US" w:eastAsia="zh-CN"/>
              </w:rPr>
              <w:t>20周</w:t>
            </w:r>
          </w:p>
        </w:tc>
      </w:tr>
    </w:tbl>
    <w:p w14:paraId="0E49534C">
      <w:pPr>
        <w:pStyle w:val="3"/>
        <w:keepNext/>
        <w:keepLines/>
        <w:pageBreakBefore w:val="0"/>
        <w:widowControl w:val="0"/>
        <w:numPr>
          <w:ilvl w:val="0"/>
          <w:numId w:val="3"/>
        </w:numPr>
        <w:kinsoku/>
        <w:wordWrap/>
        <w:overflowPunct/>
        <w:topLinePunct w:val="0"/>
        <w:autoSpaceDE/>
        <w:autoSpaceDN/>
        <w:bidi w:val="0"/>
        <w:adjustRightInd/>
        <w:snapToGrid/>
        <w:spacing w:before="0" w:beforeLines="0" w:after="0" w:afterLines="0" w:line="520" w:lineRule="exact"/>
        <w:ind w:left="0" w:leftChars="0" w:firstLine="640" w:firstLineChars="200"/>
        <w:textAlignment w:val="auto"/>
        <w:rPr>
          <w:rFonts w:hint="eastAsia" w:ascii="Times New Roman" w:hAnsi="Times New Roman"/>
        </w:rPr>
      </w:pPr>
      <w:bookmarkStart w:id="33" w:name="_Toc13854"/>
      <w:r>
        <w:rPr>
          <w:rFonts w:hint="eastAsia" w:ascii="Times New Roman" w:hAnsi="Times New Roman"/>
          <w:lang w:val="en-US" w:eastAsia="zh-CN"/>
        </w:rPr>
        <w:t>课程结构与学时、学分分配</w:t>
      </w:r>
      <w:bookmarkEnd w:id="33"/>
    </w:p>
    <w:p w14:paraId="00A147DF">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bCs/>
          <w:color w:val="auto"/>
          <w:sz w:val="32"/>
          <w:szCs w:val="32"/>
          <w:highlight w:val="none"/>
        </w:rPr>
        <w:t>本专业教学总学时为</w:t>
      </w:r>
      <w:r>
        <w:rPr>
          <w:rFonts w:hint="eastAsia" w:ascii="Times New Roman" w:hAnsi="Times New Roman" w:eastAsia="仿宋_GB2312" w:cs="仿宋_GB2312"/>
          <w:spacing w:val="-2"/>
          <w:sz w:val="32"/>
          <w:szCs w:val="32"/>
          <w:highlight w:val="none"/>
          <w:lang w:val="en-US" w:eastAsia="zh-CN"/>
        </w:rPr>
        <w:t>285</w:t>
      </w:r>
      <w:r>
        <w:rPr>
          <w:rFonts w:hint="eastAsia" w:eastAsia="仿宋_GB2312" w:cs="仿宋_GB2312"/>
          <w:spacing w:val="-2"/>
          <w:sz w:val="32"/>
          <w:szCs w:val="32"/>
          <w:highlight w:val="none"/>
          <w:lang w:val="en-US" w:eastAsia="zh-CN"/>
        </w:rPr>
        <w:t>0</w:t>
      </w:r>
      <w:r>
        <w:rPr>
          <w:rFonts w:hint="eastAsia" w:ascii="Times New Roman" w:hAnsi="Times New Roman" w:eastAsia="仿宋_GB2312" w:cs="仿宋_GB2312"/>
          <w:bCs/>
          <w:color w:val="auto"/>
          <w:sz w:val="32"/>
          <w:szCs w:val="32"/>
          <w:highlight w:val="none"/>
        </w:rPr>
        <w:t>学时。其中理论教学</w:t>
      </w:r>
      <w:r>
        <w:rPr>
          <w:rFonts w:hint="eastAsia" w:ascii="Times New Roman" w:hAnsi="Times New Roman" w:eastAsia="仿宋_GB2312" w:cs="仿宋_GB2312"/>
          <w:color w:val="auto"/>
          <w:spacing w:val="-2"/>
          <w:sz w:val="32"/>
          <w:szCs w:val="32"/>
          <w:highlight w:val="none"/>
          <w:lang w:val="en-US" w:eastAsia="zh-CN"/>
        </w:rPr>
        <w:t>13</w:t>
      </w:r>
      <w:r>
        <w:rPr>
          <w:rFonts w:hint="eastAsia" w:eastAsia="仿宋_GB2312" w:cs="仿宋_GB2312"/>
          <w:color w:val="auto"/>
          <w:spacing w:val="-2"/>
          <w:sz w:val="32"/>
          <w:szCs w:val="32"/>
          <w:highlight w:val="none"/>
          <w:lang w:val="en-US" w:eastAsia="zh-CN"/>
        </w:rPr>
        <w:t>24</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bCs/>
          <w:color w:val="auto"/>
          <w:sz w:val="32"/>
          <w:szCs w:val="32"/>
          <w:highlight w:val="none"/>
          <w:lang w:val="en-US" w:eastAsia="zh-CN"/>
        </w:rPr>
        <w:t>46.</w:t>
      </w:r>
      <w:r>
        <w:rPr>
          <w:rFonts w:hint="eastAsia" w:eastAsia="仿宋_GB2312" w:cs="仿宋_GB2312"/>
          <w:bCs/>
          <w:color w:val="auto"/>
          <w:sz w:val="32"/>
          <w:szCs w:val="32"/>
          <w:highlight w:val="none"/>
          <w:lang w:val="en-US" w:eastAsia="zh-CN"/>
        </w:rPr>
        <w:t>46</w:t>
      </w:r>
      <w:r>
        <w:rPr>
          <w:rFonts w:hint="eastAsia" w:ascii="Times New Roman" w:hAnsi="Times New Roman" w:eastAsia="仿宋_GB2312" w:cs="仿宋_GB2312"/>
          <w:bCs/>
          <w:color w:val="auto"/>
          <w:sz w:val="32"/>
          <w:szCs w:val="32"/>
          <w:highlight w:val="none"/>
        </w:rPr>
        <w:t>%；实践教学</w:t>
      </w:r>
      <w:r>
        <w:rPr>
          <w:rFonts w:hint="eastAsia" w:ascii="Times New Roman" w:hAnsi="Times New Roman" w:eastAsia="仿宋_GB2312" w:cs="仿宋_GB2312"/>
          <w:spacing w:val="-2"/>
          <w:sz w:val="32"/>
          <w:szCs w:val="32"/>
          <w:highlight w:val="none"/>
          <w:lang w:val="en-US" w:eastAsia="zh-CN"/>
        </w:rPr>
        <w:t>15</w:t>
      </w:r>
      <w:r>
        <w:rPr>
          <w:rFonts w:hint="eastAsia" w:eastAsia="仿宋_GB2312" w:cs="仿宋_GB2312"/>
          <w:spacing w:val="-2"/>
          <w:sz w:val="32"/>
          <w:szCs w:val="32"/>
          <w:highlight w:val="none"/>
          <w:lang w:val="en-US" w:eastAsia="zh-CN"/>
        </w:rPr>
        <w:t>26</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spacing w:val="-2"/>
          <w:sz w:val="32"/>
          <w:szCs w:val="32"/>
          <w:highlight w:val="none"/>
          <w:lang w:val="en-US" w:eastAsia="zh-CN"/>
        </w:rPr>
        <w:t>53.</w:t>
      </w:r>
      <w:r>
        <w:rPr>
          <w:rFonts w:hint="eastAsia" w:eastAsia="仿宋_GB2312" w:cs="仿宋_GB2312"/>
          <w:spacing w:val="-2"/>
          <w:sz w:val="32"/>
          <w:szCs w:val="32"/>
          <w:highlight w:val="none"/>
          <w:lang w:val="en-US" w:eastAsia="zh-CN"/>
        </w:rPr>
        <w:t>54</w:t>
      </w:r>
      <w:r>
        <w:rPr>
          <w:rFonts w:hint="eastAsia" w:ascii="Times New Roman" w:hAnsi="Times New Roman" w:eastAsia="仿宋_GB2312" w:cs="仿宋_GB2312"/>
          <w:bCs/>
          <w:color w:val="auto"/>
          <w:sz w:val="32"/>
          <w:szCs w:val="32"/>
          <w:highlight w:val="none"/>
        </w:rPr>
        <w:t>%，其中岗位</w:t>
      </w:r>
      <w:r>
        <w:rPr>
          <w:rFonts w:hint="eastAsia" w:ascii="Times New Roman" w:hAnsi="Times New Roman" w:eastAsia="仿宋_GB2312" w:cs="仿宋_GB2312"/>
          <w:color w:val="auto"/>
          <w:spacing w:val="-2"/>
          <w:sz w:val="32"/>
          <w:szCs w:val="32"/>
          <w:highlight w:val="none"/>
          <w:lang w:val="en-US" w:eastAsia="zh-CN"/>
        </w:rPr>
        <w:t>实习时间累计一般为6个月。</w:t>
      </w:r>
      <w:r>
        <w:rPr>
          <w:rFonts w:hint="eastAsia" w:ascii="Times New Roman" w:hAnsi="Times New Roman" w:eastAsia="仿宋_GB2312" w:cs="仿宋_GB2312"/>
          <w:bCs/>
          <w:color w:val="auto"/>
          <w:sz w:val="32"/>
          <w:szCs w:val="32"/>
          <w:highlight w:val="none"/>
        </w:rPr>
        <w:t>公共基础课</w:t>
      </w:r>
      <w:r>
        <w:rPr>
          <w:rFonts w:hint="eastAsia" w:ascii="Times New Roman" w:hAnsi="Times New Roman" w:eastAsia="仿宋_GB2312" w:cs="仿宋_GB2312"/>
          <w:bCs/>
          <w:sz w:val="32"/>
          <w:szCs w:val="32"/>
          <w:highlight w:val="none"/>
        </w:rPr>
        <w:t>9</w:t>
      </w:r>
      <w:r>
        <w:rPr>
          <w:rFonts w:hint="eastAsia" w:ascii="Times New Roman" w:hAnsi="Times New Roman" w:eastAsia="仿宋_GB2312" w:cs="仿宋_GB2312"/>
          <w:bCs/>
          <w:sz w:val="32"/>
          <w:szCs w:val="32"/>
          <w:highlight w:val="none"/>
          <w:lang w:val="en-US" w:eastAsia="zh-CN"/>
        </w:rPr>
        <w:t>5</w:t>
      </w:r>
      <w:r>
        <w:rPr>
          <w:rFonts w:hint="eastAsia" w:eastAsia="仿宋_GB2312" w:cs="仿宋_GB2312"/>
          <w:bCs/>
          <w:sz w:val="32"/>
          <w:szCs w:val="32"/>
          <w:highlight w:val="none"/>
          <w:lang w:val="en-US" w:eastAsia="zh-CN"/>
        </w:rPr>
        <w:t>4</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bCs/>
          <w:sz w:val="32"/>
          <w:szCs w:val="32"/>
          <w:highlight w:val="none"/>
          <w:lang w:val="en-US" w:eastAsia="zh-CN"/>
        </w:rPr>
        <w:t>33.57</w:t>
      </w:r>
      <w:r>
        <w:rPr>
          <w:rFonts w:hint="eastAsia" w:ascii="Times New Roman" w:hAnsi="Times New Roman" w:eastAsia="仿宋_GB2312" w:cs="仿宋_GB2312"/>
          <w:bCs/>
          <w:color w:val="auto"/>
          <w:sz w:val="32"/>
          <w:szCs w:val="32"/>
          <w:highlight w:val="none"/>
        </w:rPr>
        <w:t>%；选修课</w:t>
      </w:r>
      <w:r>
        <w:rPr>
          <w:rFonts w:hint="eastAsia" w:ascii="Times New Roman" w:hAnsi="Times New Roman" w:eastAsia="仿宋_GB2312" w:cs="仿宋_GB2312"/>
          <w:bCs/>
          <w:sz w:val="32"/>
          <w:szCs w:val="32"/>
          <w:highlight w:val="none"/>
          <w:lang w:val="en-US" w:eastAsia="zh-CN"/>
        </w:rPr>
        <w:t>288</w:t>
      </w:r>
      <w:r>
        <w:rPr>
          <w:rFonts w:hint="eastAsia" w:ascii="Times New Roman" w:hAnsi="Times New Roman" w:eastAsia="仿宋_GB2312" w:cs="仿宋_GB2312"/>
          <w:bCs/>
          <w:color w:val="auto"/>
          <w:sz w:val="32"/>
          <w:szCs w:val="32"/>
          <w:highlight w:val="none"/>
        </w:rPr>
        <w:t>学时，占</w:t>
      </w:r>
      <w:r>
        <w:rPr>
          <w:rFonts w:hint="eastAsia" w:ascii="Times New Roman" w:hAnsi="Times New Roman" w:eastAsia="仿宋_GB2312" w:cs="仿宋_GB2312"/>
          <w:bCs/>
          <w:sz w:val="32"/>
          <w:szCs w:val="32"/>
          <w:highlight w:val="none"/>
          <w:lang w:val="en-US" w:eastAsia="zh-CN"/>
        </w:rPr>
        <w:t>10.</w:t>
      </w:r>
      <w:r>
        <w:rPr>
          <w:rFonts w:hint="eastAsia" w:eastAsia="仿宋_GB2312" w:cs="仿宋_GB2312"/>
          <w:bCs/>
          <w:sz w:val="32"/>
          <w:szCs w:val="32"/>
          <w:highlight w:val="none"/>
          <w:lang w:val="en-US" w:eastAsia="zh-CN"/>
        </w:rPr>
        <w:t>1</w:t>
      </w:r>
      <w:r>
        <w:rPr>
          <w:rFonts w:hint="eastAsia" w:ascii="Times New Roman" w:hAnsi="Times New Roman" w:eastAsia="仿宋_GB2312" w:cs="仿宋_GB2312"/>
          <w:bCs/>
          <w:color w:val="auto"/>
          <w:sz w:val="32"/>
          <w:szCs w:val="32"/>
          <w:highlight w:val="none"/>
        </w:rPr>
        <w:t>%。</w:t>
      </w:r>
    </w:p>
    <w:p w14:paraId="7268D1D1">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Times New Roman" w:hAnsi="Times New Roman" w:eastAsia="仿宋_GB2312" w:cs="仿宋_GB2312"/>
          <w:color w:val="auto"/>
          <w:spacing w:val="-2"/>
          <w:sz w:val="32"/>
          <w:szCs w:val="32"/>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9</w:t>
      </w:r>
      <w:r>
        <w:rPr>
          <w:rFonts w:hint="eastAsia" w:ascii="Times New Roman" w:hAnsi="Times New Roman" w:eastAsia="仿宋_GB2312" w:cs="仿宋_GB2312"/>
          <w:color w:val="auto"/>
          <w:spacing w:val="-2"/>
          <w:sz w:val="32"/>
          <w:szCs w:val="32"/>
        </w:rPr>
        <w:t>课程学时、学分分配表</w:t>
      </w:r>
    </w:p>
    <w:tbl>
      <w:tblPr>
        <w:tblStyle w:val="12"/>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2066"/>
        <w:gridCol w:w="774"/>
        <w:gridCol w:w="718"/>
        <w:gridCol w:w="1118"/>
        <w:gridCol w:w="896"/>
        <w:gridCol w:w="759"/>
        <w:gridCol w:w="1261"/>
        <w:gridCol w:w="750"/>
        <w:gridCol w:w="1264"/>
      </w:tblGrid>
      <w:tr w14:paraId="018C8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3D87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课程类别</w:t>
            </w:r>
          </w:p>
        </w:tc>
        <w:tc>
          <w:tcPr>
            <w:tcW w:w="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2487B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3ABBC">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38BC92">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0150F">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 xml:space="preserve">                         学时</w:t>
            </w:r>
          </w:p>
        </w:tc>
      </w:tr>
      <w:tr w14:paraId="49612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0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1A572">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000000"/>
                <w:sz w:val="24"/>
                <w:szCs w:val="24"/>
                <w:u w:val="none"/>
              </w:rPr>
            </w:pPr>
          </w:p>
        </w:tc>
        <w:tc>
          <w:tcPr>
            <w:tcW w:w="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43BBF">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000000"/>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666BA">
            <w:pPr>
              <w:keepNext w:val="0"/>
              <w:keepLines w:val="0"/>
              <w:pageBreakBefore w:val="0"/>
              <w:widowControl/>
              <w:kinsoku/>
              <w:wordWrap/>
              <w:overflowPunct/>
              <w:topLinePunct w:val="0"/>
              <w:autoSpaceDE/>
              <w:autoSpaceDN/>
              <w:bidi w:val="0"/>
              <w:adjustRightInd/>
              <w:snapToGrid/>
              <w:spacing w:after="0"/>
              <w:rPr>
                <w:rFonts w:hint="eastAsia" w:ascii="Times New Roman" w:hAnsi="Times New Roman" w:eastAsia="仿宋_GB2312" w:cs="仿宋_GB2312"/>
                <w:i w:val="0"/>
                <w:iCs w:val="0"/>
                <w:color w:val="000000"/>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157A3">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000000"/>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D1C8C">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EDFB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B5138">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实践教学</w:t>
            </w:r>
          </w:p>
        </w:tc>
      </w:tr>
      <w:tr w14:paraId="788FC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30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6B38C">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000000"/>
                <w:sz w:val="24"/>
                <w:szCs w:val="24"/>
                <w:u w:val="none"/>
              </w:rPr>
            </w:pPr>
          </w:p>
        </w:tc>
        <w:tc>
          <w:tcPr>
            <w:tcW w:w="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B97DE">
            <w:pPr>
              <w:keepNext w:val="0"/>
              <w:keepLines w:val="0"/>
              <w:pageBreakBefore w:val="0"/>
              <w:widowControl/>
              <w:kinsoku/>
              <w:wordWrap/>
              <w:overflowPunct/>
              <w:topLinePunct w:val="0"/>
              <w:autoSpaceDE/>
              <w:autoSpaceDN/>
              <w:bidi w:val="0"/>
              <w:adjustRightInd/>
              <w:snapToGrid/>
              <w:spacing w:after="0"/>
              <w:jc w:val="center"/>
              <w:rPr>
                <w:rFonts w:hint="eastAsia" w:ascii="Times New Roman" w:hAnsi="Times New Roman" w:eastAsia="仿宋_GB2312" w:cs="仿宋_GB2312"/>
                <w:i w:val="0"/>
                <w:iCs w:val="0"/>
                <w:color w:val="000000"/>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E76B5">
            <w:pPr>
              <w:keepNext w:val="0"/>
              <w:keepLines w:val="0"/>
              <w:pageBreakBefore w:val="0"/>
              <w:widowControl/>
              <w:kinsoku/>
              <w:wordWrap/>
              <w:overflowPunct/>
              <w:topLinePunct w:val="0"/>
              <w:autoSpaceDE/>
              <w:autoSpaceDN/>
              <w:bidi w:val="0"/>
              <w:adjustRightInd/>
              <w:snapToGrid/>
              <w:spacing w:after="0"/>
              <w:rPr>
                <w:rFonts w:hint="eastAsia" w:ascii="Times New Roman" w:hAnsi="Times New Roman" w:eastAsia="仿宋_GB2312" w:cs="仿宋_GB2312"/>
                <w:i w:val="0"/>
                <w:iCs w:val="0"/>
                <w:color w:val="000000"/>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5BB4E">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Times New Roman" w:hAnsi="Times New Roman" w:eastAsia="仿宋_GB2312" w:cs="仿宋_GB2312"/>
                <w:i w:val="0"/>
                <w:iCs w:val="0"/>
                <w:color w:val="000000"/>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F5F07">
            <w:pPr>
              <w:keepNext w:val="0"/>
              <w:keepLines w:val="0"/>
              <w:pageBreakBefore w:val="0"/>
              <w:widowControl/>
              <w:kinsoku/>
              <w:wordWrap/>
              <w:overflowPunct/>
              <w:topLinePunct w:val="0"/>
              <w:autoSpaceDE/>
              <w:autoSpaceDN/>
              <w:bidi w:val="0"/>
              <w:adjustRightInd/>
              <w:snapToGrid/>
              <w:spacing w:after="0" w:line="240" w:lineRule="atLeast"/>
              <w:rPr>
                <w:rFonts w:hint="eastAsia" w:ascii="Times New Roman" w:hAnsi="Times New Roman" w:eastAsia="仿宋_GB2312" w:cs="仿宋_GB2312"/>
                <w:i w:val="0"/>
                <w:iCs w:val="0"/>
                <w:color w:val="000000"/>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75E6B">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9A7D9">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17465">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0A453">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Times New Roman" w:hAnsi="Times New Roman" w:eastAsia="仿宋_GB2312" w:cs="仿宋_GB2312"/>
                <w:i w:val="0"/>
                <w:iCs w:val="0"/>
                <w:color w:val="000000"/>
                <w:sz w:val="24"/>
                <w:szCs w:val="24"/>
                <w:u w:val="none"/>
              </w:rPr>
            </w:pPr>
            <w:r>
              <w:rPr>
                <w:rFonts w:hint="eastAsia" w:ascii="Times New Roman" w:hAnsi="Times New Roman" w:eastAsia="仿宋_GB2312" w:cs="仿宋_GB2312"/>
                <w:i w:val="0"/>
                <w:iCs w:val="0"/>
                <w:color w:val="000000"/>
                <w:kern w:val="0"/>
                <w:sz w:val="24"/>
                <w:szCs w:val="24"/>
                <w:u w:val="none"/>
                <w:lang w:val="en-US" w:eastAsia="zh-CN" w:bidi="ar"/>
              </w:rPr>
              <w:t>占专业总学时比例（%）</w:t>
            </w:r>
          </w:p>
        </w:tc>
      </w:tr>
      <w:tr w14:paraId="6F03C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0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9476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公共基础课</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E50A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F619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0458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28.76%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6959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F9AFD">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48B76">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15.65%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9825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8408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13.33%</w:t>
            </w:r>
          </w:p>
        </w:tc>
      </w:tr>
      <w:tr w14:paraId="4360C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0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1612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BD3E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5CECA">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D20B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5.23%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8618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74B1A">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1C86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2.81%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8B9EF">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F05A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1.68%</w:t>
            </w:r>
          </w:p>
        </w:tc>
      </w:tr>
      <w:tr w14:paraId="6C784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jc w:val="center"/>
        </w:trPr>
        <w:tc>
          <w:tcPr>
            <w:tcW w:w="30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E62D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DCE8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63DD7">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B904C">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33.99%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4F92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76800">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265F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18.46%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02E4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6CEC3">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15.02%</w:t>
            </w:r>
          </w:p>
        </w:tc>
      </w:tr>
      <w:tr w14:paraId="38C5E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14:paraId="226A3D6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专业课</w:t>
            </w: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40D6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专业基础课</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1408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9E1A7">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FBF5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20.92%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F1DE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5BCD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306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7CAFD">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E7C9F">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270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B0B5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9.47%</w:t>
            </w:r>
          </w:p>
        </w:tc>
      </w:tr>
      <w:tr w14:paraId="14509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41C93E4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ACFE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专业核心课</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C297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E25BC">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558B9">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20.92%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B8BB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11BD0">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312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3D7E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10.95%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C239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264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73CB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9.26%</w:t>
            </w:r>
          </w:p>
        </w:tc>
      </w:tr>
      <w:tr w14:paraId="1FD50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4C48F40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327F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专业拓展课</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087D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95BD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F0E10">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6.54%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E4E2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160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4CEA3">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160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F6D23">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5.61%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678D7">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1C845">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0.00%</w:t>
            </w:r>
          </w:p>
        </w:tc>
      </w:tr>
      <w:tr w14:paraId="387A4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6B6A4D3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p>
        </w:tc>
        <w:tc>
          <w:tcPr>
            <w:tcW w:w="2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70AF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实践性教学环节</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BAC0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A659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27</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E153B">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17.65%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0CF7F">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584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B5F5A">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F0095">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0.70%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9D96D">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564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3781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19.79%</w:t>
            </w:r>
          </w:p>
        </w:tc>
      </w:tr>
      <w:tr w14:paraId="2CC63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14:paraId="0B9E71E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p>
        </w:tc>
        <w:tc>
          <w:tcPr>
            <w:tcW w:w="2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5ABB3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20A15">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101</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D3B14">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66.01%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B7175">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1896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29C5E">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798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5D2B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28.00%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1DFBD">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1098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D363">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38.53%</w:t>
            </w:r>
          </w:p>
        </w:tc>
      </w:tr>
      <w:tr w14:paraId="3EC8F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AC94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000000"/>
                <w:kern w:val="0"/>
                <w:sz w:val="24"/>
                <w:szCs w:val="24"/>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52CC5">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153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78E51">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BA55C">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2850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CF452">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1324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E4F48">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46.46%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2DDD0">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default"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1526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7D94F">
            <w:pPr>
              <w:keepNext w:val="0"/>
              <w:keepLines w:val="0"/>
              <w:pageBreakBefore w:val="0"/>
              <w:widowControl/>
              <w:suppressLineNumbers w:val="0"/>
              <w:kinsoku/>
              <w:wordWrap/>
              <w:overflowPunct/>
              <w:topLinePunct w:val="0"/>
              <w:autoSpaceDE/>
              <w:autoSpaceDN/>
              <w:bidi w:val="0"/>
              <w:adjustRightInd/>
              <w:snapToGrid/>
              <w:spacing w:after="0" w:line="400" w:lineRule="exact"/>
              <w:jc w:val="center"/>
              <w:textAlignment w:val="center"/>
              <w:rPr>
                <w:rFonts w:hint="eastAsia" w:ascii="Times New Roman" w:hAnsi="Times New Roman" w:eastAsia="仿宋_GB2312" w:cs="仿宋_GB2312"/>
                <w:i w:val="0"/>
                <w:iCs w:val="0"/>
                <w:color w:val="000000"/>
                <w:kern w:val="0"/>
                <w:sz w:val="24"/>
                <w:szCs w:val="24"/>
                <w:highlight w:val="none"/>
                <w:u w:val="none"/>
                <w:lang w:val="en-US" w:eastAsia="zh-CN" w:bidi="ar"/>
              </w:rPr>
            </w:pPr>
            <w:r>
              <w:rPr>
                <w:rFonts w:hint="eastAsia" w:ascii="Times New Roman" w:hAnsi="Times New Roman" w:eastAsia="仿宋_GB2312" w:cs="仿宋_GB2312"/>
                <w:i w:val="0"/>
                <w:iCs w:val="0"/>
                <w:color w:val="000000"/>
                <w:kern w:val="0"/>
                <w:sz w:val="24"/>
                <w:szCs w:val="24"/>
                <w:u w:val="none"/>
                <w:lang w:val="en-US" w:eastAsia="zh-CN" w:bidi="ar"/>
              </w:rPr>
              <w:t>53.54%</w:t>
            </w:r>
          </w:p>
        </w:tc>
      </w:tr>
    </w:tbl>
    <w:p w14:paraId="19F3B876">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Times New Roman" w:hAnsi="Times New Roman" w:eastAsia="楷体" w:cs="楷体"/>
          <w:color w:val="auto"/>
          <w:sz w:val="32"/>
          <w:szCs w:val="32"/>
          <w:lang w:eastAsia="zh-CN"/>
        </w:rPr>
      </w:pPr>
    </w:p>
    <w:p w14:paraId="47895FEA">
      <w:pPr>
        <w:pStyle w:val="3"/>
        <w:keepNext/>
        <w:keepLines/>
        <w:pageBreakBefore w:val="0"/>
        <w:widowControl w:val="0"/>
        <w:numPr>
          <w:ilvl w:val="0"/>
          <w:numId w:val="3"/>
        </w:numPr>
        <w:kinsoku/>
        <w:wordWrap/>
        <w:overflowPunct/>
        <w:topLinePunct w:val="0"/>
        <w:autoSpaceDE/>
        <w:autoSpaceDN/>
        <w:bidi w:val="0"/>
        <w:adjustRightInd/>
        <w:snapToGrid/>
        <w:spacing w:before="0" w:after="0" w:line="520" w:lineRule="exact"/>
        <w:ind w:left="0" w:leftChars="0" w:firstLine="640" w:firstLineChars="200"/>
        <w:textAlignment w:val="auto"/>
        <w:rPr>
          <w:rFonts w:hint="eastAsia" w:ascii="Times New Roman" w:hAnsi="Times New Roman"/>
          <w:lang w:val="en-US" w:eastAsia="zh-CN"/>
        </w:rPr>
      </w:pPr>
      <w:bookmarkStart w:id="34" w:name="_Toc8033"/>
      <w:r>
        <w:rPr>
          <w:rFonts w:hint="eastAsia" w:ascii="Times New Roman" w:hAnsi="Times New Roman"/>
          <w:lang w:val="en-US" w:eastAsia="zh-CN"/>
        </w:rPr>
        <w:t>教学计划进程</w:t>
      </w:r>
      <w:bookmarkEnd w:id="34"/>
    </w:p>
    <w:p w14:paraId="5A475DD6">
      <w:pPr>
        <w:pStyle w:val="11"/>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Times New Roman" w:hAnsi="Times New Roman" w:eastAsia="楷体" w:cs="楷体"/>
          <w:color w:val="auto"/>
          <w:sz w:val="32"/>
          <w:szCs w:val="32"/>
        </w:rPr>
      </w:pPr>
      <w:r>
        <w:rPr>
          <w:rFonts w:hint="eastAsia" w:ascii="Times New Roman" w:hAnsi="Times New Roman" w:eastAsia="仿宋_GB2312" w:cs="仿宋_GB2312"/>
          <w:color w:val="auto"/>
          <w:sz w:val="32"/>
          <w:szCs w:val="32"/>
        </w:rPr>
        <w:t>表</w:t>
      </w:r>
      <w:r>
        <w:rPr>
          <w:rFonts w:hint="eastAsia" w:ascii="Times New Roman" w:hAnsi="Times New Roman" w:eastAsia="仿宋_GB2312" w:cs="仿宋_GB2312"/>
          <w:color w:val="auto"/>
          <w:sz w:val="32"/>
          <w:szCs w:val="32"/>
          <w:lang w:val="en-US" w:eastAsia="zh-CN"/>
        </w:rPr>
        <w:t>10</w:t>
      </w:r>
      <w:r>
        <w:rPr>
          <w:rFonts w:hint="eastAsia" w:ascii="Times New Roman" w:hAnsi="Times New Roman" w:eastAsia="仿宋_GB2312" w:cs="仿宋_GB2312"/>
          <w:color w:val="auto"/>
          <w:sz w:val="32"/>
          <w:szCs w:val="32"/>
          <w:shd w:val="clear" w:color="auto" w:fill="FFFFFF"/>
          <w:lang w:bidi="ar"/>
        </w:rPr>
        <w:t>教学计划进程安排表</w:t>
      </w:r>
    </w:p>
    <w:tbl>
      <w:tblPr>
        <w:tblStyle w:val="12"/>
        <w:tblW w:w="574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80"/>
        <w:gridCol w:w="325"/>
        <w:gridCol w:w="480"/>
        <w:gridCol w:w="567"/>
        <w:gridCol w:w="1386"/>
        <w:gridCol w:w="1704"/>
        <w:gridCol w:w="863"/>
        <w:gridCol w:w="729"/>
        <w:gridCol w:w="748"/>
        <w:gridCol w:w="739"/>
        <w:gridCol w:w="354"/>
        <w:gridCol w:w="421"/>
        <w:gridCol w:w="287"/>
        <w:gridCol w:w="313"/>
        <w:gridCol w:w="450"/>
        <w:gridCol w:w="395"/>
        <w:gridCol w:w="539"/>
      </w:tblGrid>
      <w:tr w14:paraId="66BC1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1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FBE0C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bookmarkStart w:id="35" w:name="OLE_LINK3"/>
            <w:r>
              <w:rPr>
                <w:rFonts w:hint="eastAsia" w:ascii="Times New Roman" w:hAnsi="Times New Roman" w:eastAsia="仿宋_GB2312" w:cs="仿宋_GB2312"/>
                <w:i w:val="0"/>
                <w:iCs w:val="0"/>
                <w:color w:val="auto"/>
                <w:kern w:val="0"/>
                <w:sz w:val="20"/>
                <w:szCs w:val="20"/>
                <w:u w:val="none"/>
                <w:lang w:val="en-US" w:eastAsia="zh-CN" w:bidi="ar"/>
              </w:rPr>
              <w:t>课程类型</w:t>
            </w:r>
          </w:p>
        </w:tc>
        <w:tc>
          <w:tcPr>
            <w:tcW w:w="5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03559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序号</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76F9E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课程代码</w:t>
            </w:r>
          </w:p>
        </w:tc>
        <w:tc>
          <w:tcPr>
            <w:tcW w:w="1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4E13F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课程名称</w:t>
            </w:r>
          </w:p>
        </w:tc>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51D09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学分</w:t>
            </w:r>
          </w:p>
        </w:tc>
        <w:tc>
          <w:tcPr>
            <w:tcW w:w="22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2CE1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教学学时数</w:t>
            </w:r>
          </w:p>
        </w:tc>
        <w:tc>
          <w:tcPr>
            <w:tcW w:w="2220"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67B56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开课学期和周学时</w:t>
            </w:r>
          </w:p>
        </w:tc>
        <w:tc>
          <w:tcPr>
            <w:tcW w:w="5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DF1B54">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考核类型</w:t>
            </w:r>
          </w:p>
        </w:tc>
      </w:tr>
      <w:tr w14:paraId="6CA7C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48AA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160E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EDE4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1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08B6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5942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2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EA97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22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9E08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5922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p>
        </w:tc>
      </w:tr>
      <w:tr w14:paraId="1C551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1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85D1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4E64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52CD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1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8076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3210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9467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合计</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6A1BC">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理论学时</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0B493">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实践学时</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F638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一</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51BE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二</w:t>
            </w:r>
          </w:p>
        </w:tc>
        <w:tc>
          <w:tcPr>
            <w:tcW w:w="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A908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三</w:t>
            </w:r>
          </w:p>
        </w:tc>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0709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四</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2A61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五</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CE37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六</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E51B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p>
        </w:tc>
      </w:tr>
      <w:tr w14:paraId="5FA84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exact"/>
          <w:jc w:val="center"/>
        </w:trPr>
        <w:tc>
          <w:tcPr>
            <w:tcW w:w="7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65638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公共基础课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E1204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必修</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196E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EAB83">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1B410101101</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1ED5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思想道德与法治</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9093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AB17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35FF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26C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B069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A2C0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4912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618D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8B5C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A227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0877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2D867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87B2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EC58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C94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1B979">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1A410101102</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DF41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形势与政策</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DA86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95E1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010A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35C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A6370D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1到4学期开课，每学期8学时。</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C76C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3F854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731E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B7FB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4D11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47480">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1A410101103</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1E9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国家安全教育</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AC81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4346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AA55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29DC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2CEA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E293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D6E4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AC9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9762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D06F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7C98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35630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DF12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CF8B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9888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B0B88">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1A410101104</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3023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军事理论</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9A15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5852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5FD0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4B77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803C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FFAD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38AA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9C5A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E634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C6D9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7214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1A8D7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7E2A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1C78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123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5</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547CA">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1C410101105</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E9E6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军训</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6E2E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EB48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112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D5D1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EC65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112</w:t>
            </w:r>
          </w:p>
        </w:tc>
        <w:tc>
          <w:tcPr>
            <w:tcW w:w="22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A01738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第1学期，实际训练时间不少于14天</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3F18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7D2D7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65B0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0BD3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A72D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C505E">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1B410101106</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426E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计算机基础</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547A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421B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64</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FAF4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CC1C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780F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11A4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8C9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E208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5118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69D6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3F80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299CE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6A1E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729A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55EC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28A47">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1B410101107</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7DA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高等数学</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C9E3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291A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64</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B689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64</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CAB9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7AF4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C939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713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135E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F470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D3B1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9EBD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133EF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883E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0218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BDED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CE659">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1B410101108</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1337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大学英语</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26D9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43E5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978F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104</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BEFD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CB09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DE2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484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5487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26F0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0A8D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AB07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4D3D0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008F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FD8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86A2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9</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FCB61">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1C410101109</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10C8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大学体育</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232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FB12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144</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148B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8313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144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3D42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3C2E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6BEE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3048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6146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16D6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D59A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4AA34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9FE0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B87E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BF4A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10</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B7245">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1B410101110</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FD4B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大学生职业发展与就业指导</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DDBB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CC3E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275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26</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5092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F465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3DF7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3E2B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DDB2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733E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917E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46A2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6A076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9254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106C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FF45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11</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DBC51">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1B410101111</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D3ED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大学生心理健康教育</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89F0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26DE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4CBE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4B24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45E3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5FA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D256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8EE4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5FDF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D272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BD2A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685AA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E975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E6D6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2F84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64E61">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1C410101112</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EA9A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劳动教育</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5237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2338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7CDE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FCD2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781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4352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287" w:type="dxa"/>
            <w:tcBorders>
              <w:top w:val="nil"/>
              <w:left w:val="nil"/>
              <w:bottom w:val="nil"/>
              <w:right w:val="nil"/>
            </w:tcBorders>
            <w:shd w:val="clear" w:color="auto" w:fill="auto"/>
            <w:noWrap/>
            <w:vAlign w:val="center"/>
          </w:tcPr>
          <w:p w14:paraId="690BDE6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446B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1A50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2440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1B20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53760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9A9D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5D1D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5C45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13</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DE9D8">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1B410101113</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7627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毛泽东思想和中国特色社会主义理论体系概论</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5BC4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2D79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57BE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28</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4F71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3850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3DB7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1DF9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0D3E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67C6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E53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73A5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4B264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8237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D609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503A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14</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FAEA6">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1B410101114</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A8A1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创新创业教育</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844D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5962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F2FB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6832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B6AB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1873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nil"/>
              <w:left w:val="nil"/>
              <w:bottom w:val="nil"/>
              <w:right w:val="nil"/>
            </w:tcBorders>
            <w:shd w:val="clear" w:color="auto" w:fill="auto"/>
            <w:noWrap/>
            <w:vAlign w:val="center"/>
          </w:tcPr>
          <w:p w14:paraId="6866612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6897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CA44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A8F2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3CC0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08947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E699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D6E0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B409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15</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6D049">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1B410101115</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2B27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习近平新时代中国特色社会主义思想概论</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50B5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87AE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B461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363F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354" w:type="dxa"/>
            <w:tcBorders>
              <w:top w:val="single" w:color="000000" w:sz="4" w:space="0"/>
              <w:left w:val="single" w:color="000000" w:sz="4" w:space="0"/>
              <w:bottom w:val="single" w:color="auto" w:sz="4" w:space="0"/>
              <w:right w:val="single" w:color="000000" w:sz="4" w:space="0"/>
            </w:tcBorders>
            <w:shd w:val="clear" w:color="auto" w:fill="auto"/>
            <w:vAlign w:val="center"/>
          </w:tcPr>
          <w:p w14:paraId="18A401F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auto" w:sz="4" w:space="0"/>
              <w:right w:val="single" w:color="000000" w:sz="4" w:space="0"/>
            </w:tcBorders>
            <w:shd w:val="clear" w:color="auto" w:fill="auto"/>
            <w:vAlign w:val="center"/>
          </w:tcPr>
          <w:p w14:paraId="16FFF9B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auto" w:sz="4" w:space="0"/>
              <w:right w:val="single" w:color="000000" w:sz="4" w:space="0"/>
            </w:tcBorders>
            <w:shd w:val="clear" w:color="auto" w:fill="auto"/>
            <w:vAlign w:val="center"/>
          </w:tcPr>
          <w:p w14:paraId="3CB2064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675A3D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50" w:type="dxa"/>
            <w:tcBorders>
              <w:top w:val="single" w:color="000000" w:sz="4" w:space="0"/>
              <w:left w:val="single" w:color="000000" w:sz="4" w:space="0"/>
              <w:bottom w:val="single" w:color="auto" w:sz="4" w:space="0"/>
              <w:right w:val="single" w:color="000000" w:sz="4" w:space="0"/>
            </w:tcBorders>
            <w:shd w:val="clear" w:color="auto" w:fill="auto"/>
            <w:vAlign w:val="center"/>
          </w:tcPr>
          <w:p w14:paraId="188286D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auto" w:sz="4" w:space="0"/>
              <w:right w:val="single" w:color="000000" w:sz="4" w:space="0"/>
            </w:tcBorders>
            <w:shd w:val="clear" w:color="auto" w:fill="auto"/>
            <w:vAlign w:val="center"/>
          </w:tcPr>
          <w:p w14:paraId="63383AC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auto" w:sz="4" w:space="0"/>
              <w:right w:val="single" w:color="000000" w:sz="4" w:space="0"/>
            </w:tcBorders>
            <w:shd w:val="clear" w:color="auto" w:fill="auto"/>
            <w:vAlign w:val="center"/>
          </w:tcPr>
          <w:p w14:paraId="6E2EB2E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4B4A3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B312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restart"/>
            <w:tcBorders>
              <w:top w:val="single" w:color="000000" w:sz="4" w:space="0"/>
              <w:left w:val="single" w:color="000000" w:sz="4" w:space="0"/>
              <w:right w:val="single" w:color="000000" w:sz="4" w:space="0"/>
            </w:tcBorders>
            <w:shd w:val="clear" w:color="auto" w:fill="auto"/>
            <w:vAlign w:val="center"/>
          </w:tcPr>
          <w:p w14:paraId="4E93D46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4F9E126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05D362B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210F3FC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59C9E01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24180A3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1B7627B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选修</w:t>
            </w:r>
          </w:p>
        </w:tc>
        <w:tc>
          <w:tcPr>
            <w:tcW w:w="567" w:type="dxa"/>
            <w:tcBorders>
              <w:top w:val="single" w:color="000000" w:sz="4" w:space="0"/>
              <w:left w:val="nil"/>
              <w:bottom w:val="single" w:color="000000" w:sz="4" w:space="0"/>
              <w:right w:val="single" w:color="000000" w:sz="4" w:space="0"/>
            </w:tcBorders>
            <w:shd w:val="clear" w:color="auto" w:fill="auto"/>
            <w:vAlign w:val="center"/>
          </w:tcPr>
          <w:p w14:paraId="15E7B41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7F888">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1B410101201</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FF4A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中国民俗剪纸技法</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F121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1FFF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BE59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6575168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24</w:t>
            </w:r>
          </w:p>
        </w:tc>
        <w:tc>
          <w:tcPr>
            <w:tcW w:w="2220" w:type="dxa"/>
            <w:gridSpan w:val="6"/>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1799B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公共选修课最低学分要求为8学分，其中要求2个学分为思政选修课学分。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52CD356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3466E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61DF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3F3CC6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nil"/>
              <w:bottom w:val="single" w:color="000000" w:sz="4" w:space="0"/>
              <w:right w:val="single" w:color="000000" w:sz="4" w:space="0"/>
            </w:tcBorders>
            <w:shd w:val="clear" w:color="auto" w:fill="auto"/>
            <w:vAlign w:val="center"/>
          </w:tcPr>
          <w:p w14:paraId="62C4D1D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50A54">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1B410101202</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C6E7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影视与鉴赏</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FB73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78E5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B9FD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666F6A7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24</w:t>
            </w:r>
          </w:p>
        </w:tc>
        <w:tc>
          <w:tcPr>
            <w:tcW w:w="2220" w:type="dxa"/>
            <w:gridSpan w:val="6"/>
            <w:vMerge w:val="continue"/>
            <w:tcBorders>
              <w:top w:val="single" w:color="auto" w:sz="4" w:space="0"/>
              <w:left w:val="single" w:color="auto" w:sz="4" w:space="0"/>
              <w:right w:val="single" w:color="000000" w:sz="4" w:space="0"/>
            </w:tcBorders>
            <w:shd w:val="clear" w:color="auto" w:fill="auto"/>
            <w:vAlign w:val="center"/>
          </w:tcPr>
          <w:p w14:paraId="1C45843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000000" w:sz="4" w:space="0"/>
              <w:bottom w:val="single" w:color="000000" w:sz="4" w:space="0"/>
              <w:right w:val="single" w:color="000000" w:sz="4" w:space="0"/>
            </w:tcBorders>
            <w:shd w:val="clear" w:color="auto" w:fill="auto"/>
            <w:vAlign w:val="center"/>
          </w:tcPr>
          <w:p w14:paraId="2565A6D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28F2F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C48F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57D1B02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nil"/>
              <w:bottom w:val="single" w:color="000000" w:sz="4" w:space="0"/>
              <w:right w:val="single" w:color="000000" w:sz="4" w:space="0"/>
            </w:tcBorders>
            <w:shd w:val="clear" w:color="auto" w:fill="auto"/>
            <w:vAlign w:val="center"/>
          </w:tcPr>
          <w:p w14:paraId="15F6E43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FF1B8">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1A410101203</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1961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中华优秀传统文化</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DCD0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4AAB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CF3B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49E9C10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left w:val="single" w:color="auto" w:sz="4" w:space="0"/>
              <w:right w:val="single" w:color="000000" w:sz="4" w:space="0"/>
            </w:tcBorders>
            <w:shd w:val="clear" w:color="auto" w:fill="auto"/>
            <w:vAlign w:val="center"/>
          </w:tcPr>
          <w:p w14:paraId="4C9133E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9794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4877A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7BA3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7A3EB8D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nil"/>
              <w:bottom w:val="single" w:color="000000" w:sz="4" w:space="0"/>
              <w:right w:val="single" w:color="000000" w:sz="4" w:space="0"/>
            </w:tcBorders>
            <w:shd w:val="clear" w:color="auto" w:fill="auto"/>
            <w:vAlign w:val="center"/>
          </w:tcPr>
          <w:p w14:paraId="38FF2DE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8740D">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1A410101204</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010E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中国共产党简史</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5CC5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46D1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48C4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auto" w:sz="4" w:space="0"/>
              <w:right w:val="single" w:color="auto" w:sz="4" w:space="0"/>
            </w:tcBorders>
            <w:shd w:val="clear" w:color="auto" w:fill="auto"/>
            <w:vAlign w:val="center"/>
          </w:tcPr>
          <w:p w14:paraId="4F024BE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left w:val="single" w:color="auto" w:sz="4" w:space="0"/>
              <w:bottom w:val="single" w:color="auto" w:sz="4" w:space="0"/>
              <w:right w:val="single" w:color="000000" w:sz="4" w:space="0"/>
            </w:tcBorders>
            <w:shd w:val="clear" w:color="auto" w:fill="auto"/>
            <w:vAlign w:val="center"/>
          </w:tcPr>
          <w:p w14:paraId="3F8D538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auto" w:sz="4" w:space="0"/>
              <w:right w:val="single" w:color="000000" w:sz="4" w:space="0"/>
            </w:tcBorders>
            <w:shd w:val="clear" w:color="auto" w:fill="auto"/>
            <w:vAlign w:val="center"/>
          </w:tcPr>
          <w:p w14:paraId="15B6CEB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38EC1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4AC4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31D481C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nil"/>
              <w:bottom w:val="single" w:color="000000" w:sz="4" w:space="0"/>
              <w:right w:val="single" w:color="000000" w:sz="4" w:space="0"/>
            </w:tcBorders>
            <w:shd w:val="clear" w:color="auto" w:fill="auto"/>
            <w:vAlign w:val="center"/>
          </w:tcPr>
          <w:p w14:paraId="0508834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5</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F6BA8">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1A410101205</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5F25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shd w:val="clear" w:color="auto" w:fill="auto"/>
                <w:lang w:val="en-US" w:eastAsia="zh-CN" w:bidi="ar"/>
              </w:rPr>
              <w:t>改革开放简史</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7D67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E0BF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auto" w:sz="4" w:space="0"/>
            </w:tcBorders>
            <w:shd w:val="clear" w:color="auto" w:fill="auto"/>
            <w:vAlign w:val="center"/>
          </w:tcPr>
          <w:p w14:paraId="01913BF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auto" w:sz="4" w:space="0"/>
              <w:left w:val="single" w:color="auto" w:sz="4" w:space="0"/>
              <w:bottom w:val="single" w:color="000000" w:sz="4" w:space="0"/>
              <w:right w:val="single" w:color="auto" w:sz="4" w:space="0"/>
            </w:tcBorders>
            <w:shd w:val="clear" w:color="auto" w:fill="auto"/>
            <w:vAlign w:val="center"/>
          </w:tcPr>
          <w:p w14:paraId="54701CD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right w:val="single" w:color="000000" w:sz="4" w:space="0"/>
            </w:tcBorders>
            <w:shd w:val="clear" w:color="auto" w:fill="auto"/>
            <w:vAlign w:val="center"/>
          </w:tcPr>
          <w:p w14:paraId="4696E27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000000" w:sz="4" w:space="0"/>
              <w:bottom w:val="single" w:color="000000" w:sz="4" w:space="0"/>
              <w:right w:val="single" w:color="auto" w:sz="4" w:space="0"/>
            </w:tcBorders>
            <w:shd w:val="clear" w:color="auto" w:fill="auto"/>
            <w:vAlign w:val="center"/>
          </w:tcPr>
          <w:p w14:paraId="2A26621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0DD19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42C0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3396D56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nil"/>
              <w:bottom w:val="single" w:color="000000" w:sz="4" w:space="0"/>
              <w:right w:val="single" w:color="000000" w:sz="4" w:space="0"/>
            </w:tcBorders>
            <w:shd w:val="clear" w:color="auto" w:fill="auto"/>
            <w:vAlign w:val="center"/>
          </w:tcPr>
          <w:p w14:paraId="21ABD12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81A09">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1A410101206</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C0A9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中华人民共和国简史</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D4F9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C4AE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auto" w:sz="4" w:space="0"/>
            </w:tcBorders>
            <w:shd w:val="clear" w:color="auto" w:fill="auto"/>
            <w:vAlign w:val="center"/>
          </w:tcPr>
          <w:p w14:paraId="4B7DBE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auto" w:sz="4" w:space="0"/>
              <w:bottom w:val="single" w:color="000000" w:sz="4" w:space="0"/>
              <w:right w:val="single" w:color="auto" w:sz="4" w:space="0"/>
            </w:tcBorders>
            <w:shd w:val="clear" w:color="auto" w:fill="auto"/>
            <w:vAlign w:val="center"/>
          </w:tcPr>
          <w:p w14:paraId="5C2B965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left w:val="single" w:color="auto" w:sz="4" w:space="0"/>
              <w:right w:val="single" w:color="000000" w:sz="4" w:space="0"/>
            </w:tcBorders>
            <w:shd w:val="clear" w:color="auto" w:fill="auto"/>
            <w:vAlign w:val="center"/>
          </w:tcPr>
          <w:p w14:paraId="34A7173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auto" w:sz="4" w:space="0"/>
            </w:tcBorders>
            <w:shd w:val="clear" w:color="auto" w:fill="auto"/>
            <w:vAlign w:val="center"/>
          </w:tcPr>
          <w:p w14:paraId="21966CA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031C1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3A28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4BEB1FB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nil"/>
              <w:bottom w:val="single" w:color="000000" w:sz="4" w:space="0"/>
              <w:right w:val="single" w:color="000000" w:sz="4" w:space="0"/>
            </w:tcBorders>
            <w:shd w:val="clear" w:color="auto" w:fill="auto"/>
            <w:vAlign w:val="center"/>
          </w:tcPr>
          <w:p w14:paraId="3F2DFF6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48BA6">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1A410101207</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D4E4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社会主义发展简史</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11DA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C6E9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auto" w:sz="4" w:space="0"/>
            </w:tcBorders>
            <w:shd w:val="clear" w:color="auto" w:fill="auto"/>
            <w:vAlign w:val="center"/>
          </w:tcPr>
          <w:p w14:paraId="7F016E7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auto" w:sz="4" w:space="0"/>
              <w:bottom w:val="single" w:color="000000" w:sz="4" w:space="0"/>
              <w:right w:val="single" w:color="auto" w:sz="4" w:space="0"/>
            </w:tcBorders>
            <w:shd w:val="clear" w:color="auto" w:fill="auto"/>
            <w:vAlign w:val="center"/>
          </w:tcPr>
          <w:p w14:paraId="442E7F1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left w:val="single" w:color="auto" w:sz="4" w:space="0"/>
              <w:right w:val="single" w:color="000000" w:sz="4" w:space="0"/>
            </w:tcBorders>
            <w:shd w:val="clear" w:color="auto" w:fill="auto"/>
            <w:vAlign w:val="center"/>
          </w:tcPr>
          <w:p w14:paraId="3204D3D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auto" w:sz="4" w:space="0"/>
            </w:tcBorders>
            <w:shd w:val="clear" w:color="auto" w:fill="auto"/>
            <w:vAlign w:val="center"/>
          </w:tcPr>
          <w:p w14:paraId="4B5CFAB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39A24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E434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4ED60CB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nil"/>
              <w:bottom w:val="single" w:color="000000" w:sz="4" w:space="0"/>
              <w:right w:val="single" w:color="000000" w:sz="4" w:space="0"/>
            </w:tcBorders>
            <w:shd w:val="clear" w:color="auto" w:fill="auto"/>
            <w:vAlign w:val="center"/>
          </w:tcPr>
          <w:p w14:paraId="774C22F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54C93">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1A410101208</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F1F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中华民族共同体概论</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2A6C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86A7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auto" w:sz="4" w:space="0"/>
            </w:tcBorders>
            <w:shd w:val="clear" w:color="auto" w:fill="auto"/>
            <w:vAlign w:val="center"/>
          </w:tcPr>
          <w:p w14:paraId="489269E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auto" w:sz="4" w:space="0"/>
              <w:bottom w:val="single" w:color="000000" w:sz="4" w:space="0"/>
              <w:right w:val="single" w:color="auto" w:sz="4" w:space="0"/>
            </w:tcBorders>
            <w:shd w:val="clear" w:color="auto" w:fill="auto"/>
            <w:vAlign w:val="center"/>
          </w:tcPr>
          <w:p w14:paraId="03D8AC0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left w:val="single" w:color="auto" w:sz="4" w:space="0"/>
              <w:right w:val="single" w:color="000000" w:sz="4" w:space="0"/>
            </w:tcBorders>
            <w:shd w:val="clear" w:color="auto" w:fill="auto"/>
            <w:vAlign w:val="center"/>
          </w:tcPr>
          <w:p w14:paraId="4FB417B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auto" w:sz="4" w:space="0"/>
            </w:tcBorders>
            <w:shd w:val="clear" w:color="auto" w:fill="auto"/>
            <w:vAlign w:val="center"/>
          </w:tcPr>
          <w:p w14:paraId="4D917A7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4522C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1736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2E8F505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nil"/>
              <w:bottom w:val="single" w:color="000000" w:sz="4" w:space="0"/>
              <w:right w:val="single" w:color="000000" w:sz="4" w:space="0"/>
            </w:tcBorders>
            <w:shd w:val="clear" w:color="auto" w:fill="auto"/>
            <w:vAlign w:val="center"/>
          </w:tcPr>
          <w:p w14:paraId="0AD7562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9</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25930">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1A410101210</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1A72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语文</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F2DF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CEFF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auto" w:sz="4" w:space="0"/>
            </w:tcBorders>
            <w:shd w:val="clear" w:color="auto" w:fill="auto"/>
            <w:vAlign w:val="center"/>
          </w:tcPr>
          <w:p w14:paraId="0C2EEC1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auto" w:sz="4" w:space="0"/>
              <w:bottom w:val="single" w:color="000000" w:sz="4" w:space="0"/>
              <w:right w:val="single" w:color="auto" w:sz="4" w:space="0"/>
            </w:tcBorders>
            <w:shd w:val="clear" w:color="auto" w:fill="auto"/>
            <w:vAlign w:val="center"/>
          </w:tcPr>
          <w:p w14:paraId="18421EB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left w:val="single" w:color="auto" w:sz="4" w:space="0"/>
              <w:right w:val="single" w:color="000000" w:sz="4" w:space="0"/>
            </w:tcBorders>
            <w:shd w:val="clear" w:color="auto" w:fill="auto"/>
            <w:vAlign w:val="center"/>
          </w:tcPr>
          <w:p w14:paraId="1B6BD5E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auto" w:sz="4" w:space="0"/>
            </w:tcBorders>
            <w:shd w:val="clear" w:color="auto" w:fill="auto"/>
            <w:vAlign w:val="center"/>
          </w:tcPr>
          <w:p w14:paraId="2A9BF51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7CA2F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8546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bottom w:val="single" w:color="auto" w:sz="4" w:space="0"/>
              <w:right w:val="single" w:color="000000" w:sz="4" w:space="0"/>
            </w:tcBorders>
            <w:shd w:val="clear" w:color="auto" w:fill="auto"/>
            <w:vAlign w:val="center"/>
          </w:tcPr>
          <w:p w14:paraId="0FEF29B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nil"/>
              <w:bottom w:val="single" w:color="auto" w:sz="4" w:space="0"/>
              <w:right w:val="single" w:color="000000" w:sz="4" w:space="0"/>
            </w:tcBorders>
            <w:shd w:val="clear" w:color="auto" w:fill="auto"/>
            <w:vAlign w:val="center"/>
          </w:tcPr>
          <w:p w14:paraId="05E30E5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10</w:t>
            </w:r>
          </w:p>
        </w:tc>
        <w:tc>
          <w:tcPr>
            <w:tcW w:w="1386" w:type="dxa"/>
            <w:tcBorders>
              <w:top w:val="single" w:color="000000" w:sz="4" w:space="0"/>
              <w:left w:val="single" w:color="000000" w:sz="4" w:space="0"/>
              <w:bottom w:val="single" w:color="auto" w:sz="4" w:space="0"/>
              <w:right w:val="single" w:color="000000" w:sz="4" w:space="0"/>
            </w:tcBorders>
            <w:shd w:val="clear" w:color="auto" w:fill="auto"/>
            <w:vAlign w:val="center"/>
          </w:tcPr>
          <w:p w14:paraId="0AD0D877">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1A410101211</w:t>
            </w:r>
          </w:p>
        </w:tc>
        <w:tc>
          <w:tcPr>
            <w:tcW w:w="1704" w:type="dxa"/>
            <w:tcBorders>
              <w:top w:val="single" w:color="000000" w:sz="4" w:space="0"/>
              <w:left w:val="single" w:color="000000" w:sz="4" w:space="0"/>
              <w:bottom w:val="single" w:color="auto" w:sz="4" w:space="0"/>
              <w:right w:val="single" w:color="000000" w:sz="4" w:space="0"/>
            </w:tcBorders>
            <w:shd w:val="clear" w:color="auto" w:fill="auto"/>
            <w:vAlign w:val="center"/>
          </w:tcPr>
          <w:p w14:paraId="7842ACF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物理</w:t>
            </w:r>
          </w:p>
        </w:tc>
        <w:tc>
          <w:tcPr>
            <w:tcW w:w="863" w:type="dxa"/>
            <w:tcBorders>
              <w:top w:val="single" w:color="000000" w:sz="4" w:space="0"/>
              <w:left w:val="single" w:color="000000" w:sz="4" w:space="0"/>
              <w:bottom w:val="single" w:color="auto" w:sz="4" w:space="0"/>
              <w:right w:val="single" w:color="000000" w:sz="4" w:space="0"/>
            </w:tcBorders>
            <w:shd w:val="clear" w:color="auto" w:fill="auto"/>
            <w:vAlign w:val="center"/>
          </w:tcPr>
          <w:p w14:paraId="20B0E71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auto" w:sz="4" w:space="0"/>
              <w:right w:val="single" w:color="000000" w:sz="4" w:space="0"/>
            </w:tcBorders>
            <w:shd w:val="clear" w:color="auto" w:fill="auto"/>
            <w:vAlign w:val="center"/>
          </w:tcPr>
          <w:p w14:paraId="3ADD696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auto" w:sz="4" w:space="0"/>
              <w:right w:val="single" w:color="auto" w:sz="4" w:space="0"/>
            </w:tcBorders>
            <w:shd w:val="clear" w:color="auto" w:fill="auto"/>
            <w:vAlign w:val="center"/>
          </w:tcPr>
          <w:p w14:paraId="3D814B8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auto" w:sz="4" w:space="0"/>
              <w:bottom w:val="single" w:color="auto" w:sz="4" w:space="0"/>
              <w:right w:val="single" w:color="auto" w:sz="4" w:space="0"/>
            </w:tcBorders>
            <w:shd w:val="clear" w:color="auto" w:fill="auto"/>
            <w:vAlign w:val="center"/>
          </w:tcPr>
          <w:p w14:paraId="507DC35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left w:val="single" w:color="auto" w:sz="4" w:space="0"/>
              <w:bottom w:val="single" w:color="auto" w:sz="4" w:space="0"/>
              <w:right w:val="single" w:color="000000" w:sz="4" w:space="0"/>
            </w:tcBorders>
            <w:shd w:val="clear" w:color="auto" w:fill="auto"/>
            <w:vAlign w:val="center"/>
          </w:tcPr>
          <w:p w14:paraId="64A91C2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auto" w:sz="4" w:space="0"/>
              <w:right w:val="single" w:color="auto" w:sz="4" w:space="0"/>
            </w:tcBorders>
            <w:shd w:val="clear" w:color="auto" w:fill="auto"/>
            <w:vAlign w:val="center"/>
          </w:tcPr>
          <w:p w14:paraId="15AA004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45840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0E946FC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13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D559F3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公共必修课程学分、学时小计</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7F3B7E4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44</w:t>
            </w:r>
          </w:p>
        </w:tc>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D73CD9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826</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3031C7E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446</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033C792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380</w:t>
            </w:r>
          </w:p>
        </w:tc>
        <w:tc>
          <w:tcPr>
            <w:tcW w:w="354" w:type="dxa"/>
            <w:tcBorders>
              <w:top w:val="single" w:color="auto" w:sz="4" w:space="0"/>
              <w:left w:val="single" w:color="auto" w:sz="4" w:space="0"/>
              <w:bottom w:val="single" w:color="auto" w:sz="4" w:space="0"/>
              <w:right w:val="single" w:color="auto" w:sz="4" w:space="0"/>
            </w:tcBorders>
            <w:shd w:val="clear" w:color="auto" w:fill="auto"/>
            <w:vAlign w:val="center"/>
          </w:tcPr>
          <w:p w14:paraId="30E8A66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auto" w:sz="4" w:space="0"/>
              <w:left w:val="single" w:color="auto" w:sz="4" w:space="0"/>
              <w:bottom w:val="single" w:color="auto" w:sz="4" w:space="0"/>
              <w:right w:val="single" w:color="auto" w:sz="4" w:space="0"/>
            </w:tcBorders>
            <w:shd w:val="clear" w:color="auto" w:fill="auto"/>
            <w:vAlign w:val="center"/>
          </w:tcPr>
          <w:p w14:paraId="3102F14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14:paraId="3B2BFFA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14:paraId="19A0599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auto" w:sz="4" w:space="0"/>
              <w:left w:val="single" w:color="auto" w:sz="4" w:space="0"/>
              <w:bottom w:val="single" w:color="auto" w:sz="4" w:space="0"/>
              <w:right w:val="single" w:color="auto" w:sz="4" w:space="0"/>
            </w:tcBorders>
            <w:shd w:val="clear" w:color="auto" w:fill="auto"/>
            <w:vAlign w:val="center"/>
          </w:tcPr>
          <w:p w14:paraId="1D5D16C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A812D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000000" w:sz="4" w:space="0"/>
              <w:right w:val="single" w:color="000000" w:sz="4" w:space="0"/>
            </w:tcBorders>
            <w:shd w:val="clear" w:color="auto" w:fill="auto"/>
            <w:noWrap/>
            <w:vAlign w:val="center"/>
          </w:tcPr>
          <w:p w14:paraId="677DA30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p>
        </w:tc>
      </w:tr>
      <w:tr w14:paraId="7D763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7274DC5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13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7E7E0D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公共必修课程学分、学时占比</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144CBA7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28.76%</w:t>
            </w:r>
          </w:p>
        </w:tc>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FADF05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28.98%</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79C7FCD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15.65%</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17EADE7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13.33%</w:t>
            </w:r>
          </w:p>
        </w:tc>
        <w:tc>
          <w:tcPr>
            <w:tcW w:w="354" w:type="dxa"/>
            <w:tcBorders>
              <w:top w:val="single" w:color="auto" w:sz="4" w:space="0"/>
              <w:left w:val="single" w:color="auto" w:sz="4" w:space="0"/>
              <w:bottom w:val="single" w:color="auto" w:sz="4" w:space="0"/>
              <w:right w:val="single" w:color="auto" w:sz="4" w:space="0"/>
            </w:tcBorders>
            <w:shd w:val="clear" w:color="auto" w:fill="auto"/>
            <w:vAlign w:val="center"/>
          </w:tcPr>
          <w:p w14:paraId="5B0C2EF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auto" w:sz="4" w:space="0"/>
              <w:left w:val="single" w:color="auto" w:sz="4" w:space="0"/>
              <w:bottom w:val="single" w:color="auto" w:sz="4" w:space="0"/>
              <w:right w:val="single" w:color="auto" w:sz="4" w:space="0"/>
            </w:tcBorders>
            <w:shd w:val="clear" w:color="auto" w:fill="auto"/>
            <w:vAlign w:val="center"/>
          </w:tcPr>
          <w:p w14:paraId="6D447A8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14:paraId="57BE436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14:paraId="3D06803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298E4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82491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DDA862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p>
        </w:tc>
      </w:tr>
      <w:tr w14:paraId="6ED92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53B770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137"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4F6834D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公共选修课程学分、学时小计</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3F29AF3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728823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128</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239F0BA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80</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6E07ED6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48</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BA276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3C884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4CC8D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147B7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82226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A4AE2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auto" w:sz="4" w:space="0"/>
              <w:bottom w:val="single" w:color="000000" w:sz="4" w:space="0"/>
              <w:right w:val="single" w:color="000000" w:sz="4" w:space="0"/>
            </w:tcBorders>
            <w:shd w:val="clear" w:color="auto" w:fill="auto"/>
            <w:vAlign w:val="center"/>
          </w:tcPr>
          <w:p w14:paraId="31D3D7E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p>
        </w:tc>
      </w:tr>
      <w:tr w14:paraId="6C211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exact"/>
          <w:jc w:val="center"/>
        </w:trPr>
        <w:tc>
          <w:tcPr>
            <w:tcW w:w="705" w:type="dxa"/>
            <w:gridSpan w:val="2"/>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7D021D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137"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0F88F0B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公共选修课程学分、学时占比</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758E962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5.23%</w:t>
            </w:r>
          </w:p>
        </w:tc>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1B52EE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4.49%</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70BBBE4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2.81%</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570FDBA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1.68%</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AE09D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429F5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88A4F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4CC47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B8123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91BE7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auto" w:sz="4" w:space="0"/>
              <w:bottom w:val="single" w:color="000000" w:sz="4" w:space="0"/>
              <w:right w:val="single" w:color="000000" w:sz="4" w:space="0"/>
            </w:tcBorders>
            <w:shd w:val="clear" w:color="auto" w:fill="auto"/>
            <w:vAlign w:val="center"/>
          </w:tcPr>
          <w:p w14:paraId="5897E89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p>
        </w:tc>
      </w:tr>
      <w:tr w14:paraId="23961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80" w:type="dxa"/>
            <w:vMerge w:val="restart"/>
            <w:tcBorders>
              <w:top w:val="single" w:color="auto" w:sz="4" w:space="0"/>
              <w:left w:val="single" w:color="auto" w:sz="4" w:space="0"/>
              <w:right w:val="single" w:color="auto" w:sz="4" w:space="0"/>
            </w:tcBorders>
            <w:shd w:val="clear" w:color="auto" w:fill="auto"/>
            <w:vAlign w:val="center"/>
          </w:tcPr>
          <w:p w14:paraId="2D094F1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42E993D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608F3A2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6BDC76C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745E0EB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49337A3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29871F8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2CB64C9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773D08E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6085CC9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1C5AF3C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71A5B85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20FC1A3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专业课</w:t>
            </w:r>
          </w:p>
          <w:p w14:paraId="0EDD45C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57C388E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2B58C09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25DB643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4D15659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63FF17D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73BF6F7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6B3B020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19A684B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restart"/>
            <w:tcBorders>
              <w:top w:val="single" w:color="000000" w:sz="4" w:space="0"/>
              <w:left w:val="single" w:color="auto" w:sz="4" w:space="0"/>
              <w:right w:val="single" w:color="auto" w:sz="4" w:space="0"/>
            </w:tcBorders>
            <w:shd w:val="clear" w:color="auto" w:fill="auto"/>
            <w:vAlign w:val="center"/>
          </w:tcPr>
          <w:p w14:paraId="3508119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p w14:paraId="1F2A41B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专业基础课</w:t>
            </w:r>
          </w:p>
        </w:tc>
        <w:tc>
          <w:tcPr>
            <w:tcW w:w="48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029CC2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必修</w:t>
            </w: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755E7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13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67173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3B510103301</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14:paraId="6E9AFFE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电工基础</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14:paraId="44EE754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7C37C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04250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40</w:t>
            </w:r>
          </w:p>
        </w:tc>
        <w:tc>
          <w:tcPr>
            <w:tcW w:w="7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0E80F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35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22DD4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2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B1CE3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54C0C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4AC40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5E772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AD2B8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auto" w:sz="4" w:space="0"/>
              <w:bottom w:val="single" w:color="000000" w:sz="4" w:space="0"/>
              <w:right w:val="single" w:color="000000" w:sz="4" w:space="0"/>
            </w:tcBorders>
            <w:shd w:val="clear" w:color="auto" w:fill="auto"/>
            <w:vAlign w:val="center"/>
          </w:tcPr>
          <w:p w14:paraId="11CE46F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6AD2B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3D74889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auto" w:sz="4" w:space="0"/>
            </w:tcBorders>
            <w:shd w:val="clear" w:color="auto" w:fill="auto"/>
            <w:vAlign w:val="center"/>
          </w:tcPr>
          <w:p w14:paraId="2214202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auto" w:sz="4" w:space="0"/>
              <w:left w:val="single" w:color="auto" w:sz="4" w:space="0"/>
              <w:right w:val="single" w:color="000000" w:sz="4" w:space="0"/>
            </w:tcBorders>
            <w:shd w:val="clear" w:color="auto" w:fill="auto"/>
            <w:noWrap/>
            <w:vAlign w:val="center"/>
          </w:tcPr>
          <w:p w14:paraId="4E9532F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232E9F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138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EBBDFD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3B460306302</w:t>
            </w:r>
          </w:p>
        </w:tc>
        <w:tc>
          <w:tcPr>
            <w:tcW w:w="1704" w:type="dxa"/>
            <w:tcBorders>
              <w:top w:val="single" w:color="auto" w:sz="4" w:space="0"/>
              <w:left w:val="single" w:color="000000" w:sz="4" w:space="0"/>
              <w:bottom w:val="single" w:color="000000" w:sz="4" w:space="0"/>
              <w:right w:val="single" w:color="000000" w:sz="4" w:space="0"/>
            </w:tcBorders>
            <w:shd w:val="clear" w:color="auto" w:fill="auto"/>
            <w:vAlign w:val="center"/>
          </w:tcPr>
          <w:p w14:paraId="0E932DB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C语言程序设计</w:t>
            </w:r>
          </w:p>
        </w:tc>
        <w:tc>
          <w:tcPr>
            <w:tcW w:w="863" w:type="dxa"/>
            <w:tcBorders>
              <w:top w:val="single" w:color="auto" w:sz="4" w:space="0"/>
              <w:left w:val="single" w:color="000000" w:sz="4" w:space="0"/>
              <w:bottom w:val="single" w:color="000000" w:sz="4" w:space="0"/>
              <w:right w:val="single" w:color="000000" w:sz="4" w:space="0"/>
            </w:tcBorders>
            <w:shd w:val="clear" w:color="auto" w:fill="auto"/>
            <w:vAlign w:val="center"/>
          </w:tcPr>
          <w:p w14:paraId="2224B34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C2E572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C87FD3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39"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69870E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35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25B218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2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238FF2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EAB6C5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C6157E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277D29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5D77DB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B23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3DD06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3ED50E6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auto" w:sz="4" w:space="0"/>
            </w:tcBorders>
            <w:shd w:val="clear" w:color="auto" w:fill="auto"/>
            <w:vAlign w:val="center"/>
          </w:tcPr>
          <w:p w14:paraId="27534FF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auto" w:sz="4" w:space="0"/>
              <w:right w:val="single" w:color="000000" w:sz="4" w:space="0"/>
            </w:tcBorders>
            <w:shd w:val="clear" w:color="auto" w:fill="auto"/>
            <w:noWrap/>
            <w:vAlign w:val="center"/>
          </w:tcPr>
          <w:p w14:paraId="2FC465A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6A18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A1D7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3B460305303</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2F0B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工程制图</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7D8C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6DB3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DFCF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911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50A5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D9F1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F7B7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5943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7A20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9292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61F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373AE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50230C4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auto" w:sz="4" w:space="0"/>
            </w:tcBorders>
            <w:shd w:val="clear" w:color="auto" w:fill="auto"/>
            <w:vAlign w:val="center"/>
          </w:tcPr>
          <w:p w14:paraId="6FC9C60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auto" w:sz="4" w:space="0"/>
              <w:right w:val="single" w:color="000000" w:sz="4" w:space="0"/>
            </w:tcBorders>
            <w:shd w:val="clear" w:color="auto" w:fill="auto"/>
            <w:noWrap/>
            <w:vAlign w:val="center"/>
          </w:tcPr>
          <w:p w14:paraId="0621023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86DF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458D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3B510101304</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E141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模拟电子技术</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A31C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BC9F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0D1A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40</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5CF6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7A68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6ABD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7D57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24F2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67EB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4FF8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FF9E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6E68B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380" w:type="dxa"/>
            <w:vMerge w:val="continue"/>
            <w:tcBorders>
              <w:left w:val="single" w:color="auto" w:sz="4" w:space="0"/>
              <w:right w:val="single" w:color="auto" w:sz="4" w:space="0"/>
            </w:tcBorders>
            <w:shd w:val="clear" w:color="auto" w:fill="auto"/>
            <w:vAlign w:val="center"/>
          </w:tcPr>
          <w:p w14:paraId="0F48F35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auto" w:sz="4" w:space="0"/>
            </w:tcBorders>
            <w:shd w:val="clear" w:color="auto" w:fill="auto"/>
            <w:vAlign w:val="center"/>
          </w:tcPr>
          <w:p w14:paraId="5D8718C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auto" w:sz="4" w:space="0"/>
              <w:right w:val="single" w:color="000000" w:sz="4" w:space="0"/>
            </w:tcBorders>
            <w:shd w:val="clear" w:color="auto" w:fill="auto"/>
            <w:noWrap/>
            <w:vAlign w:val="center"/>
          </w:tcPr>
          <w:p w14:paraId="15D52A5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5960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5</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EF5B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3B510101305</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A355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数字电子技术</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09E0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3A2A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FBE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40</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073C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23AB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F897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B87A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AC6B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C559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9ADE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CBE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65CC4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380" w:type="dxa"/>
            <w:vMerge w:val="continue"/>
            <w:tcBorders>
              <w:left w:val="single" w:color="auto" w:sz="4" w:space="0"/>
              <w:right w:val="single" w:color="auto" w:sz="4" w:space="0"/>
            </w:tcBorders>
            <w:shd w:val="clear" w:color="auto" w:fill="auto"/>
            <w:vAlign w:val="center"/>
          </w:tcPr>
          <w:p w14:paraId="198231B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auto" w:sz="4" w:space="0"/>
            </w:tcBorders>
            <w:shd w:val="clear" w:color="auto" w:fill="auto"/>
            <w:vAlign w:val="center"/>
          </w:tcPr>
          <w:p w14:paraId="424CEB1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auto" w:sz="4" w:space="0"/>
              <w:right w:val="single" w:color="000000" w:sz="4" w:space="0"/>
            </w:tcBorders>
            <w:shd w:val="clear" w:color="auto" w:fill="auto"/>
            <w:noWrap/>
            <w:vAlign w:val="center"/>
          </w:tcPr>
          <w:p w14:paraId="79FAFE3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058E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4749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3B510103306</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5F48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信号与系统</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93E2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121E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1CAA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48</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902E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79B5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4CEE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1EF5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FAAE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9995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F0C3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24C9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28C96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51DE3BE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auto" w:sz="4" w:space="0"/>
            </w:tcBorders>
            <w:shd w:val="clear" w:color="auto" w:fill="auto"/>
            <w:vAlign w:val="center"/>
          </w:tcPr>
          <w:p w14:paraId="2376A2F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auto" w:sz="4" w:space="0"/>
              <w:right w:val="single" w:color="000000" w:sz="4" w:space="0"/>
            </w:tcBorders>
            <w:shd w:val="clear" w:color="auto" w:fill="auto"/>
            <w:noWrap/>
            <w:vAlign w:val="center"/>
          </w:tcPr>
          <w:p w14:paraId="3609475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E965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4D39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3B510103307</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D190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家电原理与维修</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76DC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D2B1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881A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018A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10B8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72B9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C280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F520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A023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48AD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5940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3BCD8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80" w:type="dxa"/>
            <w:vMerge w:val="continue"/>
            <w:tcBorders>
              <w:left w:val="single" w:color="auto" w:sz="4" w:space="0"/>
              <w:right w:val="single" w:color="auto" w:sz="4" w:space="0"/>
            </w:tcBorders>
            <w:shd w:val="clear" w:color="auto" w:fill="auto"/>
            <w:vAlign w:val="center"/>
          </w:tcPr>
          <w:p w14:paraId="5B52DEF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auto" w:sz="4" w:space="0"/>
            </w:tcBorders>
            <w:shd w:val="clear" w:color="auto" w:fill="auto"/>
            <w:vAlign w:val="center"/>
          </w:tcPr>
          <w:p w14:paraId="20A51A6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auto" w:sz="4" w:space="0"/>
              <w:right w:val="single" w:color="000000" w:sz="4" w:space="0"/>
            </w:tcBorders>
            <w:shd w:val="clear" w:color="auto" w:fill="auto"/>
            <w:noWrap/>
            <w:vAlign w:val="center"/>
          </w:tcPr>
          <w:p w14:paraId="1F7407D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1E16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99E6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3B510103308</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5EEA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智能传感与检测技术</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7B1E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B9C2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1A74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18</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4EEC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18</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61DA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C7AC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6A02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F98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D003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777D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6020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29141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80" w:type="dxa"/>
            <w:vMerge w:val="continue"/>
            <w:tcBorders>
              <w:left w:val="single" w:color="auto" w:sz="4" w:space="0"/>
              <w:right w:val="single" w:color="auto" w:sz="4" w:space="0"/>
            </w:tcBorders>
            <w:shd w:val="clear" w:color="auto" w:fill="auto"/>
            <w:vAlign w:val="center"/>
          </w:tcPr>
          <w:p w14:paraId="51C4ECA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bottom w:val="single" w:color="000000" w:sz="4" w:space="0"/>
              <w:right w:val="single" w:color="auto" w:sz="4" w:space="0"/>
            </w:tcBorders>
            <w:shd w:val="clear" w:color="auto" w:fill="auto"/>
            <w:vAlign w:val="center"/>
          </w:tcPr>
          <w:p w14:paraId="4C9FF25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auto" w:sz="4" w:space="0"/>
              <w:bottom w:val="single" w:color="000000" w:sz="4" w:space="0"/>
              <w:right w:val="single" w:color="000000" w:sz="4" w:space="0"/>
            </w:tcBorders>
            <w:shd w:val="clear" w:color="auto" w:fill="auto"/>
            <w:noWrap/>
            <w:vAlign w:val="center"/>
          </w:tcPr>
          <w:p w14:paraId="46AA684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3859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9</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852D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3B510103309</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F135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智能系统导论</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7D7D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C46F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9662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B6FC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42C9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1613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E433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2515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07BD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1D20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6BE6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19B54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380" w:type="dxa"/>
            <w:vMerge w:val="continue"/>
            <w:tcBorders>
              <w:left w:val="single" w:color="auto" w:sz="4" w:space="0"/>
              <w:right w:val="single" w:color="auto" w:sz="4" w:space="0"/>
            </w:tcBorders>
            <w:shd w:val="clear" w:color="auto" w:fill="auto"/>
            <w:vAlign w:val="center"/>
          </w:tcPr>
          <w:p w14:paraId="2721593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79C01A6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专业核心课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1322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必修</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A38C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D5DA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3B510103401</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0680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电子产品制图与制版</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B21A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B9BA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F410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CA32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5EE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73C6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44E2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04D7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5647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29E0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7497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6853A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80" w:type="dxa"/>
            <w:vMerge w:val="continue"/>
            <w:tcBorders>
              <w:left w:val="single" w:color="auto" w:sz="4" w:space="0"/>
              <w:right w:val="single" w:color="auto" w:sz="4" w:space="0"/>
            </w:tcBorders>
            <w:shd w:val="clear" w:color="auto" w:fill="auto"/>
            <w:vAlign w:val="center"/>
          </w:tcPr>
          <w:p w14:paraId="54847EA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03A8AF2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21C8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5A59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9FC6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3B510103402</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7AD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电子产品生产与检验</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E9DB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76EE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4F8F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D571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1429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277C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F02A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9CFD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2AE7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1D58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F42A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54980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55B4493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0B9B351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E6CE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D902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DABF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3B510103403</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C57C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电子产品生产设备操作与维护</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CD7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D650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5537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40</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3CA2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8CDB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C4D3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47A6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3E4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E9F7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72E9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4F95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1745D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jc w:val="center"/>
        </w:trPr>
        <w:tc>
          <w:tcPr>
            <w:tcW w:w="380" w:type="dxa"/>
            <w:vMerge w:val="continue"/>
            <w:tcBorders>
              <w:left w:val="single" w:color="auto" w:sz="4" w:space="0"/>
              <w:right w:val="single" w:color="auto" w:sz="4" w:space="0"/>
            </w:tcBorders>
            <w:shd w:val="clear" w:color="auto" w:fill="auto"/>
            <w:vAlign w:val="center"/>
          </w:tcPr>
          <w:p w14:paraId="7DE31F3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50824FF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0E60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26A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93D3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3B510103404</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74D4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高频电子技术</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EFB8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BF8D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DE51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48</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E51E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24</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18C7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ABA9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030B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5A71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CEBB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B7D0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2DB8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296B3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30BAD24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7B42DA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CAD6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A062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5</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BB3F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3B510103405</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4736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智能硬件的安装与调试</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A960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EEBF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86BF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40</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99B3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E8FD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539F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41A5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8D19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8C87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03BF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C185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37FEA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jc w:val="center"/>
        </w:trPr>
        <w:tc>
          <w:tcPr>
            <w:tcW w:w="380" w:type="dxa"/>
            <w:vMerge w:val="continue"/>
            <w:tcBorders>
              <w:left w:val="single" w:color="auto" w:sz="4" w:space="0"/>
              <w:right w:val="single" w:color="auto" w:sz="4" w:space="0"/>
            </w:tcBorders>
            <w:shd w:val="clear" w:color="auto" w:fill="auto"/>
            <w:vAlign w:val="center"/>
          </w:tcPr>
          <w:p w14:paraId="2088B1F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0C3F642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8955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3689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301B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3B510103406</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A7D8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单片机技术应用</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FEB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D686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1B20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2210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5186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9C33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4575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27E2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7C03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A00C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E461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49066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2066108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7DD3CAE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9577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4CC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D474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3B510103407</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330F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17"/>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嵌入式技术与应用</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6DC4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B5D8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80F8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14DB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CD7D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4ECE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08E2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6962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1CDC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C9F0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B605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0C4BA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39D85F6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3DA1B41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B8E1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53EF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451F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3B510103408</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42D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17"/>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智能电子产品设计</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CB54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4CDA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003D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40</w:t>
            </w:r>
          </w:p>
        </w:tc>
        <w:tc>
          <w:tcPr>
            <w:tcW w:w="739" w:type="dxa"/>
            <w:tcBorders>
              <w:top w:val="single" w:color="000000" w:sz="4" w:space="0"/>
              <w:left w:val="single" w:color="000000" w:sz="4" w:space="0"/>
              <w:bottom w:val="single" w:color="auto" w:sz="4" w:space="0"/>
              <w:right w:val="single" w:color="000000" w:sz="4" w:space="0"/>
            </w:tcBorders>
            <w:shd w:val="clear" w:color="auto" w:fill="auto"/>
            <w:vAlign w:val="center"/>
          </w:tcPr>
          <w:p w14:paraId="47A0235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354" w:type="dxa"/>
            <w:tcBorders>
              <w:top w:val="single" w:color="000000" w:sz="4" w:space="0"/>
              <w:left w:val="single" w:color="000000" w:sz="4" w:space="0"/>
              <w:bottom w:val="single" w:color="auto" w:sz="4" w:space="0"/>
              <w:right w:val="single" w:color="000000" w:sz="4" w:space="0"/>
            </w:tcBorders>
            <w:shd w:val="clear" w:color="auto" w:fill="auto"/>
            <w:vAlign w:val="center"/>
          </w:tcPr>
          <w:p w14:paraId="6BCBB25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auto" w:sz="4" w:space="0"/>
              <w:right w:val="single" w:color="000000" w:sz="4" w:space="0"/>
            </w:tcBorders>
            <w:shd w:val="clear" w:color="auto" w:fill="auto"/>
            <w:vAlign w:val="center"/>
          </w:tcPr>
          <w:p w14:paraId="1F26B51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353DAF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8B7D39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50" w:type="dxa"/>
            <w:tcBorders>
              <w:top w:val="single" w:color="000000" w:sz="4" w:space="0"/>
              <w:left w:val="single" w:color="000000" w:sz="4" w:space="0"/>
              <w:bottom w:val="single" w:color="auto" w:sz="4" w:space="0"/>
              <w:right w:val="single" w:color="000000" w:sz="4" w:space="0"/>
            </w:tcBorders>
            <w:shd w:val="clear" w:color="auto" w:fill="auto"/>
            <w:vAlign w:val="center"/>
          </w:tcPr>
          <w:p w14:paraId="44858AC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auto" w:sz="4" w:space="0"/>
              <w:right w:val="single" w:color="000000" w:sz="4" w:space="0"/>
            </w:tcBorders>
            <w:shd w:val="clear" w:color="auto" w:fill="auto"/>
            <w:vAlign w:val="center"/>
          </w:tcPr>
          <w:p w14:paraId="627E156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A69D37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考试</w:t>
            </w:r>
          </w:p>
        </w:tc>
      </w:tr>
      <w:tr w14:paraId="5114D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0E24086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5EA898A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专业拓展课</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A6ABB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选修</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BB99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B0CD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3A510103501</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6F2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17"/>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智能终端应用开发</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847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0825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auto" w:sz="4" w:space="0"/>
            </w:tcBorders>
            <w:shd w:val="clear" w:color="auto" w:fill="auto"/>
            <w:vAlign w:val="center"/>
          </w:tcPr>
          <w:p w14:paraId="6949C30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07AA32D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E89CE7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专业拓展课最低学分要求为10学分</w:t>
            </w: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98A4E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04C08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jc w:val="center"/>
        </w:trPr>
        <w:tc>
          <w:tcPr>
            <w:tcW w:w="380" w:type="dxa"/>
            <w:vMerge w:val="continue"/>
            <w:tcBorders>
              <w:left w:val="single" w:color="auto" w:sz="4" w:space="0"/>
              <w:right w:val="single" w:color="auto" w:sz="4" w:space="0"/>
            </w:tcBorders>
            <w:shd w:val="clear" w:color="auto" w:fill="auto"/>
            <w:vAlign w:val="center"/>
          </w:tcPr>
          <w:p w14:paraId="6AE1B11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27AE195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5979ABC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B814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7210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3A510103502</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EF08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智能家电技术</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F676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0358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auto" w:sz="4" w:space="0"/>
            </w:tcBorders>
            <w:shd w:val="clear" w:color="auto" w:fill="auto"/>
            <w:vAlign w:val="center"/>
          </w:tcPr>
          <w:p w14:paraId="7249056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738C899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F61922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20F76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6B2BF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6E02FD1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046223E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0F5F17E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33A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83C4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3A510103503</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CBC1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智能电子产品销售与服务</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8BFA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DAF8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auto" w:sz="4" w:space="0"/>
            </w:tcBorders>
            <w:shd w:val="clear" w:color="auto" w:fill="auto"/>
            <w:vAlign w:val="center"/>
          </w:tcPr>
          <w:p w14:paraId="1BA37BF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32FFA3D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6E5076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0354E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07C2F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4BCAFD3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4F17A77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03191D5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D7D7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7276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3A510103504</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105F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智能机器人技术</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10E5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3157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auto" w:sz="4" w:space="0"/>
            </w:tcBorders>
            <w:shd w:val="clear" w:color="auto" w:fill="auto"/>
            <w:vAlign w:val="center"/>
          </w:tcPr>
          <w:p w14:paraId="23E5208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76732A9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69840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3CCE6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6839F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454190D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788B18C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15678D5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DBFF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5</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AD3E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3A510103505</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7EA1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无线通信应用技术</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60C4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343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auto" w:sz="4" w:space="0"/>
            </w:tcBorders>
            <w:shd w:val="clear" w:color="auto" w:fill="auto"/>
            <w:vAlign w:val="center"/>
          </w:tcPr>
          <w:p w14:paraId="681D83A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40EE5CE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D23DDF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F30FA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6FF1E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300E2F0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648D79E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0E0E4E1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08F6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49BF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3A510103506</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DBBF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物联网技术应用</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CB27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EECA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auto" w:sz="4" w:space="0"/>
            </w:tcBorders>
            <w:shd w:val="clear" w:color="auto" w:fill="auto"/>
            <w:vAlign w:val="center"/>
          </w:tcPr>
          <w:p w14:paraId="5D27A79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03D651C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5911B0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1B131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25AC4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40CBF10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596B31A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624FECF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150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7</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0E14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3A510103507</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509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人工智能程序设计</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0DAF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D334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auto" w:sz="4" w:space="0"/>
            </w:tcBorders>
            <w:shd w:val="clear" w:color="auto" w:fill="auto"/>
            <w:vAlign w:val="center"/>
          </w:tcPr>
          <w:p w14:paraId="7DFAE2D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auto" w:sz="4" w:space="0"/>
              <w:left w:val="single" w:color="auto" w:sz="4" w:space="0"/>
              <w:bottom w:val="single" w:color="auto" w:sz="4" w:space="0"/>
              <w:right w:val="single" w:color="auto" w:sz="4" w:space="0"/>
            </w:tcBorders>
            <w:shd w:val="clear" w:color="auto" w:fill="auto"/>
            <w:vAlign w:val="center"/>
          </w:tcPr>
          <w:p w14:paraId="56E6847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42B604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5646B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324DC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5F72292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56F1CA6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2486BCC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6247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BDE2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3A510101508</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C2F2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FPGA技术及应用</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4E7E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27D6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AF3C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auto" w:sz="4" w:space="0"/>
              <w:left w:val="single" w:color="000000" w:sz="4" w:space="0"/>
              <w:bottom w:val="single" w:color="000000" w:sz="4" w:space="0"/>
              <w:right w:val="single" w:color="auto" w:sz="4" w:space="0"/>
            </w:tcBorders>
            <w:shd w:val="clear" w:color="auto" w:fill="auto"/>
            <w:vAlign w:val="center"/>
          </w:tcPr>
          <w:p w14:paraId="30D6B26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CCDDA4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C79E8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5CCD8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553BBDB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27F88F8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15CCF71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88BB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9</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39D6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3A510103509</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DD3B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17"/>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集成电路测试技术</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3272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56A7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9AB1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429C0DD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BAB43D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BFF64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14EB6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68CEC1B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3B9EA00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250DD80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3685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10</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F268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3A510103510</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DBA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17"/>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集成电路设计技术</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11E9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C781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62DA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7689CB5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73813D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E3153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4FEDA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101CA43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099CEBE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2382B08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34A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11</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659F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3A510103511</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45AF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电机与电气控制技术</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D2F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46F3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C244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7525135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84B770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95A32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41352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5D8F4A6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2AEEE4B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57FD183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685C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BB07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3A510103512</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5721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PLC技术应用</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0866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8897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7759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7214374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2C546A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0E167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4BBA9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37D6B32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7F34E3B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5210FB8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D2C2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13</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DD28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3A510103513</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1AC9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虚拟仪器技术应用</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5337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5CB4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7CC7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221F90A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E396FF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518F1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60761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380" w:type="dxa"/>
            <w:vMerge w:val="continue"/>
            <w:tcBorders>
              <w:left w:val="single" w:color="auto" w:sz="4" w:space="0"/>
              <w:right w:val="single" w:color="auto" w:sz="4" w:space="0"/>
            </w:tcBorders>
            <w:shd w:val="clear" w:color="auto" w:fill="auto"/>
            <w:vAlign w:val="center"/>
          </w:tcPr>
          <w:p w14:paraId="3D3A5AB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4CEDC2B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53960BB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11CB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14</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22E34">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3A510103514</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94D9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电子创新设计与制作</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C0DA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AE7C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921D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49F1142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625E6D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8046D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2A1C6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80" w:type="dxa"/>
            <w:vMerge w:val="continue"/>
            <w:tcBorders>
              <w:left w:val="single" w:color="auto" w:sz="4" w:space="0"/>
              <w:right w:val="single" w:color="auto" w:sz="4" w:space="0"/>
            </w:tcBorders>
            <w:shd w:val="clear" w:color="auto" w:fill="auto"/>
            <w:vAlign w:val="center"/>
          </w:tcPr>
          <w:p w14:paraId="38BEFF7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4B547B4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477C4E3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F03E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15</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57DB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3A510103515</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620C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数字视听设备</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AA7A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94E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DD70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287CC2C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647519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16D9E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5456E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3886AED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7E7220A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3CF56C0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A995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8277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3A510103516</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D2F8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新能源电子器件</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C86B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7B27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9ADC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48EA8A2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top w:val="single" w:color="auto" w:sz="4" w:space="0"/>
              <w:left w:val="single" w:color="auto" w:sz="4" w:space="0"/>
              <w:right w:val="single" w:color="000000" w:sz="4" w:space="0"/>
            </w:tcBorders>
            <w:shd w:val="clear" w:color="auto" w:fill="auto"/>
            <w:noWrap/>
            <w:vAlign w:val="center"/>
          </w:tcPr>
          <w:p w14:paraId="4390355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2789BA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414DA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2030C9F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1E3C199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3186541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3F06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17</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09451">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3A510103517</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4E28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新能源汽车电子技术</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912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37E3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6182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203135E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left w:val="single" w:color="auto" w:sz="4" w:space="0"/>
              <w:right w:val="single" w:color="000000" w:sz="4" w:space="0"/>
            </w:tcBorders>
            <w:shd w:val="clear" w:color="auto" w:fill="auto"/>
            <w:noWrap/>
            <w:vAlign w:val="center"/>
          </w:tcPr>
          <w:p w14:paraId="1EAFBC6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0C73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2B80E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14CCE71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00EC616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7A05AB7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164A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18</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DC88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3A510103518</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86EF9">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铁道车辆电子技术</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76DC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B55A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1A06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3474966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left w:val="single" w:color="auto" w:sz="4" w:space="0"/>
              <w:right w:val="single" w:color="000000" w:sz="4" w:space="0"/>
            </w:tcBorders>
            <w:shd w:val="clear" w:color="auto" w:fill="auto"/>
            <w:noWrap/>
            <w:vAlign w:val="center"/>
          </w:tcPr>
          <w:p w14:paraId="59ACBB4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2002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37065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380" w:type="dxa"/>
            <w:vMerge w:val="continue"/>
            <w:tcBorders>
              <w:left w:val="single" w:color="auto" w:sz="4" w:space="0"/>
              <w:right w:val="single" w:color="auto" w:sz="4" w:space="0"/>
            </w:tcBorders>
            <w:shd w:val="clear" w:color="auto" w:fill="auto"/>
            <w:vAlign w:val="center"/>
          </w:tcPr>
          <w:p w14:paraId="3BA8F0D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auto" w:sz="4" w:space="0"/>
              <w:right w:val="single" w:color="000000" w:sz="4" w:space="0"/>
            </w:tcBorders>
            <w:shd w:val="clear" w:color="auto" w:fill="auto"/>
            <w:vAlign w:val="center"/>
          </w:tcPr>
          <w:p w14:paraId="2156AF0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left w:val="single" w:color="000000" w:sz="4" w:space="0"/>
              <w:right w:val="single" w:color="000000" w:sz="4" w:space="0"/>
            </w:tcBorders>
            <w:shd w:val="clear" w:color="auto" w:fill="auto"/>
            <w:vAlign w:val="center"/>
          </w:tcPr>
          <w:p w14:paraId="0C15499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048B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19</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AD89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3A510103519</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E6B4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电子信息类专业英语</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621D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082E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CB1A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auto" w:sz="4" w:space="0"/>
            </w:tcBorders>
            <w:shd w:val="clear" w:color="auto" w:fill="auto"/>
            <w:vAlign w:val="center"/>
          </w:tcPr>
          <w:p w14:paraId="1AE02C8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left w:val="single" w:color="auto" w:sz="4" w:space="0"/>
              <w:right w:val="single" w:color="000000" w:sz="4" w:space="0"/>
            </w:tcBorders>
            <w:shd w:val="clear" w:color="auto" w:fill="auto"/>
            <w:noWrap/>
            <w:vAlign w:val="center"/>
          </w:tcPr>
          <w:p w14:paraId="09AFA77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2D66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683B4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80" w:type="dxa"/>
            <w:vMerge w:val="continue"/>
            <w:tcBorders>
              <w:left w:val="single" w:color="auto" w:sz="4" w:space="0"/>
              <w:right w:val="single" w:color="auto" w:sz="4" w:space="0"/>
            </w:tcBorders>
            <w:shd w:val="clear" w:color="auto" w:fill="auto"/>
            <w:vAlign w:val="center"/>
          </w:tcPr>
          <w:p w14:paraId="78F2731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513779A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E3D5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9398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20</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AB61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3A510103520</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F22F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电子产品营销</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2EC8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4459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B5C2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39"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863403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220" w:type="dxa"/>
            <w:gridSpan w:val="6"/>
            <w:vMerge w:val="continue"/>
            <w:tcBorders>
              <w:left w:val="single" w:color="auto" w:sz="4" w:space="0"/>
              <w:bottom w:val="nil"/>
              <w:right w:val="single" w:color="000000" w:sz="4" w:space="0"/>
            </w:tcBorders>
            <w:shd w:val="clear" w:color="auto" w:fill="auto"/>
            <w:noWrap/>
            <w:vAlign w:val="center"/>
          </w:tcPr>
          <w:p w14:paraId="25F50FC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2435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742B6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380" w:type="dxa"/>
            <w:vMerge w:val="continue"/>
            <w:tcBorders>
              <w:left w:val="single" w:color="auto" w:sz="4" w:space="0"/>
              <w:right w:val="single" w:color="auto" w:sz="4" w:space="0"/>
            </w:tcBorders>
            <w:shd w:val="clear" w:color="auto" w:fill="auto"/>
            <w:vAlign w:val="center"/>
          </w:tcPr>
          <w:p w14:paraId="2C58B2B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14:paraId="2F3C8CA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实践性教学环节</w:t>
            </w:r>
          </w:p>
        </w:tc>
        <w:tc>
          <w:tcPr>
            <w:tcW w:w="480"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14:paraId="40A4C72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必修</w:t>
            </w:r>
          </w:p>
        </w:tc>
        <w:tc>
          <w:tcPr>
            <w:tcW w:w="567"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82BED7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1386" w:type="dxa"/>
            <w:tcBorders>
              <w:top w:val="single" w:color="000000" w:sz="4" w:space="0"/>
              <w:left w:val="single" w:color="000000" w:sz="4" w:space="0"/>
              <w:bottom w:val="single" w:color="auto" w:sz="4" w:space="0"/>
              <w:right w:val="single" w:color="000000" w:sz="4" w:space="0"/>
            </w:tcBorders>
            <w:shd w:val="clear" w:color="auto" w:fill="FFFFFF" w:themeFill="background1"/>
            <w:noWrap/>
            <w:vAlign w:val="center"/>
          </w:tcPr>
          <w:p w14:paraId="3E37F70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3C460306601</w:t>
            </w:r>
          </w:p>
        </w:tc>
        <w:tc>
          <w:tcPr>
            <w:tcW w:w="1704" w:type="dxa"/>
            <w:tcBorders>
              <w:top w:val="single" w:color="000000" w:sz="4" w:space="0"/>
              <w:left w:val="single" w:color="000000" w:sz="4" w:space="0"/>
              <w:bottom w:val="single" w:color="auto" w:sz="4" w:space="0"/>
              <w:right w:val="single" w:color="000000" w:sz="4" w:space="0"/>
            </w:tcBorders>
            <w:shd w:val="clear" w:color="auto" w:fill="FFFFFF" w:themeFill="background1"/>
            <w:vAlign w:val="center"/>
          </w:tcPr>
          <w:p w14:paraId="4C4E865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17"/>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初级维修电工实训</w:t>
            </w:r>
          </w:p>
        </w:tc>
        <w:tc>
          <w:tcPr>
            <w:tcW w:w="863"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E5F919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B2C8C5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4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0394BB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739"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2CC14C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7EFDA7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E9A73D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287"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E40373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C0E072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auto" w:sz="4" w:space="0"/>
              <w:right w:val="single" w:color="000000" w:sz="4" w:space="0"/>
            </w:tcBorders>
            <w:shd w:val="clear" w:color="auto" w:fill="auto"/>
            <w:vAlign w:val="center"/>
          </w:tcPr>
          <w:p w14:paraId="398AF0C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auto" w:sz="4" w:space="0"/>
              <w:right w:val="single" w:color="000000" w:sz="4" w:space="0"/>
            </w:tcBorders>
            <w:shd w:val="clear" w:color="auto" w:fill="auto"/>
            <w:vAlign w:val="center"/>
          </w:tcPr>
          <w:p w14:paraId="10457C7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auto" w:sz="4" w:space="0"/>
              <w:right w:val="single" w:color="000000" w:sz="4" w:space="0"/>
            </w:tcBorders>
            <w:shd w:val="clear" w:color="auto" w:fill="auto"/>
            <w:vAlign w:val="center"/>
          </w:tcPr>
          <w:p w14:paraId="2A676C3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1232E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380" w:type="dxa"/>
            <w:vMerge w:val="continue"/>
            <w:tcBorders>
              <w:left w:val="single" w:color="auto" w:sz="4" w:space="0"/>
              <w:right w:val="single" w:color="auto" w:sz="4" w:space="0"/>
            </w:tcBorders>
            <w:shd w:val="clear" w:color="auto" w:fill="auto"/>
            <w:vAlign w:val="center"/>
          </w:tcPr>
          <w:p w14:paraId="12E9D07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000000" w:sz="4" w:space="0"/>
              <w:right w:val="single" w:color="000000" w:sz="4" w:space="0"/>
            </w:tcBorders>
            <w:shd w:val="clear" w:color="auto" w:fill="auto"/>
            <w:vAlign w:val="center"/>
          </w:tcPr>
          <w:p w14:paraId="1F74789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559C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3C7C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539A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3C460306602</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F345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17"/>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中级维修电工实训</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997D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687E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4AC5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D4A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BBC2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87F7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A353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6893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C945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DED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E20F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highlight w:val="none"/>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3BE04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380" w:type="dxa"/>
            <w:vMerge w:val="continue"/>
            <w:tcBorders>
              <w:left w:val="single" w:color="auto" w:sz="4" w:space="0"/>
              <w:right w:val="single" w:color="auto" w:sz="4" w:space="0"/>
            </w:tcBorders>
            <w:shd w:val="clear" w:color="auto" w:fill="auto"/>
            <w:vAlign w:val="center"/>
          </w:tcPr>
          <w:p w14:paraId="79A4809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000000" w:sz="4" w:space="0"/>
              <w:right w:val="single" w:color="000000" w:sz="4" w:space="0"/>
            </w:tcBorders>
            <w:shd w:val="clear" w:color="auto" w:fill="auto"/>
            <w:vAlign w:val="center"/>
          </w:tcPr>
          <w:p w14:paraId="2ED1D2E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CB43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0572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7D3C1">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1B410101601</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98B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毕业设计</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7457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5</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7107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80</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7601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20</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781F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C765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FA2C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AF2B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6557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5C7C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20</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7E1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5117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146AB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380" w:type="dxa"/>
            <w:vMerge w:val="continue"/>
            <w:tcBorders>
              <w:left w:val="single" w:color="auto" w:sz="4" w:space="0"/>
              <w:right w:val="single" w:color="auto" w:sz="4" w:space="0"/>
            </w:tcBorders>
            <w:shd w:val="clear" w:color="auto" w:fill="auto"/>
            <w:vAlign w:val="center"/>
          </w:tcPr>
          <w:p w14:paraId="4CFA7AA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25" w:type="dxa"/>
            <w:vMerge w:val="continue"/>
            <w:tcBorders>
              <w:left w:val="single" w:color="000000" w:sz="4" w:space="0"/>
              <w:right w:val="single" w:color="000000" w:sz="4" w:space="0"/>
            </w:tcBorders>
            <w:shd w:val="clear" w:color="auto" w:fill="auto"/>
            <w:vAlign w:val="center"/>
          </w:tcPr>
          <w:p w14:paraId="5569123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9B9A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C5B8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3AF3E">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1C410101602</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62AB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岗位实习</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63D7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18</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C1F0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432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6BB6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05C3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432</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9987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768D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6296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427B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740C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3EBC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18</w:t>
            </w: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382B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highlight w:val="none"/>
                <w:u w:val="none"/>
                <w:lang w:val="en-US" w:eastAsia="zh-CN" w:bidi="ar"/>
              </w:rPr>
              <w:t>考查</w:t>
            </w:r>
          </w:p>
        </w:tc>
      </w:tr>
      <w:tr w14:paraId="39081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4842"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14:paraId="3DAD0B4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专业必修课程学分、学时小计</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4854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91</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6783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1736</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C5D8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638</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972F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1098</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DF8B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5D28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64B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0DA5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C81F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1376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A8B4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r>
      <w:tr w14:paraId="43A27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48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A68DFE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专业必修课程学分、学时占比</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7763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59.48%</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F5C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17"/>
                <w:kern w:val="0"/>
                <w:sz w:val="20"/>
                <w:szCs w:val="20"/>
                <w:u w:val="none"/>
                <w:lang w:val="en-US" w:eastAsia="zh-CN" w:bidi="ar"/>
              </w:rPr>
            </w:pPr>
            <w:r>
              <w:rPr>
                <w:rFonts w:hint="eastAsia" w:ascii="Times New Roman" w:hAnsi="Times New Roman" w:eastAsia="仿宋_GB2312" w:cs="仿宋_GB2312"/>
                <w:i w:val="0"/>
                <w:iCs w:val="0"/>
                <w:color w:val="auto"/>
                <w:spacing w:val="-23"/>
                <w:kern w:val="0"/>
                <w:sz w:val="20"/>
                <w:szCs w:val="20"/>
                <w:u w:val="none"/>
                <w:lang w:val="en-US" w:eastAsia="zh-CN" w:bidi="ar"/>
              </w:rPr>
              <w:t>60.91%</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A17E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17"/>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22.39%</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5894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17"/>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38.53%</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B3DA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4324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7D00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E11A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8C22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CDE7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1940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r>
      <w:tr w14:paraId="7438C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48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C2E87B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专业拓展课程学分、学时小计</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7465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0559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160</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6607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160</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D325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2BD4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6B7B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44CC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F73B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9B49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1A62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A0A1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r>
      <w:tr w14:paraId="1A9FE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48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8684E5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专业拓展课程学分、学时占比</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E4F2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6.54%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57EC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spacing w:val="-17"/>
                <w:kern w:val="0"/>
                <w:sz w:val="20"/>
                <w:szCs w:val="20"/>
                <w:u w:val="none"/>
                <w:lang w:val="en-US" w:eastAsia="zh-CN" w:bidi="ar"/>
              </w:rPr>
              <w:t>5.61%</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2A26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5.61%</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4EC7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0.00%</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7F57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E049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BA43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AD65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8ACA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5381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40C4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r>
      <w:tr w14:paraId="2AFA4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48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80A4BD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总学分、学时合计</w:t>
            </w:r>
          </w:p>
        </w:tc>
        <w:tc>
          <w:tcPr>
            <w:tcW w:w="863" w:type="dxa"/>
            <w:tcBorders>
              <w:top w:val="single" w:color="000000" w:sz="4" w:space="0"/>
              <w:left w:val="single" w:color="000000" w:sz="4" w:space="0"/>
              <w:bottom w:val="single" w:color="000000" w:sz="4" w:space="0"/>
              <w:right w:val="nil"/>
            </w:tcBorders>
            <w:shd w:val="clear" w:color="auto" w:fill="auto"/>
            <w:noWrap/>
            <w:vAlign w:val="center"/>
          </w:tcPr>
          <w:p w14:paraId="5F75B68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153</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9674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2850</w:t>
            </w:r>
          </w:p>
        </w:tc>
        <w:tc>
          <w:tcPr>
            <w:tcW w:w="748" w:type="dxa"/>
            <w:tcBorders>
              <w:top w:val="single" w:color="000000" w:sz="4" w:space="0"/>
              <w:left w:val="nil"/>
              <w:bottom w:val="single" w:color="000000" w:sz="4" w:space="0"/>
              <w:right w:val="single" w:color="000000" w:sz="4" w:space="0"/>
            </w:tcBorders>
            <w:shd w:val="clear" w:color="auto" w:fill="auto"/>
            <w:noWrap/>
            <w:vAlign w:val="center"/>
          </w:tcPr>
          <w:p w14:paraId="3FA1B53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1324</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FE7F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1526</w:t>
            </w: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5EE0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4264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7C8E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F01C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F594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7AE7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2917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r>
      <w:bookmarkEnd w:id="35"/>
    </w:tbl>
    <w:p w14:paraId="09B9574F">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leftChars="0" w:firstLine="640" w:firstLineChars="200"/>
        <w:textAlignment w:val="auto"/>
        <w:rPr>
          <w:rFonts w:hint="default" w:ascii="Times New Roman" w:hAnsi="Times New Roman"/>
          <w:b w:val="0"/>
          <w:bCs/>
          <w:lang w:val="en-US" w:eastAsia="zh-CN"/>
        </w:rPr>
      </w:pPr>
      <w:bookmarkStart w:id="36" w:name="_Toc11397"/>
      <w:r>
        <w:rPr>
          <w:rFonts w:hint="eastAsia" w:ascii="Times New Roman" w:hAnsi="Times New Roman"/>
          <w:b w:val="0"/>
          <w:bCs/>
          <w:lang w:val="en-US" w:eastAsia="zh-CN"/>
        </w:rPr>
        <w:t>九、师资队伍</w:t>
      </w:r>
      <w:bookmarkEnd w:id="36"/>
    </w:p>
    <w:p w14:paraId="43DA25D7">
      <w:pPr>
        <w:keepNext w:val="0"/>
        <w:keepLines w:val="0"/>
        <w:pageBreakBefore w:val="0"/>
        <w:widowControl w:val="0"/>
        <w:numPr>
          <w:ilvl w:val="0"/>
          <w:numId w:val="0"/>
        </w:numPr>
        <w:kinsoku/>
        <w:wordWrap/>
        <w:overflowPunct w:val="0"/>
        <w:topLinePunct w:val="0"/>
        <w:autoSpaceDE/>
        <w:autoSpaceDN/>
        <w:bidi w:val="0"/>
        <w:adjustRightInd w:val="0"/>
        <w:snapToGrid/>
        <w:spacing w:beforeAutospacing="0" w:after="0" w:line="520" w:lineRule="exact"/>
        <w:ind w:left="0"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14:paraId="5C6AF0BC">
      <w:pPr>
        <w:pStyle w:val="3"/>
        <w:keepNext/>
        <w:keepLines/>
        <w:pageBreakBefore w:val="0"/>
        <w:widowControl w:val="0"/>
        <w:numPr>
          <w:ilvl w:val="0"/>
          <w:numId w:val="4"/>
        </w:numPr>
        <w:kinsoku/>
        <w:wordWrap/>
        <w:overflowPunct/>
        <w:topLinePunct w:val="0"/>
        <w:autoSpaceDE/>
        <w:autoSpaceDN/>
        <w:bidi w:val="0"/>
        <w:adjustRightInd/>
        <w:snapToGrid/>
        <w:spacing w:before="0" w:beforeLines="0" w:after="0" w:afterLines="0" w:line="520" w:lineRule="exact"/>
        <w:ind w:leftChars="0" w:firstLine="640" w:firstLineChars="200"/>
        <w:textAlignment w:val="auto"/>
        <w:rPr>
          <w:rFonts w:hint="default" w:ascii="Times New Roman" w:hAnsi="Times New Roman"/>
          <w:lang w:val="en-US" w:eastAsia="zh-CN"/>
        </w:rPr>
      </w:pPr>
      <w:bookmarkStart w:id="37" w:name="_Toc4418"/>
      <w:bookmarkStart w:id="38" w:name="_Toc17549"/>
      <w:r>
        <w:rPr>
          <w:rFonts w:hint="eastAsia" w:ascii="Times New Roman" w:hAnsi="Times New Roman"/>
          <w:lang w:val="en-US" w:eastAsia="zh-CN"/>
        </w:rPr>
        <w:t>队伍结构</w:t>
      </w:r>
      <w:bookmarkEnd w:id="37"/>
      <w:bookmarkEnd w:id="38"/>
    </w:p>
    <w:p w14:paraId="07296E1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default"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学生数与本专业专任教师数比例不高于25∶</w:t>
      </w:r>
      <w:r>
        <w:rPr>
          <w:rFonts w:hint="default" w:ascii="Times New Roman" w:hAnsi="Times New Roman" w:eastAsia="仿宋_GB2312" w:cs="仿宋_GB2312"/>
          <w:b w:val="0"/>
          <w:bCs w:val="0"/>
          <w:color w:val="auto"/>
          <w:sz w:val="32"/>
          <w:szCs w:val="32"/>
          <w:highlight w:val="none"/>
          <w:lang w:val="en-US" w:eastAsia="zh-CN"/>
        </w:rPr>
        <w:t>1</w:t>
      </w:r>
      <w:r>
        <w:rPr>
          <w:rFonts w:hint="eastAsia" w:ascii="Times New Roman" w:hAnsi="Times New Roman" w:eastAsia="仿宋_GB2312" w:cs="仿宋_GB2312"/>
          <w:b w:val="0"/>
          <w:bCs w:val="0"/>
          <w:color w:val="auto"/>
          <w:sz w:val="32"/>
          <w:szCs w:val="32"/>
          <w:highlight w:val="none"/>
          <w:lang w:val="en-US" w:eastAsia="zh-CN"/>
        </w:rPr>
        <w:t>，“双师型”教师占专业课教师数比例一般 不低于</w:t>
      </w:r>
      <w:r>
        <w:rPr>
          <w:rFonts w:hint="default" w:ascii="Times New Roman" w:hAnsi="Times New Roman" w:eastAsia="仿宋_GB2312" w:cs="仿宋_GB2312"/>
          <w:b w:val="0"/>
          <w:bCs w:val="0"/>
          <w:color w:val="auto"/>
          <w:sz w:val="32"/>
          <w:szCs w:val="32"/>
          <w:highlight w:val="none"/>
          <w:lang w:val="en-US" w:eastAsia="zh-CN"/>
        </w:rPr>
        <w:t>60%</w:t>
      </w:r>
      <w:r>
        <w:rPr>
          <w:rFonts w:hint="eastAsia" w:ascii="Times New Roman" w:hAnsi="Times New Roman" w:eastAsia="仿宋_GB2312" w:cs="仿宋_GB2312"/>
          <w:b w:val="0"/>
          <w:bCs w:val="0"/>
          <w:color w:val="auto"/>
          <w:sz w:val="32"/>
          <w:szCs w:val="32"/>
          <w:highlight w:val="none"/>
          <w:lang w:val="en-US" w:eastAsia="zh-CN"/>
        </w:rPr>
        <w:t>，高级职称专任教师的比例不低于</w:t>
      </w:r>
      <w:r>
        <w:rPr>
          <w:rFonts w:hint="default" w:ascii="Times New Roman" w:hAnsi="Times New Roman" w:eastAsia="仿宋_GB2312" w:cs="仿宋_GB2312"/>
          <w:b w:val="0"/>
          <w:bCs w:val="0"/>
          <w:color w:val="auto"/>
          <w:sz w:val="32"/>
          <w:szCs w:val="32"/>
          <w:highlight w:val="none"/>
          <w:lang w:val="en-US" w:eastAsia="zh-CN"/>
        </w:rPr>
        <w:t>20%</w:t>
      </w:r>
      <w:r>
        <w:rPr>
          <w:rFonts w:hint="eastAsia" w:ascii="Times New Roman" w:hAnsi="Times New Roman" w:eastAsia="仿宋_GB2312" w:cs="仿宋_GB2312"/>
          <w:b w:val="0"/>
          <w:bCs w:val="0"/>
          <w:color w:val="auto"/>
          <w:sz w:val="32"/>
          <w:szCs w:val="32"/>
          <w:highlight w:val="none"/>
          <w:lang w:val="en-US" w:eastAsia="zh-CN"/>
        </w:rPr>
        <w:t>，专任教师队伍要考虑职称、年龄、工作 经验，形成合理的梯队结构。能够整合校内外优质人才资源，选聘企业高级技术人员担任行业导师，组建校企合作、专兼结合的教师团队，建立定期开展专业（学科）教研机制。</w:t>
      </w:r>
    </w:p>
    <w:p w14:paraId="0CC94643">
      <w:pPr>
        <w:pStyle w:val="3"/>
        <w:keepNext/>
        <w:keepLines/>
        <w:pageBreakBefore w:val="0"/>
        <w:widowControl w:val="0"/>
        <w:numPr>
          <w:ilvl w:val="0"/>
          <w:numId w:val="4"/>
        </w:numPr>
        <w:kinsoku/>
        <w:wordWrap/>
        <w:overflowPunct/>
        <w:topLinePunct w:val="0"/>
        <w:autoSpaceDE/>
        <w:autoSpaceDN/>
        <w:bidi w:val="0"/>
        <w:adjustRightInd/>
        <w:snapToGrid/>
        <w:spacing w:before="0" w:beforeLines="0" w:after="0" w:afterLines="0" w:line="520" w:lineRule="exact"/>
        <w:ind w:leftChars="0" w:firstLine="640" w:firstLineChars="200"/>
        <w:textAlignment w:val="auto"/>
        <w:rPr>
          <w:rFonts w:hint="eastAsia" w:ascii="Times New Roman" w:hAnsi="Times New Roman"/>
          <w:lang w:val="en-US" w:eastAsia="zh-CN"/>
        </w:rPr>
      </w:pPr>
      <w:bookmarkStart w:id="39" w:name="_Toc18880"/>
      <w:r>
        <w:rPr>
          <w:rFonts w:hint="eastAsia" w:ascii="Times New Roman" w:hAnsi="Times New Roman"/>
          <w:lang w:val="en-US" w:eastAsia="zh-CN"/>
        </w:rPr>
        <w:t>专业带头人</w:t>
      </w:r>
      <w:bookmarkEnd w:id="39"/>
    </w:p>
    <w:p w14:paraId="0B8F9172">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 xml:space="preserve">原则上应具有本专业及相关专业副高及以上职称和较强的实践能力，能够较好地把握国内外计算机、通信和其他电子设备制造行业、专业发展，能广泛联系行业企业，了解行业企业对本专业人才的需求实际，主持专业建设、开展教育教学改革、教科研工作和社会服务能力强，在本专业改革发展中起引领作用。 </w:t>
      </w:r>
    </w:p>
    <w:p w14:paraId="5E064D28">
      <w:pPr>
        <w:pStyle w:val="3"/>
        <w:keepNext/>
        <w:keepLines/>
        <w:pageBreakBefore w:val="0"/>
        <w:widowControl w:val="0"/>
        <w:numPr>
          <w:ilvl w:val="0"/>
          <w:numId w:val="4"/>
        </w:numPr>
        <w:kinsoku/>
        <w:wordWrap/>
        <w:overflowPunct/>
        <w:topLinePunct w:val="0"/>
        <w:autoSpaceDE/>
        <w:autoSpaceDN/>
        <w:bidi w:val="0"/>
        <w:adjustRightInd/>
        <w:snapToGrid/>
        <w:spacing w:before="0" w:beforeLines="0" w:after="0" w:afterLines="0" w:line="520" w:lineRule="exact"/>
        <w:ind w:leftChars="0" w:firstLine="640" w:firstLineChars="200"/>
        <w:textAlignment w:val="auto"/>
        <w:rPr>
          <w:rFonts w:hint="eastAsia" w:ascii="Times New Roman" w:hAnsi="Times New Roman"/>
          <w:lang w:val="en-US" w:eastAsia="zh-CN"/>
        </w:rPr>
      </w:pPr>
      <w:bookmarkStart w:id="40" w:name="_Toc2712"/>
      <w:bookmarkStart w:id="41" w:name="_Toc28931"/>
      <w:r>
        <w:rPr>
          <w:rFonts w:hint="eastAsia" w:ascii="Times New Roman" w:hAnsi="Times New Roman"/>
          <w:lang w:val="en-US" w:eastAsia="zh-CN"/>
        </w:rPr>
        <w:t>专任教师</w:t>
      </w:r>
      <w:bookmarkEnd w:id="40"/>
      <w:bookmarkEnd w:id="41"/>
    </w:p>
    <w:p w14:paraId="642F98F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楷体" w:cs="楷体"/>
          <w:color w:val="auto"/>
          <w:sz w:val="32"/>
          <w:szCs w:val="32"/>
        </w:rPr>
      </w:pPr>
      <w:r>
        <w:rPr>
          <w:rFonts w:hint="eastAsia" w:ascii="Times New Roman" w:hAnsi="Times New Roman" w:eastAsia="仿宋_GB2312" w:cs="仿宋_GB2312"/>
          <w:b w:val="0"/>
          <w:bCs w:val="0"/>
          <w:color w:val="auto"/>
          <w:sz w:val="32"/>
          <w:szCs w:val="32"/>
          <w:highlight w:val="none"/>
          <w:lang w:val="en-US" w:eastAsia="zh-CN"/>
        </w:rPr>
        <w:t>具有高校教师资格；原则上具有电子科学技术、电子信息工程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w:t>
      </w:r>
      <w:r>
        <w:rPr>
          <w:rFonts w:hint="default" w:ascii="Times New Roman" w:hAnsi="Times New Roman" w:eastAsia="仿宋_GB2312" w:cs="仿宋_GB2312"/>
          <w:b w:val="0"/>
          <w:bCs w:val="0"/>
          <w:color w:val="auto"/>
          <w:sz w:val="32"/>
          <w:szCs w:val="32"/>
          <w:highlight w:val="none"/>
          <w:lang w:val="en-US" w:eastAsia="zh-CN"/>
        </w:rPr>
        <w:t>5</w:t>
      </w:r>
      <w:r>
        <w:rPr>
          <w:rFonts w:hint="eastAsia" w:ascii="Times New Roman" w:hAnsi="Times New Roman" w:eastAsia="仿宋_GB2312" w:cs="仿宋_GB2312"/>
          <w:b w:val="0"/>
          <w:bCs w:val="0"/>
          <w:color w:val="auto"/>
          <w:sz w:val="32"/>
          <w:szCs w:val="32"/>
          <w:highlight w:val="none"/>
          <w:lang w:val="en-US" w:eastAsia="zh-CN"/>
        </w:rPr>
        <w:t>年累计不少于</w:t>
      </w:r>
      <w:r>
        <w:rPr>
          <w:rFonts w:hint="default" w:ascii="Times New Roman" w:hAnsi="Times New Roman" w:eastAsia="仿宋_GB2312" w:cs="仿宋_GB2312"/>
          <w:b w:val="0"/>
          <w:bCs w:val="0"/>
          <w:color w:val="auto"/>
          <w:sz w:val="32"/>
          <w:szCs w:val="32"/>
          <w:highlight w:val="none"/>
          <w:lang w:val="en-US" w:eastAsia="zh-CN"/>
        </w:rPr>
        <w:t>6</w:t>
      </w:r>
      <w:r>
        <w:rPr>
          <w:rFonts w:hint="eastAsia" w:ascii="Times New Roman" w:hAnsi="Times New Roman" w:eastAsia="仿宋_GB2312" w:cs="仿宋_GB2312"/>
          <w:b w:val="0"/>
          <w:bCs w:val="0"/>
          <w:color w:val="auto"/>
          <w:sz w:val="32"/>
          <w:szCs w:val="32"/>
          <w:highlight w:val="none"/>
          <w:lang w:val="en-US" w:eastAsia="zh-CN"/>
        </w:rPr>
        <w:t>个月的企业实践经历。</w:t>
      </w:r>
      <w:r>
        <w:rPr>
          <w:rFonts w:hint="default" w:ascii="Times New Roman" w:hAnsi="Times New Roman" w:eastAsia="仿宋_GB2312" w:cs="仿宋_GB2312"/>
          <w:b w:val="0"/>
          <w:bCs w:val="0"/>
          <w:color w:val="auto"/>
          <w:sz w:val="32"/>
          <w:szCs w:val="32"/>
          <w:highlight w:val="none"/>
          <w:lang w:val="en-US" w:eastAsia="zh-CN"/>
        </w:rPr>
        <w:t xml:space="preserve"> </w:t>
      </w:r>
      <w:r>
        <w:rPr>
          <w:rFonts w:hint="eastAsia" w:ascii="Times New Roman" w:hAnsi="Times New Roman" w:eastAsia="仿宋_GB2312" w:cs="仿宋_GB2312"/>
          <w:b w:val="0"/>
          <w:bCs w:val="0"/>
          <w:color w:val="auto"/>
          <w:sz w:val="32"/>
          <w:szCs w:val="32"/>
          <w:highlight w:val="none"/>
          <w:lang w:val="en-US" w:eastAsia="zh-CN"/>
        </w:rPr>
        <w:t xml:space="preserve"> </w:t>
      </w:r>
      <w:r>
        <w:rPr>
          <w:rFonts w:hint="eastAsia" w:ascii="Times New Roman" w:hAnsi="Times New Roman" w:eastAsia="楷体" w:cs="楷体"/>
          <w:color w:val="auto"/>
          <w:sz w:val="32"/>
          <w:szCs w:val="32"/>
        </w:rPr>
        <w:t xml:space="preserve">   </w:t>
      </w:r>
    </w:p>
    <w:p w14:paraId="1C4428BE">
      <w:pPr>
        <w:pStyle w:val="3"/>
        <w:keepNext/>
        <w:keepLines/>
        <w:pageBreakBefore w:val="0"/>
        <w:widowControl w:val="0"/>
        <w:numPr>
          <w:ilvl w:val="0"/>
          <w:numId w:val="4"/>
        </w:numPr>
        <w:kinsoku/>
        <w:wordWrap/>
        <w:overflowPunct/>
        <w:topLinePunct w:val="0"/>
        <w:autoSpaceDE/>
        <w:autoSpaceDN/>
        <w:bidi w:val="0"/>
        <w:adjustRightInd/>
        <w:snapToGrid/>
        <w:spacing w:before="0" w:beforeLines="0" w:after="0" w:afterLines="0" w:line="520" w:lineRule="exact"/>
        <w:ind w:leftChars="0" w:firstLine="640" w:firstLineChars="200"/>
        <w:textAlignment w:val="auto"/>
        <w:rPr>
          <w:rFonts w:hint="eastAsia" w:ascii="Times New Roman" w:hAnsi="Times New Roman"/>
          <w:lang w:val="en-US" w:eastAsia="zh-CN"/>
        </w:rPr>
      </w:pPr>
      <w:bookmarkStart w:id="42" w:name="_Toc6208"/>
      <w:bookmarkStart w:id="43" w:name="_Toc28107"/>
      <w:r>
        <w:rPr>
          <w:rFonts w:hint="eastAsia" w:ascii="Times New Roman" w:hAnsi="Times New Roman"/>
          <w:lang w:val="en-US" w:eastAsia="zh-CN"/>
        </w:rPr>
        <w:t>兼职教师</w:t>
      </w:r>
      <w:bookmarkEnd w:id="42"/>
      <w:bookmarkEnd w:id="43"/>
    </w:p>
    <w:p w14:paraId="2DCAE2DC">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Times New Roman" w:hAnsi="Times New Roman" w:eastAsia="黑体" w:cs="Times New Roman"/>
          <w:b/>
          <w:kern w:val="44"/>
          <w:sz w:val="32"/>
          <w:szCs w:val="24"/>
          <w:lang w:val="en-US" w:eastAsia="zh-CN" w:bidi="ar-SA"/>
        </w:rPr>
      </w:pPr>
      <w:r>
        <w:rPr>
          <w:rFonts w:hint="eastAsia" w:ascii="Times New Roman" w:hAnsi="Times New Roman" w:eastAsia="仿宋_GB2312" w:cs="仿宋_GB2312"/>
          <w:b w:val="0"/>
          <w:bCs w:val="0"/>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 针对兼职教师聘任与管理的具体实施办法。</w:t>
      </w:r>
    </w:p>
    <w:p w14:paraId="60711E33">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leftChars="0" w:firstLine="640" w:firstLineChars="200"/>
        <w:textAlignment w:val="auto"/>
        <w:rPr>
          <w:rFonts w:hint="eastAsia" w:ascii="Times New Roman" w:hAnsi="Times New Roman"/>
          <w:b w:val="0"/>
          <w:bCs/>
          <w:lang w:val="en-US" w:eastAsia="zh-CN"/>
        </w:rPr>
      </w:pPr>
      <w:bookmarkStart w:id="44" w:name="_Toc25840"/>
      <w:r>
        <w:rPr>
          <w:rFonts w:hint="eastAsia" w:ascii="Times New Roman" w:hAnsi="Times New Roman"/>
          <w:b w:val="0"/>
          <w:bCs/>
          <w:lang w:val="en-US" w:eastAsia="zh-CN"/>
        </w:rPr>
        <w:t>十、教学条件</w:t>
      </w:r>
      <w:bookmarkEnd w:id="44"/>
    </w:p>
    <w:p w14:paraId="2723A436">
      <w:pPr>
        <w:pStyle w:val="3"/>
        <w:keepNext/>
        <w:keepLines/>
        <w:pageBreakBefore w:val="0"/>
        <w:widowControl w:val="0"/>
        <w:numPr>
          <w:ilvl w:val="0"/>
          <w:numId w:val="5"/>
        </w:numPr>
        <w:kinsoku/>
        <w:wordWrap/>
        <w:overflowPunct/>
        <w:topLinePunct w:val="0"/>
        <w:autoSpaceDE/>
        <w:autoSpaceDN/>
        <w:bidi w:val="0"/>
        <w:adjustRightInd/>
        <w:snapToGrid/>
        <w:spacing w:before="0" w:beforeLines="0" w:beforeAutospacing="0" w:after="0" w:afterLines="0" w:afterAutospacing="0" w:line="520" w:lineRule="exact"/>
        <w:ind w:left="0" w:leftChars="0" w:firstLine="640" w:firstLineChars="200"/>
        <w:textAlignment w:val="auto"/>
        <w:rPr>
          <w:rFonts w:hint="eastAsia" w:ascii="Times New Roman" w:hAnsi="Times New Roman"/>
        </w:rPr>
      </w:pPr>
      <w:bookmarkStart w:id="45" w:name="_Toc10106"/>
      <w:r>
        <w:rPr>
          <w:rFonts w:hint="eastAsia" w:ascii="Times New Roman" w:hAnsi="Times New Roman"/>
        </w:rPr>
        <w:t>教学设施</w:t>
      </w:r>
      <w:bookmarkEnd w:id="45"/>
    </w:p>
    <w:p w14:paraId="26E192F5">
      <w:pPr>
        <w:keepNext w:val="0"/>
        <w:keepLines w:val="0"/>
        <w:pageBreakBefore w:val="0"/>
        <w:widowControl w:val="0"/>
        <w:kinsoku/>
        <w:wordWrap/>
        <w:overflowPunct w:val="0"/>
        <w:topLinePunct w:val="0"/>
        <w:autoSpaceDE/>
        <w:autoSpaceDN/>
        <w:bidi w:val="0"/>
        <w:adjustRightInd w:val="0"/>
        <w:snapToGrid/>
        <w:spacing w:beforeAutospacing="0"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教学设施主要包括能够满足正常的课程教学、实习实训所需的专业教室、校内实训室和校外实训基地等。</w:t>
      </w:r>
    </w:p>
    <w:p w14:paraId="0D5E71F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1.专业教室要求</w:t>
      </w:r>
    </w:p>
    <w:p w14:paraId="61F1B50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学校为该专业配备公共教室（配备有多媒体设施）、多媒体教室等，满足理论教学要求。</w:t>
      </w:r>
    </w:p>
    <w:p w14:paraId="3E3EEE9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配有黑（白）板、多媒体计算机、投影设备、音响设备，安装应急照明装置并保持良好状态，符合紧急疏散要求，标志明显，逃生通道畅通无阻。</w:t>
      </w:r>
    </w:p>
    <w:p w14:paraId="20806AD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2.校内实训资源</w:t>
      </w:r>
    </w:p>
    <w:p w14:paraId="33EFEC9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校内实训资源涵盖电子技术实训室、</w:t>
      </w:r>
      <w:r>
        <w:rPr>
          <w:rFonts w:hint="eastAsia" w:ascii="Times New Roman" w:hAnsi="Times New Roman" w:eastAsia="仿宋_GB2312" w:cs="仿宋_GB2312"/>
          <w:color w:val="auto"/>
          <w:sz w:val="32"/>
          <w:szCs w:val="32"/>
          <w:lang w:val="en-US" w:eastAsia="zh-CN"/>
        </w:rPr>
        <w:t>电工基础实训室</w:t>
      </w:r>
      <w:r>
        <w:rPr>
          <w:rFonts w:hint="eastAsia" w:ascii="Times New Roman" w:hAnsi="Times New Roman" w:eastAsia="仿宋_GB2312" w:cs="仿宋_GB2312"/>
          <w:color w:val="auto"/>
          <w:sz w:val="32"/>
          <w:szCs w:val="32"/>
          <w:lang w:eastAsia="zh-CN"/>
        </w:rPr>
        <w:t>等多个功能区域。可满足模拟电子技术、数字电子技术等课程的实验需求培养学生创新设计与产品实现能力。各实训室均采用开放式管理，配备专职实验员负责设备维护与技术指导，确保实训项目与行业技术发展同步更新。</w:t>
      </w:r>
    </w:p>
    <w:p w14:paraId="489711E7">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sz w:val="32"/>
          <w:szCs w:val="32"/>
        </w:rPr>
        <w:t>表1</w:t>
      </w:r>
      <w:r>
        <w:rPr>
          <w:rFonts w:hint="eastAsia" w:ascii="Times New Roman" w:hAnsi="Times New Roman" w:eastAsia="仿宋_GB2312" w:cs="仿宋_GB2312"/>
          <w:color w:val="auto"/>
          <w:sz w:val="32"/>
          <w:szCs w:val="32"/>
          <w:lang w:val="en-US" w:eastAsia="zh-CN"/>
        </w:rPr>
        <w:t>1</w:t>
      </w:r>
      <w:r>
        <w:rPr>
          <w:rFonts w:hint="eastAsia" w:ascii="Times New Roman" w:hAnsi="Times New Roman" w:eastAsia="仿宋_GB2312" w:cs="仿宋_GB2312"/>
          <w:color w:val="auto"/>
          <w:sz w:val="32"/>
          <w:szCs w:val="32"/>
        </w:rPr>
        <w:t xml:space="preserve"> </w:t>
      </w:r>
      <w:r>
        <w:rPr>
          <w:rFonts w:hint="eastAsia" w:ascii="Times New Roman" w:hAnsi="Times New Roman" w:eastAsia="仿宋_GB2312" w:cs="仿宋_GB2312"/>
          <w:color w:val="auto"/>
          <w:kern w:val="0"/>
          <w:sz w:val="32"/>
          <w:szCs w:val="32"/>
        </w:rPr>
        <w:t>校内实训资源列表</w:t>
      </w:r>
    </w:p>
    <w:tbl>
      <w:tblPr>
        <w:tblStyle w:val="13"/>
        <w:tblW w:w="10254"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1337"/>
        <w:gridCol w:w="1456"/>
        <w:gridCol w:w="2160"/>
        <w:gridCol w:w="3488"/>
        <w:gridCol w:w="989"/>
      </w:tblGrid>
      <w:tr w14:paraId="2CB4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824" w:type="dxa"/>
            <w:vAlign w:val="center"/>
          </w:tcPr>
          <w:p w14:paraId="31D8BDB2">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序号</w:t>
            </w:r>
          </w:p>
        </w:tc>
        <w:tc>
          <w:tcPr>
            <w:tcW w:w="1337" w:type="dxa"/>
            <w:vAlign w:val="center"/>
          </w:tcPr>
          <w:p w14:paraId="4D77B65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实验实训室名称</w:t>
            </w:r>
          </w:p>
        </w:tc>
        <w:tc>
          <w:tcPr>
            <w:tcW w:w="1456" w:type="dxa"/>
            <w:vAlign w:val="center"/>
          </w:tcPr>
          <w:p w14:paraId="14D32C2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实训适用</w:t>
            </w:r>
          </w:p>
          <w:p w14:paraId="5034764E">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课程</w:t>
            </w:r>
          </w:p>
        </w:tc>
        <w:tc>
          <w:tcPr>
            <w:tcW w:w="2160" w:type="dxa"/>
            <w:vAlign w:val="center"/>
          </w:tcPr>
          <w:p w14:paraId="573F42E2">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实训项目</w:t>
            </w:r>
          </w:p>
        </w:tc>
        <w:tc>
          <w:tcPr>
            <w:tcW w:w="3488" w:type="dxa"/>
            <w:vAlign w:val="center"/>
          </w:tcPr>
          <w:p w14:paraId="07B4C77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主要设备名称</w:t>
            </w:r>
          </w:p>
          <w:p w14:paraId="22FFB14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及配置数量</w:t>
            </w:r>
          </w:p>
        </w:tc>
        <w:tc>
          <w:tcPr>
            <w:tcW w:w="989" w:type="dxa"/>
          </w:tcPr>
          <w:p w14:paraId="2DEC7BD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p>
          <w:p w14:paraId="7250DC3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工位数</w:t>
            </w:r>
          </w:p>
        </w:tc>
      </w:tr>
      <w:tr w14:paraId="5269B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824" w:type="dxa"/>
            <w:vAlign w:val="center"/>
          </w:tcPr>
          <w:p w14:paraId="2B635F1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1</w:t>
            </w:r>
          </w:p>
        </w:tc>
        <w:tc>
          <w:tcPr>
            <w:tcW w:w="1337" w:type="dxa"/>
            <w:vAlign w:val="center"/>
          </w:tcPr>
          <w:p w14:paraId="66A4427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电工基础实训室</w:t>
            </w:r>
          </w:p>
        </w:tc>
        <w:tc>
          <w:tcPr>
            <w:tcW w:w="1456" w:type="dxa"/>
            <w:vAlign w:val="center"/>
          </w:tcPr>
          <w:p w14:paraId="649E820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初级维修电工实训、中级维修电工实训</w:t>
            </w:r>
          </w:p>
        </w:tc>
        <w:tc>
          <w:tcPr>
            <w:tcW w:w="2160" w:type="dxa"/>
            <w:vAlign w:val="center"/>
          </w:tcPr>
          <w:p w14:paraId="77C675EA">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000000" w:themeColor="text1"/>
                <w:sz w:val="24"/>
                <w:szCs w:val="24"/>
                <w14:textFill>
                  <w14:solidFill>
                    <w14:schemeClr w14:val="tx1"/>
                  </w14:solidFill>
                </w14:textFill>
              </w:rPr>
            </w:pPr>
            <w:r>
              <w:rPr>
                <w:rFonts w:hint="eastAsia" w:ascii="Times New Roman" w:hAnsi="Times New Roman" w:eastAsia="仿宋_GB2312" w:cs="仿宋_GB2312"/>
                <w:color w:val="000000" w:themeColor="text1"/>
                <w:sz w:val="24"/>
                <w:szCs w:val="24"/>
                <w14:textFill>
                  <w14:solidFill>
                    <w14:schemeClr w14:val="tx1"/>
                  </w14:solidFill>
                </w14:textFill>
              </w:rPr>
              <w:t>电子线路的接线实训、初级维修电工实训、中级维修电工实训</w:t>
            </w:r>
          </w:p>
        </w:tc>
        <w:tc>
          <w:tcPr>
            <w:tcW w:w="3488" w:type="dxa"/>
            <w:vAlign w:val="center"/>
          </w:tcPr>
          <w:p w14:paraId="7E0750CE">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传感器实验箱8台、多功能电学实验与实训考核台13台、心肺急救复苏模型1台</w:t>
            </w:r>
          </w:p>
        </w:tc>
        <w:tc>
          <w:tcPr>
            <w:tcW w:w="989" w:type="dxa"/>
            <w:vAlign w:val="center"/>
          </w:tcPr>
          <w:p w14:paraId="2731CFDF">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10</w:t>
            </w:r>
          </w:p>
        </w:tc>
      </w:tr>
      <w:tr w14:paraId="0AF7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Align w:val="center"/>
          </w:tcPr>
          <w:p w14:paraId="6B217FCC">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2</w:t>
            </w:r>
          </w:p>
        </w:tc>
        <w:tc>
          <w:tcPr>
            <w:tcW w:w="1337" w:type="dxa"/>
            <w:vAlign w:val="center"/>
          </w:tcPr>
          <w:p w14:paraId="2F21C278">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电子技术实验实训室</w:t>
            </w:r>
          </w:p>
        </w:tc>
        <w:tc>
          <w:tcPr>
            <w:tcW w:w="1456" w:type="dxa"/>
            <w:vAlign w:val="center"/>
          </w:tcPr>
          <w:p w14:paraId="052B0D9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数字电子技术、模拟电子技术、高频电子技术</w:t>
            </w:r>
          </w:p>
        </w:tc>
        <w:tc>
          <w:tcPr>
            <w:tcW w:w="2160" w:type="dxa"/>
            <w:vAlign w:val="center"/>
          </w:tcPr>
          <w:p w14:paraId="68231E2C">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000000" w:themeColor="text1"/>
                <w:sz w:val="24"/>
                <w:szCs w:val="24"/>
                <w14:textFill>
                  <w14:solidFill>
                    <w14:schemeClr w14:val="tx1"/>
                  </w14:solidFill>
                </w14:textFill>
              </w:rPr>
            </w:pPr>
          </w:p>
          <w:p w14:paraId="36FB10B0">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000000" w:themeColor="text1"/>
                <w:sz w:val="24"/>
                <w:szCs w:val="24"/>
                <w14:textFill>
                  <w14:solidFill>
                    <w14:schemeClr w14:val="tx1"/>
                  </w14:solidFill>
                </w14:textFill>
              </w:rPr>
            </w:pPr>
            <w:r>
              <w:rPr>
                <w:rFonts w:hint="eastAsia" w:ascii="Times New Roman" w:hAnsi="Times New Roman" w:eastAsia="仿宋_GB2312" w:cs="仿宋_GB2312"/>
                <w:color w:val="000000" w:themeColor="text1"/>
                <w:sz w:val="24"/>
                <w:szCs w:val="24"/>
                <w14:textFill>
                  <w14:solidFill>
                    <w14:schemeClr w14:val="tx1"/>
                  </w14:solidFill>
                </w14:textFill>
              </w:rPr>
              <w:t>模拟电子线路实验</w:t>
            </w:r>
            <w:r>
              <w:rPr>
                <w:rFonts w:hint="eastAsia" w:ascii="Times New Roman" w:hAnsi="Times New Roman" w:eastAsia="仿宋_GB2312" w:cs="仿宋_GB2312"/>
                <w:color w:val="000000" w:themeColor="text1"/>
                <w:sz w:val="24"/>
                <w:szCs w:val="24"/>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14:textFill>
                  <w14:solidFill>
                    <w14:schemeClr w14:val="tx1"/>
                  </w14:solidFill>
                </w14:textFill>
              </w:rPr>
              <w:t>数字电子线路实验</w:t>
            </w:r>
            <w:r>
              <w:rPr>
                <w:rFonts w:hint="eastAsia" w:ascii="Times New Roman" w:hAnsi="Times New Roman" w:eastAsia="仿宋_GB2312" w:cs="仿宋_GB2312"/>
                <w:color w:val="000000" w:themeColor="text1"/>
                <w:sz w:val="24"/>
                <w:szCs w:val="24"/>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14:textFill>
                  <w14:solidFill>
                    <w14:schemeClr w14:val="tx1"/>
                  </w14:solidFill>
                </w14:textFill>
              </w:rPr>
              <w:t>高频电子线路实验</w:t>
            </w:r>
          </w:p>
          <w:p w14:paraId="287FCBA8">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p>
        </w:tc>
        <w:tc>
          <w:tcPr>
            <w:tcW w:w="3488" w:type="dxa"/>
            <w:vAlign w:val="center"/>
          </w:tcPr>
          <w:p w14:paraId="09547C8E">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000000" w:themeColor="text1"/>
                <w:sz w:val="24"/>
                <w:szCs w:val="24"/>
                <w14:textFill>
                  <w14:solidFill>
                    <w14:schemeClr w14:val="tx1"/>
                  </w14:solidFill>
                </w14:textFill>
              </w:rPr>
            </w:pPr>
            <w:r>
              <w:rPr>
                <w:rFonts w:hint="eastAsia" w:ascii="Times New Roman" w:hAnsi="Times New Roman" w:eastAsia="仿宋_GB2312" w:cs="仿宋_GB2312"/>
                <w:color w:val="000000" w:themeColor="text1"/>
                <w:sz w:val="24"/>
                <w:szCs w:val="24"/>
                <w14:textFill>
                  <w14:solidFill>
                    <w14:schemeClr w14:val="tx1"/>
                  </w14:solidFill>
                </w14:textFill>
              </w:rPr>
              <w:t>数字电路试验箱20个、RF宽带扫频仪1个、交流毫伏表6台、LCR数字电桥5台、通信系统原理实验系统8套、多功能电学实验与实训考核台13台、数字存储示波器9、虚拟示波器9台、数字示波器2台、函数信号发生器3台、自动失真测试仪1台、微型电子计算机8台、DDS函数信号发生器1台</w:t>
            </w:r>
          </w:p>
        </w:tc>
        <w:tc>
          <w:tcPr>
            <w:tcW w:w="989" w:type="dxa"/>
            <w:vAlign w:val="center"/>
          </w:tcPr>
          <w:p w14:paraId="1F1C9A0C">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80</w:t>
            </w:r>
          </w:p>
        </w:tc>
      </w:tr>
      <w:tr w14:paraId="74C08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Align w:val="center"/>
          </w:tcPr>
          <w:p w14:paraId="19A2C1D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3</w:t>
            </w:r>
          </w:p>
        </w:tc>
        <w:tc>
          <w:tcPr>
            <w:tcW w:w="1337" w:type="dxa"/>
            <w:vAlign w:val="center"/>
          </w:tcPr>
          <w:p w14:paraId="5E48406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电器维修实训室</w:t>
            </w:r>
          </w:p>
        </w:tc>
        <w:tc>
          <w:tcPr>
            <w:tcW w:w="1456" w:type="dxa"/>
            <w:vAlign w:val="center"/>
          </w:tcPr>
          <w:p w14:paraId="168AE0C8">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家电原理与维修</w:t>
            </w:r>
          </w:p>
        </w:tc>
        <w:tc>
          <w:tcPr>
            <w:tcW w:w="2160" w:type="dxa"/>
            <w:vAlign w:val="center"/>
          </w:tcPr>
          <w:p w14:paraId="475357A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000000" w:themeColor="text1"/>
                <w:sz w:val="24"/>
                <w:szCs w:val="24"/>
                <w:lang w:eastAsia="zh-CN"/>
                <w14:textFill>
                  <w14:solidFill>
                    <w14:schemeClr w14:val="tx1"/>
                  </w14:solidFill>
                </w14:textFill>
              </w:rPr>
            </w:pPr>
            <w:r>
              <w:rPr>
                <w:rFonts w:hint="eastAsia" w:ascii="Times New Roman" w:hAnsi="Times New Roman" w:eastAsia="仿宋_GB2312" w:cs="仿宋_GB2312"/>
                <w:color w:val="000000" w:themeColor="text1"/>
                <w:sz w:val="24"/>
                <w:szCs w:val="24"/>
                <w14:textFill>
                  <w14:solidFill>
                    <w14:schemeClr w14:val="tx1"/>
                  </w14:solidFill>
                </w14:textFill>
              </w:rPr>
              <w:t>彩色电视机维修实训</w:t>
            </w:r>
            <w:r>
              <w:rPr>
                <w:rFonts w:hint="eastAsia" w:ascii="Times New Roman" w:hAnsi="Times New Roman" w:eastAsia="仿宋_GB2312" w:cs="仿宋_GB2312"/>
                <w:color w:val="000000" w:themeColor="text1"/>
                <w:sz w:val="24"/>
                <w:szCs w:val="24"/>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14:textFill>
                  <w14:solidFill>
                    <w14:schemeClr w14:val="tx1"/>
                  </w14:solidFill>
                </w14:textFill>
              </w:rPr>
              <w:t>手机维修实训</w:t>
            </w:r>
            <w:r>
              <w:rPr>
                <w:rFonts w:hint="eastAsia" w:ascii="Times New Roman" w:hAnsi="Times New Roman" w:eastAsia="仿宋_GB2312" w:cs="仿宋_GB2312"/>
                <w:color w:val="000000" w:themeColor="text1"/>
                <w:sz w:val="24"/>
                <w:szCs w:val="24"/>
                <w:lang w:eastAsia="zh-CN"/>
                <w14:textFill>
                  <w14:solidFill>
                    <w14:schemeClr w14:val="tx1"/>
                  </w14:solidFill>
                </w14:textFill>
              </w:rPr>
              <w:t>、</w:t>
            </w:r>
          </w:p>
          <w:p w14:paraId="22B9A46C">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电动电器维修实训</w:t>
            </w:r>
            <w:r>
              <w:rPr>
                <w:rFonts w:hint="eastAsia" w:ascii="Times New Roman" w:hAnsi="Times New Roman" w:eastAsia="仿宋_GB2312" w:cs="仿宋_GB2312"/>
                <w:color w:val="000000" w:themeColor="text1"/>
                <w:sz w:val="24"/>
                <w:szCs w:val="24"/>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14:textFill>
                  <w14:solidFill>
                    <w14:schemeClr w14:val="tx1"/>
                  </w14:solidFill>
                </w14:textFill>
              </w:rPr>
              <w:t>制冷电器维修实训</w:t>
            </w:r>
          </w:p>
        </w:tc>
        <w:tc>
          <w:tcPr>
            <w:tcW w:w="3488" w:type="dxa"/>
            <w:vAlign w:val="center"/>
          </w:tcPr>
          <w:p w14:paraId="04013E3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000000" w:themeColor="text1"/>
                <w:sz w:val="24"/>
                <w:szCs w:val="24"/>
                <w14:textFill>
                  <w14:solidFill>
                    <w14:schemeClr w14:val="tx1"/>
                  </w14:solidFill>
                </w14:textFill>
              </w:rPr>
            </w:pPr>
            <w:r>
              <w:rPr>
                <w:rFonts w:hint="eastAsia" w:ascii="Times New Roman" w:hAnsi="Times New Roman" w:eastAsia="仿宋_GB2312" w:cs="仿宋_GB2312"/>
                <w:color w:val="000000" w:themeColor="text1"/>
                <w:sz w:val="24"/>
                <w:szCs w:val="24"/>
                <w14:textFill>
                  <w14:solidFill>
                    <w14:schemeClr w14:val="tx1"/>
                  </w14:solidFill>
                </w14:textFill>
              </w:rPr>
              <w:t>双踪示波器4台、双踪</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肆线</w:t>
            </w:r>
            <w:r>
              <w:rPr>
                <w:rFonts w:hint="eastAsia" w:ascii="Times New Roman" w:hAnsi="Times New Roman" w:eastAsia="仿宋_GB2312" w:cs="仿宋_GB2312"/>
                <w:color w:val="000000" w:themeColor="text1"/>
                <w:sz w:val="24"/>
                <w:szCs w:val="24"/>
                <w14:textFill>
                  <w14:solidFill>
                    <w14:schemeClr w14:val="tx1"/>
                  </w14:solidFill>
                </w14:textFill>
              </w:rPr>
              <w:t>示波器1台、函数信号发生器1台、可调式直流稳压电源3台、双通道交流毫伏表5台、彩色电视机18台</w:t>
            </w:r>
          </w:p>
        </w:tc>
        <w:tc>
          <w:tcPr>
            <w:tcW w:w="989" w:type="dxa"/>
            <w:vAlign w:val="center"/>
          </w:tcPr>
          <w:p w14:paraId="54597DE3">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20</w:t>
            </w:r>
          </w:p>
        </w:tc>
      </w:tr>
      <w:tr w14:paraId="62085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Align w:val="center"/>
          </w:tcPr>
          <w:p w14:paraId="6E6420D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4</w:t>
            </w:r>
          </w:p>
        </w:tc>
        <w:tc>
          <w:tcPr>
            <w:tcW w:w="1337" w:type="dxa"/>
            <w:vAlign w:val="center"/>
          </w:tcPr>
          <w:p w14:paraId="6303F4B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CAD/CAM实验实训室</w:t>
            </w:r>
          </w:p>
        </w:tc>
        <w:tc>
          <w:tcPr>
            <w:tcW w:w="1456" w:type="dxa"/>
            <w:vAlign w:val="center"/>
          </w:tcPr>
          <w:p w14:paraId="2BB3330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电子CAD</w:t>
            </w:r>
          </w:p>
        </w:tc>
        <w:tc>
          <w:tcPr>
            <w:tcW w:w="2160" w:type="dxa"/>
            <w:vAlign w:val="center"/>
          </w:tcPr>
          <w:p w14:paraId="0667B99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CAD制图</w:t>
            </w:r>
          </w:p>
        </w:tc>
        <w:tc>
          <w:tcPr>
            <w:tcW w:w="3488" w:type="dxa"/>
            <w:vAlign w:val="center"/>
          </w:tcPr>
          <w:p w14:paraId="18C494D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000000" w:themeColor="text1"/>
                <w:sz w:val="24"/>
                <w:szCs w:val="24"/>
                <w14:textFill>
                  <w14:solidFill>
                    <w14:schemeClr w14:val="tx1"/>
                  </w14:solidFill>
                </w14:textFill>
              </w:rPr>
            </w:pPr>
            <w:r>
              <w:rPr>
                <w:rFonts w:hint="eastAsia" w:ascii="Times New Roman" w:hAnsi="Times New Roman" w:eastAsia="仿宋_GB2312" w:cs="仿宋_GB2312"/>
                <w:color w:val="000000" w:themeColor="text1"/>
                <w:sz w:val="24"/>
                <w:szCs w:val="24"/>
                <w14:textFill>
                  <w14:solidFill>
                    <w14:schemeClr w14:val="tx1"/>
                  </w14:solidFill>
                </w14:textFill>
              </w:rPr>
              <w:t>服务器1台、交换机1台以及可运行AutoCAD教学软件的计算机80台</w:t>
            </w:r>
          </w:p>
        </w:tc>
        <w:tc>
          <w:tcPr>
            <w:tcW w:w="989" w:type="dxa"/>
            <w:vAlign w:val="center"/>
          </w:tcPr>
          <w:p w14:paraId="7EF18F12">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80</w:t>
            </w:r>
          </w:p>
        </w:tc>
      </w:tr>
      <w:tr w14:paraId="369B4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Align w:val="center"/>
          </w:tcPr>
          <w:p w14:paraId="63E60FA3">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5</w:t>
            </w:r>
          </w:p>
        </w:tc>
        <w:tc>
          <w:tcPr>
            <w:tcW w:w="1337" w:type="dxa"/>
            <w:vAlign w:val="center"/>
          </w:tcPr>
          <w:p w14:paraId="4A89DA66">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自动控制实验实训室</w:t>
            </w:r>
          </w:p>
        </w:tc>
        <w:tc>
          <w:tcPr>
            <w:tcW w:w="1456" w:type="dxa"/>
            <w:vAlign w:val="center"/>
          </w:tcPr>
          <w:p w14:paraId="3DF261C4">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电气控制与PLC、单片机原理与接口技术</w:t>
            </w:r>
          </w:p>
        </w:tc>
        <w:tc>
          <w:tcPr>
            <w:tcW w:w="2160" w:type="dxa"/>
            <w:vAlign w:val="center"/>
          </w:tcPr>
          <w:p w14:paraId="004826A2">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控制系统认识实训、PLC与单片机认识实训、PLC应用实训、单片机应用实训</w:t>
            </w:r>
          </w:p>
        </w:tc>
        <w:tc>
          <w:tcPr>
            <w:tcW w:w="3488" w:type="dxa"/>
            <w:vAlign w:val="center"/>
          </w:tcPr>
          <w:p w14:paraId="3FEC05CA">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000000" w:themeColor="text1"/>
                <w:sz w:val="24"/>
                <w:szCs w:val="24"/>
                <w14:textFill>
                  <w14:solidFill>
                    <w14:schemeClr w14:val="tx1"/>
                  </w14:solidFill>
                </w14:textFill>
              </w:rPr>
            </w:pPr>
            <w:r>
              <w:rPr>
                <w:rFonts w:hint="eastAsia" w:ascii="Times New Roman" w:hAnsi="Times New Roman" w:eastAsia="仿宋_GB2312" w:cs="仿宋_GB2312"/>
                <w:color w:val="000000" w:themeColor="text1"/>
                <w:sz w:val="24"/>
                <w:szCs w:val="24"/>
                <w14:textFill>
                  <w14:solidFill>
                    <w14:schemeClr w14:val="tx1"/>
                  </w14:solidFill>
                </w14:textFill>
              </w:rPr>
              <w:t>微型计算机6套、单片机实验开发系统综合装置6套、多合一单片机微机实验仪8台</w:t>
            </w:r>
          </w:p>
          <w:p w14:paraId="2C8069F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000000" w:themeColor="text1"/>
                <w:sz w:val="24"/>
                <w:szCs w:val="24"/>
                <w14:textFill>
                  <w14:solidFill>
                    <w14:schemeClr w14:val="tx1"/>
                  </w14:solidFill>
                </w14:textFill>
              </w:rPr>
            </w:pPr>
          </w:p>
        </w:tc>
        <w:tc>
          <w:tcPr>
            <w:tcW w:w="989" w:type="dxa"/>
            <w:vAlign w:val="center"/>
          </w:tcPr>
          <w:p w14:paraId="3725B0EA">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80</w:t>
            </w:r>
          </w:p>
        </w:tc>
      </w:tr>
      <w:tr w14:paraId="50452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Align w:val="center"/>
          </w:tcPr>
          <w:p w14:paraId="6B482B89">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6</w:t>
            </w:r>
          </w:p>
        </w:tc>
        <w:tc>
          <w:tcPr>
            <w:tcW w:w="1337" w:type="dxa"/>
            <w:vAlign w:val="center"/>
          </w:tcPr>
          <w:p w14:paraId="11BACF45">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电子工艺实训室</w:t>
            </w:r>
          </w:p>
        </w:tc>
        <w:tc>
          <w:tcPr>
            <w:tcW w:w="1456" w:type="dxa"/>
            <w:vAlign w:val="center"/>
          </w:tcPr>
          <w:p w14:paraId="57FC5D17">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电子设计</w:t>
            </w:r>
          </w:p>
        </w:tc>
        <w:tc>
          <w:tcPr>
            <w:tcW w:w="2160" w:type="dxa"/>
            <w:vAlign w:val="center"/>
          </w:tcPr>
          <w:p w14:paraId="6AF1937F">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000000" w:themeColor="text1"/>
                <w:sz w:val="24"/>
                <w:szCs w:val="24"/>
                <w14:textFill>
                  <w14:solidFill>
                    <w14:schemeClr w14:val="tx1"/>
                  </w14:solidFill>
                </w14:textFill>
              </w:rPr>
            </w:pPr>
            <w:r>
              <w:rPr>
                <w:rFonts w:hint="eastAsia" w:ascii="Times New Roman" w:hAnsi="Times New Roman" w:eastAsia="仿宋_GB2312" w:cs="仿宋_GB2312"/>
                <w:color w:val="000000" w:themeColor="text1"/>
                <w:sz w:val="24"/>
                <w:szCs w:val="24"/>
                <w14:textFill>
                  <w14:solidFill>
                    <w14:schemeClr w14:val="tx1"/>
                  </w14:solidFill>
                </w14:textFill>
              </w:rPr>
              <w:t>安全操作、元器件及其封装的识别、元器件的安装、手工焊接、调试、故障排除、产品质量保证等实训项目。</w:t>
            </w:r>
          </w:p>
        </w:tc>
        <w:tc>
          <w:tcPr>
            <w:tcW w:w="3488" w:type="dxa"/>
            <w:vAlign w:val="center"/>
          </w:tcPr>
          <w:p w14:paraId="61E9E03F">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电子产品焊接及工艺实训台21台</w:t>
            </w:r>
          </w:p>
        </w:tc>
        <w:tc>
          <w:tcPr>
            <w:tcW w:w="989" w:type="dxa"/>
            <w:vAlign w:val="center"/>
          </w:tcPr>
          <w:p w14:paraId="43587B86">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80</w:t>
            </w:r>
          </w:p>
        </w:tc>
      </w:tr>
      <w:tr w14:paraId="70DE4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Align w:val="center"/>
          </w:tcPr>
          <w:p w14:paraId="2E35BFD1">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7</w:t>
            </w:r>
          </w:p>
        </w:tc>
        <w:tc>
          <w:tcPr>
            <w:tcW w:w="1337" w:type="dxa"/>
            <w:vAlign w:val="center"/>
          </w:tcPr>
          <w:p w14:paraId="39B70635">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电工基础实训室</w:t>
            </w:r>
          </w:p>
        </w:tc>
        <w:tc>
          <w:tcPr>
            <w:tcW w:w="1456" w:type="dxa"/>
            <w:vAlign w:val="center"/>
          </w:tcPr>
          <w:p w14:paraId="5B597A05">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初级维修电工实训、中级维修电工实训</w:t>
            </w:r>
          </w:p>
        </w:tc>
        <w:tc>
          <w:tcPr>
            <w:tcW w:w="2160" w:type="dxa"/>
            <w:vAlign w:val="center"/>
          </w:tcPr>
          <w:p w14:paraId="55844C48">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Times New Roman" w:hAnsi="Times New Roman" w:eastAsia="仿宋_GB2312" w:cs="仿宋_GB2312"/>
                <w:color w:val="000000" w:themeColor="text1"/>
                <w:sz w:val="24"/>
                <w:szCs w:val="24"/>
                <w14:textFill>
                  <w14:solidFill>
                    <w14:schemeClr w14:val="tx1"/>
                  </w14:solidFill>
                </w14:textFill>
              </w:rPr>
            </w:pPr>
            <w:r>
              <w:rPr>
                <w:rFonts w:hint="eastAsia" w:ascii="Times New Roman" w:hAnsi="Times New Roman" w:eastAsia="仿宋_GB2312" w:cs="仿宋_GB2312"/>
                <w:color w:val="000000" w:themeColor="text1"/>
                <w:sz w:val="24"/>
                <w:szCs w:val="24"/>
                <w14:textFill>
                  <w14:solidFill>
                    <w14:schemeClr w14:val="tx1"/>
                  </w14:solidFill>
                </w14:textFill>
              </w:rPr>
              <w:t>电子线路的接线实训、初级维修电工实训、中级维修电工实训</w:t>
            </w:r>
          </w:p>
        </w:tc>
        <w:tc>
          <w:tcPr>
            <w:tcW w:w="3488" w:type="dxa"/>
            <w:vAlign w:val="center"/>
          </w:tcPr>
          <w:p w14:paraId="57CAF86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传感器实验箱8台、多功能电学实验与实训考核台13台、心肺急救复苏模型1台、</w:t>
            </w:r>
          </w:p>
        </w:tc>
        <w:tc>
          <w:tcPr>
            <w:tcW w:w="989" w:type="dxa"/>
            <w:vAlign w:val="center"/>
          </w:tcPr>
          <w:p w14:paraId="2D23BA2E">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000000" w:themeColor="text1"/>
                <w:sz w:val="24"/>
                <w:szCs w:val="24"/>
                <w14:textFill>
                  <w14:solidFill>
                    <w14:schemeClr w14:val="tx1"/>
                  </w14:solidFill>
                </w14:textFill>
              </w:rPr>
              <w:t>10</w:t>
            </w:r>
          </w:p>
        </w:tc>
      </w:tr>
    </w:tbl>
    <w:p w14:paraId="251199B1">
      <w:pPr>
        <w:pStyle w:val="4"/>
        <w:pageBreakBefore w:val="0"/>
        <w:widowControl/>
        <w:kinsoku/>
        <w:wordWrap/>
        <w:topLinePunct w:val="0"/>
        <w:autoSpaceDE/>
        <w:autoSpaceDN/>
        <w:bidi w:val="0"/>
        <w:snapToGrid/>
        <w:spacing w:before="0"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3.校外实训资源</w:t>
      </w:r>
    </w:p>
    <w:p w14:paraId="441D252F">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（1）校外实训基地基本要求</w:t>
      </w:r>
    </w:p>
    <w:p w14:paraId="7C5E8E66">
      <w:pPr>
        <w:keepNext w:val="0"/>
        <w:keepLines w:val="0"/>
        <w:pageBreakBefore w:val="0"/>
        <w:widowControl w:val="0"/>
        <w:kinsoku/>
        <w:wordWrap/>
        <w:overflowPunct/>
        <w:topLinePunct w:val="0"/>
        <w:autoSpaceDE w:val="0"/>
        <w:autoSpaceDN w:val="0"/>
        <w:bidi w:val="0"/>
        <w:adjustRightInd w:val="0"/>
        <w:snapToGrid w:val="0"/>
        <w:spacing w:after="0" w:line="520" w:lineRule="exact"/>
        <w:ind w:firstLine="640" w:firstLineChars="200"/>
        <w:jc w:val="lef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sz w:val="32"/>
          <w:szCs w:val="32"/>
        </w:rPr>
        <w:t>具有稳定的校外实训基地2个以上</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rPr>
        <w:t>能够开展电子产品安装调试、电子产品生产设备操作与维护等实训活动</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rPr>
        <w:t>实训设施齐备，实训岗位、实训指导教师确定，实训管理及实施规章制度齐全。</w:t>
      </w:r>
    </w:p>
    <w:p w14:paraId="6405F030">
      <w:pPr>
        <w:pageBreakBefore w:val="0"/>
        <w:numPr>
          <w:ilvl w:val="0"/>
          <w:numId w:val="6"/>
        </w:numPr>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学生实习基地基本要求</w:t>
      </w:r>
    </w:p>
    <w:p w14:paraId="7C2E11BC">
      <w:pPr>
        <w:keepNext w:val="0"/>
        <w:keepLines w:val="0"/>
        <w:pageBreakBefore w:val="0"/>
        <w:widowControl w:val="0"/>
        <w:kinsoku/>
        <w:wordWrap/>
        <w:overflowPunct/>
        <w:topLinePunct w:val="0"/>
        <w:autoSpaceDE w:val="0"/>
        <w:autoSpaceDN w:val="0"/>
        <w:bidi w:val="0"/>
        <w:adjustRightInd w:val="0"/>
        <w:snapToGrid w:val="0"/>
        <w:spacing w:after="0" w:line="520"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具有稳定的校外实习基地2个以上</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rPr>
        <w:t>能提供电子产品辅助设计、电子产品安装调试、电子产品生产工艺管理、电子产品检测与质量管理、电子产品生产设备操作与维护、电子产品售后服务等相关实习岗位，能涵盖当前相关产业的主流技术，可接纳一定规模的学生实习</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rPr>
        <w:t>能够配备相应数量的指导教师对学生实习进行指导和管理</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rPr>
        <w:t>有保证实习生日常工作、学习、生活的规章制度，有安全、保险保障。</w:t>
      </w:r>
    </w:p>
    <w:p w14:paraId="484DEDAB">
      <w:pPr>
        <w:pageBreakBefore w:val="0"/>
        <w:kinsoku/>
        <w:wordWrap/>
        <w:overflowPunct w:val="0"/>
        <w:topLinePunct w:val="0"/>
        <w:autoSpaceDE/>
        <w:autoSpaceDN/>
        <w:bidi w:val="0"/>
        <w:adjustRightInd w:val="0"/>
        <w:snapToGrid/>
        <w:spacing w:after="0" w:line="520" w:lineRule="exact"/>
        <w:ind w:firstLine="640" w:firstLineChars="200"/>
        <w:jc w:val="center"/>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表1</w:t>
      </w: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 xml:space="preserve"> 校外实习基地一览表</w:t>
      </w:r>
    </w:p>
    <w:tbl>
      <w:tblPr>
        <w:tblStyle w:val="13"/>
        <w:tblW w:w="10380"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215"/>
        <w:gridCol w:w="1305"/>
        <w:gridCol w:w="4983"/>
        <w:gridCol w:w="2157"/>
      </w:tblGrid>
      <w:tr w14:paraId="2F68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4D0691CE">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序号</w:t>
            </w:r>
          </w:p>
        </w:tc>
        <w:tc>
          <w:tcPr>
            <w:tcW w:w="1215" w:type="dxa"/>
            <w:vAlign w:val="center"/>
          </w:tcPr>
          <w:p w14:paraId="40050732">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校外实习基地名称</w:t>
            </w:r>
          </w:p>
        </w:tc>
        <w:tc>
          <w:tcPr>
            <w:tcW w:w="1305" w:type="dxa"/>
            <w:vAlign w:val="center"/>
          </w:tcPr>
          <w:p w14:paraId="4FA0705A">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合作企业名称</w:t>
            </w:r>
          </w:p>
        </w:tc>
        <w:tc>
          <w:tcPr>
            <w:tcW w:w="4983" w:type="dxa"/>
            <w:vAlign w:val="center"/>
          </w:tcPr>
          <w:p w14:paraId="441BB43F">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合作内容</w:t>
            </w:r>
          </w:p>
        </w:tc>
        <w:tc>
          <w:tcPr>
            <w:tcW w:w="2157" w:type="dxa"/>
            <w:vAlign w:val="center"/>
          </w:tcPr>
          <w:p w14:paraId="3A06B811">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接纳学生实习人次</w:t>
            </w:r>
          </w:p>
        </w:tc>
      </w:tr>
      <w:tr w14:paraId="06AD6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vAlign w:val="center"/>
          </w:tcPr>
          <w:p w14:paraId="745530B6">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1</w:t>
            </w:r>
          </w:p>
        </w:tc>
        <w:tc>
          <w:tcPr>
            <w:tcW w:w="1215" w:type="dxa"/>
            <w:vAlign w:val="center"/>
          </w:tcPr>
          <w:p w14:paraId="2ACF3ED7">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w:t>
            </w:r>
            <w:r>
              <w:rPr>
                <w:rFonts w:hint="eastAsia" w:ascii="Times New Roman" w:hAnsi="Times New Roman" w:eastAsia="仿宋_GB2312" w:cs="仿宋_GB2312"/>
                <w:sz w:val="24"/>
                <w:lang w:val="en-US" w:eastAsia="zh-CN"/>
              </w:rPr>
              <w:t>应用电子</w:t>
            </w:r>
            <w:r>
              <w:rPr>
                <w:rFonts w:hint="eastAsia" w:ascii="Times New Roman" w:hAnsi="Times New Roman" w:eastAsia="仿宋_GB2312" w:cs="仿宋_GB2312"/>
                <w:sz w:val="24"/>
              </w:rPr>
              <w:t>技术专业校外实习基地</w:t>
            </w:r>
          </w:p>
        </w:tc>
        <w:tc>
          <w:tcPr>
            <w:tcW w:w="1305" w:type="dxa"/>
            <w:vAlign w:val="center"/>
          </w:tcPr>
          <w:p w14:paraId="1E2DC897">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广东华勤技术有限公司</w:t>
            </w:r>
          </w:p>
        </w:tc>
        <w:tc>
          <w:tcPr>
            <w:tcW w:w="4983" w:type="dxa"/>
            <w:vAlign w:val="top"/>
          </w:tcPr>
          <w:p w14:paraId="1A0386F7">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1.接纳学生实习实训：提供应用电子技术相关实习岗位，安排学生参与数据采集、数据清洗、数据标注、大数据平台基础运维等实践工作；</w:t>
            </w:r>
          </w:p>
          <w:p w14:paraId="7A642826">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2.实践指导：选派具备丰富应用电子技术实操经验的企业导师担任实习指导教师，对学生进行一对一或一对多的专业指导；</w:t>
            </w:r>
          </w:p>
          <w:p w14:paraId="234BE54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3.教学观摩：允许学生观摩学习企业专业团队的项目开发流程、技术应用及团队协作经验；</w:t>
            </w:r>
          </w:p>
          <w:p w14:paraId="14F06062">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210B01AC">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2157" w:type="dxa"/>
            <w:vAlign w:val="center"/>
          </w:tcPr>
          <w:p w14:paraId="23E75E4D">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120</w:t>
            </w:r>
          </w:p>
        </w:tc>
      </w:tr>
      <w:tr w14:paraId="5E1EC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6A53A705">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2</w:t>
            </w:r>
          </w:p>
        </w:tc>
        <w:tc>
          <w:tcPr>
            <w:tcW w:w="1215" w:type="dxa"/>
            <w:vAlign w:val="center"/>
          </w:tcPr>
          <w:p w14:paraId="5E4E5887">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w:t>
            </w:r>
            <w:r>
              <w:rPr>
                <w:rFonts w:hint="eastAsia" w:ascii="Times New Roman" w:hAnsi="Times New Roman" w:eastAsia="仿宋_GB2312" w:cs="仿宋_GB2312"/>
                <w:sz w:val="24"/>
                <w:lang w:eastAsia="zh-CN"/>
              </w:rPr>
              <w:t>应用电子技术</w:t>
            </w:r>
            <w:r>
              <w:rPr>
                <w:rFonts w:hint="eastAsia" w:ascii="Times New Roman" w:hAnsi="Times New Roman" w:eastAsia="仿宋_GB2312" w:cs="仿宋_GB2312"/>
                <w:sz w:val="24"/>
              </w:rPr>
              <w:t>专业校外实习基地</w:t>
            </w:r>
          </w:p>
        </w:tc>
        <w:tc>
          <w:tcPr>
            <w:tcW w:w="1305" w:type="dxa"/>
            <w:vAlign w:val="center"/>
          </w:tcPr>
          <w:p w14:paraId="0A704995">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广东新能德科技有限公司</w:t>
            </w:r>
          </w:p>
        </w:tc>
        <w:tc>
          <w:tcPr>
            <w:tcW w:w="4983" w:type="dxa"/>
            <w:vAlign w:val="top"/>
          </w:tcPr>
          <w:p w14:paraId="0E5FDAF5">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1.接纳学生实习实训：提供应用电子技术应用相关实习岗位，安排学生参与大数据存储管理、数据可视化分析、智能算法基础应用等实践工作；</w:t>
            </w:r>
          </w:p>
          <w:p w14:paraId="4A876F8E">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2.实践指导：选派经验丰富的应用电子技术专业工程师担任实习指导教师，对学生进行专业技能与项目实操双轨指导；</w:t>
            </w:r>
          </w:p>
          <w:p w14:paraId="2FE2ABB7">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3.教学观摩：允许学生观摩学习专业技术方法和项目管理经验；</w:t>
            </w:r>
          </w:p>
          <w:p w14:paraId="4534D32F">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530DE036">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2157" w:type="dxa"/>
            <w:vAlign w:val="center"/>
          </w:tcPr>
          <w:p w14:paraId="46CF304F">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100</w:t>
            </w:r>
          </w:p>
        </w:tc>
      </w:tr>
      <w:tr w14:paraId="0EAC1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2951B7B2">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3</w:t>
            </w:r>
          </w:p>
        </w:tc>
        <w:tc>
          <w:tcPr>
            <w:tcW w:w="1215" w:type="dxa"/>
            <w:vAlign w:val="center"/>
          </w:tcPr>
          <w:p w14:paraId="3CA3C216">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w:t>
            </w:r>
            <w:r>
              <w:rPr>
                <w:rFonts w:hint="eastAsia" w:ascii="Times New Roman" w:hAnsi="Times New Roman" w:eastAsia="仿宋_GB2312" w:cs="仿宋_GB2312"/>
                <w:sz w:val="24"/>
                <w:lang w:eastAsia="zh-CN"/>
              </w:rPr>
              <w:t>应用电子技术</w:t>
            </w:r>
            <w:r>
              <w:rPr>
                <w:rFonts w:hint="eastAsia" w:ascii="Times New Roman" w:hAnsi="Times New Roman" w:eastAsia="仿宋_GB2312" w:cs="仿宋_GB2312"/>
                <w:sz w:val="24"/>
              </w:rPr>
              <w:t>专业校外实习基地</w:t>
            </w:r>
          </w:p>
        </w:tc>
        <w:tc>
          <w:tcPr>
            <w:tcW w:w="1305" w:type="dxa"/>
            <w:vAlign w:val="center"/>
          </w:tcPr>
          <w:p w14:paraId="28A95D2F">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lang w:val="en-US" w:eastAsia="zh-CN"/>
              </w:rPr>
              <w:t>广西阳戈新能源投资有限公司</w:t>
            </w:r>
          </w:p>
        </w:tc>
        <w:tc>
          <w:tcPr>
            <w:tcW w:w="4983" w:type="dxa"/>
            <w:vAlign w:val="top"/>
          </w:tcPr>
          <w:p w14:paraId="2801081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1.接纳学生实习实训：提供新能源行业大数据分析相关实习岗位，安排学生参与行业数据采集、能耗数据分析、大数据预测建模等实践工作；</w:t>
            </w:r>
          </w:p>
          <w:p w14:paraId="7FE09CF1">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2.实践指导：选派兼具行业经验与技术能力的企业导师担任实习指导教师，对学生进行行业场景下的应用电子技术实操指导；</w:t>
            </w:r>
          </w:p>
          <w:p w14:paraId="75D0F476">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3.教学观摩：允许学生观摩学习行业大数据应用逻辑、分析方法及项目落地经验；</w:t>
            </w:r>
          </w:p>
          <w:p w14:paraId="66E6D1C5">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6DBBCF6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2157" w:type="dxa"/>
            <w:vAlign w:val="center"/>
          </w:tcPr>
          <w:p w14:paraId="4178E1C6">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50</w:t>
            </w:r>
          </w:p>
        </w:tc>
      </w:tr>
      <w:tr w14:paraId="64B1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413D7A45">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4</w:t>
            </w:r>
          </w:p>
        </w:tc>
        <w:tc>
          <w:tcPr>
            <w:tcW w:w="1215" w:type="dxa"/>
            <w:vAlign w:val="center"/>
          </w:tcPr>
          <w:p w14:paraId="750D394E">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w:t>
            </w:r>
            <w:r>
              <w:rPr>
                <w:rFonts w:hint="eastAsia" w:ascii="Times New Roman" w:hAnsi="Times New Roman" w:eastAsia="仿宋_GB2312" w:cs="仿宋_GB2312"/>
                <w:sz w:val="24"/>
                <w:lang w:eastAsia="zh-CN"/>
              </w:rPr>
              <w:t>应用电子技术</w:t>
            </w:r>
            <w:r>
              <w:rPr>
                <w:rFonts w:hint="eastAsia" w:ascii="Times New Roman" w:hAnsi="Times New Roman" w:eastAsia="仿宋_GB2312" w:cs="仿宋_GB2312"/>
                <w:sz w:val="24"/>
              </w:rPr>
              <w:t>专业校外实习基地</w:t>
            </w:r>
          </w:p>
        </w:tc>
        <w:tc>
          <w:tcPr>
            <w:tcW w:w="1305" w:type="dxa"/>
            <w:vAlign w:val="center"/>
          </w:tcPr>
          <w:p w14:paraId="65AA1E50">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中国移动通信集团广西有限公司平果分公司</w:t>
            </w:r>
          </w:p>
        </w:tc>
        <w:tc>
          <w:tcPr>
            <w:tcW w:w="4983" w:type="dxa"/>
            <w:vAlign w:val="top"/>
          </w:tcPr>
          <w:p w14:paraId="2E47F58D">
            <w:pPr>
              <w:overflowPunct w:val="0"/>
              <w:adjustRightInd w:val="0"/>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1.接纳学生实习实训：提供通信行业</w:t>
            </w:r>
            <w:r>
              <w:rPr>
                <w:rFonts w:hint="eastAsia" w:ascii="Times New Roman" w:hAnsi="Times New Roman" w:eastAsia="仿宋_GB2312" w:cs="仿宋_GB2312"/>
                <w:sz w:val="24"/>
                <w:lang w:eastAsia="zh-CN"/>
              </w:rPr>
              <w:t>应用电子技术</w:t>
            </w:r>
            <w:r>
              <w:rPr>
                <w:rFonts w:hint="eastAsia" w:ascii="Times New Roman" w:hAnsi="Times New Roman" w:eastAsia="仿宋_GB2312" w:cs="仿宋_GB2312"/>
                <w:sz w:val="24"/>
              </w:rPr>
              <w:t>相关实习岗位，安排学生参与通信数据采集、用户行为分析、网络数据运维、大数据平台监控等实践工作；</w:t>
            </w:r>
          </w:p>
          <w:p w14:paraId="5C63277E">
            <w:pPr>
              <w:overflowPunct w:val="0"/>
              <w:adjustRightInd w:val="0"/>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2.实践指导：选派通信行业</w:t>
            </w:r>
            <w:r>
              <w:rPr>
                <w:rFonts w:hint="eastAsia" w:ascii="Times New Roman" w:hAnsi="Times New Roman" w:eastAsia="仿宋_GB2312" w:cs="仿宋_GB2312"/>
                <w:sz w:val="24"/>
                <w:lang w:eastAsia="zh-CN"/>
              </w:rPr>
              <w:t>应用电子技术</w:t>
            </w:r>
            <w:r>
              <w:rPr>
                <w:rFonts w:hint="eastAsia" w:ascii="Times New Roman" w:hAnsi="Times New Roman" w:eastAsia="仿宋_GB2312" w:cs="仿宋_GB2312"/>
                <w:sz w:val="24"/>
              </w:rPr>
              <w:t>骨干担任实习指导教师，对学生进行通信场景下</w:t>
            </w:r>
            <w:r>
              <w:rPr>
                <w:rFonts w:hint="eastAsia" w:ascii="Times New Roman" w:hAnsi="Times New Roman" w:eastAsia="仿宋_GB2312" w:cs="仿宋_GB2312"/>
                <w:sz w:val="24"/>
                <w:lang w:eastAsia="zh-CN"/>
              </w:rPr>
              <w:t>应用电子技术</w:t>
            </w:r>
            <w:r>
              <w:rPr>
                <w:rFonts w:hint="eastAsia" w:ascii="Times New Roman" w:hAnsi="Times New Roman" w:eastAsia="仿宋_GB2312" w:cs="仿宋_GB2312"/>
                <w:sz w:val="24"/>
              </w:rPr>
              <w:t>应用的专业指导；</w:t>
            </w:r>
          </w:p>
          <w:p w14:paraId="42B84900">
            <w:pPr>
              <w:overflowPunct w:val="0"/>
              <w:adjustRightInd w:val="0"/>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3.教学观摩：允许学生观摩学习专业技术方法和行业运营管理经验；</w:t>
            </w:r>
          </w:p>
          <w:p w14:paraId="3DA49140">
            <w:pPr>
              <w:overflowPunct w:val="0"/>
              <w:adjustRightInd w:val="0"/>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4.实践评价：参与学生实习成绩的评定，提供真实客观的实习评价意见；</w:t>
            </w:r>
          </w:p>
          <w:p w14:paraId="5C7C1F88">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rPr>
              <w:t>5.提供教师实践岗位。</w:t>
            </w:r>
          </w:p>
        </w:tc>
        <w:tc>
          <w:tcPr>
            <w:tcW w:w="2157" w:type="dxa"/>
            <w:vAlign w:val="center"/>
          </w:tcPr>
          <w:p w14:paraId="6C9C4D24">
            <w:pPr>
              <w:overflowPunct w:val="0"/>
              <w:adjustRightInd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50</w:t>
            </w:r>
          </w:p>
        </w:tc>
      </w:tr>
      <w:tr w14:paraId="6AED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1B7F514F">
            <w:pPr>
              <w:overflowPunct w:val="0"/>
              <w:adjustRightInd w:val="0"/>
              <w:spacing w:after="0" w:line="320" w:lineRule="exact"/>
              <w:jc w:val="center"/>
              <w:rPr>
                <w:rFonts w:hint="eastAsia"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5</w:t>
            </w:r>
          </w:p>
        </w:tc>
        <w:tc>
          <w:tcPr>
            <w:tcW w:w="1215" w:type="dxa"/>
            <w:vAlign w:val="center"/>
          </w:tcPr>
          <w:p w14:paraId="26490853">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w:t>
            </w:r>
            <w:r>
              <w:rPr>
                <w:rFonts w:hint="eastAsia" w:ascii="Times New Roman" w:hAnsi="Times New Roman" w:eastAsia="仿宋_GB2312" w:cs="仿宋_GB2312"/>
                <w:sz w:val="24"/>
                <w:lang w:eastAsia="zh-CN"/>
              </w:rPr>
              <w:t>应用电子技术</w:t>
            </w:r>
            <w:r>
              <w:rPr>
                <w:rFonts w:hint="eastAsia" w:ascii="Times New Roman" w:hAnsi="Times New Roman" w:eastAsia="仿宋_GB2312" w:cs="仿宋_GB2312"/>
                <w:sz w:val="24"/>
              </w:rPr>
              <w:t>专业校外实习基地</w:t>
            </w:r>
          </w:p>
        </w:tc>
        <w:tc>
          <w:tcPr>
            <w:tcW w:w="1305" w:type="dxa"/>
            <w:vAlign w:val="center"/>
          </w:tcPr>
          <w:p w14:paraId="38D4F629">
            <w:pPr>
              <w:overflowPunct w:val="0"/>
              <w:adjustRightInd w:val="0"/>
              <w:spacing w:after="0" w:line="320" w:lineRule="exact"/>
              <w:jc w:val="left"/>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中国电信股份有限公司平果分公司</w:t>
            </w:r>
          </w:p>
        </w:tc>
        <w:tc>
          <w:tcPr>
            <w:tcW w:w="4983" w:type="dxa"/>
            <w:vAlign w:val="top"/>
          </w:tcPr>
          <w:p w14:paraId="5825FC82">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1.接纳学生实习实训：提供电信行业应用电子技术相关实习岗位，安排学生参与电信网络数据管理、业务数据分析、大数据平台搭建与运维等实践工作；</w:t>
            </w:r>
          </w:p>
          <w:p w14:paraId="6D3230A1">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2.实践指导：选派电信应用电子技术领域资深工程师担任实习指导教师，对学生进行全流程专业实操指导；</w:t>
            </w:r>
          </w:p>
          <w:p w14:paraId="65ED24B3">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3.教学观摩：允许学生观摩学习专业技术体系和行业应用经验；</w:t>
            </w:r>
          </w:p>
          <w:p w14:paraId="09780508">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4B15AFBF">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2157" w:type="dxa"/>
            <w:vAlign w:val="center"/>
          </w:tcPr>
          <w:p w14:paraId="7A8C035D">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eastAsia="仿宋_GB2312" w:cs="仿宋_GB2312"/>
                <w:sz w:val="24"/>
                <w:lang w:val="en-US" w:eastAsia="zh-CN"/>
              </w:rPr>
              <w:t>50</w:t>
            </w:r>
          </w:p>
        </w:tc>
      </w:tr>
      <w:tr w14:paraId="317E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09AEB633">
            <w:pPr>
              <w:overflowPunct w:val="0"/>
              <w:adjustRightInd w:val="0"/>
              <w:spacing w:after="0" w:line="320" w:lineRule="exact"/>
              <w:jc w:val="center"/>
              <w:rPr>
                <w:rFonts w:hint="eastAsia"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6</w:t>
            </w:r>
          </w:p>
        </w:tc>
        <w:tc>
          <w:tcPr>
            <w:tcW w:w="1215" w:type="dxa"/>
            <w:vAlign w:val="center"/>
          </w:tcPr>
          <w:p w14:paraId="6F43935D">
            <w:pPr>
              <w:overflowPunct w:val="0"/>
              <w:adjustRightInd w:val="0"/>
              <w:spacing w:after="0"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广西工程职业学院</w:t>
            </w:r>
            <w:r>
              <w:rPr>
                <w:rFonts w:hint="eastAsia" w:ascii="Times New Roman" w:hAnsi="Times New Roman" w:eastAsia="仿宋_GB2312" w:cs="仿宋_GB2312"/>
                <w:sz w:val="24"/>
                <w:lang w:eastAsia="zh-CN"/>
              </w:rPr>
              <w:t>应用电子技术</w:t>
            </w:r>
            <w:r>
              <w:rPr>
                <w:rFonts w:hint="eastAsia" w:ascii="Times New Roman" w:hAnsi="Times New Roman" w:eastAsia="仿宋_GB2312" w:cs="仿宋_GB2312"/>
                <w:sz w:val="24"/>
              </w:rPr>
              <w:t>专业校外实习基地</w:t>
            </w:r>
          </w:p>
        </w:tc>
        <w:tc>
          <w:tcPr>
            <w:tcW w:w="1305" w:type="dxa"/>
            <w:vAlign w:val="center"/>
          </w:tcPr>
          <w:p w14:paraId="43432E27">
            <w:pPr>
              <w:overflowPunct w:val="0"/>
              <w:adjustRightInd w:val="0"/>
              <w:spacing w:after="0" w:line="320" w:lineRule="exact"/>
              <w:jc w:val="left"/>
              <w:rPr>
                <w:rFonts w:hint="default"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中国联合网络通信有限公司平果市分公司</w:t>
            </w:r>
          </w:p>
        </w:tc>
        <w:tc>
          <w:tcPr>
            <w:tcW w:w="4983" w:type="dxa"/>
            <w:vAlign w:val="top"/>
          </w:tcPr>
          <w:p w14:paraId="5448DB9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1.接纳学生实习实训：提供联通行业应用电子技术相关实习岗位，安排学生参与网络数据采集分析、大数据存储优化、通信业务数据挖掘等实践工作；</w:t>
            </w:r>
          </w:p>
          <w:p w14:paraId="6701767F">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2.实践指导：选派联通应用电子技术专业人才担任实习指导教师，对学生进行行业场景下的应用电子技术实操指导；</w:t>
            </w:r>
          </w:p>
          <w:p w14:paraId="02DC31BF">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3.教学观摩：允许学生观摩学习专业技术方法和行业运营经验；</w:t>
            </w:r>
          </w:p>
          <w:p w14:paraId="0ABB09D0">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4.实践评价：参与学生实习成绩的评定，提供真实客观的实习评价意见；</w:t>
            </w:r>
          </w:p>
          <w:p w14:paraId="73E17547">
            <w:pPr>
              <w:overflowPunct w:val="0"/>
              <w:adjustRightInd w:val="0"/>
              <w:spacing w:after="0" w:line="320" w:lineRule="exact"/>
              <w:jc w:val="both"/>
              <w:rPr>
                <w:rFonts w:hint="eastAsia" w:ascii="Times New Roman" w:hAnsi="Times New Roman" w:eastAsia="仿宋_GB2312" w:cs="仿宋_GB2312"/>
                <w:sz w:val="24"/>
                <w:lang w:eastAsia="zh-CN"/>
              </w:rPr>
            </w:pPr>
            <w:r>
              <w:rPr>
                <w:rFonts w:hint="eastAsia" w:ascii="Times New Roman" w:hAnsi="Times New Roman" w:eastAsia="仿宋_GB2312" w:cs="仿宋_GB2312"/>
                <w:sz w:val="24"/>
                <w:lang w:eastAsia="zh-CN"/>
              </w:rPr>
              <w:t>5.提供教师实践岗位。</w:t>
            </w:r>
          </w:p>
        </w:tc>
        <w:tc>
          <w:tcPr>
            <w:tcW w:w="2157" w:type="dxa"/>
            <w:vAlign w:val="center"/>
          </w:tcPr>
          <w:p w14:paraId="3419ACA8">
            <w:pPr>
              <w:overflowPunct w:val="0"/>
              <w:adjustRightInd w:val="0"/>
              <w:spacing w:after="0" w:line="320" w:lineRule="exact"/>
              <w:jc w:val="center"/>
              <w:rPr>
                <w:rFonts w:hint="default" w:ascii="Times New Roman" w:hAnsi="Times New Roman" w:eastAsia="仿宋_GB2312" w:cs="仿宋_GB2312"/>
                <w:sz w:val="24"/>
                <w:lang w:val="en-US" w:eastAsia="zh-CN"/>
              </w:rPr>
            </w:pPr>
            <w:r>
              <w:rPr>
                <w:rFonts w:hint="eastAsia" w:eastAsia="仿宋_GB2312" w:cs="仿宋_GB2312"/>
                <w:sz w:val="24"/>
                <w:lang w:val="en-US" w:eastAsia="zh-CN"/>
              </w:rPr>
              <w:t>50</w:t>
            </w:r>
          </w:p>
        </w:tc>
      </w:tr>
    </w:tbl>
    <w:p w14:paraId="1EC2B3FF">
      <w:pPr>
        <w:pStyle w:val="3"/>
        <w:keepNext/>
        <w:keepLines/>
        <w:pageBreakBefore w:val="0"/>
        <w:widowControl w:val="0"/>
        <w:numPr>
          <w:ilvl w:val="0"/>
          <w:numId w:val="5"/>
        </w:numPr>
        <w:kinsoku/>
        <w:wordWrap/>
        <w:overflowPunct/>
        <w:topLinePunct w:val="0"/>
        <w:autoSpaceDE/>
        <w:autoSpaceDN/>
        <w:bidi w:val="0"/>
        <w:adjustRightInd/>
        <w:snapToGrid/>
        <w:spacing w:before="0" w:beforeLines="0" w:beforeAutospacing="0" w:after="0" w:afterLines="0" w:afterAutospacing="0" w:line="520" w:lineRule="exact"/>
        <w:ind w:left="0" w:leftChars="0" w:firstLine="640" w:firstLineChars="200"/>
        <w:textAlignment w:val="auto"/>
        <w:rPr>
          <w:rFonts w:hint="eastAsia" w:ascii="Times New Roman" w:hAnsi="Times New Roman"/>
        </w:rPr>
      </w:pPr>
      <w:bookmarkStart w:id="46" w:name="_Toc2398"/>
      <w:r>
        <w:rPr>
          <w:rFonts w:hint="eastAsia" w:ascii="Times New Roman" w:hAnsi="Times New Roman"/>
        </w:rPr>
        <w:t>教学资源</w:t>
      </w:r>
      <w:bookmarkEnd w:id="46"/>
    </w:p>
    <w:p w14:paraId="3DA5DF3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教学资源主要包括能满足学生专业学习、教师专业教学研究和教学实施所需的教材、图书文献及数字教学资源等。</w:t>
      </w:r>
    </w:p>
    <w:p w14:paraId="5AEA1D7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000000" w:themeColor="text1"/>
          <w:kern w:val="0"/>
          <w:sz w:val="32"/>
          <w:szCs w:val="32"/>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0"/>
          <w:sz w:val="32"/>
          <w:szCs w:val="32"/>
          <w:lang w:val="en-US" w:eastAsia="zh-CN" w:bidi="ar-SA"/>
          <w14:textFill>
            <w14:solidFill>
              <w14:schemeClr w14:val="tx1"/>
            </w14:solidFill>
          </w14:textFill>
        </w:rPr>
        <w:t>1.教材选用基本要求</w:t>
      </w:r>
    </w:p>
    <w:p w14:paraId="0009007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i w:val="0"/>
          <w:iCs w:val="0"/>
          <w:caps w:val="0"/>
          <w:color w:val="000000" w:themeColor="text1"/>
          <w:spacing w:val="0"/>
          <w:sz w:val="32"/>
          <w:szCs w:val="32"/>
          <w:lang w:val="en-US" w:eastAsia="zh-CN"/>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按照国家规定，优先选用国家规划教材</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国家优秀教材</w:t>
      </w:r>
      <w:r>
        <w:rPr>
          <w:rFonts w:hint="eastAsia" w:ascii="Times New Roman" w:hAnsi="Times New Roman" w:eastAsia="仿宋_GB2312" w:cs="仿宋_GB2312"/>
          <w:i w:val="0"/>
          <w:iCs w:val="0"/>
          <w:caps w:val="0"/>
          <w:color w:val="000000" w:themeColor="text1"/>
          <w:spacing w:val="0"/>
          <w:sz w:val="32"/>
          <w:szCs w:val="32"/>
          <w:lang w:val="en-US" w:eastAsia="zh-CN"/>
          <w14:textFill>
            <w14:solidFill>
              <w14:schemeClr w14:val="tx1"/>
            </w14:solidFill>
          </w14:textFill>
        </w:rPr>
        <w:t>及近三年最新版规范教材，确保教材内容与人才培养方案、教学大纲匹配，注重实践性与时效性；</w:t>
      </w:r>
      <w:r>
        <w:rPr>
          <w:rFonts w:hint="eastAsia" w:ascii="Times New Roman" w:hAnsi="Times New Roman" w:eastAsia="仿宋_GB2312" w:cs="仿宋_GB2312"/>
          <w:color w:val="000000" w:themeColor="text1"/>
          <w:sz w:val="32"/>
          <w:szCs w:val="32"/>
          <w14:textFill>
            <w14:solidFill>
              <w14:schemeClr w14:val="tx1"/>
            </w14:solidFill>
          </w14:textFill>
        </w:rPr>
        <w:t>专业课程教材</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应</w:t>
      </w:r>
      <w:r>
        <w:rPr>
          <w:rFonts w:hint="eastAsia" w:ascii="Times New Roman" w:hAnsi="Times New Roman" w:eastAsia="仿宋_GB2312" w:cs="仿宋_GB2312"/>
          <w:color w:val="000000" w:themeColor="text1"/>
          <w:sz w:val="32"/>
          <w:szCs w:val="32"/>
          <w14:textFill>
            <w14:solidFill>
              <w14:schemeClr w14:val="tx1"/>
            </w14:solidFill>
          </w14:textFill>
        </w:rPr>
        <w:t>体现本行业新技术、新规范、新标准、新形态，并通过数字教材、活页式教材等多种方式进行动态更新</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i w:val="0"/>
          <w:iCs w:val="0"/>
          <w:caps w:val="0"/>
          <w:color w:val="000000" w:themeColor="text1"/>
          <w:spacing w:val="0"/>
          <w:sz w:val="32"/>
          <w:szCs w:val="32"/>
          <w:lang w:val="en-US" w:eastAsia="zh-CN"/>
          <w14:textFill>
            <w14:solidFill>
              <w14:schemeClr w14:val="tx1"/>
            </w14:solidFill>
          </w14:textFill>
        </w:rPr>
        <w:t>强化意识形态审查，杜绝政治导向问题或内容陈旧、拼凑的教材。</w:t>
      </w:r>
    </w:p>
    <w:p w14:paraId="552D707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352A105A">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Times New Roman" w:hAnsi="Times New Roman" w:eastAsia="仿宋_GB2312" w:cs="仿宋_GB2312"/>
          <w:color w:val="auto"/>
          <w:sz w:val="32"/>
          <w:szCs w:val="32"/>
          <w:lang w:val="en-US" w:eastAsia="zh-CN"/>
        </w:rPr>
      </w:pPr>
    </w:p>
    <w:p w14:paraId="68801E4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图书文献配备基本要求</w:t>
      </w:r>
    </w:p>
    <w:p w14:paraId="15C12BE8">
      <w:pPr>
        <w:keepNext w:val="0"/>
        <w:keepLines w:val="0"/>
        <w:pageBreakBefore w:val="0"/>
        <w:widowControl w:val="0"/>
        <w:kinsoku/>
        <w:wordWrap/>
        <w:overflowPunct/>
        <w:topLinePunct w:val="0"/>
        <w:autoSpaceDE w:val="0"/>
        <w:autoSpaceDN w:val="0"/>
        <w:bidi w:val="0"/>
        <w:adjustRightInd w:val="0"/>
        <w:snapToGrid w:val="0"/>
        <w:spacing w:after="0" w:line="520" w:lineRule="exact"/>
        <w:ind w:firstLine="640" w:firstLineChars="200"/>
        <w:jc w:val="lef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sz w:val="32"/>
          <w:szCs w:val="32"/>
        </w:rPr>
        <w:t>图书文献配备能满足人才培养、专业建设、教科研等工作的需要，方便师生查询、借阅。专业类文献主要包括：计算机、通信和其他电子设备制造业的电子设备装配调试、电子专用设备装配调试、电子工程相关行业政策法规、行业标准、技术规范以及技术应用等与服务相关专业类图书和实务案例类图书。专业图书资料（含电子图书）不低于500册，5种以上应用电子技术类专业学术期刊，并能保持每年更新。</w:t>
      </w:r>
    </w:p>
    <w:p w14:paraId="0CFB52EE">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数字教学资源配置基本要求</w:t>
      </w:r>
    </w:p>
    <w:p w14:paraId="63620F39">
      <w:pPr>
        <w:keepNext w:val="0"/>
        <w:keepLines w:val="0"/>
        <w:pageBreakBefore w:val="0"/>
        <w:widowControl w:val="0"/>
        <w:kinsoku/>
        <w:wordWrap/>
        <w:overflowPunct/>
        <w:topLinePunct w:val="0"/>
        <w:autoSpaceDE w:val="0"/>
        <w:autoSpaceDN w:val="0"/>
        <w:bidi w:val="0"/>
        <w:adjustRightInd w:val="0"/>
        <w:snapToGrid w:val="0"/>
        <w:spacing w:after="0" w:line="520" w:lineRule="exact"/>
        <w:ind w:firstLine="640" w:firstLineChars="200"/>
        <w:jc w:val="lef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sz w:val="32"/>
          <w:szCs w:val="32"/>
        </w:rPr>
        <w:t>建设、配备与专业相关的音视频素材、教学课件、数字化教学案例库、虚拟仿真软件、数字教材等专业教学资源库，应种类丰富、形式多样、使用便捷、动态更新，能满足教学要求。</w:t>
      </w:r>
    </w:p>
    <w:p w14:paraId="0D28F97C">
      <w:pPr>
        <w:pStyle w:val="3"/>
        <w:keepNext/>
        <w:keepLines/>
        <w:pageBreakBefore w:val="0"/>
        <w:widowControl w:val="0"/>
        <w:numPr>
          <w:ilvl w:val="0"/>
          <w:numId w:val="5"/>
        </w:numPr>
        <w:kinsoku/>
        <w:wordWrap/>
        <w:overflowPunct/>
        <w:topLinePunct w:val="0"/>
        <w:autoSpaceDE/>
        <w:autoSpaceDN/>
        <w:bidi w:val="0"/>
        <w:adjustRightInd/>
        <w:snapToGrid/>
        <w:spacing w:before="0" w:beforeLines="0" w:beforeAutospacing="0" w:after="0" w:afterLines="0" w:afterAutospacing="0" w:line="520" w:lineRule="exact"/>
        <w:ind w:left="0" w:leftChars="0" w:firstLine="640" w:firstLineChars="200"/>
        <w:textAlignment w:val="auto"/>
        <w:rPr>
          <w:rFonts w:hint="eastAsia" w:ascii="Times New Roman" w:hAnsi="Times New Roman"/>
        </w:rPr>
      </w:pPr>
      <w:bookmarkStart w:id="47" w:name="_Toc17112"/>
      <w:r>
        <w:rPr>
          <w:rFonts w:hint="eastAsia" w:ascii="Times New Roman" w:hAnsi="Times New Roman"/>
        </w:rPr>
        <w:t>教学方法</w:t>
      </w:r>
      <w:bookmarkEnd w:id="47"/>
    </w:p>
    <w:p w14:paraId="29EE55D1">
      <w:pPr>
        <w:keepNext w:val="0"/>
        <w:keepLines w:val="0"/>
        <w:pageBreakBefore w:val="0"/>
        <w:widowControl w:val="0"/>
        <w:kinsoku/>
        <w:wordWrap/>
        <w:overflowPunct/>
        <w:topLinePunct w:val="0"/>
        <w:autoSpaceDE w:val="0"/>
        <w:autoSpaceDN w:val="0"/>
        <w:bidi w:val="0"/>
        <w:adjustRightInd w:val="0"/>
        <w:snapToGrid w:val="0"/>
        <w:spacing w:after="0" w:line="520" w:lineRule="exact"/>
        <w:ind w:firstLine="640" w:firstLineChars="200"/>
        <w:jc w:val="left"/>
        <w:textAlignment w:val="auto"/>
        <w:rPr>
          <w:rFonts w:hint="eastAsia" w:ascii="Times New Roman" w:hAnsi="Times New Roman" w:eastAsia="楷体" w:cs="楷体"/>
          <w:color w:val="auto"/>
          <w:sz w:val="32"/>
          <w:szCs w:val="32"/>
        </w:rPr>
      </w:pPr>
      <w:r>
        <w:rPr>
          <w:rFonts w:ascii="Times New Roman" w:hAnsi="Times New Roman" w:eastAsia="仿宋_GB2312" w:cs="仿宋_GB2312"/>
          <w:sz w:val="32"/>
          <w:szCs w:val="32"/>
        </w:rPr>
        <w:t>根据不同课程的性质</w:t>
      </w:r>
      <w:r>
        <w:rPr>
          <w:rFonts w:hint="eastAsia" w:ascii="Times New Roman" w:hAnsi="Times New Roman" w:eastAsia="仿宋_GB2312" w:cs="仿宋_GB2312"/>
          <w:sz w:val="32"/>
          <w:szCs w:val="32"/>
        </w:rPr>
        <w:t>特点</w:t>
      </w:r>
      <w:r>
        <w:rPr>
          <w:rFonts w:ascii="Times New Roman" w:hAnsi="Times New Roman" w:eastAsia="仿宋_GB2312" w:cs="仿宋_GB2312"/>
          <w:sz w:val="32"/>
          <w:szCs w:val="32"/>
        </w:rPr>
        <w:t>，在保留传统讲授法、演示法、讨论法、问答法、案例分析法等的基础上</w:t>
      </w: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应充分利用信息化教学资源，尽量将项目驱动法、探究式教学、翻转课堂等新型教学模式及方法引入课堂，遵循“学生为主体，教师为主导”的原则，积极探索多种教学方法。</w:t>
      </w:r>
    </w:p>
    <w:p w14:paraId="4FDCE5AB">
      <w:pPr>
        <w:pStyle w:val="3"/>
        <w:keepNext/>
        <w:keepLines/>
        <w:pageBreakBefore w:val="0"/>
        <w:widowControl w:val="0"/>
        <w:numPr>
          <w:ilvl w:val="0"/>
          <w:numId w:val="5"/>
        </w:numPr>
        <w:kinsoku/>
        <w:wordWrap/>
        <w:overflowPunct/>
        <w:topLinePunct w:val="0"/>
        <w:autoSpaceDE/>
        <w:autoSpaceDN/>
        <w:bidi w:val="0"/>
        <w:adjustRightInd/>
        <w:snapToGrid/>
        <w:spacing w:before="0" w:beforeLines="0" w:beforeAutospacing="0" w:after="0" w:afterLines="0" w:afterAutospacing="0" w:line="520" w:lineRule="exact"/>
        <w:ind w:left="0" w:leftChars="0" w:firstLine="640" w:firstLineChars="200"/>
        <w:textAlignment w:val="auto"/>
        <w:rPr>
          <w:rFonts w:hint="eastAsia" w:ascii="Times New Roman" w:hAnsi="Times New Roman"/>
        </w:rPr>
      </w:pPr>
      <w:bookmarkStart w:id="48" w:name="_Toc9703"/>
      <w:r>
        <w:rPr>
          <w:rFonts w:hint="eastAsia" w:ascii="Times New Roman" w:hAnsi="Times New Roman"/>
        </w:rPr>
        <w:t>学习评价</w:t>
      </w:r>
      <w:bookmarkEnd w:id="48"/>
    </w:p>
    <w:p w14:paraId="6351725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1.课程考核方法</w:t>
      </w:r>
    </w:p>
    <w:p w14:paraId="42B90F4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475EBFE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课程成绩评定根据学生参与度、作业质量、实训效果与期末考核等项目确定不同比例进行综合评定，评定标准如下：</w:t>
      </w:r>
    </w:p>
    <w:p w14:paraId="4244E9C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1</w:t>
      </w:r>
      <w:r>
        <w:rPr>
          <w:rFonts w:hint="eastAsia" w:ascii="Times New Roman" w:hAnsi="Times New Roman" w:eastAsia="仿宋_GB2312" w:cs="仿宋_GB2312"/>
          <w:color w:val="auto"/>
          <w:sz w:val="32"/>
          <w:szCs w:val="32"/>
        </w:rPr>
        <w:t>）A类课程成绩构成（纯理论）</w:t>
      </w:r>
    </w:p>
    <w:p w14:paraId="4A09AD9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课程总成绩=期末卷面考试成绩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+平时成绩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p>
    <w:p w14:paraId="6B1B489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）B类课程成绩构成（理论+实践）</w:t>
      </w:r>
    </w:p>
    <w:p w14:paraId="515A4ED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w:t>
      </w:r>
      <w:bookmarkStart w:id="58" w:name="_GoBack"/>
      <w:bookmarkEnd w:id="58"/>
      <w:r>
        <w:rPr>
          <w:rFonts w:hint="eastAsia" w:ascii="Times New Roman" w:hAnsi="Times New Roman" w:eastAsia="仿宋_GB2312" w:cs="仿宋_GB2312"/>
          <w:color w:val="auto"/>
          <w:sz w:val="32"/>
          <w:szCs w:val="32"/>
        </w:rPr>
        <w:t>期末卷面考试成</w:t>
      </w:r>
      <w:r>
        <w:rPr>
          <w:rFonts w:hint="eastAsia" w:ascii="Times New Roman" w:hAnsi="Times New Roman" w:eastAsia="仿宋_GB2312" w:cs="仿宋_GB2312"/>
          <w:color w:val="auto"/>
          <w:sz w:val="32"/>
          <w:szCs w:val="32"/>
          <w:lang w:val="en-US" w:eastAsia="zh-CN"/>
        </w:rPr>
        <w:t>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40%</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+技能成绩（30%）+平时成绩（30%）</w:t>
      </w:r>
    </w:p>
    <w:p w14:paraId="2683A75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）C类课程成绩构成</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rPr>
        <w:t>纯实践）</w:t>
      </w:r>
    </w:p>
    <w:p w14:paraId="628FFC8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课程总成绩=技能成绩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+平时成绩</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50%</w:t>
      </w:r>
      <w:r>
        <w:rPr>
          <w:rFonts w:hint="eastAsia" w:ascii="Times New Roman" w:hAnsi="Times New Roman" w:eastAsia="仿宋_GB2312" w:cs="仿宋_GB2312"/>
          <w:color w:val="auto"/>
          <w:sz w:val="32"/>
          <w:szCs w:val="32"/>
          <w:lang w:eastAsia="zh-CN"/>
        </w:rPr>
        <w:t>）</w:t>
      </w:r>
    </w:p>
    <w:p w14:paraId="45A9E72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2.教学评价方式</w:t>
      </w:r>
    </w:p>
    <w:p w14:paraId="70F63DFC">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leftChars="0" w:firstLine="640" w:firstLineChars="200"/>
        <w:textAlignment w:val="auto"/>
        <w:rPr>
          <w:rFonts w:hint="eastAsia" w:ascii="Times New Roman" w:hAnsi="Times New Roman"/>
          <w:b w:val="0"/>
          <w:bCs/>
          <w:lang w:val="en-US" w:eastAsia="zh-CN"/>
        </w:rPr>
      </w:pPr>
      <w:bookmarkStart w:id="49" w:name="_Toc1908"/>
      <w:r>
        <w:rPr>
          <w:rFonts w:hint="eastAsia" w:ascii="Times New Roman" w:hAnsi="Times New Roman"/>
          <w:b w:val="0"/>
          <w:bCs/>
          <w:lang w:val="en-US" w:eastAsia="zh-CN"/>
        </w:rPr>
        <w:t>十一、质量保障</w:t>
      </w:r>
      <w:bookmarkEnd w:id="49"/>
    </w:p>
    <w:p w14:paraId="030C82FD">
      <w:pPr>
        <w:keepNext w:val="0"/>
        <w:keepLines w:val="0"/>
        <w:pageBreakBefore w:val="0"/>
        <w:widowControl w:val="0"/>
        <w:kinsoku/>
        <w:wordWrap/>
        <w:overflowPunct/>
        <w:topLinePunct w:val="0"/>
        <w:autoSpaceDE/>
        <w:autoSpaceDN/>
        <w:bidi w:val="0"/>
        <w:adjustRightInd/>
        <w:snapToGrid/>
        <w:spacing w:beforeAutospacing="0" w:after="0" w:line="520" w:lineRule="exact"/>
        <w:ind w:left="0" w:firstLine="640" w:firstLineChars="200"/>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77184242">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0CAA959B">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3.专业教研</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室</w:t>
      </w:r>
      <w:r>
        <w:rPr>
          <w:rFonts w:hint="eastAsia" w:ascii="Times New Roman" w:hAnsi="Times New Roman" w:eastAsia="仿宋_GB2312" w:cs="仿宋_GB2312"/>
          <w:color w:val="000000" w:themeColor="text1"/>
          <w:sz w:val="32"/>
          <w:szCs w:val="32"/>
          <w14:textFill>
            <w14:solidFill>
              <w14:schemeClr w14:val="tx1"/>
            </w14:solidFill>
          </w14:textFill>
        </w:rPr>
        <w:t>建立线上线下相结合的集中备课制度，定期召开教学研讨会议，利用评价分析结果有效改进专业教学，持续提高人才培养质量。</w:t>
      </w:r>
    </w:p>
    <w:p w14:paraId="3E5AEBE5">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s="仿宋_GB2312"/>
          <w:color w:val="000000" w:themeColor="text1"/>
          <w:sz w:val="32"/>
          <w:szCs w:val="32"/>
          <w14:textFill>
            <w14:solidFill>
              <w14:schemeClr w14:val="tx1"/>
            </w14:solidFill>
          </w14:textFill>
        </w:rPr>
        <w:t>.建立毕业生跟踪反馈机制及社会评价机制，并对生源情况、在校生学业水平、毕业生就业情况等进行分析，定期评价人才培养质量和培养目标达成情况。</w:t>
      </w:r>
    </w:p>
    <w:p w14:paraId="0F525133">
      <w:pPr>
        <w:keepNext w:val="0"/>
        <w:keepLines w:val="0"/>
        <w:pageBreakBefore w:val="0"/>
        <w:widowControl w:val="0"/>
        <w:kinsoku/>
        <w:wordWrap/>
        <w:overflowPunct/>
        <w:topLinePunct w:val="0"/>
        <w:autoSpaceDE/>
        <w:autoSpaceDN/>
        <w:bidi w:val="0"/>
        <w:adjustRightInd/>
        <w:snapToGrid/>
        <w:spacing w:after="0" w:afterAutospacing="0" w:line="520" w:lineRule="exact"/>
        <w:ind w:left="0" w:firstLine="640" w:firstLineChars="200"/>
        <w:textAlignment w:val="auto"/>
        <w:rPr>
          <w:rFonts w:hint="eastAsia" w:ascii="Times New Roman" w:hAnsi="Times New Roman" w:eastAsia="仿宋_GB2312" w:cs="仿宋_GB2312"/>
          <w:color w:val="FF0000"/>
          <w:sz w:val="32"/>
          <w:szCs w:val="32"/>
        </w:rPr>
      </w:pP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s="仿宋_GB2312"/>
          <w:color w:val="000000" w:themeColor="text1"/>
          <w:sz w:val="32"/>
          <w:szCs w:val="32"/>
          <w14:textFill>
            <w14:solidFill>
              <w14:schemeClr w14:val="tx1"/>
            </w14:solidFill>
          </w14:textFill>
        </w:rPr>
        <w:t>.充分利用评价分析结果有效改进专业教学，持续提高人才培养质量。</w:t>
      </w:r>
    </w:p>
    <w:p w14:paraId="316DB167">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leftChars="0" w:firstLine="640" w:firstLineChars="200"/>
        <w:textAlignment w:val="auto"/>
        <w:rPr>
          <w:rFonts w:hint="eastAsia" w:ascii="Times New Roman" w:hAnsi="Times New Roman"/>
          <w:b w:val="0"/>
          <w:bCs/>
          <w:lang w:val="en-US" w:eastAsia="zh-CN"/>
        </w:rPr>
      </w:pPr>
      <w:bookmarkStart w:id="50" w:name="_Toc22287"/>
      <w:r>
        <w:rPr>
          <w:rFonts w:hint="eastAsia" w:ascii="Times New Roman" w:hAnsi="Times New Roman"/>
          <w:b w:val="0"/>
          <w:bCs/>
          <w:lang w:val="en-US" w:eastAsia="zh-CN"/>
        </w:rPr>
        <w:t>十二、毕业要求</w:t>
      </w:r>
      <w:bookmarkEnd w:id="50"/>
    </w:p>
    <w:p w14:paraId="4EA3632F">
      <w:pPr>
        <w:pStyle w:val="3"/>
        <w:keepNext/>
        <w:keepLines/>
        <w:pageBreakBefore w:val="0"/>
        <w:widowControl w:val="0"/>
        <w:numPr>
          <w:ilvl w:val="0"/>
          <w:numId w:val="7"/>
        </w:numPr>
        <w:kinsoku/>
        <w:wordWrap/>
        <w:overflowPunct/>
        <w:topLinePunct w:val="0"/>
        <w:autoSpaceDE/>
        <w:autoSpaceDN/>
        <w:bidi w:val="0"/>
        <w:adjustRightInd/>
        <w:snapToGrid/>
        <w:spacing w:before="0" w:beforeLines="0" w:after="0" w:afterLines="0" w:line="520" w:lineRule="exact"/>
        <w:ind w:left="0" w:leftChars="0" w:firstLine="640" w:firstLineChars="200"/>
        <w:textAlignment w:val="auto"/>
        <w:rPr>
          <w:rFonts w:hint="eastAsia" w:ascii="Times New Roman" w:hAnsi="Times New Roman"/>
          <w:lang w:val="en-US" w:eastAsia="zh-CN"/>
        </w:rPr>
      </w:pPr>
      <w:bookmarkStart w:id="51" w:name="_Toc3625"/>
      <w:r>
        <w:rPr>
          <w:rFonts w:hint="eastAsia" w:ascii="Times New Roman" w:hAnsi="Times New Roman"/>
          <w:lang w:val="en-US" w:eastAsia="zh-CN"/>
        </w:rPr>
        <w:t>学分要求</w:t>
      </w:r>
      <w:bookmarkEnd w:id="51"/>
    </w:p>
    <w:p w14:paraId="1AECD5BE">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153学分。其中，必修课135学分，选修课18学分。公共必修课44学分，公共选修课8学分。专业必修课91学分，专业选修课10学分。</w:t>
      </w:r>
    </w:p>
    <w:p w14:paraId="09F60FE2">
      <w:pPr>
        <w:pStyle w:val="3"/>
        <w:keepNext/>
        <w:keepLines/>
        <w:pageBreakBefore w:val="0"/>
        <w:widowControl w:val="0"/>
        <w:numPr>
          <w:ilvl w:val="0"/>
          <w:numId w:val="7"/>
        </w:numPr>
        <w:kinsoku/>
        <w:wordWrap/>
        <w:overflowPunct/>
        <w:topLinePunct w:val="0"/>
        <w:autoSpaceDE/>
        <w:autoSpaceDN/>
        <w:bidi w:val="0"/>
        <w:adjustRightInd/>
        <w:snapToGrid/>
        <w:spacing w:before="0" w:beforeLines="0" w:after="0" w:afterLines="0" w:line="520" w:lineRule="exact"/>
        <w:ind w:left="0" w:leftChars="0" w:firstLine="640" w:firstLineChars="200"/>
        <w:textAlignment w:val="auto"/>
        <w:rPr>
          <w:rFonts w:hint="eastAsia" w:ascii="Times New Roman" w:hAnsi="Times New Roman"/>
          <w:lang w:val="en-US" w:eastAsia="zh-CN"/>
        </w:rPr>
      </w:pPr>
      <w:bookmarkStart w:id="52" w:name="_Toc20768"/>
      <w:bookmarkStart w:id="53" w:name="_Toc12036"/>
      <w:r>
        <w:rPr>
          <w:rFonts w:hint="eastAsia" w:ascii="Times New Roman" w:hAnsi="Times New Roman"/>
          <w:lang w:val="en-US" w:eastAsia="zh-CN"/>
        </w:rPr>
        <w:t>职业类证书要求</w:t>
      </w:r>
      <w:bookmarkEnd w:id="52"/>
      <w:bookmarkEnd w:id="53"/>
    </w:p>
    <w:p w14:paraId="4F10407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000000" w:themeColor="text1"/>
          <w:sz w:val="32"/>
          <w:szCs w:val="32"/>
          <w:lang w:eastAsia="zh-CN"/>
          <w14:textFill>
            <w14:solidFill>
              <w14:schemeClr w14:val="tx1"/>
            </w14:solidFill>
          </w14:textFill>
        </w:rPr>
      </w:pPr>
      <w:r>
        <w:rPr>
          <w:rFonts w:hint="eastAsia" w:ascii="Times New Roman" w:hAnsi="Times New Roman" w:eastAsia="仿宋_GB2312" w:cs="仿宋_GB2312"/>
          <w:color w:val="000000" w:themeColor="text1"/>
          <w:sz w:val="32"/>
          <w:szCs w:val="32"/>
          <w:lang w:eastAsia="zh-CN"/>
          <w14:textFill>
            <w14:solidFill>
              <w14:schemeClr w14:val="tx1"/>
            </w14:solidFill>
          </w14:textFill>
        </w:rPr>
        <w:t>将</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低压电工上岗证、电工（初级）</w:t>
      </w:r>
      <w:r>
        <w:rPr>
          <w:rFonts w:hint="eastAsia" w:ascii="Times New Roman" w:hAnsi="Times New Roman" w:eastAsia="仿宋_GB2312" w:cs="仿宋_GB2312"/>
          <w:color w:val="000000" w:themeColor="text1"/>
          <w:sz w:val="32"/>
          <w:szCs w:val="32"/>
          <w:lang w:eastAsia="zh-CN"/>
          <w14:textFill>
            <w14:solidFill>
              <w14:schemeClr w14:val="tx1"/>
            </w14:solidFill>
          </w14:textFill>
        </w:rPr>
        <w:t>等职业证书纳入培养要求，鼓励学生考取相关证书。通过职业证书的考取，提高学生的专业技能和就业竞争力，使学生更好地适应社会和企业的需求。</w:t>
      </w:r>
    </w:p>
    <w:p w14:paraId="2D16722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000000" w:themeColor="text1"/>
          <w:sz w:val="32"/>
          <w:szCs w:val="32"/>
          <w:lang w:eastAsia="zh-CN"/>
          <w14:textFill>
            <w14:solidFill>
              <w14:schemeClr w14:val="tx1"/>
            </w14:solidFill>
          </w14:textFill>
        </w:rPr>
      </w:pPr>
      <w:r>
        <w:rPr>
          <w:rFonts w:hint="eastAsia" w:ascii="Times New Roman" w:hAnsi="Times New Roman" w:eastAsia="仿宋_GB2312" w:cs="仿宋_GB2312"/>
          <w:color w:val="000000" w:themeColor="text1"/>
          <w:sz w:val="32"/>
          <w:szCs w:val="32"/>
          <w:lang w:eastAsia="zh-CN"/>
          <w14:textFill>
            <w14:solidFill>
              <w14:schemeClr w14:val="tx1"/>
            </w14:solidFill>
          </w14:textFill>
        </w:rPr>
        <w:t>学生接受职业培训取得的职业技能等级证书、培训证书等学习成果，经学校认定，可以转化为相应的学历教育学分，以支撑学生未来在就业、创业、学业等方面持续发展。</w:t>
      </w:r>
    </w:p>
    <w:p w14:paraId="08CA69BA">
      <w:pPr>
        <w:pageBreakBefore w:val="0"/>
        <w:kinsoku/>
        <w:wordWrap/>
        <w:overflowPunct w:val="0"/>
        <w:topLinePunct w:val="0"/>
        <w:autoSpaceDE/>
        <w:autoSpaceDN/>
        <w:bidi w:val="0"/>
        <w:adjustRightInd w:val="0"/>
        <w:snapToGrid/>
        <w:spacing w:after="0" w:line="520" w:lineRule="exact"/>
        <w:ind w:firstLine="640" w:firstLineChars="200"/>
        <w:jc w:val="center"/>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表13   应用电子技术专业职业证书一览表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3327"/>
        <w:gridCol w:w="3477"/>
        <w:gridCol w:w="1541"/>
      </w:tblGrid>
      <w:tr w14:paraId="21451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vAlign w:val="top"/>
          </w:tcPr>
          <w:p w14:paraId="2B620303">
            <w:pPr>
              <w:pStyle w:val="11"/>
              <w:spacing w:before="0" w:beforeAutospacing="0" w:after="0" w:afterAutospacing="0" w:line="32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序号</w:t>
            </w:r>
          </w:p>
        </w:tc>
        <w:tc>
          <w:tcPr>
            <w:tcW w:w="3327" w:type="dxa"/>
            <w:vAlign w:val="top"/>
          </w:tcPr>
          <w:p w14:paraId="369330F9">
            <w:pPr>
              <w:pStyle w:val="11"/>
              <w:spacing w:before="0" w:beforeAutospacing="0" w:after="0" w:afterAutospacing="0" w:line="32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证书名称</w:t>
            </w:r>
          </w:p>
        </w:tc>
        <w:tc>
          <w:tcPr>
            <w:tcW w:w="3477" w:type="dxa"/>
            <w:vAlign w:val="top"/>
          </w:tcPr>
          <w:p w14:paraId="4683ADD5">
            <w:pPr>
              <w:pStyle w:val="11"/>
              <w:spacing w:before="0" w:beforeAutospacing="0" w:after="0" w:afterAutospacing="0" w:line="32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发证机构</w:t>
            </w:r>
          </w:p>
        </w:tc>
        <w:tc>
          <w:tcPr>
            <w:tcW w:w="1541" w:type="dxa"/>
            <w:vAlign w:val="top"/>
          </w:tcPr>
          <w:p w14:paraId="43EC5F58">
            <w:pPr>
              <w:pStyle w:val="11"/>
              <w:spacing w:before="0" w:beforeAutospacing="0" w:after="0" w:afterAutospacing="0" w:line="32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备注</w:t>
            </w:r>
          </w:p>
        </w:tc>
      </w:tr>
      <w:tr w14:paraId="02684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vAlign w:val="top"/>
          </w:tcPr>
          <w:p w14:paraId="29C76CDF">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1</w:t>
            </w:r>
          </w:p>
        </w:tc>
        <w:tc>
          <w:tcPr>
            <w:tcW w:w="3327" w:type="dxa"/>
            <w:vAlign w:val="top"/>
          </w:tcPr>
          <w:p w14:paraId="18F5C7FD">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低压电工上岗证</w:t>
            </w:r>
          </w:p>
        </w:tc>
        <w:tc>
          <w:tcPr>
            <w:tcW w:w="3477" w:type="dxa"/>
            <w:vAlign w:val="top"/>
          </w:tcPr>
          <w:p w14:paraId="746A96F6">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百色市应急局</w:t>
            </w:r>
          </w:p>
        </w:tc>
        <w:tc>
          <w:tcPr>
            <w:tcW w:w="1541" w:type="dxa"/>
            <w:vAlign w:val="top"/>
          </w:tcPr>
          <w:p w14:paraId="5542BFA7">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自愿</w:t>
            </w:r>
          </w:p>
        </w:tc>
      </w:tr>
      <w:tr w14:paraId="4284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vAlign w:val="top"/>
          </w:tcPr>
          <w:p w14:paraId="33370408">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2</w:t>
            </w:r>
          </w:p>
        </w:tc>
        <w:tc>
          <w:tcPr>
            <w:tcW w:w="3327" w:type="dxa"/>
            <w:vAlign w:val="top"/>
          </w:tcPr>
          <w:p w14:paraId="7D1B3762">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电工（初级）</w:t>
            </w:r>
          </w:p>
        </w:tc>
        <w:tc>
          <w:tcPr>
            <w:tcW w:w="3477" w:type="dxa"/>
            <w:vAlign w:val="top"/>
          </w:tcPr>
          <w:p w14:paraId="7CE59AD5">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百色市职业技能鉴定中心</w:t>
            </w:r>
          </w:p>
        </w:tc>
        <w:tc>
          <w:tcPr>
            <w:tcW w:w="1541" w:type="dxa"/>
            <w:vAlign w:val="top"/>
          </w:tcPr>
          <w:p w14:paraId="7BBBA760">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自愿</w:t>
            </w:r>
          </w:p>
        </w:tc>
      </w:tr>
      <w:tr w14:paraId="39C9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vAlign w:val="top"/>
          </w:tcPr>
          <w:p w14:paraId="644F32D8">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3</w:t>
            </w:r>
          </w:p>
        </w:tc>
        <w:tc>
          <w:tcPr>
            <w:tcW w:w="3327" w:type="dxa"/>
            <w:vAlign w:val="top"/>
          </w:tcPr>
          <w:p w14:paraId="3C735735">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汽车维修工（初级）</w:t>
            </w:r>
          </w:p>
        </w:tc>
        <w:tc>
          <w:tcPr>
            <w:tcW w:w="3477" w:type="dxa"/>
            <w:vAlign w:val="top"/>
          </w:tcPr>
          <w:p w14:paraId="786E86E7">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百色市职业技能鉴定中心</w:t>
            </w:r>
          </w:p>
        </w:tc>
        <w:tc>
          <w:tcPr>
            <w:tcW w:w="1541" w:type="dxa"/>
            <w:vAlign w:val="top"/>
          </w:tcPr>
          <w:p w14:paraId="12FF6098">
            <w:pPr>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自愿</w:t>
            </w:r>
          </w:p>
        </w:tc>
      </w:tr>
      <w:tr w14:paraId="07FDD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vAlign w:val="top"/>
          </w:tcPr>
          <w:p w14:paraId="1506B83A">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4</w:t>
            </w:r>
          </w:p>
        </w:tc>
        <w:tc>
          <w:tcPr>
            <w:tcW w:w="3327" w:type="dxa"/>
            <w:vAlign w:val="top"/>
          </w:tcPr>
          <w:p w14:paraId="1021E19A">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计算机装配员（初级）</w:t>
            </w:r>
          </w:p>
        </w:tc>
        <w:tc>
          <w:tcPr>
            <w:tcW w:w="3477" w:type="dxa"/>
            <w:vAlign w:val="top"/>
          </w:tcPr>
          <w:p w14:paraId="5F154DA4">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百色市职业技能鉴定中心</w:t>
            </w:r>
          </w:p>
        </w:tc>
        <w:tc>
          <w:tcPr>
            <w:tcW w:w="1541" w:type="dxa"/>
            <w:vAlign w:val="top"/>
          </w:tcPr>
          <w:p w14:paraId="401ACA17">
            <w:pPr>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自愿</w:t>
            </w:r>
          </w:p>
        </w:tc>
      </w:tr>
      <w:tr w14:paraId="7B487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vAlign w:val="top"/>
          </w:tcPr>
          <w:p w14:paraId="2C44502D">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5</w:t>
            </w:r>
          </w:p>
        </w:tc>
        <w:tc>
          <w:tcPr>
            <w:tcW w:w="3327" w:type="dxa"/>
            <w:vAlign w:val="top"/>
          </w:tcPr>
          <w:p w14:paraId="7EAAAF93">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办公软件应用</w:t>
            </w:r>
          </w:p>
        </w:tc>
        <w:tc>
          <w:tcPr>
            <w:tcW w:w="3477" w:type="dxa"/>
            <w:vAlign w:val="top"/>
          </w:tcPr>
          <w:p w14:paraId="29210A96">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百色市职业技能鉴定中心</w:t>
            </w:r>
          </w:p>
        </w:tc>
        <w:tc>
          <w:tcPr>
            <w:tcW w:w="1541" w:type="dxa"/>
            <w:vAlign w:val="top"/>
          </w:tcPr>
          <w:p w14:paraId="19FDF3B9">
            <w:pPr>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自愿</w:t>
            </w:r>
          </w:p>
        </w:tc>
      </w:tr>
      <w:tr w14:paraId="17C4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vAlign w:val="top"/>
          </w:tcPr>
          <w:p w14:paraId="1B453055">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6</w:t>
            </w:r>
          </w:p>
        </w:tc>
        <w:tc>
          <w:tcPr>
            <w:tcW w:w="3327" w:type="dxa"/>
            <w:vAlign w:val="top"/>
          </w:tcPr>
          <w:p w14:paraId="305D3213">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叉车</w:t>
            </w:r>
          </w:p>
        </w:tc>
        <w:tc>
          <w:tcPr>
            <w:tcW w:w="3477" w:type="dxa"/>
            <w:vAlign w:val="top"/>
          </w:tcPr>
          <w:p w14:paraId="436DF7D3">
            <w:pPr>
              <w:pStyle w:val="11"/>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田阳区市场监督管理局</w:t>
            </w:r>
          </w:p>
        </w:tc>
        <w:tc>
          <w:tcPr>
            <w:tcW w:w="1541" w:type="dxa"/>
            <w:vAlign w:val="top"/>
          </w:tcPr>
          <w:p w14:paraId="2C291768">
            <w:pPr>
              <w:spacing w:before="0" w:beforeAutospacing="0" w:after="0" w:afterAutospacing="0" w:line="360" w:lineRule="exact"/>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kern w:val="2"/>
                <w:sz w:val="24"/>
                <w:szCs w:val="24"/>
                <w:lang w:val="en-US" w:eastAsia="zh-CN" w:bidi="ar-SA"/>
              </w:rPr>
              <w:t>自愿</w:t>
            </w:r>
          </w:p>
        </w:tc>
      </w:tr>
    </w:tbl>
    <w:p w14:paraId="368DCEC4">
      <w:pPr>
        <w:pStyle w:val="3"/>
        <w:keepNext/>
        <w:keepLines/>
        <w:pageBreakBefore w:val="0"/>
        <w:widowControl w:val="0"/>
        <w:numPr>
          <w:ilvl w:val="0"/>
          <w:numId w:val="7"/>
        </w:numPr>
        <w:kinsoku/>
        <w:wordWrap/>
        <w:overflowPunct/>
        <w:topLinePunct w:val="0"/>
        <w:autoSpaceDE/>
        <w:autoSpaceDN/>
        <w:bidi w:val="0"/>
        <w:adjustRightInd/>
        <w:snapToGrid/>
        <w:spacing w:before="0" w:beforeLines="0" w:after="0" w:afterLines="0" w:line="520" w:lineRule="exact"/>
        <w:ind w:left="0" w:leftChars="0" w:firstLine="640" w:firstLineChars="200"/>
        <w:textAlignment w:val="auto"/>
        <w:rPr>
          <w:rFonts w:hint="eastAsia" w:ascii="Times New Roman" w:hAnsi="Times New Roman"/>
          <w:lang w:val="en-US" w:eastAsia="zh-CN"/>
        </w:rPr>
      </w:pPr>
      <w:bookmarkStart w:id="54" w:name="_Toc4652"/>
      <w:bookmarkStart w:id="55" w:name="_Toc12566"/>
      <w:r>
        <w:rPr>
          <w:rFonts w:hint="eastAsia" w:ascii="Times New Roman" w:hAnsi="Times New Roman"/>
          <w:lang w:val="en-US" w:eastAsia="zh-CN"/>
        </w:rPr>
        <w:t>综合素质要求</w:t>
      </w:r>
      <w:bookmarkEnd w:id="54"/>
      <w:bookmarkEnd w:id="55"/>
    </w:p>
    <w:p w14:paraId="67BEDFF9">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9"/>
        <w:rPr>
          <w:rFonts w:ascii="Times New Roman" w:hAnsi="Times New Roman"/>
          <w:color w:val="auto"/>
        </w:rPr>
      </w:pPr>
      <w:bookmarkStart w:id="56" w:name="_Toc16424"/>
      <w:bookmarkStart w:id="57" w:name="_Toc3446"/>
      <w:r>
        <w:rPr>
          <w:rFonts w:hint="eastAsia" w:ascii="Times New Roman" w:hAnsi="Times New Roman" w:eastAsia="仿宋_GB2312" w:cs="仿宋_GB2312"/>
          <w:color w:val="auto"/>
          <w:kern w:val="2"/>
          <w:sz w:val="32"/>
          <w:szCs w:val="32"/>
          <w:lang w:val="en-US" w:eastAsia="zh-CN" w:bidi="ar-SA"/>
        </w:rPr>
        <w:t>经鉴定思想品德符合要求，国家学生体质健康测试合格，掌握本专业知识和技术技能，积极参加社会实践活动，具备职业综合素质和行动能力。具备严</w:t>
      </w:r>
      <w:r>
        <w:rPr>
          <w:rFonts w:hint="eastAsia" w:ascii="Times New Roman" w:hAnsi="Times New Roman" w:eastAsia="仿宋_GB2312" w:cs="仿宋_GB2312"/>
          <w:color w:val="auto"/>
          <w:kern w:val="2"/>
          <w:sz w:val="32"/>
          <w:szCs w:val="32"/>
          <w:highlight w:val="none"/>
          <w:lang w:val="en-US" w:eastAsia="zh-CN" w:bidi="ar-SA"/>
        </w:rPr>
        <w:t>谨的</w:t>
      </w:r>
      <w:r>
        <w:rPr>
          <w:rFonts w:hint="eastAsia" w:ascii="Times New Roman" w:hAnsi="Times New Roman" w:eastAsia="仿宋_GB2312" w:cs="仿宋_GB2312"/>
          <w:color w:val="auto"/>
          <w:kern w:val="2"/>
          <w:sz w:val="32"/>
          <w:szCs w:val="32"/>
          <w:lang w:val="en-US" w:eastAsia="zh-CN" w:bidi="ar-SA"/>
        </w:rPr>
        <w:t>工作态度与强</w:t>
      </w:r>
      <w:r>
        <w:rPr>
          <w:rFonts w:hint="eastAsia" w:ascii="Times New Roman" w:hAnsi="Times New Roman" w:eastAsia="仿宋_GB2312" w:cs="仿宋_GB2312"/>
          <w:color w:val="auto"/>
          <w:kern w:val="2"/>
          <w:sz w:val="32"/>
          <w:szCs w:val="32"/>
          <w:highlight w:val="none"/>
          <w:lang w:val="en-US" w:eastAsia="zh-CN" w:bidi="ar-SA"/>
        </w:rPr>
        <w:t>烈的</w:t>
      </w:r>
      <w:r>
        <w:rPr>
          <w:rFonts w:hint="eastAsia" w:ascii="Times New Roman" w:hAnsi="Times New Roman" w:eastAsia="仿宋_GB2312" w:cs="仿宋_GB2312"/>
          <w:color w:val="auto"/>
          <w:kern w:val="2"/>
          <w:sz w:val="32"/>
          <w:szCs w:val="32"/>
          <w:lang w:val="en-US" w:eastAsia="zh-CN" w:bidi="ar-SA"/>
        </w:rPr>
        <w:t>责任意识，在电子技术实践中坚守职业道德，杜绝弄虚作假、违规操作；且拥有一定耐力和动手能力，以适应电子设备安装、调试、维修等场景中的长时间站立与精细操作；熟练掌握电路分析、电子元器件识别与检测等专业知识，能运用常用电子仪器仪表及电子设计软件，了解单片机、PLC等控制系统原理并进行简单程序编写调试；积极参与电子技术相关社会实践、企业实习和技能竞赛，培养团队协作、沟通表达与问题解决能力，具备较强学习和适应能力，树立安全第一理念，严格遵守电子实验与操作的安全规程，确保人身和设备安全，同时具备职业综合素质和行动能力。</w:t>
      </w:r>
      <w:bookmarkEnd w:id="56"/>
      <w:bookmarkEnd w:id="57"/>
    </w:p>
    <w:sectPr>
      <w:footerReference r:id="rId6" w:type="default"/>
      <w:pgSz w:w="11906" w:h="16838"/>
      <w:pgMar w:top="1417" w:right="1417" w:bottom="1417" w:left="1417"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3513BB-91CF-4220-9EDF-6F85740D4D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B2EE4201-D2D1-46A6-BB46-FE8C983B4C8A}"/>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3" w:fontKey="{9DA4190C-3A26-4445-B2E9-AA44C2880753}"/>
  </w:font>
  <w:font w:name="华文新魏">
    <w:panose1 w:val="02010800040101010101"/>
    <w:charset w:val="86"/>
    <w:family w:val="auto"/>
    <w:pitch w:val="default"/>
    <w:sig w:usb0="00000001" w:usb1="080F0000" w:usb2="00000000" w:usb3="00000000" w:csb0="00040000" w:csb1="00000000"/>
    <w:embedRegular r:id="rId4" w:fontKey="{0789D99A-3938-4861-9140-0D467AECCF05}"/>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5" w:fontKey="{4AC7C0C9-AA4D-46A8-BD6B-2033D79DCC00}"/>
  </w:font>
  <w:font w:name="Segoe UI">
    <w:panose1 w:val="020B0502040204020203"/>
    <w:charset w:val="00"/>
    <w:family w:val="auto"/>
    <w:pitch w:val="default"/>
    <w:sig w:usb0="E4002EFF" w:usb1="C000E47F" w:usb2="00000009" w:usb3="00000000" w:csb0="200001FF" w:csb1="00000000"/>
    <w:embedRegular r:id="rId6" w:fontKey="{7F2A73CF-8E8C-45BA-8A22-7882CBCF24E6}"/>
  </w:font>
  <w:font w:name="WPSEMBED1">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CD542">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E19B6C">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2E19B6C">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54221">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abstractNum w:abstractNumId="1">
    <w:nsid w:val="ED4D9A43"/>
    <w:multiLevelType w:val="singleLevel"/>
    <w:tmpl w:val="ED4D9A43"/>
    <w:lvl w:ilvl="0" w:tentative="0">
      <w:start w:val="1"/>
      <w:numFmt w:val="chineseCounting"/>
      <w:suff w:val="nothing"/>
      <w:lvlText w:val="（%1）"/>
      <w:lvlJc w:val="left"/>
      <w:pPr>
        <w:ind w:left="0" w:firstLine="420"/>
      </w:pPr>
      <w:rPr>
        <w:rFonts w:hint="eastAsia"/>
      </w:rPr>
    </w:lvl>
  </w:abstractNum>
  <w:abstractNum w:abstractNumId="2">
    <w:nsid w:val="3004D952"/>
    <w:multiLevelType w:val="singleLevel"/>
    <w:tmpl w:val="3004D952"/>
    <w:lvl w:ilvl="0" w:tentative="0">
      <w:start w:val="1"/>
      <w:numFmt w:val="chineseCounting"/>
      <w:suff w:val="nothing"/>
      <w:lvlText w:val="（%1）"/>
      <w:lvlJc w:val="left"/>
      <w:pPr>
        <w:ind w:left="0" w:firstLine="420"/>
      </w:pPr>
      <w:rPr>
        <w:rFonts w:hint="eastAsia"/>
      </w:rPr>
    </w:lvl>
  </w:abstractNum>
  <w:abstractNum w:abstractNumId="3">
    <w:nsid w:val="39084BB0"/>
    <w:multiLevelType w:val="singleLevel"/>
    <w:tmpl w:val="39084BB0"/>
    <w:lvl w:ilvl="0" w:tentative="0">
      <w:start w:val="1"/>
      <w:numFmt w:val="chineseCounting"/>
      <w:suff w:val="nothing"/>
      <w:lvlText w:val="（%1）"/>
      <w:lvlJc w:val="left"/>
      <w:pPr>
        <w:ind w:left="0" w:firstLine="420"/>
      </w:pPr>
      <w:rPr>
        <w:rFonts w:hint="eastAsia"/>
      </w:rPr>
    </w:lvl>
  </w:abstractNum>
  <w:abstractNum w:abstractNumId="4">
    <w:nsid w:val="4005274C"/>
    <w:multiLevelType w:val="singleLevel"/>
    <w:tmpl w:val="4005274C"/>
    <w:lvl w:ilvl="0" w:tentative="0">
      <w:start w:val="1"/>
      <w:numFmt w:val="chineseCounting"/>
      <w:suff w:val="nothing"/>
      <w:lvlText w:val="（%1）"/>
      <w:lvlJc w:val="left"/>
      <w:pPr>
        <w:ind w:left="640" w:firstLine="0"/>
      </w:pPr>
      <w:rPr>
        <w:rFonts w:hint="eastAsia"/>
      </w:rPr>
    </w:lvl>
  </w:abstractNum>
  <w:abstractNum w:abstractNumId="5">
    <w:nsid w:val="71A012E9"/>
    <w:multiLevelType w:val="singleLevel"/>
    <w:tmpl w:val="71A012E9"/>
    <w:lvl w:ilvl="0" w:tentative="0">
      <w:start w:val="2"/>
      <w:numFmt w:val="decimal"/>
      <w:suff w:val="nothing"/>
      <w:lvlText w:val="（%1）"/>
      <w:lvlJc w:val="left"/>
    </w:lvl>
  </w:abstractNum>
  <w:abstractNum w:abstractNumId="6">
    <w:nsid w:val="7D879B2F"/>
    <w:multiLevelType w:val="singleLevel"/>
    <w:tmpl w:val="7D879B2F"/>
    <w:lvl w:ilvl="0" w:tentative="0">
      <w:start w:val="1"/>
      <w:numFmt w:val="chineseCounting"/>
      <w:suff w:val="nothing"/>
      <w:lvlText w:val="（%1）"/>
      <w:lvlJc w:val="left"/>
      <w:rPr>
        <w:rFonts w:hint="eastAsia"/>
      </w:rPr>
    </w:lvl>
  </w:abstractNum>
  <w:num w:numId="1">
    <w:abstractNumId w:val="6"/>
  </w:num>
  <w:num w:numId="2">
    <w:abstractNumId w:val="1"/>
  </w:num>
  <w:num w:numId="3">
    <w:abstractNumId w:val="3"/>
  </w:num>
  <w:num w:numId="4">
    <w:abstractNumId w:val="0"/>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mNzFhNTE2ODA4NWNjMzY3MDUyM2Q1MGJjODVmODYifQ=="/>
    <w:docVar w:name="KSO_WPS_MARK_KEY" w:val="8c06820f-a737-44e7-aa2c-e8d8ac43a16e"/>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893D51"/>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1AC426B"/>
    <w:rsid w:val="01F40F97"/>
    <w:rsid w:val="02186CC7"/>
    <w:rsid w:val="02661E94"/>
    <w:rsid w:val="02CB7221"/>
    <w:rsid w:val="02CD5374"/>
    <w:rsid w:val="02EA787D"/>
    <w:rsid w:val="03304250"/>
    <w:rsid w:val="03A07894"/>
    <w:rsid w:val="04770389"/>
    <w:rsid w:val="048C3708"/>
    <w:rsid w:val="04BC3FEE"/>
    <w:rsid w:val="04C76659"/>
    <w:rsid w:val="050A0AE5"/>
    <w:rsid w:val="051223C4"/>
    <w:rsid w:val="062E0F1B"/>
    <w:rsid w:val="06471FDD"/>
    <w:rsid w:val="06AB4C7D"/>
    <w:rsid w:val="06C90C44"/>
    <w:rsid w:val="070954E4"/>
    <w:rsid w:val="07322345"/>
    <w:rsid w:val="080F0FC6"/>
    <w:rsid w:val="082F2519"/>
    <w:rsid w:val="084C7436"/>
    <w:rsid w:val="08844E22"/>
    <w:rsid w:val="088633FE"/>
    <w:rsid w:val="08DA7138"/>
    <w:rsid w:val="08F70DAF"/>
    <w:rsid w:val="09075A53"/>
    <w:rsid w:val="092308C2"/>
    <w:rsid w:val="094809E2"/>
    <w:rsid w:val="094D790A"/>
    <w:rsid w:val="095347F5"/>
    <w:rsid w:val="096C2E11"/>
    <w:rsid w:val="09CB082F"/>
    <w:rsid w:val="09D45935"/>
    <w:rsid w:val="09DC540C"/>
    <w:rsid w:val="0A1E4E03"/>
    <w:rsid w:val="0A634F0B"/>
    <w:rsid w:val="0AC91212"/>
    <w:rsid w:val="0AFF69E2"/>
    <w:rsid w:val="0B64718D"/>
    <w:rsid w:val="0B9E269F"/>
    <w:rsid w:val="0BB93035"/>
    <w:rsid w:val="0C0A3BA0"/>
    <w:rsid w:val="0C204ACC"/>
    <w:rsid w:val="0CDD0AEF"/>
    <w:rsid w:val="0CE642FD"/>
    <w:rsid w:val="0D3000CB"/>
    <w:rsid w:val="0DC335B0"/>
    <w:rsid w:val="0DE924A0"/>
    <w:rsid w:val="0DEE5FBD"/>
    <w:rsid w:val="0E2350DD"/>
    <w:rsid w:val="0E5E6115"/>
    <w:rsid w:val="0E63197E"/>
    <w:rsid w:val="0EAC597F"/>
    <w:rsid w:val="0EB70D90"/>
    <w:rsid w:val="0ED4462A"/>
    <w:rsid w:val="0EF91020"/>
    <w:rsid w:val="0F386966"/>
    <w:rsid w:val="0F694D72"/>
    <w:rsid w:val="0FA47B58"/>
    <w:rsid w:val="0FA67D74"/>
    <w:rsid w:val="0FD20B69"/>
    <w:rsid w:val="0FE4089C"/>
    <w:rsid w:val="10093E5F"/>
    <w:rsid w:val="10152804"/>
    <w:rsid w:val="10234F21"/>
    <w:rsid w:val="10914580"/>
    <w:rsid w:val="10A047C3"/>
    <w:rsid w:val="10EE36A0"/>
    <w:rsid w:val="116752E1"/>
    <w:rsid w:val="118529E0"/>
    <w:rsid w:val="11A309FB"/>
    <w:rsid w:val="12485112"/>
    <w:rsid w:val="127F665A"/>
    <w:rsid w:val="12DC3AAD"/>
    <w:rsid w:val="12F708E7"/>
    <w:rsid w:val="13203999"/>
    <w:rsid w:val="13394A2B"/>
    <w:rsid w:val="135C5E82"/>
    <w:rsid w:val="139B5716"/>
    <w:rsid w:val="13A035A3"/>
    <w:rsid w:val="13DA4490"/>
    <w:rsid w:val="13F454F6"/>
    <w:rsid w:val="14A800EA"/>
    <w:rsid w:val="15001CD4"/>
    <w:rsid w:val="150317C5"/>
    <w:rsid w:val="150642F6"/>
    <w:rsid w:val="150D3FFC"/>
    <w:rsid w:val="15202377"/>
    <w:rsid w:val="15542020"/>
    <w:rsid w:val="15644F99"/>
    <w:rsid w:val="165F0C7D"/>
    <w:rsid w:val="1699418F"/>
    <w:rsid w:val="16995FBA"/>
    <w:rsid w:val="16A42B33"/>
    <w:rsid w:val="16DC051F"/>
    <w:rsid w:val="170B4961"/>
    <w:rsid w:val="1740285C"/>
    <w:rsid w:val="1749510D"/>
    <w:rsid w:val="1796247C"/>
    <w:rsid w:val="18CB084B"/>
    <w:rsid w:val="19481E9C"/>
    <w:rsid w:val="19AF3CC9"/>
    <w:rsid w:val="1A9D1D74"/>
    <w:rsid w:val="1AE45BF4"/>
    <w:rsid w:val="1BAE7956"/>
    <w:rsid w:val="1BCC19A4"/>
    <w:rsid w:val="1BF93A5C"/>
    <w:rsid w:val="1BFB31F6"/>
    <w:rsid w:val="1C195138"/>
    <w:rsid w:val="1C27223D"/>
    <w:rsid w:val="1C506C42"/>
    <w:rsid w:val="1C6F14EE"/>
    <w:rsid w:val="1CB25FAA"/>
    <w:rsid w:val="1D0377EB"/>
    <w:rsid w:val="1D24677C"/>
    <w:rsid w:val="1D5C3464"/>
    <w:rsid w:val="1DD51824"/>
    <w:rsid w:val="1E4B3DFE"/>
    <w:rsid w:val="1E91399D"/>
    <w:rsid w:val="1EA77665"/>
    <w:rsid w:val="1ECC6B87"/>
    <w:rsid w:val="1F3A7811"/>
    <w:rsid w:val="1F5350F7"/>
    <w:rsid w:val="1F980D5B"/>
    <w:rsid w:val="1FB17C46"/>
    <w:rsid w:val="1FB21E1D"/>
    <w:rsid w:val="1FBC2C9C"/>
    <w:rsid w:val="1FBF3101"/>
    <w:rsid w:val="207417C9"/>
    <w:rsid w:val="20AA343C"/>
    <w:rsid w:val="20BE4D41"/>
    <w:rsid w:val="20E56222"/>
    <w:rsid w:val="20F876B3"/>
    <w:rsid w:val="210E0F0E"/>
    <w:rsid w:val="2170143C"/>
    <w:rsid w:val="21714C5E"/>
    <w:rsid w:val="21DE15EF"/>
    <w:rsid w:val="21EA757A"/>
    <w:rsid w:val="21EB3D26"/>
    <w:rsid w:val="22123047"/>
    <w:rsid w:val="22132D7D"/>
    <w:rsid w:val="223461B5"/>
    <w:rsid w:val="22967FAA"/>
    <w:rsid w:val="22A00653"/>
    <w:rsid w:val="22D84291"/>
    <w:rsid w:val="2338088B"/>
    <w:rsid w:val="236773C3"/>
    <w:rsid w:val="237D0994"/>
    <w:rsid w:val="23954DD6"/>
    <w:rsid w:val="23D42CAA"/>
    <w:rsid w:val="249D12EE"/>
    <w:rsid w:val="24C21785"/>
    <w:rsid w:val="24E76143"/>
    <w:rsid w:val="24F353B2"/>
    <w:rsid w:val="2626435E"/>
    <w:rsid w:val="265C243D"/>
    <w:rsid w:val="267A11BB"/>
    <w:rsid w:val="27075144"/>
    <w:rsid w:val="27441EF5"/>
    <w:rsid w:val="275A1F23"/>
    <w:rsid w:val="27623729"/>
    <w:rsid w:val="27AE3812"/>
    <w:rsid w:val="27F5401D"/>
    <w:rsid w:val="28557849"/>
    <w:rsid w:val="285A12A4"/>
    <w:rsid w:val="289A5B44"/>
    <w:rsid w:val="28BD30CD"/>
    <w:rsid w:val="296E1A2F"/>
    <w:rsid w:val="29B449E4"/>
    <w:rsid w:val="29C200CD"/>
    <w:rsid w:val="29C72B81"/>
    <w:rsid w:val="29F55728"/>
    <w:rsid w:val="2A990DAC"/>
    <w:rsid w:val="2B0F281A"/>
    <w:rsid w:val="2B8D373E"/>
    <w:rsid w:val="2BF11F1F"/>
    <w:rsid w:val="2C1A1BF8"/>
    <w:rsid w:val="2C32516C"/>
    <w:rsid w:val="2C802418"/>
    <w:rsid w:val="2C9670FC"/>
    <w:rsid w:val="2CB341C7"/>
    <w:rsid w:val="2CC66F08"/>
    <w:rsid w:val="2CEB2E12"/>
    <w:rsid w:val="2D5704A8"/>
    <w:rsid w:val="2D8165B1"/>
    <w:rsid w:val="2D964B2C"/>
    <w:rsid w:val="2DAC4350"/>
    <w:rsid w:val="2DB616C6"/>
    <w:rsid w:val="2DE47F8D"/>
    <w:rsid w:val="2E8D60F4"/>
    <w:rsid w:val="2F083808"/>
    <w:rsid w:val="2F34284F"/>
    <w:rsid w:val="2F436F36"/>
    <w:rsid w:val="2F6043DD"/>
    <w:rsid w:val="2F7A2E0A"/>
    <w:rsid w:val="2F8D1F5F"/>
    <w:rsid w:val="2FA96B3D"/>
    <w:rsid w:val="2FD933F6"/>
    <w:rsid w:val="30005D3D"/>
    <w:rsid w:val="30842CBA"/>
    <w:rsid w:val="3098224F"/>
    <w:rsid w:val="30A6152A"/>
    <w:rsid w:val="30A77050"/>
    <w:rsid w:val="30DC27D6"/>
    <w:rsid w:val="3115220C"/>
    <w:rsid w:val="31342FDA"/>
    <w:rsid w:val="318A49A8"/>
    <w:rsid w:val="31A83FF1"/>
    <w:rsid w:val="31AA329C"/>
    <w:rsid w:val="31D2634F"/>
    <w:rsid w:val="321D581C"/>
    <w:rsid w:val="32F32A21"/>
    <w:rsid w:val="32F92E4C"/>
    <w:rsid w:val="32FA3DAF"/>
    <w:rsid w:val="33260700"/>
    <w:rsid w:val="33266952"/>
    <w:rsid w:val="33AE06F6"/>
    <w:rsid w:val="33B0158D"/>
    <w:rsid w:val="33B93C14"/>
    <w:rsid w:val="348B3F97"/>
    <w:rsid w:val="34A91DAD"/>
    <w:rsid w:val="34B65AB4"/>
    <w:rsid w:val="34C46423"/>
    <w:rsid w:val="34EA50C0"/>
    <w:rsid w:val="357449D1"/>
    <w:rsid w:val="35926521"/>
    <w:rsid w:val="35E93C67"/>
    <w:rsid w:val="364315C9"/>
    <w:rsid w:val="36657792"/>
    <w:rsid w:val="370E7E29"/>
    <w:rsid w:val="373322C2"/>
    <w:rsid w:val="376B0DD8"/>
    <w:rsid w:val="3770165B"/>
    <w:rsid w:val="37960DB8"/>
    <w:rsid w:val="37AD2573"/>
    <w:rsid w:val="37AE78F3"/>
    <w:rsid w:val="37BC30A3"/>
    <w:rsid w:val="381153F4"/>
    <w:rsid w:val="381D6B60"/>
    <w:rsid w:val="38481119"/>
    <w:rsid w:val="38877EE4"/>
    <w:rsid w:val="38C22C79"/>
    <w:rsid w:val="38C75A58"/>
    <w:rsid w:val="38D618E3"/>
    <w:rsid w:val="39372651"/>
    <w:rsid w:val="39A700C1"/>
    <w:rsid w:val="3A0536C2"/>
    <w:rsid w:val="3A451367"/>
    <w:rsid w:val="3A60099C"/>
    <w:rsid w:val="3A7A7584"/>
    <w:rsid w:val="3A7E7074"/>
    <w:rsid w:val="3AEA4709"/>
    <w:rsid w:val="3B20312D"/>
    <w:rsid w:val="3B4007CD"/>
    <w:rsid w:val="3B495F38"/>
    <w:rsid w:val="3C17152E"/>
    <w:rsid w:val="3CB054DB"/>
    <w:rsid w:val="3CB44ED7"/>
    <w:rsid w:val="3CB934A5"/>
    <w:rsid w:val="3D0047E4"/>
    <w:rsid w:val="3D736FF5"/>
    <w:rsid w:val="3D766728"/>
    <w:rsid w:val="3D9F7A2D"/>
    <w:rsid w:val="3E4D7489"/>
    <w:rsid w:val="3E725142"/>
    <w:rsid w:val="3EB92D70"/>
    <w:rsid w:val="3F1311B1"/>
    <w:rsid w:val="3F5B074C"/>
    <w:rsid w:val="3F6A4DBB"/>
    <w:rsid w:val="3F785DC7"/>
    <w:rsid w:val="3FF86C17"/>
    <w:rsid w:val="3FFC1167"/>
    <w:rsid w:val="40077B0C"/>
    <w:rsid w:val="404B4F68"/>
    <w:rsid w:val="404B5C4A"/>
    <w:rsid w:val="40664832"/>
    <w:rsid w:val="4084115C"/>
    <w:rsid w:val="4099592E"/>
    <w:rsid w:val="40B53BBC"/>
    <w:rsid w:val="40B557B9"/>
    <w:rsid w:val="40C8470D"/>
    <w:rsid w:val="41123B66"/>
    <w:rsid w:val="413D6362"/>
    <w:rsid w:val="41540B2E"/>
    <w:rsid w:val="415648A7"/>
    <w:rsid w:val="41727207"/>
    <w:rsid w:val="41A42FA1"/>
    <w:rsid w:val="41BB6E00"/>
    <w:rsid w:val="41CF62FB"/>
    <w:rsid w:val="41DE5079"/>
    <w:rsid w:val="422A57D8"/>
    <w:rsid w:val="42817701"/>
    <w:rsid w:val="428611BC"/>
    <w:rsid w:val="42B86E9B"/>
    <w:rsid w:val="42CB3841"/>
    <w:rsid w:val="43105F3B"/>
    <w:rsid w:val="436463B1"/>
    <w:rsid w:val="43713C1A"/>
    <w:rsid w:val="43792ACE"/>
    <w:rsid w:val="43A538C3"/>
    <w:rsid w:val="43C755E8"/>
    <w:rsid w:val="442E5667"/>
    <w:rsid w:val="44380293"/>
    <w:rsid w:val="44592B80"/>
    <w:rsid w:val="44780FE9"/>
    <w:rsid w:val="447D65EE"/>
    <w:rsid w:val="44A43B7B"/>
    <w:rsid w:val="44B71B00"/>
    <w:rsid w:val="44B862E9"/>
    <w:rsid w:val="455530C7"/>
    <w:rsid w:val="4602706C"/>
    <w:rsid w:val="46733805"/>
    <w:rsid w:val="46B856BC"/>
    <w:rsid w:val="46EE10DD"/>
    <w:rsid w:val="46F661E4"/>
    <w:rsid w:val="47103740"/>
    <w:rsid w:val="471C3E9C"/>
    <w:rsid w:val="47471001"/>
    <w:rsid w:val="4803505C"/>
    <w:rsid w:val="480603B7"/>
    <w:rsid w:val="480A0199"/>
    <w:rsid w:val="48A57EC2"/>
    <w:rsid w:val="48AE4FC8"/>
    <w:rsid w:val="48BA396D"/>
    <w:rsid w:val="48BD16AF"/>
    <w:rsid w:val="48DF1625"/>
    <w:rsid w:val="48E003F1"/>
    <w:rsid w:val="48E56510"/>
    <w:rsid w:val="49395702"/>
    <w:rsid w:val="49843F7B"/>
    <w:rsid w:val="49A63EF1"/>
    <w:rsid w:val="4A3414FD"/>
    <w:rsid w:val="4A3C6604"/>
    <w:rsid w:val="4AA20B5D"/>
    <w:rsid w:val="4AD8632C"/>
    <w:rsid w:val="4AF15640"/>
    <w:rsid w:val="4AFA62A3"/>
    <w:rsid w:val="4B2A6E5D"/>
    <w:rsid w:val="4B726781"/>
    <w:rsid w:val="4C0272E2"/>
    <w:rsid w:val="4C0C0983"/>
    <w:rsid w:val="4C0F3FD0"/>
    <w:rsid w:val="4C1149B8"/>
    <w:rsid w:val="4C6065D9"/>
    <w:rsid w:val="4C675BBA"/>
    <w:rsid w:val="4CC51DB3"/>
    <w:rsid w:val="4D135D42"/>
    <w:rsid w:val="4D1473C4"/>
    <w:rsid w:val="4DD00F2A"/>
    <w:rsid w:val="4E2B6CE1"/>
    <w:rsid w:val="4E514358"/>
    <w:rsid w:val="4E5C7274"/>
    <w:rsid w:val="4F585C8E"/>
    <w:rsid w:val="4F6B3C13"/>
    <w:rsid w:val="4F7D56F4"/>
    <w:rsid w:val="4FC15FFB"/>
    <w:rsid w:val="509C4C8B"/>
    <w:rsid w:val="50B47713"/>
    <w:rsid w:val="5135219E"/>
    <w:rsid w:val="51C30881"/>
    <w:rsid w:val="51D535C6"/>
    <w:rsid w:val="51FE1E87"/>
    <w:rsid w:val="522105B9"/>
    <w:rsid w:val="5259656B"/>
    <w:rsid w:val="531900CC"/>
    <w:rsid w:val="531C6FD2"/>
    <w:rsid w:val="535B634F"/>
    <w:rsid w:val="53807561"/>
    <w:rsid w:val="53954906"/>
    <w:rsid w:val="53C71634"/>
    <w:rsid w:val="542919A7"/>
    <w:rsid w:val="549D389E"/>
    <w:rsid w:val="55237AED"/>
    <w:rsid w:val="552421F1"/>
    <w:rsid w:val="557C1073"/>
    <w:rsid w:val="559C093B"/>
    <w:rsid w:val="55B73B15"/>
    <w:rsid w:val="55BA1FDD"/>
    <w:rsid w:val="55D87B28"/>
    <w:rsid w:val="563613B4"/>
    <w:rsid w:val="56397652"/>
    <w:rsid w:val="565C2507"/>
    <w:rsid w:val="566118CC"/>
    <w:rsid w:val="56A23A63"/>
    <w:rsid w:val="56F95FA8"/>
    <w:rsid w:val="572D5C52"/>
    <w:rsid w:val="57651A91"/>
    <w:rsid w:val="57ED00EC"/>
    <w:rsid w:val="58337298"/>
    <w:rsid w:val="58680DC2"/>
    <w:rsid w:val="588673C8"/>
    <w:rsid w:val="58E02A3F"/>
    <w:rsid w:val="5900361E"/>
    <w:rsid w:val="592F7A5F"/>
    <w:rsid w:val="59345076"/>
    <w:rsid w:val="59575208"/>
    <w:rsid w:val="595C12A3"/>
    <w:rsid w:val="5996188C"/>
    <w:rsid w:val="599975CF"/>
    <w:rsid w:val="59C77C98"/>
    <w:rsid w:val="59DE1485"/>
    <w:rsid w:val="5A9F0C15"/>
    <w:rsid w:val="5AA24261"/>
    <w:rsid w:val="5AD36B10"/>
    <w:rsid w:val="5AE64A95"/>
    <w:rsid w:val="5B137EF8"/>
    <w:rsid w:val="5B1F1DFE"/>
    <w:rsid w:val="5B322D65"/>
    <w:rsid w:val="5BBC75A4"/>
    <w:rsid w:val="5BCB1B66"/>
    <w:rsid w:val="5BCB57AD"/>
    <w:rsid w:val="5BCC4E68"/>
    <w:rsid w:val="5C0E6052"/>
    <w:rsid w:val="5C38700F"/>
    <w:rsid w:val="5C4E644E"/>
    <w:rsid w:val="5C606182"/>
    <w:rsid w:val="5C8C341B"/>
    <w:rsid w:val="5C9B365E"/>
    <w:rsid w:val="5CD1707F"/>
    <w:rsid w:val="5CF36B2D"/>
    <w:rsid w:val="5CF52D6E"/>
    <w:rsid w:val="5D01298C"/>
    <w:rsid w:val="5D206DB4"/>
    <w:rsid w:val="5D292A17"/>
    <w:rsid w:val="5E043D85"/>
    <w:rsid w:val="5E510503"/>
    <w:rsid w:val="5E7540E3"/>
    <w:rsid w:val="5E8B1BDC"/>
    <w:rsid w:val="5E93283E"/>
    <w:rsid w:val="5E93321A"/>
    <w:rsid w:val="5E9B7945"/>
    <w:rsid w:val="5EBD5B0D"/>
    <w:rsid w:val="5F07293D"/>
    <w:rsid w:val="5F1B4F3C"/>
    <w:rsid w:val="5F2B6F1B"/>
    <w:rsid w:val="5F335DCF"/>
    <w:rsid w:val="5F475456"/>
    <w:rsid w:val="5F4C0C3F"/>
    <w:rsid w:val="5FC03922"/>
    <w:rsid w:val="5FC058B5"/>
    <w:rsid w:val="5FE1582B"/>
    <w:rsid w:val="5FF23595"/>
    <w:rsid w:val="5FF437B1"/>
    <w:rsid w:val="601C4AB5"/>
    <w:rsid w:val="604121ED"/>
    <w:rsid w:val="604765C1"/>
    <w:rsid w:val="606D163F"/>
    <w:rsid w:val="608D150F"/>
    <w:rsid w:val="611D2893"/>
    <w:rsid w:val="613D1187"/>
    <w:rsid w:val="614442C4"/>
    <w:rsid w:val="61517505"/>
    <w:rsid w:val="61750921"/>
    <w:rsid w:val="617A5F38"/>
    <w:rsid w:val="61926DDD"/>
    <w:rsid w:val="61970898"/>
    <w:rsid w:val="61F02F3B"/>
    <w:rsid w:val="62386256"/>
    <w:rsid w:val="62D11B87"/>
    <w:rsid w:val="62D71F94"/>
    <w:rsid w:val="62E80EC0"/>
    <w:rsid w:val="631D301E"/>
    <w:rsid w:val="631F49AF"/>
    <w:rsid w:val="632717A7"/>
    <w:rsid w:val="6384309D"/>
    <w:rsid w:val="638D0589"/>
    <w:rsid w:val="63CE39A4"/>
    <w:rsid w:val="63D27965"/>
    <w:rsid w:val="64025D70"/>
    <w:rsid w:val="643017E4"/>
    <w:rsid w:val="644840CB"/>
    <w:rsid w:val="64966BE4"/>
    <w:rsid w:val="649B73F5"/>
    <w:rsid w:val="64C03C61"/>
    <w:rsid w:val="65165F77"/>
    <w:rsid w:val="657C5702"/>
    <w:rsid w:val="65FE0EE5"/>
    <w:rsid w:val="663F14FE"/>
    <w:rsid w:val="664663E8"/>
    <w:rsid w:val="66707909"/>
    <w:rsid w:val="66B141AA"/>
    <w:rsid w:val="67470A9D"/>
    <w:rsid w:val="6773145F"/>
    <w:rsid w:val="67B90B06"/>
    <w:rsid w:val="67FA56DC"/>
    <w:rsid w:val="681A3FD0"/>
    <w:rsid w:val="6888718C"/>
    <w:rsid w:val="68A1498D"/>
    <w:rsid w:val="68B25FB7"/>
    <w:rsid w:val="68B67AA5"/>
    <w:rsid w:val="68E511DC"/>
    <w:rsid w:val="690A0311"/>
    <w:rsid w:val="69164798"/>
    <w:rsid w:val="69313380"/>
    <w:rsid w:val="69D837FB"/>
    <w:rsid w:val="69E228CC"/>
    <w:rsid w:val="69E95A08"/>
    <w:rsid w:val="6A246A40"/>
    <w:rsid w:val="6A9C6F1F"/>
    <w:rsid w:val="6ABA1153"/>
    <w:rsid w:val="6ABE1F86"/>
    <w:rsid w:val="6AF44665"/>
    <w:rsid w:val="6BDB75D3"/>
    <w:rsid w:val="6BF80185"/>
    <w:rsid w:val="6C2B055A"/>
    <w:rsid w:val="6C423AF6"/>
    <w:rsid w:val="6C8A72E3"/>
    <w:rsid w:val="6C923EBF"/>
    <w:rsid w:val="6D1D49F8"/>
    <w:rsid w:val="6D8F2D6B"/>
    <w:rsid w:val="6DDB1C27"/>
    <w:rsid w:val="6E0C43BB"/>
    <w:rsid w:val="6E1F32D0"/>
    <w:rsid w:val="6E3C451B"/>
    <w:rsid w:val="6EF07839"/>
    <w:rsid w:val="6F2F65B3"/>
    <w:rsid w:val="6F5D13D9"/>
    <w:rsid w:val="6F5E29F5"/>
    <w:rsid w:val="6FC4358D"/>
    <w:rsid w:val="6FF128C8"/>
    <w:rsid w:val="6FF60E7F"/>
    <w:rsid w:val="70067D96"/>
    <w:rsid w:val="713C6D66"/>
    <w:rsid w:val="71663DE2"/>
    <w:rsid w:val="71C90312"/>
    <w:rsid w:val="71CC37A2"/>
    <w:rsid w:val="71D36D7A"/>
    <w:rsid w:val="71DD2CB4"/>
    <w:rsid w:val="72011973"/>
    <w:rsid w:val="72563E57"/>
    <w:rsid w:val="727D7636"/>
    <w:rsid w:val="72AD5AFD"/>
    <w:rsid w:val="72C653BD"/>
    <w:rsid w:val="72DA6836"/>
    <w:rsid w:val="72F21DD2"/>
    <w:rsid w:val="72FF629D"/>
    <w:rsid w:val="730022F6"/>
    <w:rsid w:val="732301DD"/>
    <w:rsid w:val="732950C8"/>
    <w:rsid w:val="735E76C4"/>
    <w:rsid w:val="73C60B68"/>
    <w:rsid w:val="73F425FD"/>
    <w:rsid w:val="73FD2CDB"/>
    <w:rsid w:val="74024296"/>
    <w:rsid w:val="74185868"/>
    <w:rsid w:val="742510D0"/>
    <w:rsid w:val="74257F85"/>
    <w:rsid w:val="744F0B5E"/>
    <w:rsid w:val="749A44CF"/>
    <w:rsid w:val="74F55BA9"/>
    <w:rsid w:val="74F6722B"/>
    <w:rsid w:val="75121B9E"/>
    <w:rsid w:val="751A53DD"/>
    <w:rsid w:val="75504B8E"/>
    <w:rsid w:val="759529EA"/>
    <w:rsid w:val="75B24FD8"/>
    <w:rsid w:val="75FB0444"/>
    <w:rsid w:val="76191423"/>
    <w:rsid w:val="76326989"/>
    <w:rsid w:val="76562678"/>
    <w:rsid w:val="7718792D"/>
    <w:rsid w:val="77914B91"/>
    <w:rsid w:val="77D965A0"/>
    <w:rsid w:val="77FC484A"/>
    <w:rsid w:val="77FF158B"/>
    <w:rsid w:val="782C5979"/>
    <w:rsid w:val="7847671C"/>
    <w:rsid w:val="785770D7"/>
    <w:rsid w:val="789254BD"/>
    <w:rsid w:val="78C22FF5"/>
    <w:rsid w:val="79002D6F"/>
    <w:rsid w:val="791660EE"/>
    <w:rsid w:val="79751DE3"/>
    <w:rsid w:val="798A1C57"/>
    <w:rsid w:val="7A1E674C"/>
    <w:rsid w:val="7ABA2152"/>
    <w:rsid w:val="7B2A52BD"/>
    <w:rsid w:val="7B821819"/>
    <w:rsid w:val="7BAC4AE8"/>
    <w:rsid w:val="7C0B570A"/>
    <w:rsid w:val="7C9C690A"/>
    <w:rsid w:val="7CF1528F"/>
    <w:rsid w:val="7D1172F8"/>
    <w:rsid w:val="7D631CCF"/>
    <w:rsid w:val="7D7B6E68"/>
    <w:rsid w:val="7DA243F4"/>
    <w:rsid w:val="7DAC0DCF"/>
    <w:rsid w:val="7E372159"/>
    <w:rsid w:val="7EAF501B"/>
    <w:rsid w:val="7EBA36EC"/>
    <w:rsid w:val="7F080287"/>
    <w:rsid w:val="7F1255AA"/>
    <w:rsid w:val="7F491DA9"/>
    <w:rsid w:val="7F925814"/>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ind w:leftChars="300"/>
      <w:outlineLvl w:val="0"/>
    </w:pPr>
    <w:rPr>
      <w:rFonts w:ascii="Times New Roman" w:hAnsi="Times New Roman" w:eastAsia="黑体"/>
      <w:b/>
      <w:kern w:val="44"/>
      <w:sz w:val="32"/>
    </w:rPr>
  </w:style>
  <w:style w:type="paragraph" w:styleId="3">
    <w:name w:val="heading 2"/>
    <w:basedOn w:val="1"/>
    <w:next w:val="1"/>
    <w:unhideWhenUsed/>
    <w:qFormat/>
    <w:uiPriority w:val="0"/>
    <w:pPr>
      <w:keepNext/>
      <w:keepLines/>
      <w:spacing w:before="20" w:beforeLines="0" w:beforeAutospacing="0" w:after="20" w:afterLines="0" w:afterAutospacing="0" w:line="413" w:lineRule="auto"/>
      <w:ind w:leftChars="300"/>
      <w:outlineLvl w:val="1"/>
    </w:pPr>
    <w:rPr>
      <w:rFonts w:ascii="Arial" w:hAnsi="Arial" w:eastAsia="楷体"/>
      <w:sz w:val="32"/>
    </w:rPr>
  </w:style>
  <w:style w:type="paragraph" w:styleId="4">
    <w:name w:val="heading 3"/>
    <w:basedOn w:val="1"/>
    <w:next w:val="1"/>
    <w:qFormat/>
    <w:uiPriority w:val="9"/>
    <w:pPr>
      <w:keepNext/>
      <w:keepLines/>
      <w:spacing w:before="40"/>
      <w:outlineLvl w:val="2"/>
    </w:pPr>
    <w:rPr>
      <w:rFonts w:ascii="Calibri Light" w:hAnsi="Calibri Light"/>
      <w:color w:val="0D0D0D"/>
      <w:sz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宋体" w:hAnsi="宋体" w:cs="宋体"/>
      <w:szCs w:val="21"/>
      <w:lang w:eastAsia="en-US"/>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rPr>
      <w:rFonts w:ascii="Times New Roman" w:hAnsi="Times New Roman" w:eastAsia="黑体"/>
      <w:sz w:val="32"/>
    </w:rPr>
  </w:style>
  <w:style w:type="paragraph" w:styleId="10">
    <w:name w:val="toc 2"/>
    <w:basedOn w:val="1"/>
    <w:next w:val="1"/>
    <w:qFormat/>
    <w:uiPriority w:val="0"/>
    <w:pPr>
      <w:ind w:left="420" w:leftChars="200"/>
    </w:pPr>
    <w:rPr>
      <w:rFonts w:ascii="Times New Roman" w:hAnsi="Times New Roman" w:eastAsia="楷体"/>
      <w:sz w:val="32"/>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paragraph" w:customStyle="1" w:styleId="16">
    <w:name w:val="Table Text"/>
    <w:basedOn w:val="1"/>
    <w:semiHidden/>
    <w:qFormat/>
    <w:uiPriority w:val="0"/>
    <w:rPr>
      <w:rFonts w:ascii="宋体" w:hAnsi="宋体" w:cs="宋体"/>
      <w:sz w:val="18"/>
      <w:szCs w:val="18"/>
      <w:lang w:eastAsia="en-US"/>
    </w:rPr>
  </w:style>
  <w:style w:type="table" w:customStyle="1" w:styleId="17">
    <w:name w:val="Table Normal"/>
    <w:semiHidden/>
    <w:unhideWhenUsed/>
    <w:qFormat/>
    <w:uiPriority w:val="0"/>
    <w:tblPr>
      <w:tblCellMar>
        <w:top w:w="0" w:type="dxa"/>
        <w:left w:w="0" w:type="dxa"/>
        <w:bottom w:w="0" w:type="dxa"/>
        <w:right w:w="0" w:type="dxa"/>
      </w:tblCellMar>
    </w:tblPr>
  </w:style>
  <w:style w:type="character" w:customStyle="1" w:styleId="18">
    <w:name w:val="font131"/>
    <w:basedOn w:val="14"/>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20640</Words>
  <Characters>20780</Characters>
  <Lines>1850</Lines>
  <Paragraphs>1270</Paragraphs>
  <TotalTime>6</TotalTime>
  <ScaleCrop>false</ScaleCrop>
  <LinksUpToDate>false</LinksUpToDate>
  <CharactersWithSpaces>21093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晚</cp:lastModifiedBy>
  <cp:lastPrinted>2024-09-18T02:55:00Z</cp:lastPrinted>
  <dcterms:modified xsi:type="dcterms:W3CDTF">2026-03-20T07:16:39Z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EC5675AB1210499BB7E0900A19B5BF86_13</vt:lpwstr>
  </property>
  <property fmtid="{D5CDD505-2E9C-101B-9397-08002B2CF9AE}" pid="4" name="KSOTemplateDocerSaveRecord">
    <vt:lpwstr>eyJoZGlkIjoiMWM2MmU0NTc4MjE4OGQyY2ZlOTQ3NTNiZTc4MmQ4NmEiLCJ1c2VySWQiOiIyNDU5MDMyNDUifQ==</vt:lpwstr>
  </property>
</Properties>
</file>