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671BA">
      <w:pPr>
        <w:overflowPunct w:val="0"/>
        <w:adjustRightInd w:val="0"/>
        <w:snapToGrid w:val="0"/>
        <w:jc w:val="both"/>
        <w:rPr>
          <w:rFonts w:ascii="Times New Roman" w:hAnsi="Times New Roman" w:eastAsia="宋体" w:cs="宋体"/>
          <w:sz w:val="24"/>
          <w:szCs w:val="24"/>
        </w:rPr>
      </w:pPr>
      <w:r>
        <w:rPr>
          <w:rFonts w:ascii="Times New Roman" w:hAnsi="Times New Roman"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684520" cy="1270635"/>
                    </a:xfrm>
                    <a:prstGeom prst="rect">
                      <a:avLst/>
                    </a:prstGeom>
                    <a:noFill/>
                    <a:ln>
                      <a:noFill/>
                    </a:ln>
                  </pic:spPr>
                </pic:pic>
              </a:graphicData>
            </a:graphic>
          </wp:anchor>
        </w:drawing>
      </w:r>
    </w:p>
    <w:p w14:paraId="2A048F96">
      <w:pPr>
        <w:overflowPunct w:val="0"/>
        <w:adjustRightInd w:val="0"/>
        <w:snapToGrid w:val="0"/>
        <w:jc w:val="both"/>
        <w:rPr>
          <w:rFonts w:hint="eastAsia" w:ascii="Times New Roman" w:hAnsi="Times New Roman" w:eastAsia="宋体" w:cs="宋体"/>
          <w:sz w:val="24"/>
          <w:szCs w:val="24"/>
        </w:rPr>
      </w:pPr>
    </w:p>
    <w:p w14:paraId="5FE9469A">
      <w:pPr>
        <w:overflowPunct w:val="0"/>
        <w:adjustRightInd w:val="0"/>
        <w:snapToGrid w:val="0"/>
        <w:jc w:val="center"/>
        <w:rPr>
          <w:rFonts w:hint="eastAsia" w:ascii="Times New Roman" w:hAnsi="Times New Roman" w:eastAsia="仿宋"/>
          <w:color w:val="auto"/>
          <w:szCs w:val="32"/>
        </w:rPr>
      </w:pPr>
    </w:p>
    <w:p w14:paraId="07637B2C">
      <w:pPr>
        <w:overflowPunct w:val="0"/>
        <w:adjustRightInd w:val="0"/>
        <w:snapToGrid w:val="0"/>
        <w:jc w:val="center"/>
        <w:rPr>
          <w:rFonts w:hint="eastAsia" w:ascii="Times New Roman" w:hAnsi="Times New Roman" w:eastAsia="仿宋"/>
          <w:color w:val="auto"/>
          <w:szCs w:val="32"/>
        </w:rPr>
      </w:pPr>
    </w:p>
    <w:p w14:paraId="27823645">
      <w:pPr>
        <w:overflowPunct w:val="0"/>
        <w:adjustRightInd w:val="0"/>
        <w:snapToGrid w:val="0"/>
        <w:jc w:val="center"/>
        <w:rPr>
          <w:rFonts w:hint="eastAsia" w:ascii="Times New Roman" w:hAnsi="Times New Roman" w:eastAsia="仿宋"/>
          <w:color w:val="auto"/>
          <w:szCs w:val="32"/>
        </w:rPr>
      </w:pPr>
    </w:p>
    <w:p w14:paraId="3179F53D">
      <w:pPr>
        <w:overflowPunct w:val="0"/>
        <w:adjustRightInd w:val="0"/>
        <w:snapToGrid w:val="0"/>
        <w:jc w:val="center"/>
        <w:rPr>
          <w:rFonts w:hint="eastAsia" w:ascii="Times New Roman" w:hAnsi="Times New Roman" w:eastAsia="仿宋"/>
          <w:color w:val="auto"/>
          <w:szCs w:val="32"/>
        </w:rPr>
      </w:pPr>
    </w:p>
    <w:p w14:paraId="7CE22831">
      <w:pPr>
        <w:overflowPunct w:val="0"/>
        <w:adjustRightInd w:val="0"/>
        <w:snapToGrid w:val="0"/>
        <w:jc w:val="center"/>
        <w:rPr>
          <w:rFonts w:hint="eastAsia" w:ascii="Times New Roman" w:hAnsi="Times New Roman" w:eastAsia="仿宋"/>
          <w:color w:val="auto"/>
          <w:szCs w:val="32"/>
        </w:rPr>
      </w:pPr>
    </w:p>
    <w:p w14:paraId="0414376A">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Times New Roman" w:hAnsi="Times New Roman" w:eastAsia="华文新魏"/>
          <w:b/>
          <w:color w:val="auto"/>
          <w:sz w:val="100"/>
          <w:szCs w:val="100"/>
        </w:rPr>
      </w:pPr>
    </w:p>
    <w:p w14:paraId="036ED01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Times New Roman" w:hAnsi="Times New Roman" w:eastAsia="方正小标宋简体" w:cs="方正小标宋简体"/>
          <w:b w:val="0"/>
          <w:bCs/>
          <w:color w:val="auto"/>
          <w:sz w:val="72"/>
          <w:szCs w:val="72"/>
        </w:rPr>
        <w:t>级专业人才培养方案</w:t>
      </w:r>
    </w:p>
    <w:p w14:paraId="728B7C6F">
      <w:pPr>
        <w:widowControl/>
        <w:spacing w:before="100" w:beforeAutospacing="1" w:after="160" w:line="500" w:lineRule="exact"/>
        <w:ind w:firstLine="1600" w:firstLineChars="500"/>
        <w:jc w:val="left"/>
        <w:rPr>
          <w:rFonts w:hint="eastAsia" w:ascii="Times New Roman" w:hAnsi="Times New Roman" w:eastAsia="仿宋_GB2312" w:cs="仿宋_GB2312"/>
          <w:color w:val="auto"/>
          <w:kern w:val="0"/>
          <w:sz w:val="32"/>
          <w:szCs w:val="32"/>
          <w:shd w:val="clear" w:color="auto" w:fill="FFFFFF"/>
        </w:rPr>
      </w:pPr>
    </w:p>
    <w:p w14:paraId="46412F26">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电子信息工程技术</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0BE7117F">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510101</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11B19ACD">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三年制</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rPr>
        <w:t xml:space="preserve">                                       </w:t>
      </w:r>
    </w:p>
    <w:p w14:paraId="5F80A5CF">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 xml:space="preserve">修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2025年4月</w:t>
      </w:r>
      <w:r>
        <w:rPr>
          <w:rFonts w:hint="eastAsia" w:ascii="Times New Roman" w:hAnsi="Times New Roman" w:eastAsia="仿宋_GB2312" w:cs="仿宋_GB2312"/>
          <w:color w:val="auto"/>
          <w:kern w:val="0"/>
          <w:sz w:val="32"/>
          <w:szCs w:val="32"/>
          <w:u w:val="single"/>
        </w:rPr>
        <w:t xml:space="preserve">          </w:t>
      </w:r>
    </w:p>
    <w:p w14:paraId="327FDFAF">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p>
    <w:p w14:paraId="28FF76CF">
      <w:pPr>
        <w:rPr>
          <w:rFonts w:hint="eastAsia" w:ascii="Times New Roman" w:hAnsi="Times New Roman" w:eastAsia="仿宋_GB2312" w:cs="仿宋_GB2312"/>
          <w:color w:val="FF0000"/>
          <w:kern w:val="0"/>
          <w:sz w:val="32"/>
          <w:szCs w:val="32"/>
          <w:shd w:val="clear" w:color="auto" w:fill="FFFFFF"/>
        </w:rPr>
      </w:pPr>
    </w:p>
    <w:p w14:paraId="2302BE4D">
      <w:pPr>
        <w:rPr>
          <w:rFonts w:hint="eastAsia" w:ascii="Times New Roman" w:hAnsi="Times New Roman" w:eastAsia="仿宋_GB2312" w:cs="仿宋_GB2312"/>
          <w:color w:val="FF0000"/>
          <w:kern w:val="0"/>
          <w:sz w:val="32"/>
          <w:szCs w:val="32"/>
          <w:shd w:val="clear" w:color="auto" w:fill="FFFFFF"/>
        </w:rPr>
      </w:pPr>
    </w:p>
    <w:p w14:paraId="43AF18F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制</w:t>
      </w:r>
    </w:p>
    <w:p w14:paraId="34ABFD85">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sectPr>
          <w:headerReference r:id="rId5" w:type="default"/>
          <w:pgSz w:w="11906" w:h="16838"/>
          <w:pgMar w:top="1417" w:right="1417" w:bottom="1417" w:left="1984" w:header="851" w:footer="992" w:gutter="0"/>
          <w:pgNumType w:start="1"/>
          <w:cols w:space="425" w:num="1"/>
          <w:docGrid w:type="lines" w:linePitch="312" w:charSpace="0"/>
        </w:sect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26595771">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sectPr>
          <w:pgSz w:w="11906" w:h="16838"/>
          <w:pgMar w:top="1417" w:right="1417" w:bottom="1417" w:left="1984" w:header="851" w:footer="992" w:gutter="0"/>
          <w:pgNumType w:start="1"/>
          <w:cols w:space="425" w:num="1"/>
          <w:docGrid w:type="lines" w:linePitch="312" w:charSpace="0"/>
        </w:sectPr>
      </w:pPr>
    </w:p>
    <w:p w14:paraId="173DF375">
      <w:pPr>
        <w:widowControl/>
        <w:overflowPunct w:val="0"/>
        <w:adjustRightInd w:val="0"/>
        <w:snapToGrid w:val="0"/>
        <w:spacing w:after="160"/>
        <w:jc w:val="both"/>
        <w:rPr>
          <w:rFonts w:hint="eastAsia" w:ascii="Times New Roman" w:hAnsi="Times New Roman" w:eastAsia="黑体" w:cs="黑体"/>
          <w:b/>
          <w:bCs/>
          <w:kern w:val="0"/>
          <w:sz w:val="52"/>
          <w:szCs w:val="52"/>
        </w:rPr>
      </w:pPr>
    </w:p>
    <w:p w14:paraId="7D2C7510">
      <w:pPr>
        <w:jc w:val="center"/>
        <w:rPr>
          <w:rFonts w:hint="eastAsia" w:ascii="Times New Roman" w:hAnsi="Times New Roman" w:eastAsia="黑体" w:cs="黑体"/>
          <w:b w:val="0"/>
          <w:bCs/>
          <w:color w:val="auto"/>
          <w:sz w:val="44"/>
          <w:szCs w:val="44"/>
        </w:rPr>
      </w:pPr>
      <w:r>
        <w:rPr>
          <w:rFonts w:hint="eastAsia" w:ascii="Times New Roman" w:hAnsi="Times New Roman" w:eastAsia="黑体" w:cs="黑体"/>
          <w:b w:val="0"/>
          <w:bCs/>
          <w:color w:val="auto"/>
          <w:sz w:val="44"/>
          <w:szCs w:val="44"/>
        </w:rPr>
        <w:t>编制说明</w:t>
      </w:r>
    </w:p>
    <w:p w14:paraId="6BAAC083">
      <w:pPr>
        <w:ind w:firstLine="880" w:firstLineChars="200"/>
        <w:rPr>
          <w:rFonts w:hint="eastAsia" w:ascii="Times New Roman" w:hAnsi="Times New Roman" w:eastAsia="黑体" w:cs="黑体"/>
          <w:b w:val="0"/>
          <w:bCs/>
          <w:color w:val="auto"/>
          <w:sz w:val="44"/>
          <w:szCs w:val="44"/>
        </w:rPr>
      </w:pPr>
    </w:p>
    <w:p w14:paraId="358AC12F">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b w:val="0"/>
          <w:bCs/>
          <w:color w:val="auto"/>
          <w:sz w:val="32"/>
          <w:szCs w:val="32"/>
        </w:rPr>
      </w:pPr>
      <w:r>
        <w:rPr>
          <w:rFonts w:hint="eastAsia" w:ascii="Times New Roman" w:hAnsi="Times New Roman" w:eastAsia="仿宋_GB2312" w:cs="仿宋_GB2312"/>
          <w:b w:val="0"/>
          <w:bCs/>
          <w:color w:val="auto"/>
          <w:sz w:val="32"/>
          <w:szCs w:val="32"/>
        </w:rPr>
        <w:t>本专业人才培养方案适于</w:t>
      </w:r>
      <w:r>
        <w:rPr>
          <w:rFonts w:hint="eastAsia" w:ascii="Times New Roman" w:hAnsi="Times New Roman" w:eastAsia="仿宋_GB2312" w:cs="仿宋_GB2312"/>
          <w:b w:val="0"/>
          <w:bCs/>
          <w:color w:val="auto"/>
          <w:sz w:val="32"/>
          <w:szCs w:val="32"/>
          <w:lang w:val="en-US" w:eastAsia="zh-CN"/>
        </w:rPr>
        <w:t>我校</w:t>
      </w:r>
      <w:r>
        <w:rPr>
          <w:rFonts w:hint="eastAsia" w:ascii="Times New Roman" w:hAnsi="Times New Roman" w:eastAsia="仿宋_GB2312" w:cs="仿宋_GB2312"/>
          <w:b w:val="0"/>
          <w:bCs/>
          <w:color w:val="auto"/>
          <w:sz w:val="32"/>
          <w:szCs w:val="32"/>
        </w:rPr>
        <w:t>三年全日制高职专科，由广西</w:t>
      </w:r>
      <w:r>
        <w:rPr>
          <w:rFonts w:hint="eastAsia" w:ascii="Times New Roman" w:hAnsi="Times New Roman" w:eastAsia="仿宋_GB2312" w:cs="仿宋_GB2312"/>
          <w:b w:val="0"/>
          <w:bCs/>
          <w:color w:val="auto"/>
          <w:sz w:val="32"/>
          <w:szCs w:val="32"/>
          <w:lang w:val="en-US" w:eastAsia="zh-CN"/>
        </w:rPr>
        <w:t>工程职业学院电子信息工程技术</w:t>
      </w:r>
      <w:r>
        <w:rPr>
          <w:rFonts w:hint="eastAsia" w:ascii="Times New Roman" w:hAnsi="Times New Roman" w:eastAsia="仿宋_GB2312" w:cs="仿宋_GB2312"/>
          <w:b w:val="0"/>
          <w:bCs/>
          <w:color w:val="auto"/>
          <w:sz w:val="32"/>
          <w:szCs w:val="32"/>
        </w:rPr>
        <w:t>专业团队与</w:t>
      </w:r>
      <w:r>
        <w:rPr>
          <w:rFonts w:hint="eastAsia" w:ascii="Times New Roman" w:hAnsi="Times New Roman" w:eastAsia="仿宋_GB2312" w:cs="仿宋_GB2312"/>
          <w:b w:val="0"/>
          <w:bCs/>
          <w:color w:val="auto"/>
          <w:sz w:val="32"/>
          <w:szCs w:val="32"/>
          <w:lang w:val="en-US" w:eastAsia="zh-CN"/>
        </w:rPr>
        <w:t>广西阳戈新能源投资有限</w:t>
      </w:r>
      <w:r>
        <w:rPr>
          <w:rFonts w:hint="eastAsia" w:ascii="Times New Roman" w:hAnsi="Times New Roman" w:eastAsia="仿宋_GB2312" w:cs="仿宋_GB2312"/>
          <w:b w:val="0"/>
          <w:bCs/>
          <w:color w:val="auto"/>
          <w:sz w:val="32"/>
          <w:szCs w:val="32"/>
        </w:rPr>
        <w:t>公司</w:t>
      </w:r>
      <w:r>
        <w:rPr>
          <w:rFonts w:hint="eastAsia" w:ascii="Times New Roman" w:hAnsi="Times New Roman" w:eastAsia="仿宋_GB2312" w:cs="仿宋_GB2312"/>
          <w:b w:val="0"/>
          <w:bCs/>
          <w:color w:val="auto"/>
          <w:sz w:val="32"/>
          <w:szCs w:val="32"/>
          <w:lang w:val="en-US" w:eastAsia="zh-CN"/>
        </w:rPr>
        <w:t>等</w:t>
      </w:r>
      <w:r>
        <w:rPr>
          <w:rFonts w:hint="eastAsia" w:ascii="Times New Roman" w:hAnsi="Times New Roman" w:eastAsia="仿宋_GB2312" w:cs="仿宋_GB2312"/>
          <w:b w:val="0"/>
          <w:bCs/>
          <w:color w:val="auto"/>
          <w:sz w:val="32"/>
          <w:szCs w:val="32"/>
        </w:rPr>
        <w:t>共同制订，并经</w:t>
      </w:r>
      <w:r>
        <w:rPr>
          <w:rFonts w:hint="eastAsia" w:ascii="Times New Roman" w:hAnsi="Times New Roman" w:eastAsia="仿宋_GB2312" w:cs="仿宋_GB2312"/>
          <w:b w:val="0"/>
          <w:bCs/>
          <w:color w:val="auto"/>
          <w:sz w:val="32"/>
          <w:szCs w:val="32"/>
          <w:lang w:val="en-US" w:eastAsia="zh-CN"/>
        </w:rPr>
        <w:t>二级学院党政联席会审定、</w:t>
      </w:r>
      <w:r>
        <w:rPr>
          <w:rFonts w:hint="eastAsia" w:ascii="Times New Roman" w:hAnsi="Times New Roman" w:eastAsia="仿宋_GB2312" w:cs="仿宋_GB2312"/>
          <w:b w:val="0"/>
          <w:bCs/>
          <w:color w:val="auto"/>
          <w:sz w:val="32"/>
          <w:szCs w:val="32"/>
        </w:rPr>
        <w:t>学校</w:t>
      </w:r>
      <w:r>
        <w:rPr>
          <w:rFonts w:hint="eastAsia" w:ascii="Times New Roman" w:hAnsi="Times New Roman" w:eastAsia="仿宋_GB2312" w:cs="仿宋_GB2312"/>
          <w:b w:val="0"/>
          <w:bCs/>
          <w:color w:val="auto"/>
          <w:sz w:val="32"/>
          <w:szCs w:val="32"/>
          <w:lang w:val="en-US" w:eastAsia="zh-CN"/>
        </w:rPr>
        <w:t>专业建设</w:t>
      </w:r>
      <w:r>
        <w:rPr>
          <w:rFonts w:hint="eastAsia" w:ascii="Times New Roman" w:hAnsi="Times New Roman" w:eastAsia="仿宋_GB2312" w:cs="仿宋_GB2312"/>
          <w:b w:val="0"/>
          <w:bCs/>
          <w:color w:val="auto"/>
          <w:sz w:val="32"/>
          <w:szCs w:val="32"/>
        </w:rPr>
        <w:t>指导委员会</w:t>
      </w:r>
      <w:r>
        <w:rPr>
          <w:rFonts w:hint="eastAsia" w:ascii="Times New Roman" w:hAnsi="Times New Roman" w:eastAsia="仿宋_GB2312" w:cs="仿宋_GB2312"/>
          <w:b w:val="0"/>
          <w:bCs/>
          <w:color w:val="auto"/>
          <w:sz w:val="32"/>
          <w:szCs w:val="32"/>
          <w:lang w:val="en-US" w:eastAsia="zh-CN"/>
        </w:rPr>
        <w:t>论证</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校长办公</w:t>
      </w:r>
      <w:r>
        <w:rPr>
          <w:rFonts w:hint="eastAsia" w:ascii="Times New Roman" w:hAnsi="Times New Roman" w:eastAsia="仿宋_GB2312" w:cs="仿宋_GB2312"/>
          <w:b w:val="0"/>
          <w:bCs/>
          <w:color w:val="auto"/>
          <w:sz w:val="32"/>
          <w:szCs w:val="32"/>
        </w:rPr>
        <w:t>会</w:t>
      </w:r>
      <w:r>
        <w:rPr>
          <w:rFonts w:hint="eastAsia" w:ascii="Times New Roman" w:hAnsi="Times New Roman" w:eastAsia="仿宋_GB2312" w:cs="仿宋_GB2312"/>
          <w:b w:val="0"/>
          <w:bCs/>
          <w:color w:val="auto"/>
          <w:sz w:val="32"/>
          <w:szCs w:val="32"/>
          <w:lang w:val="en-US" w:eastAsia="zh-CN"/>
        </w:rPr>
        <w:t>审议</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highlight w:val="none"/>
          <w:lang w:val="en-US" w:eastAsia="zh-CN"/>
        </w:rPr>
        <w:t>学校</w:t>
      </w:r>
      <w:r>
        <w:rPr>
          <w:rFonts w:hint="eastAsia" w:ascii="Times New Roman" w:hAnsi="Times New Roman" w:eastAsia="仿宋_GB2312" w:cs="仿宋_GB2312"/>
          <w:b w:val="0"/>
          <w:bCs/>
          <w:color w:val="auto"/>
          <w:sz w:val="32"/>
          <w:szCs w:val="32"/>
        </w:rPr>
        <w:t>党委会审定，批准实施。</w:t>
      </w:r>
    </w:p>
    <w:p w14:paraId="305C065B">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b w:val="0"/>
          <w:bCs/>
          <w:color w:val="auto"/>
          <w:sz w:val="32"/>
          <w:szCs w:val="32"/>
          <w:lang w:val="en-US" w:eastAsia="zh-CN"/>
        </w:rPr>
      </w:pPr>
      <w:r>
        <w:rPr>
          <w:rFonts w:hint="eastAsia" w:ascii="Times New Roman" w:hAnsi="Times New Roman" w:eastAsia="仿宋_GB2312" w:cs="仿宋_GB2312"/>
          <w:b w:val="0"/>
          <w:bCs/>
          <w:color w:val="auto"/>
          <w:sz w:val="32"/>
          <w:szCs w:val="32"/>
          <w:lang w:val="en-US" w:eastAsia="zh-CN"/>
        </w:rPr>
        <w:t>主要编制人：</w:t>
      </w:r>
    </w:p>
    <w:tbl>
      <w:tblPr>
        <w:tblStyle w:val="11"/>
        <w:tblW w:w="88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294"/>
        <w:gridCol w:w="2520"/>
        <w:gridCol w:w="2269"/>
        <w:gridCol w:w="1879"/>
      </w:tblGrid>
      <w:tr w14:paraId="20D3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377010E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294" w:type="dxa"/>
            <w:vAlign w:val="center"/>
          </w:tcPr>
          <w:p w14:paraId="25C4D7F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2520" w:type="dxa"/>
            <w:vAlign w:val="center"/>
          </w:tcPr>
          <w:p w14:paraId="2565D27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269" w:type="dxa"/>
            <w:vAlign w:val="center"/>
          </w:tcPr>
          <w:p w14:paraId="6DBF3EE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879" w:type="dxa"/>
            <w:vAlign w:val="center"/>
          </w:tcPr>
          <w:p w14:paraId="1030C5C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7172A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1EF323E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1</w:t>
            </w:r>
          </w:p>
        </w:tc>
        <w:tc>
          <w:tcPr>
            <w:tcW w:w="1294" w:type="dxa"/>
            <w:vAlign w:val="center"/>
          </w:tcPr>
          <w:p w14:paraId="72C6F152">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吴秋林</w:t>
            </w:r>
          </w:p>
        </w:tc>
        <w:tc>
          <w:tcPr>
            <w:tcW w:w="2520" w:type="dxa"/>
            <w:vAlign w:val="center"/>
          </w:tcPr>
          <w:p w14:paraId="7CDC855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广西阳戈新能源投资有限公司</w:t>
            </w:r>
          </w:p>
        </w:tc>
        <w:tc>
          <w:tcPr>
            <w:tcW w:w="2269" w:type="dxa"/>
            <w:vAlign w:val="center"/>
          </w:tcPr>
          <w:p w14:paraId="1284FDF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经理</w:t>
            </w:r>
          </w:p>
        </w:tc>
        <w:tc>
          <w:tcPr>
            <w:tcW w:w="1879" w:type="dxa"/>
            <w:vAlign w:val="center"/>
          </w:tcPr>
          <w:p w14:paraId="2C2BBF9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无</w:t>
            </w:r>
          </w:p>
        </w:tc>
      </w:tr>
      <w:tr w14:paraId="1FE4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0384927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2</w:t>
            </w:r>
          </w:p>
        </w:tc>
        <w:tc>
          <w:tcPr>
            <w:tcW w:w="1294" w:type="dxa"/>
            <w:vAlign w:val="center"/>
          </w:tcPr>
          <w:p w14:paraId="1FA60D1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杨竟</w:t>
            </w:r>
          </w:p>
        </w:tc>
        <w:tc>
          <w:tcPr>
            <w:tcW w:w="2520" w:type="dxa"/>
            <w:vAlign w:val="center"/>
          </w:tcPr>
          <w:p w14:paraId="7D31BC8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4774004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879" w:type="dxa"/>
            <w:vAlign w:val="center"/>
          </w:tcPr>
          <w:p w14:paraId="56C77CC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副教授</w:t>
            </w:r>
          </w:p>
        </w:tc>
      </w:tr>
      <w:tr w14:paraId="3ACD0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76D6543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3</w:t>
            </w:r>
          </w:p>
        </w:tc>
        <w:tc>
          <w:tcPr>
            <w:tcW w:w="1294" w:type="dxa"/>
            <w:vAlign w:val="center"/>
          </w:tcPr>
          <w:p w14:paraId="2E391EA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李慧妹</w:t>
            </w:r>
          </w:p>
        </w:tc>
        <w:tc>
          <w:tcPr>
            <w:tcW w:w="2520" w:type="dxa"/>
            <w:vAlign w:val="center"/>
          </w:tcPr>
          <w:p w14:paraId="479A8C2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4F73937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879" w:type="dxa"/>
            <w:vAlign w:val="center"/>
          </w:tcPr>
          <w:p w14:paraId="0740B51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1EA4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7090D4E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4</w:t>
            </w:r>
          </w:p>
        </w:tc>
        <w:tc>
          <w:tcPr>
            <w:tcW w:w="1294" w:type="dxa"/>
            <w:vAlign w:val="center"/>
          </w:tcPr>
          <w:p w14:paraId="253DA39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卢燕梅</w:t>
            </w:r>
          </w:p>
        </w:tc>
        <w:tc>
          <w:tcPr>
            <w:tcW w:w="2520" w:type="dxa"/>
            <w:vAlign w:val="center"/>
          </w:tcPr>
          <w:p w14:paraId="6E6279D4">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185E0F1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879" w:type="dxa"/>
            <w:vAlign w:val="center"/>
          </w:tcPr>
          <w:p w14:paraId="7284740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4A1F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7F76A81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5</w:t>
            </w:r>
          </w:p>
        </w:tc>
        <w:tc>
          <w:tcPr>
            <w:tcW w:w="1294" w:type="dxa"/>
            <w:vAlign w:val="center"/>
          </w:tcPr>
          <w:p w14:paraId="1D546B0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陆新锋</w:t>
            </w:r>
          </w:p>
        </w:tc>
        <w:tc>
          <w:tcPr>
            <w:tcW w:w="2520" w:type="dxa"/>
            <w:vAlign w:val="center"/>
          </w:tcPr>
          <w:p w14:paraId="2439527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25F4F80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879" w:type="dxa"/>
            <w:vAlign w:val="center"/>
          </w:tcPr>
          <w:p w14:paraId="6B00CC4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0DB6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7197F5A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6</w:t>
            </w:r>
          </w:p>
        </w:tc>
        <w:tc>
          <w:tcPr>
            <w:tcW w:w="1294" w:type="dxa"/>
            <w:vAlign w:val="center"/>
          </w:tcPr>
          <w:p w14:paraId="16EDEA7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罗国王</w:t>
            </w:r>
          </w:p>
        </w:tc>
        <w:tc>
          <w:tcPr>
            <w:tcW w:w="2520" w:type="dxa"/>
            <w:vAlign w:val="center"/>
          </w:tcPr>
          <w:p w14:paraId="10C1D39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141B335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汽车与机电学院电子技术教研室副主任</w:t>
            </w:r>
          </w:p>
        </w:tc>
        <w:tc>
          <w:tcPr>
            <w:tcW w:w="1879" w:type="dxa"/>
            <w:vAlign w:val="center"/>
          </w:tcPr>
          <w:p w14:paraId="23C4C0A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552A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6B3F4C94">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7</w:t>
            </w:r>
          </w:p>
        </w:tc>
        <w:tc>
          <w:tcPr>
            <w:tcW w:w="1294" w:type="dxa"/>
            <w:vAlign w:val="center"/>
          </w:tcPr>
          <w:p w14:paraId="2F5B67D2">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覃海军</w:t>
            </w:r>
          </w:p>
        </w:tc>
        <w:tc>
          <w:tcPr>
            <w:tcW w:w="2520" w:type="dxa"/>
            <w:vAlign w:val="center"/>
          </w:tcPr>
          <w:p w14:paraId="1451181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2B57F7F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汽车与机电学院电子信息工程技术专业专任教师</w:t>
            </w:r>
          </w:p>
        </w:tc>
        <w:tc>
          <w:tcPr>
            <w:tcW w:w="1879" w:type="dxa"/>
            <w:vAlign w:val="center"/>
          </w:tcPr>
          <w:p w14:paraId="31448BF5">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2F31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5EA0B30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default"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8</w:t>
            </w:r>
          </w:p>
        </w:tc>
        <w:tc>
          <w:tcPr>
            <w:tcW w:w="1294" w:type="dxa"/>
            <w:vAlign w:val="center"/>
          </w:tcPr>
          <w:p w14:paraId="29ECF4A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苏锦云</w:t>
            </w:r>
          </w:p>
        </w:tc>
        <w:tc>
          <w:tcPr>
            <w:tcW w:w="2520" w:type="dxa"/>
            <w:vAlign w:val="center"/>
          </w:tcPr>
          <w:p w14:paraId="3AE8306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69" w:type="dxa"/>
            <w:vAlign w:val="center"/>
          </w:tcPr>
          <w:p w14:paraId="7CFA991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汽车与机电学院电子信息工程技术专业专任教师</w:t>
            </w:r>
          </w:p>
        </w:tc>
        <w:tc>
          <w:tcPr>
            <w:tcW w:w="1879" w:type="dxa"/>
            <w:vAlign w:val="center"/>
          </w:tcPr>
          <w:p w14:paraId="5965138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bl>
    <w:p w14:paraId="7B6743A2">
      <w:pPr>
        <w:widowControl/>
        <w:overflowPunct w:val="0"/>
        <w:adjustRightInd w:val="0"/>
        <w:snapToGrid w:val="0"/>
        <w:spacing w:after="160"/>
        <w:jc w:val="both"/>
        <w:rPr>
          <w:rFonts w:hint="eastAsia" w:ascii="Times New Roman" w:hAnsi="Times New Roman" w:eastAsia="黑体" w:cs="黑体"/>
          <w:b/>
          <w:bCs/>
          <w:kern w:val="0"/>
          <w:sz w:val="52"/>
          <w:szCs w:val="52"/>
        </w:rPr>
        <w:sectPr>
          <w:pgSz w:w="11906" w:h="16838"/>
          <w:pgMar w:top="1417" w:right="1417" w:bottom="1417" w:left="1984" w:header="851" w:footer="992" w:gutter="0"/>
          <w:pgNumType w:start="1"/>
          <w:cols w:space="425" w:num="1"/>
          <w:docGrid w:type="lines" w:linePitch="312" w:charSpace="0"/>
        </w:sectPr>
      </w:pPr>
    </w:p>
    <w:p w14:paraId="0C548787">
      <w:pPr>
        <w:widowControl/>
        <w:overflowPunct w:val="0"/>
        <w:adjustRightInd w:val="0"/>
        <w:snapToGrid w:val="0"/>
        <w:spacing w:after="160"/>
        <w:jc w:val="both"/>
        <w:rPr>
          <w:rFonts w:hint="eastAsia" w:ascii="Times New Roman" w:hAnsi="Times New Roman" w:eastAsia="黑体" w:cs="黑体"/>
          <w:b/>
          <w:bCs/>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Times New Roman" w:hAnsi="Times New Roman" w:eastAsia="黑体" w:cs="黑体"/>
          <w:kern w:val="2"/>
          <w:sz w:val="32"/>
          <w:szCs w:val="32"/>
          <w:lang w:val="en-US" w:eastAsia="zh-CN" w:bidi="ar-SA"/>
        </w:rPr>
        <w:id w:val="147458552"/>
        <w15:color w:val="DBDBDB"/>
        <w:docPartObj>
          <w:docPartGallery w:val="Table of Contents"/>
          <w:docPartUnique/>
        </w:docPartObj>
      </w:sdtPr>
      <w:sdtEndPr>
        <w:rPr>
          <w:rFonts w:hint="eastAsia" w:ascii="Times New Roman" w:hAnsi="Times New Roman" w:eastAsia="黑体" w:cs="黑体"/>
          <w:bCs/>
          <w:kern w:val="0"/>
          <w:sz w:val="21"/>
          <w:szCs w:val="52"/>
          <w:lang w:val="en-US" w:eastAsia="zh-CN" w:bidi="ar-SA"/>
        </w:rPr>
      </w:sdtEndPr>
      <w:sdtContent>
        <w:p w14:paraId="58E4B1B4">
          <w:pPr>
            <w:spacing w:before="0" w:beforeLines="0" w:after="0" w:afterLines="0" w:line="240" w:lineRule="auto"/>
            <w:ind w:left="0" w:leftChars="0" w:right="0" w:rightChars="0" w:firstLine="0" w:firstLineChars="0"/>
            <w:jc w:val="center"/>
            <w:rPr>
              <w:rFonts w:hint="eastAsia" w:ascii="Times New Roman" w:hAnsi="Times New Roman" w:eastAsia="黑体" w:cs="黑体"/>
              <w:sz w:val="32"/>
              <w:szCs w:val="32"/>
            </w:rPr>
          </w:pPr>
          <w:r>
            <w:rPr>
              <w:rFonts w:hint="eastAsia" w:ascii="Times New Roman" w:hAnsi="Times New Roman" w:eastAsia="黑体" w:cs="黑体"/>
              <w:sz w:val="32"/>
              <w:szCs w:val="32"/>
            </w:rPr>
            <w:t>目录</w:t>
          </w:r>
        </w:p>
        <w:p w14:paraId="49A82DD6">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
              <w:bCs/>
              <w:kern w:val="0"/>
              <w:sz w:val="32"/>
              <w:szCs w:val="32"/>
            </w:rPr>
            <w:fldChar w:fldCharType="begin"/>
          </w:r>
          <w:r>
            <w:rPr>
              <w:rFonts w:hint="eastAsia" w:ascii="Times New Roman" w:hAnsi="Times New Roman" w:eastAsia="黑体" w:cs="黑体"/>
              <w:b/>
              <w:bCs/>
              <w:kern w:val="0"/>
              <w:sz w:val="32"/>
              <w:szCs w:val="32"/>
            </w:rPr>
            <w:instrText xml:space="preserve">TOC \o "1-3" \h \u </w:instrText>
          </w:r>
          <w:r>
            <w:rPr>
              <w:rFonts w:hint="eastAsia" w:ascii="Times New Roman" w:hAnsi="Times New Roman" w:eastAsia="黑体" w:cs="黑体"/>
              <w:b/>
              <w:bCs/>
              <w:kern w:val="0"/>
              <w:sz w:val="32"/>
              <w:szCs w:val="32"/>
            </w:rPr>
            <w:fldChar w:fldCharType="separate"/>
          </w: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_Toc30163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一、专业名称及代码</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_Toc30163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2FD2B5EC">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_Toc23317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二、入学要求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_Toc23317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4F8F15CE">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_Toc8743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三、基本修业年限</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_Toc8743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5E2E9665">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_Toc27227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四、职业面向</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_Toc27227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668E8C40">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_Toc29622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五、培养目标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_Toc29622 \h </w:instrText>
          </w:r>
          <w:r>
            <w:rPr>
              <w:rFonts w:ascii="Times New Roman" w:hAnsi="Times New Roman"/>
              <w:sz w:val="32"/>
              <w:szCs w:val="32"/>
            </w:rPr>
            <w:fldChar w:fldCharType="separate"/>
          </w:r>
          <w:r>
            <w:rPr>
              <w:rFonts w:ascii="Times New Roman" w:hAnsi="Times New Roman"/>
              <w:sz w:val="32"/>
              <w:szCs w:val="32"/>
            </w:rPr>
            <w:t>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52020328">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_Toc17203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六、培养规格</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_Toc17203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032A0251">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_Toc7614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（一）知识目标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_Toc7614 \h </w:instrText>
          </w:r>
          <w:r>
            <w:rPr>
              <w:rFonts w:ascii="Times New Roman" w:hAnsi="Times New Roman"/>
              <w:sz w:val="32"/>
              <w:szCs w:val="32"/>
            </w:rPr>
            <w:fldChar w:fldCharType="separate"/>
          </w:r>
          <w:r>
            <w:rPr>
              <w:rFonts w:ascii="Times New Roman" w:hAnsi="Times New Roman"/>
              <w:sz w:val="32"/>
              <w:szCs w:val="32"/>
            </w:rPr>
            <w:t>2</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7F464773">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_Toc20485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（二）能力目标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_Toc20485 \h </w:instrText>
          </w:r>
          <w:r>
            <w:rPr>
              <w:rFonts w:ascii="Times New Roman" w:hAnsi="Times New Roman"/>
              <w:sz w:val="32"/>
              <w:szCs w:val="32"/>
            </w:rPr>
            <w:fldChar w:fldCharType="separate"/>
          </w:r>
          <w:r>
            <w:rPr>
              <w:rFonts w:ascii="Times New Roman" w:hAnsi="Times New Roman"/>
              <w:sz w:val="32"/>
              <w:szCs w:val="32"/>
            </w:rPr>
            <w:t>3</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41EAC3AE">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_Toc23720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（三）素质目标</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_Toc23720 \h </w:instrText>
          </w:r>
          <w:r>
            <w:rPr>
              <w:rFonts w:ascii="Times New Roman" w:hAnsi="Times New Roman"/>
              <w:sz w:val="32"/>
              <w:szCs w:val="32"/>
            </w:rPr>
            <w:fldChar w:fldCharType="separate"/>
          </w:r>
          <w:r>
            <w:rPr>
              <w:rFonts w:ascii="Times New Roman" w:hAnsi="Times New Roman"/>
              <w:sz w:val="32"/>
              <w:szCs w:val="32"/>
            </w:rPr>
            <w:t>3</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7AF89884">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_Toc20683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七、课程设置</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_Toc20683 \h </w:instrText>
          </w:r>
          <w:r>
            <w:rPr>
              <w:rFonts w:ascii="Times New Roman" w:hAnsi="Times New Roman"/>
              <w:sz w:val="32"/>
              <w:szCs w:val="32"/>
            </w:rPr>
            <w:fldChar w:fldCharType="separate"/>
          </w:r>
          <w:r>
            <w:rPr>
              <w:rFonts w:ascii="Times New Roman" w:hAnsi="Times New Roman"/>
              <w:sz w:val="32"/>
              <w:szCs w:val="32"/>
            </w:rPr>
            <w:t>4</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1A7C4861">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_Toc22764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（一）公共基础课程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_Toc22764 \h </w:instrText>
          </w:r>
          <w:r>
            <w:rPr>
              <w:rFonts w:ascii="Times New Roman" w:hAnsi="Times New Roman"/>
              <w:sz w:val="32"/>
              <w:szCs w:val="32"/>
            </w:rPr>
            <w:fldChar w:fldCharType="separate"/>
          </w:r>
          <w:r>
            <w:rPr>
              <w:rFonts w:ascii="Times New Roman" w:hAnsi="Times New Roman"/>
              <w:sz w:val="32"/>
              <w:szCs w:val="32"/>
            </w:rPr>
            <w:t>4</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5AA14DB3">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_Toc15069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（二）专业课程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_Toc15069 \h </w:instrText>
          </w:r>
          <w:r>
            <w:rPr>
              <w:rFonts w:ascii="Times New Roman" w:hAnsi="Times New Roman"/>
              <w:sz w:val="32"/>
              <w:szCs w:val="32"/>
            </w:rPr>
            <w:fldChar w:fldCharType="separate"/>
          </w:r>
          <w:r>
            <w:rPr>
              <w:rFonts w:ascii="Times New Roman" w:hAnsi="Times New Roman"/>
              <w:sz w:val="32"/>
              <w:szCs w:val="32"/>
            </w:rPr>
            <w:t>20</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65D262BD">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_Toc7219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（三）第二课堂素质教育课</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_Toc7219 \h </w:instrText>
          </w:r>
          <w:r>
            <w:rPr>
              <w:rFonts w:ascii="Times New Roman" w:hAnsi="Times New Roman"/>
              <w:sz w:val="32"/>
              <w:szCs w:val="32"/>
            </w:rPr>
            <w:fldChar w:fldCharType="separate"/>
          </w:r>
          <w:r>
            <w:rPr>
              <w:rFonts w:ascii="Times New Roman" w:hAnsi="Times New Roman"/>
              <w:sz w:val="32"/>
              <w:szCs w:val="32"/>
            </w:rPr>
            <w:t>45</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71632AC2">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_Toc27457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sz w:val="32"/>
              <w:szCs w:val="32"/>
              <w:highlight w:val="none"/>
            </w:rPr>
            <w:t>八</w:t>
          </w:r>
          <w:r>
            <w:rPr>
              <w:rFonts w:ascii="Times New Roman" w:hAnsi="Times New Roman" w:eastAsia="黑体"/>
              <w:sz w:val="32"/>
              <w:szCs w:val="32"/>
              <w:highlight w:val="none"/>
            </w:rPr>
            <w:t>、教学进程总体安排</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_Toc27457 \h </w:instrText>
          </w:r>
          <w:r>
            <w:rPr>
              <w:rFonts w:ascii="Times New Roman" w:hAnsi="Times New Roman"/>
              <w:sz w:val="32"/>
              <w:szCs w:val="32"/>
            </w:rPr>
            <w:fldChar w:fldCharType="separate"/>
          </w:r>
          <w:r>
            <w:rPr>
              <w:rFonts w:ascii="Times New Roman" w:hAnsi="Times New Roman"/>
              <w:sz w:val="32"/>
              <w:szCs w:val="32"/>
            </w:rPr>
            <w:t>46</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1E346846">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_Toc9410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（一）教学环节分配表</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_Toc9410 \h </w:instrText>
          </w:r>
          <w:r>
            <w:rPr>
              <w:rFonts w:ascii="Times New Roman" w:hAnsi="Times New Roman"/>
              <w:sz w:val="32"/>
              <w:szCs w:val="32"/>
            </w:rPr>
            <w:fldChar w:fldCharType="separate"/>
          </w:r>
          <w:r>
            <w:rPr>
              <w:rFonts w:ascii="Times New Roman" w:hAnsi="Times New Roman"/>
              <w:sz w:val="32"/>
              <w:szCs w:val="32"/>
            </w:rPr>
            <w:t>47</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43E57076">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_Toc4654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（二）</w:t>
          </w:r>
          <w:r>
            <w:rPr>
              <w:rFonts w:hint="eastAsia" w:ascii="Times New Roman" w:hAnsi="Times New Roman" w:eastAsia="楷体" w:cs="楷体"/>
              <w:bCs/>
              <w:sz w:val="32"/>
              <w:szCs w:val="32"/>
              <w:highlight w:val="none"/>
            </w:rPr>
            <w:t>课程结构与学时、学分分配</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_Toc4654 \h </w:instrText>
          </w:r>
          <w:r>
            <w:rPr>
              <w:rFonts w:ascii="Times New Roman" w:hAnsi="Times New Roman"/>
              <w:sz w:val="32"/>
              <w:szCs w:val="32"/>
            </w:rPr>
            <w:fldChar w:fldCharType="separate"/>
          </w:r>
          <w:r>
            <w:rPr>
              <w:rFonts w:ascii="Times New Roman" w:hAnsi="Times New Roman"/>
              <w:sz w:val="32"/>
              <w:szCs w:val="32"/>
            </w:rPr>
            <w:t>47</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6DE3C5E9">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_Toc4683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（三）教学计划进程</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_Toc4683 \h </w:instrText>
          </w:r>
          <w:r>
            <w:rPr>
              <w:rFonts w:ascii="Times New Roman" w:hAnsi="Times New Roman"/>
              <w:sz w:val="32"/>
              <w:szCs w:val="32"/>
            </w:rPr>
            <w:fldChar w:fldCharType="separate"/>
          </w:r>
          <w:r>
            <w:rPr>
              <w:rFonts w:ascii="Times New Roman" w:hAnsi="Times New Roman"/>
              <w:sz w:val="32"/>
              <w:szCs w:val="32"/>
            </w:rPr>
            <w:t>48</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092D2080">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_Toc13892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九、师资队伍</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_Toc13892 \h </w:instrText>
          </w:r>
          <w:r>
            <w:rPr>
              <w:rFonts w:ascii="Times New Roman" w:hAnsi="Times New Roman"/>
              <w:sz w:val="32"/>
              <w:szCs w:val="32"/>
            </w:rPr>
            <w:fldChar w:fldCharType="separate"/>
          </w:r>
          <w:r>
            <w:rPr>
              <w:rFonts w:ascii="Times New Roman" w:hAnsi="Times New Roman"/>
              <w:sz w:val="32"/>
              <w:szCs w:val="32"/>
            </w:rPr>
            <w:t>50</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7B712B8E">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_Toc9503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 xml:space="preserve">（一） </w:t>
          </w:r>
          <w:r>
            <w:rPr>
              <w:rFonts w:hint="eastAsia" w:ascii="Times New Roman" w:hAnsi="Times New Roman" w:eastAsia="楷体" w:cs="楷体"/>
              <w:sz w:val="32"/>
              <w:szCs w:val="32"/>
              <w:highlight w:val="none"/>
            </w:rPr>
            <w:t>队伍结构</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_Toc9503 \h </w:instrText>
          </w:r>
          <w:r>
            <w:rPr>
              <w:rFonts w:ascii="Times New Roman" w:hAnsi="Times New Roman"/>
              <w:sz w:val="32"/>
              <w:szCs w:val="32"/>
            </w:rPr>
            <w:fldChar w:fldCharType="separate"/>
          </w:r>
          <w:r>
            <w:rPr>
              <w:rFonts w:ascii="Times New Roman" w:hAnsi="Times New Roman"/>
              <w:sz w:val="32"/>
              <w:szCs w:val="32"/>
            </w:rPr>
            <w:t>50</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44DC6D77">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_Toc12588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（二）专业带头人</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_Toc12588 \h </w:instrText>
          </w:r>
          <w:r>
            <w:rPr>
              <w:rFonts w:ascii="Times New Roman" w:hAnsi="Times New Roman"/>
              <w:sz w:val="32"/>
              <w:szCs w:val="32"/>
            </w:rPr>
            <w:fldChar w:fldCharType="separate"/>
          </w:r>
          <w:r>
            <w:rPr>
              <w:rFonts w:ascii="Times New Roman" w:hAnsi="Times New Roman"/>
              <w:sz w:val="32"/>
              <w:szCs w:val="32"/>
            </w:rPr>
            <w:t>50</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37A337F7">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_Toc2135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（三）专任教师</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_Toc2135 \h </w:instrText>
          </w:r>
          <w:r>
            <w:rPr>
              <w:rFonts w:ascii="Times New Roman" w:hAnsi="Times New Roman"/>
              <w:sz w:val="32"/>
              <w:szCs w:val="32"/>
            </w:rPr>
            <w:fldChar w:fldCharType="separate"/>
          </w:r>
          <w:r>
            <w:rPr>
              <w:rFonts w:ascii="Times New Roman" w:hAnsi="Times New Roman"/>
              <w:sz w:val="32"/>
              <w:szCs w:val="32"/>
            </w:rPr>
            <w:t>51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0A4952B4">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_Toc16720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十、教学条件</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_Toc16720 \h </w:instrText>
          </w:r>
          <w:r>
            <w:rPr>
              <w:rFonts w:ascii="Times New Roman" w:hAnsi="Times New Roman"/>
              <w:sz w:val="32"/>
              <w:szCs w:val="32"/>
            </w:rPr>
            <w:fldChar w:fldCharType="separate"/>
          </w:r>
          <w:r>
            <w:rPr>
              <w:rFonts w:ascii="Times New Roman" w:hAnsi="Times New Roman"/>
              <w:sz w:val="32"/>
              <w:szCs w:val="32"/>
            </w:rPr>
            <w:t>51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0FEB4AAB">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_Toc2466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（一）教学设施</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_Toc2466 \h </w:instrText>
          </w:r>
          <w:r>
            <w:rPr>
              <w:rFonts w:ascii="Times New Roman" w:hAnsi="Times New Roman"/>
              <w:sz w:val="32"/>
              <w:szCs w:val="32"/>
            </w:rPr>
            <w:fldChar w:fldCharType="separate"/>
          </w:r>
          <w:r>
            <w:rPr>
              <w:rFonts w:ascii="Times New Roman" w:hAnsi="Times New Roman"/>
              <w:sz w:val="32"/>
              <w:szCs w:val="32"/>
            </w:rPr>
            <w:t>51</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037914E6">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_Toc28039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（二）教学资源</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_Toc28039 \h </w:instrText>
          </w:r>
          <w:r>
            <w:rPr>
              <w:rFonts w:ascii="Times New Roman" w:hAnsi="Times New Roman"/>
              <w:sz w:val="32"/>
              <w:szCs w:val="32"/>
            </w:rPr>
            <w:fldChar w:fldCharType="separate"/>
          </w:r>
          <w:r>
            <w:rPr>
              <w:rFonts w:ascii="Times New Roman" w:hAnsi="Times New Roman"/>
              <w:sz w:val="32"/>
              <w:szCs w:val="32"/>
            </w:rPr>
            <w:t>53</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1FA5D045">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_Toc30951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（三）教学方法</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_Toc30951 \h </w:instrText>
          </w:r>
          <w:r>
            <w:rPr>
              <w:rFonts w:ascii="Times New Roman" w:hAnsi="Times New Roman"/>
              <w:sz w:val="32"/>
              <w:szCs w:val="32"/>
            </w:rPr>
            <w:fldChar w:fldCharType="separate"/>
          </w:r>
          <w:r>
            <w:rPr>
              <w:rFonts w:ascii="Times New Roman" w:hAnsi="Times New Roman"/>
              <w:sz w:val="32"/>
              <w:szCs w:val="32"/>
            </w:rPr>
            <w:t>56</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099DB0D8">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_Toc1910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（四）学习评价</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_Toc1910 \h </w:instrText>
          </w:r>
          <w:r>
            <w:rPr>
              <w:rFonts w:ascii="Times New Roman" w:hAnsi="Times New Roman"/>
              <w:sz w:val="32"/>
              <w:szCs w:val="32"/>
            </w:rPr>
            <w:fldChar w:fldCharType="separate"/>
          </w:r>
          <w:r>
            <w:rPr>
              <w:rFonts w:ascii="Times New Roman" w:hAnsi="Times New Roman"/>
              <w:sz w:val="32"/>
              <w:szCs w:val="32"/>
            </w:rPr>
            <w:t>57</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6D19D488">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_Toc6703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十一、质量保障</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_Toc6703 \h </w:instrText>
          </w:r>
          <w:r>
            <w:rPr>
              <w:rFonts w:ascii="Times New Roman" w:hAnsi="Times New Roman"/>
              <w:sz w:val="32"/>
              <w:szCs w:val="32"/>
            </w:rPr>
            <w:fldChar w:fldCharType="separate"/>
          </w:r>
          <w:r>
            <w:rPr>
              <w:rFonts w:ascii="Times New Roman" w:hAnsi="Times New Roman"/>
              <w:sz w:val="32"/>
              <w:szCs w:val="32"/>
            </w:rPr>
            <w:t>57</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1C84AE30">
          <w:pPr>
            <w:pStyle w:val="7"/>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_Toc12375 </w:instrText>
          </w:r>
          <w:r>
            <w:rPr>
              <w:rFonts w:hint="eastAsia" w:ascii="Times New Roman" w:hAnsi="Times New Roman" w:eastAsia="黑体" w:cs="黑体"/>
              <w:bCs/>
              <w:kern w:val="0"/>
              <w:sz w:val="32"/>
              <w:szCs w:val="32"/>
            </w:rPr>
            <w:fldChar w:fldCharType="separate"/>
          </w:r>
          <w:r>
            <w:rPr>
              <w:rFonts w:hint="eastAsia" w:ascii="Times New Roman" w:hAnsi="Times New Roman" w:eastAsia="黑体" w:cs="黑体"/>
              <w:sz w:val="32"/>
              <w:szCs w:val="32"/>
              <w:highlight w:val="none"/>
            </w:rPr>
            <w:t>十二、毕业要求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_Toc12375 \h </w:instrText>
          </w:r>
          <w:r>
            <w:rPr>
              <w:rFonts w:ascii="Times New Roman" w:hAnsi="Times New Roman"/>
              <w:sz w:val="32"/>
              <w:szCs w:val="32"/>
            </w:rPr>
            <w:fldChar w:fldCharType="separate"/>
          </w:r>
          <w:r>
            <w:rPr>
              <w:rFonts w:ascii="Times New Roman" w:hAnsi="Times New Roman"/>
              <w:sz w:val="32"/>
              <w:szCs w:val="32"/>
            </w:rPr>
            <w:t>58</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218B9367">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_Toc25801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rPr>
            <w:t xml:space="preserve">（一） </w:t>
          </w:r>
          <w:r>
            <w:rPr>
              <w:rFonts w:hint="eastAsia" w:ascii="Times New Roman" w:hAnsi="Times New Roman" w:eastAsia="楷体" w:cs="楷体"/>
              <w:sz w:val="32"/>
              <w:szCs w:val="32"/>
              <w:highlight w:val="none"/>
            </w:rPr>
            <w:t>学分要求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_Toc25801 \h </w:instrText>
          </w:r>
          <w:r>
            <w:rPr>
              <w:rFonts w:ascii="Times New Roman" w:hAnsi="Times New Roman"/>
              <w:sz w:val="32"/>
              <w:szCs w:val="32"/>
            </w:rPr>
            <w:fldChar w:fldCharType="separate"/>
          </w:r>
          <w:r>
            <w:rPr>
              <w:rFonts w:ascii="Times New Roman" w:hAnsi="Times New Roman"/>
              <w:sz w:val="32"/>
              <w:szCs w:val="32"/>
            </w:rPr>
            <w:t>58</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38C4241D">
          <w:pPr>
            <w:pStyle w:val="8"/>
            <w:keepNext w:val="0"/>
            <w:keepLines w:val="0"/>
            <w:pageBreakBefore w:val="0"/>
            <w:widowControl w:val="0"/>
            <w:tabs>
              <w:tab w:val="right" w:leader="dot" w:pos="8505"/>
            </w:tabs>
            <w:kinsoku/>
            <w:wordWrap/>
            <w:overflowPunct/>
            <w:topLinePunct w:val="0"/>
            <w:autoSpaceDE/>
            <w:autoSpaceDN/>
            <w:bidi w:val="0"/>
            <w:adjustRightInd/>
            <w:snapToGrid/>
            <w:spacing w:line="440" w:lineRule="exact"/>
            <w:textAlignment w:val="auto"/>
            <w:rPr>
              <w:rFonts w:ascii="Times New Roman" w:hAnsi="Times New Roman"/>
              <w:sz w:val="32"/>
              <w:szCs w:val="32"/>
            </w:rPr>
          </w:pPr>
          <w:r>
            <w:rPr>
              <w:rFonts w:hint="eastAsia" w:ascii="Times New Roman" w:hAnsi="Times New Roman" w:eastAsia="黑体" w:cs="黑体"/>
              <w:bCs/>
              <w:kern w:val="0"/>
              <w:sz w:val="32"/>
              <w:szCs w:val="32"/>
            </w:rPr>
            <w:fldChar w:fldCharType="begin"/>
          </w:r>
          <w:r>
            <w:rPr>
              <w:rFonts w:hint="eastAsia" w:ascii="Times New Roman" w:hAnsi="Times New Roman" w:eastAsia="黑体" w:cs="黑体"/>
              <w:bCs/>
              <w:kern w:val="0"/>
              <w:sz w:val="32"/>
              <w:szCs w:val="32"/>
            </w:rPr>
            <w:instrText xml:space="preserve"> HYPERLINK \l _Toc16158 </w:instrText>
          </w:r>
          <w:r>
            <w:rPr>
              <w:rFonts w:hint="eastAsia" w:ascii="Times New Roman" w:hAnsi="Times New Roman" w:eastAsia="黑体" w:cs="黑体"/>
              <w:bCs/>
              <w:kern w:val="0"/>
              <w:sz w:val="32"/>
              <w:szCs w:val="32"/>
            </w:rPr>
            <w:fldChar w:fldCharType="separate"/>
          </w:r>
          <w:r>
            <w:rPr>
              <w:rFonts w:hint="eastAsia" w:ascii="Times New Roman" w:hAnsi="Times New Roman" w:eastAsia="楷体" w:cs="楷体"/>
              <w:sz w:val="32"/>
              <w:szCs w:val="32"/>
              <w:highlight w:val="none"/>
            </w:rPr>
            <w:t>（二）综合素质要求</w:t>
          </w:r>
          <w:r>
            <w:rPr>
              <w:rFonts w:ascii="Times New Roman" w:hAnsi="Times New Roman"/>
              <w:sz w:val="32"/>
              <w:szCs w:val="32"/>
            </w:rPr>
            <w:tab/>
          </w:r>
          <w:r>
            <w:rPr>
              <w:rFonts w:ascii="Times New Roman" w:hAnsi="Times New Roman"/>
              <w:sz w:val="32"/>
              <w:szCs w:val="32"/>
            </w:rPr>
            <w:fldChar w:fldCharType="begin"/>
          </w:r>
          <w:r>
            <w:rPr>
              <w:rFonts w:ascii="Times New Roman" w:hAnsi="Times New Roman"/>
              <w:sz w:val="32"/>
              <w:szCs w:val="32"/>
            </w:rPr>
            <w:instrText xml:space="preserve"> PAGEREF _Toc16158 \h </w:instrText>
          </w:r>
          <w:r>
            <w:rPr>
              <w:rFonts w:ascii="Times New Roman" w:hAnsi="Times New Roman"/>
              <w:sz w:val="32"/>
              <w:szCs w:val="32"/>
            </w:rPr>
            <w:fldChar w:fldCharType="separate"/>
          </w:r>
          <w:r>
            <w:rPr>
              <w:rFonts w:ascii="Times New Roman" w:hAnsi="Times New Roman"/>
              <w:sz w:val="32"/>
              <w:szCs w:val="32"/>
            </w:rPr>
            <w:t>59</w:t>
          </w:r>
          <w:r>
            <w:rPr>
              <w:rFonts w:ascii="Times New Roman" w:hAnsi="Times New Roman"/>
              <w:sz w:val="32"/>
              <w:szCs w:val="32"/>
            </w:rPr>
            <w:fldChar w:fldCharType="end"/>
          </w:r>
          <w:r>
            <w:rPr>
              <w:rFonts w:hint="eastAsia" w:ascii="Times New Roman" w:hAnsi="Times New Roman" w:eastAsia="黑体" w:cs="黑体"/>
              <w:bCs/>
              <w:kern w:val="0"/>
              <w:sz w:val="32"/>
              <w:szCs w:val="32"/>
            </w:rPr>
            <w:fldChar w:fldCharType="end"/>
          </w:r>
        </w:p>
        <w:p w14:paraId="7DB41659">
          <w:pPr>
            <w:widowControl/>
            <w:overflowPunct w:val="0"/>
            <w:adjustRightInd w:val="0"/>
            <w:snapToGrid w:val="0"/>
            <w:jc w:val="center"/>
            <w:rPr>
              <w:rFonts w:hint="eastAsia" w:ascii="Times New Roman" w:hAnsi="Times New Roman" w:eastAsia="黑体" w:cs="黑体"/>
              <w:bCs/>
              <w:kern w:val="0"/>
              <w:sz w:val="21"/>
              <w:szCs w:val="52"/>
              <w:lang w:val="en-US" w:eastAsia="zh-CN" w:bidi="ar-SA"/>
            </w:rPr>
          </w:pPr>
          <w:r>
            <w:rPr>
              <w:rFonts w:hint="eastAsia" w:ascii="Times New Roman" w:hAnsi="Times New Roman" w:eastAsia="黑体" w:cs="黑体"/>
              <w:bCs/>
              <w:kern w:val="0"/>
              <w:sz w:val="32"/>
              <w:szCs w:val="32"/>
            </w:rPr>
            <w:fldChar w:fldCharType="end"/>
          </w:r>
        </w:p>
      </w:sdtContent>
    </w:sdt>
    <w:p w14:paraId="7293C137">
      <w:pPr>
        <w:widowControl/>
        <w:overflowPunct w:val="0"/>
        <w:adjustRightInd w:val="0"/>
        <w:snapToGrid w:val="0"/>
        <w:jc w:val="center"/>
        <w:rPr>
          <w:rFonts w:hint="eastAsia" w:ascii="Times New Roman" w:hAnsi="Times New Roman" w:eastAsia="黑体" w:cs="黑体"/>
          <w:bCs/>
          <w:kern w:val="0"/>
          <w:sz w:val="21"/>
          <w:szCs w:val="52"/>
          <w:lang w:val="en-US" w:eastAsia="zh-CN" w:bidi="ar-SA"/>
        </w:rPr>
      </w:pPr>
    </w:p>
    <w:p w14:paraId="16B6F006">
      <w:pPr>
        <w:widowControl/>
        <w:overflowPunct w:val="0"/>
        <w:adjustRightInd w:val="0"/>
        <w:snapToGrid w:val="0"/>
        <w:rPr>
          <w:rFonts w:hint="eastAsia" w:ascii="Times New Roman" w:hAnsi="Times New Roman" w:eastAsia="黑体" w:cs="黑体"/>
          <w:b/>
          <w:bCs/>
          <w:kern w:val="0"/>
          <w:sz w:val="52"/>
          <w:szCs w:val="52"/>
        </w:rPr>
        <w:sectPr>
          <w:pgSz w:w="11906" w:h="16838"/>
          <w:pgMar w:top="1417" w:right="1417" w:bottom="1417" w:left="1984" w:header="851" w:footer="992" w:gutter="0"/>
          <w:pgNumType w:start="1"/>
          <w:cols w:space="425" w:num="1"/>
          <w:docGrid w:type="lines" w:linePitch="312" w:charSpace="0"/>
        </w:sectPr>
      </w:pPr>
    </w:p>
    <w:p w14:paraId="35A1B516">
      <w:pPr>
        <w:widowControl/>
        <w:tabs>
          <w:tab w:val="left" w:pos="3708"/>
        </w:tabs>
        <w:overflowPunct w:val="0"/>
        <w:adjustRightInd w:val="0"/>
        <w:snapToGrid w:val="0"/>
        <w:jc w:val="center"/>
        <w:rPr>
          <w:rFonts w:hint="eastAsia" w:ascii="Times New Roman" w:hAnsi="Times New Roman" w:eastAsia="方正小标宋简体" w:cs="方正小标宋简体"/>
          <w:bCs/>
          <w:sz w:val="44"/>
          <w:szCs w:val="44"/>
        </w:rPr>
      </w:pPr>
      <w:r>
        <w:rPr>
          <w:rFonts w:hint="eastAsia" w:ascii="Times New Roman" w:hAnsi="Times New Roman" w:eastAsia="方正小标宋简体" w:cs="方正小标宋简体"/>
          <w:bCs/>
          <w:sz w:val="44"/>
          <w:szCs w:val="44"/>
        </w:rPr>
        <w:t>电子信息工程技术专业人才培养方案</w:t>
      </w:r>
    </w:p>
    <w:p w14:paraId="06B2A01B">
      <w:pPr>
        <w:overflowPunct w:val="0"/>
        <w:adjustRightInd w:val="0"/>
        <w:snapToGrid w:val="0"/>
        <w:spacing w:after="0" w:line="520" w:lineRule="exact"/>
        <w:jc w:val="center"/>
        <w:rPr>
          <w:rFonts w:hint="eastAsia" w:ascii="Times New Roman" w:hAnsi="Times New Roman" w:eastAsia="方正小标宋简体" w:cs="方正小标宋简体"/>
          <w:bCs/>
          <w:sz w:val="44"/>
          <w:szCs w:val="44"/>
        </w:rPr>
      </w:pPr>
    </w:p>
    <w:p w14:paraId="4F294005">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highlight w:val="none"/>
        </w:rPr>
      </w:pPr>
      <w:bookmarkStart w:id="0" w:name="_Toc30163"/>
      <w:r>
        <w:rPr>
          <w:rFonts w:hint="eastAsia" w:ascii="Times New Roman" w:hAnsi="Times New Roman" w:eastAsia="黑体" w:cs="黑体"/>
          <w:sz w:val="32"/>
          <w:szCs w:val="32"/>
          <w:highlight w:val="none"/>
        </w:rPr>
        <w:t>一、专业名称及代码</w:t>
      </w:r>
      <w:bookmarkEnd w:id="0"/>
    </w:p>
    <w:p w14:paraId="7619B6E1">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专业名称：电子信息工程技术专业</w:t>
      </w:r>
    </w:p>
    <w:p w14:paraId="630DC7F2">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 xml:space="preserve">专业代码：510101 </w:t>
      </w:r>
    </w:p>
    <w:p w14:paraId="1D13E3CA">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highlight w:val="none"/>
        </w:rPr>
      </w:pPr>
      <w:bookmarkStart w:id="1" w:name="_Toc23317"/>
      <w:r>
        <w:rPr>
          <w:rFonts w:hint="eastAsia" w:ascii="Times New Roman" w:hAnsi="Times New Roman" w:eastAsia="黑体" w:cs="黑体"/>
          <w:sz w:val="32"/>
          <w:szCs w:val="32"/>
          <w:highlight w:val="none"/>
        </w:rPr>
        <w:t>二、入学要求</w:t>
      </w:r>
      <w:bookmarkEnd w:id="1"/>
    </w:p>
    <w:p w14:paraId="02B5B51A">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中等职业学校毕业、普通高级中学毕业或具备同等学力。</w:t>
      </w:r>
    </w:p>
    <w:p w14:paraId="53146621">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highlight w:val="none"/>
        </w:rPr>
      </w:pPr>
      <w:bookmarkStart w:id="2" w:name="_Toc8743"/>
      <w:r>
        <w:rPr>
          <w:rFonts w:hint="eastAsia" w:ascii="Times New Roman" w:hAnsi="Times New Roman" w:eastAsia="黑体" w:cs="黑体"/>
          <w:sz w:val="32"/>
          <w:szCs w:val="32"/>
          <w:highlight w:val="none"/>
        </w:rPr>
        <w:t>三、基本修业年限</w:t>
      </w:r>
      <w:bookmarkEnd w:id="2"/>
    </w:p>
    <w:p w14:paraId="063B05DE">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标准修业年限为3年，弹性学分有效修业年限为2-5年。</w:t>
      </w:r>
    </w:p>
    <w:p w14:paraId="083716BB">
      <w:pPr>
        <w:overflowPunct w:val="0"/>
        <w:adjustRightInd w:val="0"/>
        <w:snapToGrid w:val="0"/>
        <w:spacing w:after="0" w:line="520" w:lineRule="exact"/>
        <w:ind w:firstLine="640" w:firstLineChars="200"/>
        <w:outlineLvl w:val="0"/>
        <w:rPr>
          <w:rFonts w:hint="eastAsia" w:ascii="Times New Roman" w:hAnsi="Times New Roman" w:eastAsia="黑体" w:cs="黑体"/>
          <w:sz w:val="32"/>
          <w:szCs w:val="32"/>
          <w:highlight w:val="none"/>
        </w:rPr>
      </w:pPr>
      <w:bookmarkStart w:id="3" w:name="_Toc27227"/>
      <w:r>
        <w:rPr>
          <w:rFonts w:hint="eastAsia" w:ascii="Times New Roman" w:hAnsi="Times New Roman" w:eastAsia="黑体" w:cs="黑体"/>
          <w:sz w:val="32"/>
          <w:szCs w:val="32"/>
          <w:highlight w:val="none"/>
        </w:rPr>
        <w:t>四、职业面向</w:t>
      </w:r>
      <w:bookmarkEnd w:id="3"/>
    </w:p>
    <w:p w14:paraId="3CD452B1">
      <w:pPr>
        <w:overflowPunct w:val="0"/>
        <w:adjustRightInd w:val="0"/>
        <w:spacing w:after="0" w:line="520" w:lineRule="exact"/>
        <w:ind w:firstLine="640" w:firstLineChars="200"/>
        <w:jc w:val="center"/>
        <w:rPr>
          <w:rFonts w:hint="eastAsia" w:ascii="Times New Roman" w:hAnsi="Times New Roman" w:eastAsia="仿宋"/>
          <w:sz w:val="32"/>
          <w:szCs w:val="32"/>
          <w:highlight w:val="none"/>
        </w:rPr>
      </w:pPr>
      <w:r>
        <w:rPr>
          <w:rFonts w:hint="eastAsia" w:ascii="Times New Roman" w:hAnsi="Times New Roman" w:eastAsia="仿宋_GB2312" w:cs="仿宋_GB2312"/>
          <w:sz w:val="32"/>
          <w:szCs w:val="32"/>
          <w:highlight w:val="none"/>
        </w:rPr>
        <w:t>表1职业岗位分析表</w:t>
      </w:r>
    </w:p>
    <w:tbl>
      <w:tblPr>
        <w:tblStyle w:val="11"/>
        <w:tblW w:w="10084"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333"/>
        <w:gridCol w:w="1178"/>
        <w:gridCol w:w="2584"/>
        <w:gridCol w:w="1835"/>
        <w:gridCol w:w="1871"/>
      </w:tblGrid>
      <w:tr w14:paraId="4965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283" w:type="dxa"/>
            <w:vAlign w:val="center"/>
          </w:tcPr>
          <w:p w14:paraId="1EC88B5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所属专业大类</w:t>
            </w:r>
          </w:p>
          <w:p w14:paraId="3CD1C5A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（代码）</w:t>
            </w:r>
          </w:p>
        </w:tc>
        <w:tc>
          <w:tcPr>
            <w:tcW w:w="1333" w:type="dxa"/>
            <w:vAlign w:val="center"/>
          </w:tcPr>
          <w:p w14:paraId="6392CEB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所属专业类</w:t>
            </w:r>
          </w:p>
          <w:p w14:paraId="0BDFB83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（代码）</w:t>
            </w:r>
          </w:p>
        </w:tc>
        <w:tc>
          <w:tcPr>
            <w:tcW w:w="1178" w:type="dxa"/>
            <w:vAlign w:val="center"/>
          </w:tcPr>
          <w:p w14:paraId="4384248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对应行业（代码）</w:t>
            </w:r>
          </w:p>
        </w:tc>
        <w:tc>
          <w:tcPr>
            <w:tcW w:w="2584" w:type="dxa"/>
            <w:vAlign w:val="center"/>
          </w:tcPr>
          <w:p w14:paraId="5D57C3B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主要职业类别</w:t>
            </w:r>
          </w:p>
          <w:p w14:paraId="05CB1FF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（代码）</w:t>
            </w:r>
          </w:p>
        </w:tc>
        <w:tc>
          <w:tcPr>
            <w:tcW w:w="1835" w:type="dxa"/>
            <w:vAlign w:val="center"/>
          </w:tcPr>
          <w:p w14:paraId="297858A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主要岗位（群）或技术领域</w:t>
            </w:r>
          </w:p>
        </w:tc>
        <w:tc>
          <w:tcPr>
            <w:tcW w:w="1871" w:type="dxa"/>
            <w:vAlign w:val="center"/>
          </w:tcPr>
          <w:p w14:paraId="2EB9D6C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职业类证书</w:t>
            </w:r>
          </w:p>
        </w:tc>
      </w:tr>
      <w:tr w14:paraId="33AA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5" w:hRule="atLeast"/>
        </w:trPr>
        <w:tc>
          <w:tcPr>
            <w:tcW w:w="1283" w:type="dxa"/>
          </w:tcPr>
          <w:p w14:paraId="533AE1D4">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bookmarkStart w:id="4" w:name="OLE_LINK1" w:colFirst="0" w:colLast="5"/>
            <w:r>
              <w:rPr>
                <w:rFonts w:hint="eastAsia" w:ascii="Times New Roman" w:hAnsi="Times New Roman" w:eastAsia="仿宋_GB2312" w:cs="仿宋_GB2312"/>
                <w:sz w:val="24"/>
                <w:szCs w:val="24"/>
                <w:highlight w:val="none"/>
              </w:rPr>
              <w:t>电子与信息大类（51）</w:t>
            </w:r>
          </w:p>
          <w:p w14:paraId="16751A55">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p>
        </w:tc>
        <w:tc>
          <w:tcPr>
            <w:tcW w:w="1333" w:type="dxa"/>
          </w:tcPr>
          <w:p w14:paraId="0C6A7944">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电子信息类（5101）</w:t>
            </w:r>
          </w:p>
        </w:tc>
        <w:tc>
          <w:tcPr>
            <w:tcW w:w="1178" w:type="dxa"/>
          </w:tcPr>
          <w:p w14:paraId="6A6DE280">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计算机、通信和其他电子设备制造业（39）</w:t>
            </w:r>
          </w:p>
          <w:p w14:paraId="6E8A1452">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p>
        </w:tc>
        <w:tc>
          <w:tcPr>
            <w:tcW w:w="2584" w:type="dxa"/>
          </w:tcPr>
          <w:p w14:paraId="65D3E776">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电子工程技术人员（</w:t>
            </w:r>
            <w:r>
              <w:rPr>
                <w:rFonts w:ascii="Times New Roman" w:hAnsi="Times New Roman" w:eastAsia="仿宋_GB2312" w:cs="仿宋_GB2312"/>
                <w:sz w:val="24"/>
                <w:szCs w:val="24"/>
                <w:highlight w:val="none"/>
              </w:rPr>
              <w:t>2-02-09</w:t>
            </w:r>
            <w:r>
              <w:rPr>
                <w:rFonts w:hint="eastAsia" w:ascii="Times New Roman" w:hAnsi="Times New Roman" w:eastAsia="仿宋_GB2312" w:cs="仿宋_GB2312"/>
                <w:sz w:val="24"/>
                <w:szCs w:val="24"/>
                <w:highlight w:val="none"/>
              </w:rPr>
              <w:t>）、</w:t>
            </w:r>
          </w:p>
          <w:p w14:paraId="498EF253">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信息和通信工程技术人员（</w:t>
            </w:r>
            <w:r>
              <w:rPr>
                <w:rFonts w:ascii="Times New Roman" w:hAnsi="Times New Roman" w:eastAsia="仿宋_GB2312" w:cs="仿宋_GB2312"/>
                <w:sz w:val="24"/>
                <w:szCs w:val="24"/>
                <w:highlight w:val="none"/>
              </w:rPr>
              <w:t>2-02-10</w:t>
            </w:r>
            <w:r>
              <w:rPr>
                <w:rFonts w:hint="eastAsia" w:ascii="Times New Roman" w:hAnsi="Times New Roman" w:eastAsia="仿宋_GB2312" w:cs="仿宋_GB2312"/>
                <w:sz w:val="24"/>
                <w:szCs w:val="24"/>
                <w:highlight w:val="none"/>
              </w:rPr>
              <w:t>）、</w:t>
            </w:r>
          </w:p>
          <w:p w14:paraId="1210DD80">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物联网工程技术人员</w:t>
            </w:r>
            <w:r>
              <w:rPr>
                <w:rFonts w:ascii="Times New Roman" w:hAnsi="Times New Roman" w:eastAsia="仿宋_GB2312" w:cs="仿宋_GB2312"/>
                <w:sz w:val="24"/>
                <w:szCs w:val="24"/>
                <w:highlight w:val="none"/>
              </w:rPr>
              <w:t>S</w:t>
            </w:r>
            <w:r>
              <w:rPr>
                <w:rFonts w:hint="eastAsia" w:ascii="Times New Roman" w:hAnsi="Times New Roman" w:eastAsia="仿宋_GB2312" w:cs="仿宋_GB2312"/>
                <w:sz w:val="24"/>
                <w:szCs w:val="24"/>
                <w:highlight w:val="none"/>
              </w:rPr>
              <w:t>（</w:t>
            </w:r>
            <w:r>
              <w:rPr>
                <w:rFonts w:ascii="Times New Roman" w:hAnsi="Times New Roman" w:eastAsia="仿宋_GB2312" w:cs="仿宋_GB2312"/>
                <w:sz w:val="24"/>
                <w:szCs w:val="24"/>
                <w:highlight w:val="none"/>
              </w:rPr>
              <w:t>2-02-38-02</w:t>
            </w:r>
            <w:r>
              <w:rPr>
                <w:rFonts w:hint="eastAsia" w:ascii="Times New Roman" w:hAnsi="Times New Roman" w:eastAsia="仿宋_GB2312" w:cs="仿宋_GB2312"/>
                <w:sz w:val="24"/>
                <w:szCs w:val="24"/>
                <w:highlight w:val="none"/>
              </w:rPr>
              <w:t>）、计算机制造人员（</w:t>
            </w:r>
            <w:r>
              <w:rPr>
                <w:rFonts w:ascii="Times New Roman" w:hAnsi="Times New Roman" w:eastAsia="仿宋_GB2312" w:cs="仿宋_GB2312"/>
                <w:sz w:val="24"/>
                <w:szCs w:val="24"/>
                <w:highlight w:val="none"/>
              </w:rPr>
              <w:t>6-25-03</w:t>
            </w:r>
            <w:r>
              <w:rPr>
                <w:rFonts w:hint="eastAsia" w:ascii="Times New Roman" w:hAnsi="Times New Roman" w:eastAsia="仿宋_GB2312" w:cs="仿宋_GB2312"/>
                <w:sz w:val="24"/>
                <w:szCs w:val="24"/>
                <w:highlight w:val="none"/>
              </w:rPr>
              <w:t>）、</w:t>
            </w:r>
          </w:p>
          <w:p w14:paraId="48F15182">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电子设备装配调试人员（</w:t>
            </w:r>
            <w:r>
              <w:rPr>
                <w:rFonts w:ascii="Times New Roman" w:hAnsi="Times New Roman" w:eastAsia="仿宋_GB2312" w:cs="仿宋_GB2312"/>
                <w:sz w:val="24"/>
                <w:szCs w:val="24"/>
                <w:highlight w:val="none"/>
              </w:rPr>
              <w:t>6-25-04</w:t>
            </w:r>
            <w:r>
              <w:rPr>
                <w:rFonts w:hint="eastAsia" w:ascii="Times New Roman" w:hAnsi="Times New Roman" w:eastAsia="仿宋_GB2312" w:cs="仿宋_GB2312"/>
                <w:sz w:val="24"/>
                <w:szCs w:val="24"/>
                <w:highlight w:val="none"/>
              </w:rPr>
              <w:t>）、智能硬件装调员（</w:t>
            </w:r>
            <w:r>
              <w:rPr>
                <w:rFonts w:ascii="Times New Roman" w:hAnsi="Times New Roman" w:eastAsia="仿宋_GB2312" w:cs="仿宋_GB2312"/>
                <w:sz w:val="24"/>
                <w:szCs w:val="24"/>
                <w:highlight w:val="none"/>
              </w:rPr>
              <w:t>6-25-04-05</w:t>
            </w:r>
            <w:r>
              <w:rPr>
                <w:rFonts w:hint="eastAsia" w:ascii="Times New Roman" w:hAnsi="Times New Roman" w:eastAsia="仿宋_GB2312" w:cs="仿宋_GB2312"/>
                <w:sz w:val="24"/>
                <w:szCs w:val="24"/>
                <w:highlight w:val="none"/>
              </w:rPr>
              <w:t>）、</w:t>
            </w:r>
          </w:p>
          <w:p w14:paraId="077EE201">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其他计算机、通信和其他电子设备制造人员（</w:t>
            </w:r>
            <w:r>
              <w:rPr>
                <w:rFonts w:ascii="Times New Roman" w:hAnsi="Times New Roman" w:eastAsia="仿宋_GB2312" w:cs="仿宋_GB2312"/>
                <w:sz w:val="24"/>
                <w:szCs w:val="24"/>
                <w:highlight w:val="none"/>
              </w:rPr>
              <w:t>6-25-99</w:t>
            </w:r>
            <w:r>
              <w:rPr>
                <w:rFonts w:hint="eastAsia" w:ascii="Times New Roman" w:hAnsi="Times New Roman" w:eastAsia="仿宋_GB2312" w:cs="仿宋_GB2312"/>
                <w:sz w:val="24"/>
                <w:szCs w:val="24"/>
                <w:highlight w:val="none"/>
              </w:rPr>
              <w:t>）</w:t>
            </w:r>
          </w:p>
        </w:tc>
        <w:tc>
          <w:tcPr>
            <w:tcW w:w="1835" w:type="dxa"/>
          </w:tcPr>
          <w:p w14:paraId="46EA3D9A">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智能电子产品设计开发，智能电子产品装配调试、检测认证、生产管理，智能电子产品维护维修，智能应用系统集成、运行维护</w:t>
            </w:r>
          </w:p>
          <w:p w14:paraId="55EA5C9F">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p>
        </w:tc>
        <w:tc>
          <w:tcPr>
            <w:tcW w:w="1871" w:type="dxa"/>
          </w:tcPr>
          <w:p w14:paraId="47AABC05">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传感网应用开发、集成电路开发与测试、网络系统建设与运维、无人</w:t>
            </w:r>
          </w:p>
          <w:p w14:paraId="7CC4AFBF">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机驾驶、</w:t>
            </w:r>
            <w:r>
              <w:rPr>
                <w:rFonts w:ascii="Times New Roman" w:hAnsi="Times New Roman" w:eastAsia="仿宋_GB2312" w:cs="仿宋_GB2312"/>
                <w:sz w:val="24"/>
                <w:szCs w:val="24"/>
                <w:highlight w:val="none"/>
              </w:rPr>
              <w:t>5G</w:t>
            </w:r>
            <w:r>
              <w:rPr>
                <w:rFonts w:hint="eastAsia" w:ascii="Times New Roman" w:hAnsi="Times New Roman" w:eastAsia="仿宋_GB2312" w:cs="仿宋_GB2312"/>
                <w:sz w:val="24"/>
                <w:szCs w:val="24"/>
                <w:highlight w:val="none"/>
              </w:rPr>
              <w:t>移动网络运维、智能硬件应用开发、电子装联、</w:t>
            </w:r>
            <w:r>
              <w:rPr>
                <w:rFonts w:ascii="Times New Roman" w:hAnsi="Times New Roman" w:eastAsia="仿宋_GB2312" w:cs="仿宋_GB2312"/>
                <w:sz w:val="24"/>
                <w:szCs w:val="24"/>
                <w:highlight w:val="none"/>
              </w:rPr>
              <w:t>LED</w:t>
            </w:r>
            <w:r>
              <w:rPr>
                <w:rFonts w:hint="eastAsia" w:ascii="Times New Roman" w:hAnsi="Times New Roman" w:eastAsia="仿宋_GB2312" w:cs="仿宋_GB2312"/>
                <w:sz w:val="24"/>
                <w:szCs w:val="24"/>
                <w:highlight w:val="none"/>
              </w:rPr>
              <w:t>显</w:t>
            </w:r>
          </w:p>
          <w:p w14:paraId="2DEAE961">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r>
              <w:rPr>
                <w:rFonts w:hint="eastAsia" w:ascii="Times New Roman" w:hAnsi="Times New Roman" w:eastAsia="仿宋_GB2312" w:cs="仿宋_GB2312"/>
                <w:sz w:val="24"/>
                <w:szCs w:val="24"/>
                <w:highlight w:val="none"/>
              </w:rPr>
              <w:t>示屏应用</w:t>
            </w:r>
          </w:p>
          <w:p w14:paraId="3F681D35">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Times New Roman" w:hAnsi="Times New Roman" w:eastAsia="仿宋_GB2312" w:cs="仿宋_GB2312"/>
                <w:sz w:val="24"/>
                <w:szCs w:val="24"/>
                <w:highlight w:val="none"/>
              </w:rPr>
            </w:pPr>
          </w:p>
        </w:tc>
      </w:tr>
      <w:bookmarkEnd w:id="4"/>
    </w:tbl>
    <w:p w14:paraId="7D630958">
      <w:pPr>
        <w:overflowPunct w:val="0"/>
        <w:adjustRightInd w:val="0"/>
        <w:spacing w:after="0" w:line="520" w:lineRule="exact"/>
        <w:ind w:firstLine="640" w:firstLineChars="200"/>
        <w:outlineLvl w:val="0"/>
        <w:rPr>
          <w:rFonts w:hint="eastAsia" w:ascii="Times New Roman" w:hAnsi="Times New Roman" w:eastAsia="黑体" w:cs="黑体"/>
          <w:sz w:val="32"/>
          <w:szCs w:val="32"/>
          <w:highlight w:val="none"/>
        </w:rPr>
      </w:pPr>
      <w:bookmarkStart w:id="5" w:name="_Toc29622"/>
      <w:r>
        <w:rPr>
          <w:rFonts w:hint="eastAsia" w:ascii="Times New Roman" w:hAnsi="Times New Roman" w:eastAsia="黑体" w:cs="黑体"/>
          <w:sz w:val="32"/>
          <w:szCs w:val="32"/>
          <w:highlight w:val="none"/>
        </w:rPr>
        <w:t>五、培养目标</w:t>
      </w:r>
      <w:bookmarkEnd w:id="5"/>
    </w:p>
    <w:p w14:paraId="5A6C8166">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本专业培养德、智、体、美、劳全面发展，适应我</w:t>
      </w:r>
      <w:r>
        <w:rPr>
          <w:rFonts w:hint="eastAsia" w:ascii="Times New Roman" w:hAnsi="Times New Roman" w:eastAsia="仿宋GB2312" w:cs="仿宋GB2312"/>
          <w:sz w:val="32"/>
          <w:szCs w:val="32"/>
          <w:highlight w:val="none"/>
        </w:rPr>
        <w:t>国社会主义现代化建设和电子信息产业发展需要，具有一定的科学文化水平、良好</w:t>
      </w:r>
      <w:r>
        <w:rPr>
          <w:rFonts w:hint="eastAsia" w:ascii="Times New Roman" w:hAnsi="Times New Roman" w:eastAsia="仿宋GB2312" w:cs="仿宋GB2312"/>
          <w:sz w:val="32"/>
          <w:szCs w:val="32"/>
          <w:highlight w:val="none"/>
          <w:lang w:val="en-US" w:eastAsia="zh-CN"/>
        </w:rPr>
        <w:t>的</w:t>
      </w:r>
      <w:r>
        <w:rPr>
          <w:rFonts w:hint="eastAsia" w:ascii="Times New Roman" w:hAnsi="Times New Roman" w:eastAsia="仿宋GB2312" w:cs="仿宋GB2312"/>
          <w:sz w:val="32"/>
          <w:szCs w:val="32"/>
          <w:highlight w:val="none"/>
        </w:rPr>
        <w:t>人文素养、职业道德和创新意识，秉持精益求精工匠精神的高素质技术技能人才。精通读图、识别电子元件、操作仪器仪表以及工具工装的技能。面向计算机、通信以及其他电子设备制造等行业，从事电子设备装配调试、检验、维修，电子设备生产管理，电子信息系统集成，电子产品设计开发等一线岗位工作，且具备强大的就业能力和可持续发展能力的技能人才。</w:t>
      </w:r>
    </w:p>
    <w:p w14:paraId="6344A301">
      <w:pPr>
        <w:overflowPunct w:val="0"/>
        <w:adjustRightInd w:val="0"/>
        <w:spacing w:after="0" w:line="520" w:lineRule="exact"/>
        <w:ind w:firstLine="640" w:firstLineChars="200"/>
        <w:outlineLvl w:val="0"/>
        <w:rPr>
          <w:rFonts w:hint="eastAsia" w:ascii="Times New Roman" w:hAnsi="Times New Roman" w:eastAsia="黑体" w:cs="黑体"/>
          <w:sz w:val="32"/>
          <w:szCs w:val="32"/>
          <w:highlight w:val="none"/>
        </w:rPr>
      </w:pPr>
      <w:bookmarkStart w:id="6" w:name="_Toc17203"/>
      <w:r>
        <w:rPr>
          <w:rFonts w:hint="eastAsia" w:ascii="Times New Roman" w:hAnsi="Times New Roman" w:eastAsia="黑体" w:cs="黑体"/>
          <w:sz w:val="32"/>
          <w:szCs w:val="32"/>
          <w:highlight w:val="none"/>
        </w:rPr>
        <w:t>六、培养规格</w:t>
      </w:r>
      <w:bookmarkEnd w:id="6"/>
    </w:p>
    <w:p w14:paraId="51681F37">
      <w:pPr>
        <w:pStyle w:val="3"/>
        <w:spacing w:after="0" w:line="520" w:lineRule="exact"/>
        <w:ind w:firstLine="640" w:firstLineChars="200"/>
        <w:rPr>
          <w:rFonts w:hint="eastAsia" w:ascii="Times New Roman" w:hAnsi="Times New Roman" w:eastAsia="仿宋_GB2312" w:cs="仿宋_GB2312"/>
          <w:sz w:val="32"/>
          <w:szCs w:val="32"/>
          <w:highlight w:val="none"/>
          <w:lang w:eastAsia="zh-CN"/>
        </w:rPr>
      </w:pPr>
      <w:r>
        <w:rPr>
          <w:rFonts w:hint="eastAsia" w:ascii="Times New Roman" w:hAnsi="Times New Roman" w:eastAsia="仿宋_GB2312" w:cs="仿宋_GB2312"/>
          <w:sz w:val="32"/>
          <w:szCs w:val="32"/>
          <w:highlight w:val="none"/>
          <w:lang w:eastAsia="zh-CN"/>
        </w:rPr>
        <w:t>本专业学生</w:t>
      </w:r>
      <w:r>
        <w:rPr>
          <w:rFonts w:hint="eastAsia" w:ascii="Times New Roman" w:hAnsi="Times New Roman" w:eastAsia="仿宋GB2312" w:cs="仿宋GB2312"/>
          <w:sz w:val="32"/>
          <w:szCs w:val="32"/>
          <w:highlight w:val="none"/>
          <w:lang w:eastAsia="zh-CN"/>
        </w:rPr>
        <w:t>应在系统学习本专业知识并完成有关实习实训基础上，全面提升知识、能力、素质，掌握并实际运用岗位（群）需要的专业核心技术技能，实现德智体美劳全面发展，</w:t>
      </w:r>
      <w:r>
        <w:rPr>
          <w:rFonts w:hint="eastAsia" w:ascii="Times New Roman" w:hAnsi="Times New Roman" w:eastAsia="仿宋_GB2312" w:cs="仿宋_GB2312"/>
          <w:sz w:val="32"/>
          <w:szCs w:val="32"/>
          <w:highlight w:val="none"/>
          <w:lang w:eastAsia="zh-CN"/>
        </w:rPr>
        <w:t>总体上须达到以下要求：</w:t>
      </w:r>
    </w:p>
    <w:p w14:paraId="1F390CB1">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7" w:name="_Toc7614"/>
      <w:r>
        <w:rPr>
          <w:rFonts w:hint="eastAsia" w:ascii="Times New Roman" w:hAnsi="Times New Roman" w:eastAsia="楷体" w:cs="楷体"/>
          <w:sz w:val="32"/>
          <w:szCs w:val="32"/>
          <w:highlight w:val="none"/>
        </w:rPr>
        <w:t>（一）知识目标</w:t>
      </w:r>
      <w:bookmarkEnd w:id="7"/>
    </w:p>
    <w:p w14:paraId="44808460">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1.掌握电路的基础理论知识，包括电路基本定律、电路分析方法、电路定理等，能够运用这些知识对常见电路进行分析和计算。</w:t>
      </w:r>
    </w:p>
    <w:p w14:paraId="3A00CB2A">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2.掌握模拟电子技术的基础理论知识，如半导体器件的工作原理、基本放大电路、集成运算放大器、反馈放大电路等，能够识别、分析和设计简单的模拟电子电路。</w:t>
      </w:r>
    </w:p>
    <w:p w14:paraId="584EC8C0">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3.掌握数字电子技术的基础理论知识，包括数字逻辑基础、组合逻辑电路、时序逻辑电路、半导体存储器、可编程逻辑器件等，能够进行数字电路的设计和分析。</w:t>
      </w:r>
    </w:p>
    <w:p w14:paraId="7887CEEF">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4.掌握通信与网络技术基础知识，了解通信系统的基本组成和工作原理，熟悉常见的通信方式和网络拓扑结构，掌握网络协议和数据传输的基本知识。</w:t>
      </w:r>
    </w:p>
    <w:p w14:paraId="4CB5E7C7">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5.掌握电子测试的技术和方法，了解电子测量仪器的工作原理和使用方法，能够正确选择和使用电子测试仪器对电子电路和设备进行测试和故障诊断。</w:t>
      </w:r>
    </w:p>
    <w:p w14:paraId="11EB48EF">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6.掌握单片机技术和应用方法，了解单片机的硬件结构和工作原理，掌握单片机的指令系统和编程方法，能够利用单片机进行简单系统的开发和应用。</w:t>
      </w:r>
    </w:p>
    <w:p w14:paraId="555EE444">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8" w:name="_Toc20485"/>
      <w:r>
        <w:rPr>
          <w:rFonts w:hint="eastAsia" w:ascii="Times New Roman" w:hAnsi="Times New Roman" w:eastAsia="楷体" w:cs="楷体"/>
          <w:sz w:val="32"/>
          <w:szCs w:val="32"/>
          <w:highlight w:val="none"/>
        </w:rPr>
        <w:t>（二）能力目标</w:t>
      </w:r>
      <w:bookmarkEnd w:id="8"/>
    </w:p>
    <w:p w14:paraId="6A090203">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1.具有探究学习、终身学习、分析问题和解决问题的能力，能够运用所学知识和技能，对电子信息工程领域中的实际问题进行分析、研究和解决。</w:t>
      </w:r>
    </w:p>
    <w:p w14:paraId="1BE39146">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2.具有本专业需要的信息技术应用与维护能力，能够熟练使用计算机和相关软件工具，进行电子信息系统的设计、开发、测试和维护。</w:t>
      </w:r>
    </w:p>
    <w:p w14:paraId="680F2EFC">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3.能够识读电子设备的原理图和装配图，理解电子设备的工作原理和结构，能够根据图纸进行电子设备的组装和调试。</w:t>
      </w:r>
    </w:p>
    <w:p w14:paraId="321BF284">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4.能够熟练操作使用电子装配设备和工具，掌握电子元器件的安装、焊接、调试等基本技能，能够进行电子产品的手工装配和生产。能够使用电子设计软件进行电子产品的电原理图和印制</w:t>
      </w:r>
      <w:r>
        <w:rPr>
          <w:rFonts w:hint="eastAsia" w:ascii="Times New Roman" w:hAnsi="Times New Roman" w:eastAsia="仿宋GB2312" w:cs="仿宋GB2312"/>
          <w:sz w:val="32"/>
          <w:szCs w:val="32"/>
          <w:highlight w:val="none"/>
          <w:lang w:val="en-US" w:eastAsia="zh-CN"/>
        </w:rPr>
        <w:t>版</w:t>
      </w:r>
      <w:r>
        <w:rPr>
          <w:rFonts w:hint="eastAsia" w:ascii="Times New Roman" w:hAnsi="Times New Roman" w:eastAsia="仿宋GB2312" w:cs="仿宋GB2312"/>
          <w:sz w:val="32"/>
          <w:szCs w:val="32"/>
          <w:highlight w:val="none"/>
        </w:rPr>
        <w:t>图设计，如 keil、proteus、stc-isp 等软件，能够进行电路原理图的绘制、元器件库的管理、印制板图的设计和优化。</w:t>
      </w:r>
    </w:p>
    <w:p w14:paraId="1656C0FC">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5.能够操作使用电子测试仪器、仪表、工具对常见电路故障进行分析、维修，如示波器、万用表、信号发生器等仪器，能够准确判断电路故障的原因，并进行修复。</w:t>
      </w:r>
    </w:p>
    <w:p w14:paraId="07832CDA">
      <w:pPr>
        <w:overflowPunct w:val="0"/>
        <w:adjustRightInd w:val="0"/>
        <w:spacing w:after="0" w:line="540" w:lineRule="exact"/>
        <w:ind w:firstLine="640" w:firstLineChars="200"/>
        <w:outlineLvl w:val="9"/>
        <w:rPr>
          <w:rFonts w:hint="eastAsia" w:ascii="Times New Roman" w:hAnsi="Times New Roman" w:eastAsia="楷体" w:cs="楷体"/>
          <w:sz w:val="32"/>
          <w:szCs w:val="32"/>
          <w:highlight w:val="none"/>
        </w:rPr>
      </w:pPr>
      <w:r>
        <w:rPr>
          <w:rFonts w:hint="eastAsia" w:ascii="Times New Roman" w:hAnsi="Times New Roman" w:eastAsia="仿宋GB2312" w:cs="仿宋GB2312"/>
          <w:sz w:val="32"/>
          <w:szCs w:val="32"/>
          <w:highlight w:val="none"/>
        </w:rPr>
        <w:t>6.具有实施弱电工程和网络工程的综合布线能力，了解弱电工程和网络工程的设计规范和施工要求，能够进行综合布线系统的设计、施工和调试。</w:t>
      </w:r>
    </w:p>
    <w:p w14:paraId="73EC780C">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9" w:name="_Toc23720"/>
      <w:r>
        <w:rPr>
          <w:rFonts w:hint="eastAsia" w:ascii="Times New Roman" w:hAnsi="Times New Roman" w:eastAsia="楷体" w:cs="楷体"/>
          <w:sz w:val="32"/>
          <w:szCs w:val="32"/>
          <w:highlight w:val="none"/>
        </w:rPr>
        <w:t>（三）素质目标</w:t>
      </w:r>
      <w:bookmarkEnd w:id="9"/>
    </w:p>
    <w:p w14:paraId="69B2146B">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1.坚定拥护中国共产党领导和我国社会主义制度，在习近平新时代中国特色社会主义思想指引下，践行社会主义核心价值观，具有深厚的爱国情感和中华民族自豪感。</w:t>
      </w:r>
    </w:p>
    <w:p w14:paraId="0CF6F47F">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2.崇尚宪法、遵法守纪、崇德向善、诚实守信、尊重生命、热爱劳动，履行道德准则和行为规范，具有社会责任感和社会参与意识。</w:t>
      </w:r>
    </w:p>
    <w:p w14:paraId="787ECD89">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3.具有质量意识、环保意识、安全意识、信息素养、工匠精神、创新思维，具有诚信、敬业的职业理念和成为行家里手的职业理想。</w:t>
      </w:r>
    </w:p>
    <w:p w14:paraId="7600D4D9">
      <w:pPr>
        <w:overflowPunct w:val="0"/>
        <w:adjustRightInd w:val="0"/>
        <w:spacing w:after="0" w:line="540" w:lineRule="exact"/>
        <w:ind w:firstLine="640" w:firstLineChars="200"/>
        <w:outlineLvl w:val="9"/>
        <w:rPr>
          <w:rFonts w:hint="eastAsia" w:ascii="Times New Roman" w:hAnsi="Times New Roman" w:eastAsia="仿宋GB2312" w:cs="仿宋GB2312"/>
          <w:sz w:val="32"/>
          <w:szCs w:val="32"/>
          <w:highlight w:val="none"/>
        </w:rPr>
      </w:pPr>
      <w:r>
        <w:rPr>
          <w:rFonts w:hint="eastAsia" w:ascii="Times New Roman" w:hAnsi="Times New Roman" w:eastAsia="仿宋GB2312" w:cs="仿宋GB2312"/>
          <w:sz w:val="32"/>
          <w:szCs w:val="32"/>
          <w:highlight w:val="none"/>
        </w:rPr>
        <w:t>4.具有自我管理能力、职业生涯规划的意识，有较强的集体意识和团队合作精神。</w:t>
      </w:r>
    </w:p>
    <w:p w14:paraId="55FE5A45">
      <w:pPr>
        <w:adjustRightInd w:val="0"/>
        <w:snapToGrid w:val="0"/>
        <w:spacing w:after="0" w:line="520" w:lineRule="exact"/>
        <w:ind w:firstLine="640" w:firstLineChars="200"/>
        <w:outlineLvl w:val="0"/>
        <w:rPr>
          <w:rFonts w:hint="eastAsia" w:ascii="Times New Roman" w:hAnsi="Times New Roman" w:eastAsia="黑体" w:cs="黑体"/>
          <w:color w:val="000000" w:themeColor="text1"/>
          <w:sz w:val="32"/>
          <w:szCs w:val="32"/>
          <w:highlight w:val="none"/>
          <w14:textFill>
            <w14:solidFill>
              <w14:schemeClr w14:val="tx1"/>
            </w14:solidFill>
          </w14:textFill>
        </w:rPr>
      </w:pPr>
      <w:bookmarkStart w:id="10" w:name="_Toc20683"/>
      <w:r>
        <w:rPr>
          <w:rFonts w:hint="eastAsia" w:ascii="Times New Roman" w:hAnsi="Times New Roman" w:eastAsia="黑体" w:cs="黑体"/>
          <w:color w:val="000000" w:themeColor="text1"/>
          <w:sz w:val="32"/>
          <w:szCs w:val="32"/>
          <w:highlight w:val="none"/>
          <w14:textFill>
            <w14:solidFill>
              <w14:schemeClr w14:val="tx1"/>
            </w14:solidFill>
          </w14:textFill>
        </w:rPr>
        <w:t>七、课程设置</w:t>
      </w:r>
      <w:bookmarkEnd w:id="10"/>
    </w:p>
    <w:p w14:paraId="17C3FF73">
      <w:pPr>
        <w:overflowPunct w:val="0"/>
        <w:adjustRightInd w:val="0"/>
        <w:spacing w:after="0" w:line="520" w:lineRule="exact"/>
        <w:ind w:firstLine="640" w:firstLineChars="200"/>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主要包括公共基础课程和专业课程。</w:t>
      </w:r>
    </w:p>
    <w:p w14:paraId="1CF4F4A9">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11" w:name="_Toc22764"/>
      <w:r>
        <w:rPr>
          <w:rFonts w:hint="eastAsia" w:ascii="Times New Roman" w:hAnsi="Times New Roman" w:eastAsia="楷体" w:cs="楷体"/>
          <w:sz w:val="32"/>
          <w:szCs w:val="32"/>
          <w:highlight w:val="none"/>
        </w:rPr>
        <w:t>（一）公共基础课程</w:t>
      </w:r>
      <w:bookmarkEnd w:id="11"/>
    </w:p>
    <w:p w14:paraId="7DA7B1AC">
      <w:pPr>
        <w:overflowPunct w:val="0"/>
        <w:adjustRightInd w:val="0"/>
        <w:spacing w:after="0" w:line="520" w:lineRule="exact"/>
        <w:ind w:firstLine="640" w:firstLineChars="200"/>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分为公共必修课和公共选修课。</w:t>
      </w:r>
    </w:p>
    <w:p w14:paraId="6E921866">
      <w:pPr>
        <w:overflowPunct w:val="0"/>
        <w:adjustRightInd w:val="0"/>
        <w:spacing w:after="0" w:line="520" w:lineRule="exact"/>
        <w:ind w:firstLine="640" w:firstLineChars="200"/>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必修课程包括：思想道德与法治、形势与政策、国家安全教育、军事理论</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军训、计算机基础、高等数学、大学英语、大学体育、大学生职业发展与就业指导、大学生心理健康教育、劳动教育、毛泽东思想和中国特色社会主义理论体系概论、创新创业教育、习近平新时代中国特色社会主义思想概论。</w:t>
      </w:r>
    </w:p>
    <w:p w14:paraId="3EB1D9F7">
      <w:pPr>
        <w:overflowPunct w:val="0"/>
        <w:adjustRightInd w:val="0"/>
        <w:spacing w:after="0" w:line="520" w:lineRule="exact"/>
        <w:ind w:firstLine="640" w:firstLineChars="200"/>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选修课程包括：中国民俗剪纸技法、影视与鉴赏、中国共产党简史、中华人民共和国简史、改革开放简史、社会主义发展简史、中华优秀传统文化、中华民族共同体概论、语文、物理。</w:t>
      </w:r>
    </w:p>
    <w:p w14:paraId="21B2B63B">
      <w:pPr>
        <w:overflowPunct w:val="0"/>
        <w:adjustRightInd w:val="0"/>
        <w:spacing w:line="520" w:lineRule="exact"/>
        <w:ind w:firstLine="640" w:firstLineChars="200"/>
        <w:jc w:val="center"/>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表2公共基础课课程目标、主要教学内容与要求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81"/>
        <w:gridCol w:w="2907"/>
        <w:gridCol w:w="2626"/>
      </w:tblGrid>
      <w:tr w14:paraId="6A736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B57523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2" w:name="_Toc90734979"/>
            <w:bookmarkStart w:id="13" w:name="_Toc2022"/>
            <w:bookmarkStart w:id="14" w:name="_Toc90734977"/>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2"/>
            <w:bookmarkEnd w:id="13"/>
          </w:p>
        </w:tc>
        <w:tc>
          <w:tcPr>
            <w:tcW w:w="752" w:type="dxa"/>
            <w:vAlign w:val="center"/>
          </w:tcPr>
          <w:p w14:paraId="4A84C04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5" w:name="_Toc2635"/>
            <w:bookmarkStart w:id="16" w:name="_Toc90734980"/>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5"/>
            <w:bookmarkEnd w:id="16"/>
          </w:p>
        </w:tc>
        <w:tc>
          <w:tcPr>
            <w:tcW w:w="3981" w:type="dxa"/>
            <w:vAlign w:val="center"/>
          </w:tcPr>
          <w:p w14:paraId="7B634BC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7" w:name="_Toc90734981"/>
            <w:bookmarkStart w:id="18" w:name="_Toc24608"/>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7"/>
            <w:bookmarkEnd w:id="18"/>
          </w:p>
        </w:tc>
        <w:tc>
          <w:tcPr>
            <w:tcW w:w="2907" w:type="dxa"/>
            <w:vAlign w:val="center"/>
          </w:tcPr>
          <w:p w14:paraId="170A2A1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9" w:name="_Toc23051"/>
            <w:bookmarkStart w:id="20" w:name="_Toc90734982"/>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9"/>
            <w:bookmarkEnd w:id="20"/>
          </w:p>
        </w:tc>
        <w:tc>
          <w:tcPr>
            <w:tcW w:w="2626" w:type="dxa"/>
            <w:vAlign w:val="center"/>
          </w:tcPr>
          <w:p w14:paraId="31A3714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5058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65CFE74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3C9B0A6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3981" w:type="dxa"/>
            <w:vAlign w:val="top"/>
          </w:tcPr>
          <w:p w14:paraId="691F40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665CAB8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39C455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07" w:type="dxa"/>
            <w:vAlign w:val="top"/>
          </w:tcPr>
          <w:p w14:paraId="7C6B99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5BE799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6C0C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B8816F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7D56891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3981" w:type="dxa"/>
            <w:shd w:val="clear" w:color="auto" w:fill="auto"/>
            <w:vAlign w:val="top"/>
          </w:tcPr>
          <w:p w14:paraId="5765A86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5F95193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44BCC3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07" w:type="dxa"/>
            <w:shd w:val="clear" w:color="auto" w:fill="auto"/>
            <w:vAlign w:val="top"/>
          </w:tcPr>
          <w:p w14:paraId="071C785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1C70BC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112A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98F18B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6109F5F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3981" w:type="dxa"/>
            <w:shd w:val="clear" w:color="auto" w:fill="auto"/>
            <w:vAlign w:val="top"/>
          </w:tcPr>
          <w:p w14:paraId="298E89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0D52EE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1DF130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07" w:type="dxa"/>
            <w:shd w:val="clear" w:color="auto" w:fill="auto"/>
            <w:vAlign w:val="top"/>
          </w:tcPr>
          <w:p w14:paraId="40228B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564EC8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0564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07" w:type="dxa"/>
            <w:vAlign w:val="center"/>
          </w:tcPr>
          <w:p w14:paraId="78CBCC2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630AA9F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3981" w:type="dxa"/>
            <w:shd w:val="clear" w:color="auto" w:fill="auto"/>
            <w:vAlign w:val="top"/>
          </w:tcPr>
          <w:p w14:paraId="145BDE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4E5F86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753114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6DD909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07" w:type="dxa"/>
            <w:shd w:val="clear" w:color="auto" w:fill="auto"/>
            <w:vAlign w:val="top"/>
          </w:tcPr>
          <w:p w14:paraId="00DADF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5EBF57A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1E7F7DBC">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269ED3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1BBA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26AFDB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6AB5E03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3981" w:type="dxa"/>
            <w:shd w:val="clear" w:color="auto" w:fill="auto"/>
            <w:vAlign w:val="top"/>
          </w:tcPr>
          <w:p w14:paraId="09DDD6A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1DC6CC5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060D1CB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0083BA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07" w:type="dxa"/>
            <w:shd w:val="clear" w:color="auto" w:fill="auto"/>
            <w:vAlign w:val="top"/>
          </w:tcPr>
          <w:p w14:paraId="480FD2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383719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011E7A9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1358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14:paraId="6E085F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1B90059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81" w:type="dxa"/>
            <w:shd w:val="clear" w:color="auto" w:fill="auto"/>
            <w:vAlign w:val="top"/>
          </w:tcPr>
          <w:p w14:paraId="276ECC9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35741D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1AFB2B7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06B83D2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07" w:type="dxa"/>
            <w:shd w:val="clear" w:color="auto" w:fill="auto"/>
            <w:vAlign w:val="top"/>
          </w:tcPr>
          <w:p w14:paraId="0D8D3F5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657DA43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1A494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71F6008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656E11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81" w:type="dxa"/>
            <w:shd w:val="clear" w:color="auto" w:fill="auto"/>
            <w:vAlign w:val="top"/>
          </w:tcPr>
          <w:p w14:paraId="23204A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2B8664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44888F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19BEEA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p w14:paraId="56543B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907" w:type="dxa"/>
            <w:shd w:val="clear" w:color="auto" w:fill="auto"/>
            <w:vAlign w:val="top"/>
          </w:tcPr>
          <w:p w14:paraId="10178E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1AF83E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4603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1" w:hRule="atLeast"/>
          <w:jc w:val="center"/>
        </w:trPr>
        <w:tc>
          <w:tcPr>
            <w:tcW w:w="507" w:type="dxa"/>
            <w:vAlign w:val="center"/>
          </w:tcPr>
          <w:p w14:paraId="341F7B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01940D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81" w:type="dxa"/>
            <w:shd w:val="clear" w:color="auto" w:fill="auto"/>
            <w:vAlign w:val="top"/>
          </w:tcPr>
          <w:p w14:paraId="0A1473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6AA996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74E3D7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47E8FE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07" w:type="dxa"/>
            <w:shd w:val="clear" w:color="auto" w:fill="auto"/>
            <w:vAlign w:val="top"/>
          </w:tcPr>
          <w:p w14:paraId="3C5A71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72B67C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6DC0B2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4F09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4A2FF5D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454608B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3981" w:type="dxa"/>
            <w:shd w:val="clear" w:color="auto" w:fill="auto"/>
            <w:vAlign w:val="top"/>
          </w:tcPr>
          <w:p w14:paraId="4C010A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68402A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552F14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251F3B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07" w:type="dxa"/>
            <w:shd w:val="clear" w:color="auto" w:fill="auto"/>
            <w:vAlign w:val="top"/>
          </w:tcPr>
          <w:p w14:paraId="5B099D1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07F8F99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1C3A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576CE7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6EAD448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3981" w:type="dxa"/>
            <w:shd w:val="clear" w:color="auto" w:fill="auto"/>
            <w:vAlign w:val="top"/>
          </w:tcPr>
          <w:p w14:paraId="1F8BFC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10B07A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081148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343B7FC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907" w:type="dxa"/>
            <w:shd w:val="clear" w:color="auto" w:fill="auto"/>
            <w:vAlign w:val="top"/>
          </w:tcPr>
          <w:p w14:paraId="2D9AF43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6A35229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2E7A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330CB90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696547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3981" w:type="dxa"/>
            <w:shd w:val="clear" w:color="auto" w:fill="auto"/>
            <w:vAlign w:val="top"/>
          </w:tcPr>
          <w:p w14:paraId="3E5F91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16248D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0F565D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34BCBD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07" w:type="dxa"/>
            <w:shd w:val="clear" w:color="auto" w:fill="auto"/>
            <w:vAlign w:val="top"/>
          </w:tcPr>
          <w:p w14:paraId="6D290CE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2030DEF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53E1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14:paraId="40BFFA0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428525F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3981" w:type="dxa"/>
            <w:shd w:val="clear" w:color="auto" w:fill="auto"/>
            <w:vAlign w:val="top"/>
          </w:tcPr>
          <w:p w14:paraId="09B78D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6CA3CF4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757BC2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346265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07" w:type="dxa"/>
            <w:shd w:val="clear" w:color="auto" w:fill="auto"/>
            <w:vAlign w:val="top"/>
          </w:tcPr>
          <w:p w14:paraId="22CE1A6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1D77AD7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02A4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6AB092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1A29D44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81" w:type="dxa"/>
            <w:shd w:val="clear" w:color="auto" w:fill="auto"/>
            <w:vAlign w:val="top"/>
          </w:tcPr>
          <w:p w14:paraId="3CC1CB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 xml:space="preserve">  </w:t>
            </w:r>
          </w:p>
          <w:p w14:paraId="209125B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630E01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07" w:type="dxa"/>
            <w:shd w:val="clear" w:color="auto" w:fill="auto"/>
            <w:vAlign w:val="top"/>
          </w:tcPr>
          <w:p w14:paraId="13CA15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70C895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2B7D9C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6533D9A7">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5C6F06F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p w14:paraId="6596C9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p>
        </w:tc>
      </w:tr>
      <w:tr w14:paraId="0BEB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14:paraId="62DA8B4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08FCECC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3981" w:type="dxa"/>
            <w:shd w:val="clear" w:color="auto" w:fill="auto"/>
            <w:vAlign w:val="top"/>
          </w:tcPr>
          <w:p w14:paraId="1C3208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1BB037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7189BE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13E551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p w14:paraId="0F8162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p>
        </w:tc>
        <w:tc>
          <w:tcPr>
            <w:tcW w:w="2907" w:type="dxa"/>
            <w:shd w:val="clear" w:color="auto" w:fill="auto"/>
            <w:vAlign w:val="top"/>
          </w:tcPr>
          <w:p w14:paraId="31F8669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1885A67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5697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3586A96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0AB3A85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81" w:type="dxa"/>
            <w:vAlign w:val="top"/>
          </w:tcPr>
          <w:p w14:paraId="041AB7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68A56C76">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6EA75680">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79D9843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07A49845">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499516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34CAC7D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6FA6DDA8">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130A1E10">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328E763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2D5FF99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4A74EBF8">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463591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07" w:type="dxa"/>
            <w:vAlign w:val="top"/>
          </w:tcPr>
          <w:p w14:paraId="2819EA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1B6734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5A89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1" w:hRule="atLeast"/>
          <w:jc w:val="center"/>
        </w:trPr>
        <w:tc>
          <w:tcPr>
            <w:tcW w:w="507" w:type="dxa"/>
            <w:vAlign w:val="center"/>
          </w:tcPr>
          <w:p w14:paraId="315854F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34BF755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3981" w:type="dxa"/>
            <w:shd w:val="clear" w:color="auto" w:fill="auto"/>
            <w:vAlign w:val="top"/>
          </w:tcPr>
          <w:p w14:paraId="2BE51E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1DE5C7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03EFF3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0E8BF6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07" w:type="dxa"/>
            <w:shd w:val="clear" w:color="auto" w:fill="auto"/>
            <w:vAlign w:val="top"/>
          </w:tcPr>
          <w:p w14:paraId="4DA51A0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509E96C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3C20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69A25CC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4CDA4C4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3981" w:type="dxa"/>
            <w:shd w:val="clear" w:color="auto" w:fill="auto"/>
            <w:vAlign w:val="top"/>
          </w:tcPr>
          <w:p w14:paraId="3937D9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225C9BA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61BA5C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4B712B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07" w:type="dxa"/>
            <w:shd w:val="clear" w:color="auto" w:fill="auto"/>
            <w:vAlign w:val="top"/>
          </w:tcPr>
          <w:p w14:paraId="6E36382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49B01F9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0BE9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69BD2E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1AC9FBB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3981" w:type="dxa"/>
            <w:shd w:val="clear" w:color="auto" w:fill="auto"/>
            <w:vAlign w:val="top"/>
          </w:tcPr>
          <w:p w14:paraId="2DC34EB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713F0F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7BF3BE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07" w:type="dxa"/>
            <w:shd w:val="clear" w:color="auto" w:fill="auto"/>
            <w:vAlign w:val="top"/>
          </w:tcPr>
          <w:p w14:paraId="59ACEE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620224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67D0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8" w:hRule="atLeast"/>
          <w:jc w:val="center"/>
        </w:trPr>
        <w:tc>
          <w:tcPr>
            <w:tcW w:w="507" w:type="dxa"/>
            <w:shd w:val="clear" w:color="auto" w:fill="auto"/>
            <w:vAlign w:val="center"/>
          </w:tcPr>
          <w:p w14:paraId="172EBB5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25722FA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3981" w:type="dxa"/>
            <w:shd w:val="clear" w:color="auto" w:fill="auto"/>
            <w:vAlign w:val="top"/>
          </w:tcPr>
          <w:p w14:paraId="126AB3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66B98A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78479A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07" w:type="dxa"/>
            <w:shd w:val="clear" w:color="auto" w:fill="auto"/>
            <w:vAlign w:val="top"/>
          </w:tcPr>
          <w:p w14:paraId="7F1E46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1708BD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079869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5C88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3691D50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1E01410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3981" w:type="dxa"/>
            <w:shd w:val="clear" w:color="auto" w:fill="auto"/>
            <w:vAlign w:val="top"/>
          </w:tcPr>
          <w:p w14:paraId="24188E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6E298B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3BA4F0B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07" w:type="dxa"/>
            <w:shd w:val="clear" w:color="auto" w:fill="auto"/>
            <w:vAlign w:val="top"/>
          </w:tcPr>
          <w:p w14:paraId="01B30C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6C0DBD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4CF4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77E99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2085231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3981" w:type="dxa"/>
            <w:shd w:val="clear" w:color="auto" w:fill="auto"/>
            <w:vAlign w:val="top"/>
          </w:tcPr>
          <w:p w14:paraId="52A207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0A8B3E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2610D4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07" w:type="dxa"/>
            <w:shd w:val="clear" w:color="auto" w:fill="auto"/>
            <w:vAlign w:val="top"/>
          </w:tcPr>
          <w:p w14:paraId="726B1F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31DE9B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181C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545EC6A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7D85101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3981" w:type="dxa"/>
            <w:shd w:val="clear" w:color="auto" w:fill="auto"/>
            <w:vAlign w:val="top"/>
          </w:tcPr>
          <w:p w14:paraId="5F1D2B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2A46BA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7F0722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07" w:type="dxa"/>
            <w:shd w:val="clear" w:color="auto" w:fill="auto"/>
            <w:vAlign w:val="top"/>
          </w:tcPr>
          <w:p w14:paraId="5D17C3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4C2340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62817D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272B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jc w:val="center"/>
        </w:trPr>
        <w:tc>
          <w:tcPr>
            <w:tcW w:w="507" w:type="dxa"/>
            <w:vAlign w:val="center"/>
          </w:tcPr>
          <w:p w14:paraId="3B6F8B0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0927546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3981" w:type="dxa"/>
            <w:vAlign w:val="top"/>
          </w:tcPr>
          <w:p w14:paraId="50617B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204ABD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1DE99A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07" w:type="dxa"/>
            <w:vAlign w:val="top"/>
          </w:tcPr>
          <w:p w14:paraId="7284908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1D45BC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41EF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ADC4CE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5B325DF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3981" w:type="dxa"/>
            <w:shd w:val="clear" w:color="auto" w:fill="auto"/>
            <w:vAlign w:val="top"/>
          </w:tcPr>
          <w:p w14:paraId="621BD6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3DE6FA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676324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5A5B15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07" w:type="dxa"/>
            <w:shd w:val="clear" w:color="auto" w:fill="auto"/>
            <w:vAlign w:val="top"/>
          </w:tcPr>
          <w:p w14:paraId="3C51C1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1279F9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2CAE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976114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14:paraId="4DF80DF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物理</w:t>
            </w:r>
          </w:p>
        </w:tc>
        <w:tc>
          <w:tcPr>
            <w:tcW w:w="3981" w:type="dxa"/>
            <w:shd w:val="clear" w:color="auto" w:fill="auto"/>
            <w:vAlign w:val="top"/>
          </w:tcPr>
          <w:p w14:paraId="36084A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14:paraId="4A9F59A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14:paraId="1DB4FE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14:paraId="280C3D0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07" w:type="dxa"/>
            <w:shd w:val="clear" w:color="auto" w:fill="auto"/>
            <w:vAlign w:val="top"/>
          </w:tcPr>
          <w:p w14:paraId="6C91239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069ABF0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bl>
    <w:p w14:paraId="7A48B5ED">
      <w:pPr>
        <w:pStyle w:val="2"/>
        <w:widowControl/>
        <w:spacing w:before="0" w:after="0" w:line="520" w:lineRule="exact"/>
        <w:ind w:firstLine="640" w:firstLineChars="200"/>
        <w:jc w:val="left"/>
        <w:outlineLvl w:val="1"/>
        <w:rPr>
          <w:rFonts w:hint="eastAsia" w:ascii="Times New Roman" w:hAnsi="Times New Roman" w:eastAsia="楷体" w:cs="楷体"/>
          <w:color w:val="auto"/>
          <w:sz w:val="32"/>
          <w:szCs w:val="32"/>
          <w:highlight w:val="none"/>
        </w:rPr>
      </w:pPr>
      <w:bookmarkStart w:id="21" w:name="_Toc15069"/>
      <w:r>
        <w:rPr>
          <w:rFonts w:hint="eastAsia" w:ascii="Times New Roman" w:hAnsi="Times New Roman" w:eastAsia="楷体" w:cs="楷体"/>
          <w:color w:val="auto"/>
          <w:sz w:val="32"/>
          <w:szCs w:val="32"/>
          <w:highlight w:val="none"/>
        </w:rPr>
        <w:t>（二）专业课程</w:t>
      </w:r>
      <w:bookmarkEnd w:id="21"/>
    </w:p>
    <w:p w14:paraId="18EAD5D1">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一般包括专业基础课程、专业核心课程和专业拓展课程，并涵盖有关实践性教学环节。</w:t>
      </w:r>
      <w:bookmarkStart w:id="22" w:name="_Toc90734975"/>
    </w:p>
    <w:p w14:paraId="24AA5AFF">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23" w:name="_Toc28221"/>
      <w:r>
        <w:rPr>
          <w:rFonts w:hint="eastAsia" w:ascii="Times New Roman" w:hAnsi="Times New Roman" w:eastAsia="仿宋_GB2312" w:cs="仿宋_GB2312"/>
          <w:sz w:val="32"/>
          <w:szCs w:val="32"/>
          <w:highlight w:val="none"/>
        </w:rPr>
        <w:t>1.专业基础课程</w:t>
      </w:r>
      <w:bookmarkEnd w:id="22"/>
      <w:bookmarkEnd w:id="23"/>
    </w:p>
    <w:p w14:paraId="5D922EBE">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专业基础课程是为后续专业课程学习打基础的课程。包括：C语言程序设计、电路基础、电子工程制图、模拟电子技术、数字电子技术、通信与网络技术、智能系统导论等课程。</w:t>
      </w:r>
    </w:p>
    <w:p w14:paraId="0C879E73">
      <w:pPr>
        <w:overflowPunct w:val="0"/>
        <w:adjustRightInd w:val="0"/>
        <w:spacing w:line="520" w:lineRule="exact"/>
        <w:jc w:val="center"/>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表3专业基础课课程目标、主要教学内容与要求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86"/>
        <w:gridCol w:w="3769"/>
        <w:gridCol w:w="2390"/>
        <w:gridCol w:w="2763"/>
      </w:tblGrid>
      <w:tr w14:paraId="2DC0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5" w:type="dxa"/>
            <w:vAlign w:val="center"/>
          </w:tcPr>
          <w:p w14:paraId="18FD0F6E">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序号</w:t>
            </w:r>
          </w:p>
        </w:tc>
        <w:tc>
          <w:tcPr>
            <w:tcW w:w="886" w:type="dxa"/>
            <w:vAlign w:val="center"/>
          </w:tcPr>
          <w:p w14:paraId="13A7DBEE">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课程名称</w:t>
            </w:r>
          </w:p>
        </w:tc>
        <w:tc>
          <w:tcPr>
            <w:tcW w:w="3769" w:type="dxa"/>
            <w:vAlign w:val="center"/>
          </w:tcPr>
          <w:p w14:paraId="3D19F1E5">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课程目标</w:t>
            </w:r>
          </w:p>
        </w:tc>
        <w:tc>
          <w:tcPr>
            <w:tcW w:w="2390" w:type="dxa"/>
            <w:vAlign w:val="center"/>
          </w:tcPr>
          <w:p w14:paraId="7878454A">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主要教学内容</w:t>
            </w:r>
          </w:p>
        </w:tc>
        <w:tc>
          <w:tcPr>
            <w:tcW w:w="2763" w:type="dxa"/>
            <w:vAlign w:val="center"/>
          </w:tcPr>
          <w:p w14:paraId="493C7BE5">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教学要求</w:t>
            </w:r>
          </w:p>
        </w:tc>
      </w:tr>
      <w:tr w14:paraId="0BD8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3" w:hRule="atLeast"/>
          <w:jc w:val="center"/>
        </w:trPr>
        <w:tc>
          <w:tcPr>
            <w:tcW w:w="465" w:type="dxa"/>
            <w:vAlign w:val="center"/>
          </w:tcPr>
          <w:p w14:paraId="17C1954B">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w:t>
            </w:r>
          </w:p>
        </w:tc>
        <w:tc>
          <w:tcPr>
            <w:tcW w:w="886" w:type="dxa"/>
            <w:vAlign w:val="center"/>
          </w:tcPr>
          <w:p w14:paraId="4D0BD056">
            <w:pPr>
              <w:spacing w:after="0" w:line="320" w:lineRule="exact"/>
              <w:jc w:val="lef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C语言程序设计</w:t>
            </w:r>
          </w:p>
        </w:tc>
        <w:tc>
          <w:tcPr>
            <w:tcW w:w="3769" w:type="dxa"/>
          </w:tcPr>
          <w:p w14:paraId="45A01F48">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：掌握C语言基本语法、数据类型、运算符、控制结构等核心概念，理解函数模块化编程、数组与指针原理，了解文件操作与内存管理进阶知识。</w:t>
            </w:r>
          </w:p>
          <w:p w14:paraId="757EA9E8">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：能独立编写、编译、调试C语言程序，运用核心知识解决简单编程问题，具备基础程序设计与故障排查能力。</w:t>
            </w:r>
          </w:p>
          <w:p w14:paraId="310528F5">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：培养逻辑思维与抽象建模能力，养成规范编码与严谨调试的习惯，提升自主学习与问题分析素养。</w:t>
            </w:r>
          </w:p>
          <w:p w14:paraId="40947B1B">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结合国产操作系统、嵌入式技术发展案例，激发科技报国情怀；通过代码优化与调试，传递精益求精的工匠精神。</w:t>
            </w:r>
          </w:p>
        </w:tc>
        <w:tc>
          <w:tcPr>
            <w:tcW w:w="2390" w:type="dxa"/>
          </w:tcPr>
          <w:p w14:paraId="51AE3520">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C语言的基本语法、数据类型、运算符、控制结构、函数与模块化编程、数组与指针等核心概念，以及文件操作、内存管理等进阶知识</w:t>
            </w:r>
          </w:p>
        </w:tc>
        <w:tc>
          <w:tcPr>
            <w:tcW w:w="2763" w:type="dxa"/>
          </w:tcPr>
          <w:p w14:paraId="2F213331">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学生需深入理解C语言的基本语法和编程思想，掌握数据类型、控制结构、函数、数组、指针等核心概念。能够熟练运用C语言进行简单的程序设计。通过实验课程，学生需掌握C语言程序的编写、编译、调试和运行过程。培养学生的动手能力和实践操作能力，使其能够独立完成实验项目。</w:t>
            </w:r>
          </w:p>
        </w:tc>
      </w:tr>
      <w:tr w14:paraId="03DA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465" w:type="dxa"/>
            <w:vAlign w:val="center"/>
          </w:tcPr>
          <w:p w14:paraId="65DC6975">
            <w:pPr>
              <w:spacing w:after="0" w:line="320" w:lineRule="exact"/>
              <w:jc w:val="center"/>
              <w:rPr>
                <w:rFonts w:hint="eastAsia" w:ascii="Times New Roman" w:hAnsi="Times New Roman" w:eastAsia="仿宋_GB2312" w:cs="仿宋_GB2312"/>
                <w:kern w:val="0"/>
                <w:sz w:val="24"/>
                <w:szCs w:val="20"/>
                <w:highlight w:val="none"/>
              </w:rPr>
            </w:pPr>
            <w:bookmarkStart w:id="24" w:name="_Hlk194587108"/>
            <w:r>
              <w:rPr>
                <w:rFonts w:hint="eastAsia" w:ascii="Times New Roman" w:hAnsi="Times New Roman" w:eastAsia="仿宋_GB2312" w:cs="仿宋_GB2312"/>
                <w:kern w:val="0"/>
                <w:sz w:val="24"/>
                <w:szCs w:val="20"/>
                <w:highlight w:val="none"/>
              </w:rPr>
              <w:t>2</w:t>
            </w:r>
          </w:p>
        </w:tc>
        <w:tc>
          <w:tcPr>
            <w:tcW w:w="886" w:type="dxa"/>
            <w:vAlign w:val="center"/>
          </w:tcPr>
          <w:p w14:paraId="57452D28">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电路基础</w:t>
            </w:r>
          </w:p>
        </w:tc>
        <w:tc>
          <w:tcPr>
            <w:tcW w:w="3769" w:type="dxa"/>
          </w:tcPr>
          <w:p w14:paraId="1A3E26ED">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：理解电流、电压、电阻等基本概念及单位，掌握电路元件（电容、电感、电源等）特性，熟悉正弦交流电三要素、变压器与电动机工作原理。</w:t>
            </w:r>
          </w:p>
          <w:p w14:paraId="432D7842">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：能正确使用示波器、万用表等仪器测量电路参数，独立完成简单电路装配、调试与故障排除，具备分析基本电路问题的能力。</w:t>
            </w:r>
          </w:p>
          <w:p w14:paraId="1E404807">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：培养严谨的实验操作素养与数据处理能力，树立安全用电意识，提升对电路原理的具象化理解与应用能力。</w:t>
            </w:r>
          </w:p>
          <w:p w14:paraId="71BB4406">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结合我国电力工程（如特高压输电）成就，增强民族自豪感；通过电路故障排查，引导学生树立“细节决定成败”的责任意识。</w:t>
            </w:r>
          </w:p>
        </w:tc>
        <w:tc>
          <w:tcPr>
            <w:tcW w:w="2390" w:type="dxa"/>
          </w:tcPr>
          <w:p w14:paraId="75D1DC23">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电工基本概念与电路基础，涉及电流、电压、电阻、功率等基本概念及其单位，以及电源、负载、导线等电路基本组成元素及其作用</w:t>
            </w:r>
          </w:p>
        </w:tc>
        <w:tc>
          <w:tcPr>
            <w:tcW w:w="2763" w:type="dxa"/>
          </w:tcPr>
          <w:p w14:paraId="0E60EBC7">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学生应理解并掌握电路的基本概念和原理，包括电路模型、电压、电流、电阻、电容、电感等基本元件及其特性。熟悉正弦交流电的基本概念、三要素及表示方法，理解正弦交流电路中的电流与电压关系。掌握变压器、电动机等电气设备的工作原理和结构特点。学生应能正确使用示波器、信号发生器、万用表等常用电子仪器、仪表，进行电路参数的测量和调试。能够进行电子线路的装配、调试和故障排除，具备解决实际电路问题的能力。</w:t>
            </w:r>
          </w:p>
        </w:tc>
      </w:tr>
      <w:tr w14:paraId="6689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7" w:hRule="atLeast"/>
          <w:jc w:val="center"/>
        </w:trPr>
        <w:tc>
          <w:tcPr>
            <w:tcW w:w="465" w:type="dxa"/>
            <w:vAlign w:val="center"/>
          </w:tcPr>
          <w:p w14:paraId="2B9A1E22">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3</w:t>
            </w:r>
          </w:p>
        </w:tc>
        <w:tc>
          <w:tcPr>
            <w:tcW w:w="886" w:type="dxa"/>
            <w:vAlign w:val="center"/>
          </w:tcPr>
          <w:p w14:paraId="453F074B">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电子工程制图</w:t>
            </w:r>
          </w:p>
        </w:tc>
        <w:tc>
          <w:tcPr>
            <w:tcW w:w="3769" w:type="dxa"/>
          </w:tcPr>
          <w:p w14:paraId="72A18B5C">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：掌握中心投影、平行投影原理及点线面投影规律，熟悉电子工程常用视图（主视图、剖视图等）绘制规范，了解电路图、PCB图标准。</w:t>
            </w:r>
          </w:p>
          <w:p w14:paraId="7C88D1E6">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：能运用绘图软件与手工绘图完成电子图纸绘制，具备图纸阅读与解析能力，可根据图纸开展简单装配与调试工作。</w:t>
            </w:r>
          </w:p>
          <w:p w14:paraId="077AA5BC">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：培养严谨细致的工程思维与规范表达习惯，提升空间想象与团队协作中图纸沟通能力。</w:t>
            </w:r>
          </w:p>
          <w:p w14:paraId="22826325">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结合国产芯片设计、航天电子图纸案例，强调“图纸即责任”，激发精益求精的工程报国精神。</w:t>
            </w:r>
          </w:p>
        </w:tc>
        <w:tc>
          <w:tcPr>
            <w:tcW w:w="2390" w:type="dxa"/>
          </w:tcPr>
          <w:p w14:paraId="02613E0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介绍投影的基本原理，如中心投影和平行投影，以及点、线、面的投影规律。讲解电子工程中常用的视图表达方式，如主视图、俯视图、左视图等，以及剖视图、断面图等特殊视图的绘制方法。</w:t>
            </w:r>
          </w:p>
        </w:tc>
        <w:tc>
          <w:tcPr>
            <w:tcW w:w="2763" w:type="dxa"/>
          </w:tcPr>
          <w:p w14:paraId="7CCAC894">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要求学生扎实掌握投影原理、视图表达、尺寸标注等理论知识，熟悉各类电子图纸规范与标准。借助绘图软件与手工绘图双训练，帮助学生熟练绘制电路图、PCB图、装配图等。同时，着重提升学生图纸阅读与解析能力，培养严谨细致的工作习惯、勇于探索的创新精神以及善于沟通的团队协作能力，助力学生运用所学知识解决复杂多变的实际工程问题。</w:t>
            </w:r>
          </w:p>
        </w:tc>
      </w:tr>
      <w:tr w14:paraId="3DB8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6" w:hRule="atLeast"/>
          <w:jc w:val="center"/>
        </w:trPr>
        <w:tc>
          <w:tcPr>
            <w:tcW w:w="465" w:type="dxa"/>
            <w:vAlign w:val="center"/>
          </w:tcPr>
          <w:p w14:paraId="58533AA2">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4</w:t>
            </w:r>
          </w:p>
        </w:tc>
        <w:tc>
          <w:tcPr>
            <w:tcW w:w="886" w:type="dxa"/>
            <w:vAlign w:val="center"/>
          </w:tcPr>
          <w:p w14:paraId="6925CF41">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模拟电子技术</w:t>
            </w:r>
          </w:p>
        </w:tc>
        <w:tc>
          <w:tcPr>
            <w:tcW w:w="3769" w:type="dxa"/>
          </w:tcPr>
          <w:p w14:paraId="3C407ECE">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：理解半导体器件工作原理，掌握放大电路、负反馈电路、集成运放及直流电源理论，了解模拟信号处理基本方法。</w:t>
            </w:r>
          </w:p>
          <w:p w14:paraId="1D3649B8">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：能分析模拟电路性能，独立使用电子仪器完成实验项目，设计并调试简单模拟电路，具备解决基础模拟电路问题的能力。</w:t>
            </w:r>
          </w:p>
          <w:p w14:paraId="0D644D00">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：培养理论联系实际的实践素养，提升电路分析与创新设计思维，养成严谨的实验记录与数据验证习惯。</w:t>
            </w:r>
          </w:p>
          <w:p w14:paraId="38061624">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结合我国模拟芯片技术突破案例，引导学生认识核心技术自主可控的重要性，树立科技自立自强的理想。</w:t>
            </w:r>
          </w:p>
        </w:tc>
        <w:tc>
          <w:tcPr>
            <w:tcW w:w="2390" w:type="dxa"/>
          </w:tcPr>
          <w:p w14:paraId="4DE368F3">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电子技术基础知识，包括半导体器件、放大电路、频率响应、运算放大电路、反馈电路等，旨在培养学生掌握模拟信号处理与电路设计的技能</w:t>
            </w:r>
          </w:p>
        </w:tc>
        <w:tc>
          <w:tcPr>
            <w:tcW w:w="2763" w:type="dxa"/>
          </w:tcPr>
          <w:p w14:paraId="1091AF7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学生需深入理解半导体器件的工作原理和特性，掌握放大电路、负反馈电路、集成运算放大器和直流电源的基本理论知识。能够运用所学知识分析和解决实际问题。通过实验课程，学生需掌握常用电子仪器的使用方法，能够独立完成实验项目。培养学生的动手能力和实践操作能力，使其能够设计和调试简单的模拟电路。通过系统的理论学习和实践训练，使学生全面掌握模拟电子技术基本理论、基本知识和基本技能，培养其分析问题、解决问题和设计模拟电路系统的能力。</w:t>
            </w:r>
          </w:p>
        </w:tc>
      </w:tr>
      <w:tr w14:paraId="1208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3F9C0DBA">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5</w:t>
            </w:r>
          </w:p>
        </w:tc>
        <w:tc>
          <w:tcPr>
            <w:tcW w:w="886" w:type="dxa"/>
            <w:vAlign w:val="center"/>
          </w:tcPr>
          <w:p w14:paraId="7381998F">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数字电子技术</w:t>
            </w:r>
          </w:p>
        </w:tc>
        <w:tc>
          <w:tcPr>
            <w:tcW w:w="3769" w:type="dxa"/>
          </w:tcPr>
          <w:p w14:paraId="3EA99E13">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：掌握逻辑代数定律、逻辑函数化简方法，理解门电路、组合逻辑电路、时序逻辑电路原理，了解数字系统设计流程。</w:t>
            </w:r>
          </w:p>
          <w:p w14:paraId="5376CB1E">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：能设计简单数字电路，独立完成数字电路调试与故障排除，运用实验仪器验证电路功能，具备数字电路分析与设计基础能力。</w:t>
            </w:r>
          </w:p>
          <w:p w14:paraId="07B15AD2">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：培养数字化思维与逻辑推理能力，提升电路设计的规范性与创新性，养成严谨的实验操作与问题解决习惯。</w:t>
            </w:r>
          </w:p>
          <w:p w14:paraId="25047BFD">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结合数字电路在国产工业控制、人工智能设备中的应用，强调技术创新对产业升级的推动作用，激发学生的行业责任感。</w:t>
            </w:r>
          </w:p>
        </w:tc>
        <w:tc>
          <w:tcPr>
            <w:tcW w:w="2390" w:type="dxa"/>
          </w:tcPr>
          <w:p w14:paraId="4A9526D8">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数字电路基础、逻辑代数、门电路、组合逻辑电路、时序逻辑电路、数字系统设计等方面的知识，旨在培养学生掌握数字电路分析与设计的技能</w:t>
            </w:r>
          </w:p>
        </w:tc>
        <w:tc>
          <w:tcPr>
            <w:tcW w:w="2763" w:type="dxa"/>
          </w:tcPr>
          <w:p w14:paraId="54E1549D">
            <w:pPr>
              <w:spacing w:after="24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学生需深入理解数字电子技术的基本原理和基本概念，掌握逻辑代数的基本定律和逻辑函数的化简方法。熟悉各种门电路、组合逻辑电路和时序逻辑电路的工作原理和设计方法。通过实验课程，学生需掌握常用实验仪器的使用方法，能够独立完成数字电路的设计、调试和故障排除。培养学生的动手能力和实践操作能力，使其能够运用所学知识解决实际问题。</w:t>
            </w:r>
          </w:p>
        </w:tc>
      </w:tr>
      <w:tr w14:paraId="747B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2FA35FA9">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6</w:t>
            </w:r>
          </w:p>
        </w:tc>
        <w:tc>
          <w:tcPr>
            <w:tcW w:w="886" w:type="dxa"/>
            <w:vAlign w:val="center"/>
          </w:tcPr>
          <w:p w14:paraId="29979DD4">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通信与网络技术</w:t>
            </w:r>
          </w:p>
        </w:tc>
        <w:tc>
          <w:tcPr>
            <w:tcW w:w="3769" w:type="dxa"/>
          </w:tcPr>
          <w:p w14:paraId="531F654D">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：理解通信系统架构、模拟/数字通信原理，掌握网络分层模型、局域网/广域网配置方法，了解5G/6G、物联网等前沿技术。</w:t>
            </w:r>
          </w:p>
          <w:p w14:paraId="045DC0A8">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：能搭建基础通信链路，配置网络设备，排查常见网络故障，运用工具分析通信信号，具备通信与网络系统基础操作能力。</w:t>
            </w:r>
          </w:p>
          <w:p w14:paraId="3E70F467">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：培养跨领域知识整合能力与实操素养，提升团队协作与技术创新思维，养成关注行业前沿的自主学习习惯。</w:t>
            </w:r>
          </w:p>
          <w:p w14:paraId="7344BCDA">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结合我国5G技术全球领先、北斗通信系统建设成就，增强民族自信，引导学生思考技术赋能社会发展的责任。</w:t>
            </w:r>
          </w:p>
        </w:tc>
        <w:tc>
          <w:tcPr>
            <w:tcW w:w="2390" w:type="dxa"/>
          </w:tcPr>
          <w:p w14:paraId="3D652A71">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通信与网络技术课程围绕通信与网络的全流程展开，开篇介绍通信与网络系统的基本概念、架构及演进脉络，夯实理论根基。深入讲解模拟和数字通信原理，剖析信号调制、解调与编码机制，同时阐释有线和无线通信技术，包含光纤通信、移动通信的工作方式。网络技术板块，从网络拓扑、分层模型讲起，对局域网、广域网的组建、配置与管理进行实操教学，并介绍网络安全防护策略与技术。课程借助实验、课程设计，让学生动手搭建通信链路、配置网络设备、排查网络故障，提升实操能力，还引入物联网、5G/6G等前沿技术，拓宽学生视野，确保学生能全方位理解通信与网络技术的原理、应用及发展方向。</w:t>
            </w:r>
          </w:p>
        </w:tc>
        <w:tc>
          <w:tcPr>
            <w:tcW w:w="2763" w:type="dxa"/>
          </w:tcPr>
          <w:p w14:paraId="09C07D9E">
            <w:pPr>
              <w:spacing w:after="24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在通信与网络技术教学过程中，教师不仅要采用多样化教学方法，借助案例与实验，帮助学生理解通信与网络技术的理论知识，还要指导学生开展实操训练，使其熟练掌握设备操作、系统搭建与故障诊断的技能，提升综合实践能力。同时，要通过小组项目与讨论，锻炼学生的团队协作与沟通能力，培养其创新思维与问题解决能力，引导学生关注行业发展趋势，培养自主学习习惯，塑造良好的职业素养，助力学生成为适应行业需求的高素质人才。</w:t>
            </w:r>
          </w:p>
        </w:tc>
      </w:tr>
      <w:tr w14:paraId="05A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1" w:hRule="atLeast"/>
          <w:jc w:val="center"/>
        </w:trPr>
        <w:tc>
          <w:tcPr>
            <w:tcW w:w="465" w:type="dxa"/>
            <w:vAlign w:val="center"/>
          </w:tcPr>
          <w:p w14:paraId="199B2133">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7</w:t>
            </w:r>
          </w:p>
        </w:tc>
        <w:tc>
          <w:tcPr>
            <w:tcW w:w="886" w:type="dxa"/>
            <w:vAlign w:val="center"/>
          </w:tcPr>
          <w:p w14:paraId="6F9BBC40">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智能系统导论</w:t>
            </w:r>
          </w:p>
        </w:tc>
        <w:tc>
          <w:tcPr>
            <w:tcW w:w="3769" w:type="dxa"/>
          </w:tcPr>
          <w:p w14:paraId="034F685D">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：理解智能系统概念、架构及发展历程，掌握人工智能基础算法、传感器技术原理，了解边缘计算、脑机接口等前沿方向。</w:t>
            </w:r>
          </w:p>
          <w:p w14:paraId="0496A7FC">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：能运用Python实现基础机器学习算法，借助树莓派/Arduino搭建智能系统并完成调试，具备智能系统设计与应用基础能力。</w:t>
            </w:r>
          </w:p>
          <w:p w14:paraId="616D481D">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：培养跨学科融合思维与创新实践素养，提升技术整合与问题解决能力，养成严谨的科学实验与系统优化习惯。</w:t>
            </w:r>
          </w:p>
          <w:p w14:paraId="482FF931">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结合我国智能系统在工业自动化、医疗辅助等领域的应用案例，强调技术伦理与社会责任，激发学生用智能技术服务社会的使命感。</w:t>
            </w:r>
          </w:p>
        </w:tc>
        <w:tc>
          <w:tcPr>
            <w:tcW w:w="2390" w:type="dxa"/>
          </w:tcPr>
          <w:p w14:paraId="5F4C43A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理论层面，阐述智能系统概念、架构与发展历程，讲解人工智能、传感器技术等核心技术原理，让学生构建扎实的知识框架。实践环节，以Python编程为工具，引导学生实现机器学习算法，借助树莓派、Arduino等硬件平台搭建智能系统，完成从算法设计到系统整合与调试的全流程实操。此外，课程剖析工业、医疗、交通等领域的典型应用案例，引入边缘计算、脑机接口等前沿技术，帮助学生了解行业动态，拓宽技术视野。</w:t>
            </w:r>
          </w:p>
        </w:tc>
        <w:tc>
          <w:tcPr>
            <w:tcW w:w="2763" w:type="dxa"/>
          </w:tcPr>
          <w:p w14:paraId="3115C4BC">
            <w:pPr>
              <w:spacing w:after="24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在智能系统导论教学中，教师需引导学生搭建完备的知识体系，深入理解智能系统的概念、架构，熟练掌握人工智能、传感器技术等理论知识，并关注行业前沿进展。在实践环节，要求学生以Python为工具，实现机器学习算法，借助硬件平台完成智能系统从设计到调试的全流程操作，提升实操能力。同时，通过案例分析与小组项目，锻炼学生将理论知识应用于解决实际问题的能力，培养其团队协作、沟通交流以及创新思维，引导学生养成严谨的科学态度，为后续在智能系统领域的深入学习和职业发展筑牢根基</w:t>
            </w:r>
          </w:p>
        </w:tc>
      </w:tr>
      <w:bookmarkEnd w:id="24"/>
    </w:tbl>
    <w:p w14:paraId="0DBF06BE">
      <w:pPr>
        <w:adjustRightInd w:val="0"/>
        <w:snapToGri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25" w:name="_Toc12276"/>
      <w:r>
        <w:rPr>
          <w:rFonts w:hint="eastAsia" w:ascii="Times New Roman" w:hAnsi="Times New Roman" w:eastAsia="仿宋_GB2312" w:cs="仿宋_GB2312"/>
          <w:sz w:val="32"/>
          <w:szCs w:val="32"/>
          <w:highlight w:val="none"/>
        </w:rPr>
        <w:t>2.专业核心课程</w:t>
      </w:r>
      <w:bookmarkEnd w:id="14"/>
      <w:bookmarkEnd w:id="25"/>
    </w:p>
    <w:p w14:paraId="18B174DF">
      <w:pPr>
        <w:adjustRightInd w:val="0"/>
        <w:snapToGrid w:val="0"/>
        <w:spacing w:after="0" w:line="520" w:lineRule="exact"/>
        <w:ind w:firstLine="640" w:firstLineChars="200"/>
        <w:rPr>
          <w:rFonts w:hint="eastAsia" w:ascii="Times New Roman" w:hAnsi="Times New Roman" w:eastAsia="仿宋_GB2312" w:cs="仿宋_GB2312"/>
          <w:spacing w:val="-4"/>
          <w:sz w:val="32"/>
          <w:szCs w:val="32"/>
          <w:highlight w:val="none"/>
        </w:rPr>
      </w:pPr>
      <w:bookmarkStart w:id="26" w:name="OLE_LINK7"/>
      <w:r>
        <w:rPr>
          <w:rFonts w:hint="eastAsia" w:ascii="Times New Roman" w:hAnsi="Times New Roman" w:eastAsia="仿宋_GB2312" w:cs="仿宋_GB2312"/>
          <w:sz w:val="32"/>
          <w:szCs w:val="32"/>
          <w:highlight w:val="none"/>
        </w:rPr>
        <w:t>专业核心课是</w:t>
      </w:r>
      <w:bookmarkEnd w:id="26"/>
      <w:r>
        <w:rPr>
          <w:rFonts w:hint="eastAsia" w:ascii="Times New Roman" w:hAnsi="Times New Roman" w:eastAsia="仿宋_GB2312" w:cs="仿宋_GB2312"/>
          <w:sz w:val="32"/>
          <w:szCs w:val="32"/>
          <w:highlight w:val="none"/>
        </w:rPr>
        <w:t>面向计算机、通信和其他电子设备制造行业的电子工程技术、电子设备装配调试等岗位（群），结合电子设备装配调试、电子设备检验、电子产品维修、电子设备生产管理、电子信息系统集成、电子产品设计开发的就业岗位，建立电子信息工程技术专业核心课程，培养学生电子设备检验、电子产品维修的能力。包括PCB设计及应用、电子装联技术及应用、传感器与检测技术、智能应用系统集成与维护、单片机技术及应用、智能电子产品检测与维修、嵌入式技术及应用</w:t>
      </w:r>
      <w:r>
        <w:rPr>
          <w:rFonts w:hint="eastAsia" w:ascii="Times New Roman" w:hAnsi="Times New Roman" w:eastAsia="仿宋_GB2312" w:cs="仿宋_GB2312"/>
          <w:spacing w:val="-4"/>
          <w:sz w:val="32"/>
          <w:szCs w:val="32"/>
          <w:highlight w:val="none"/>
        </w:rPr>
        <w:t>等课程。</w:t>
      </w:r>
    </w:p>
    <w:p w14:paraId="7484E810">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表4专业核心课课程目标、主要教学内容与要求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377"/>
        <w:gridCol w:w="2864"/>
        <w:gridCol w:w="2958"/>
      </w:tblGrid>
      <w:tr w14:paraId="6231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F3E6587">
            <w:pPr>
              <w:spacing w:after="0" w:line="360" w:lineRule="exact"/>
              <w:jc w:val="center"/>
              <w:rPr>
                <w:rFonts w:hint="eastAsia" w:ascii="Times New Roman" w:hAnsi="Times New Roman" w:eastAsia="仿宋_GB2312" w:cs="仿宋_GB2312"/>
                <w:kern w:val="0"/>
                <w:sz w:val="24"/>
                <w:szCs w:val="20"/>
                <w:highlight w:val="none"/>
              </w:rPr>
            </w:pPr>
            <w:bookmarkStart w:id="27" w:name="_Toc90734991"/>
            <w:r>
              <w:rPr>
                <w:rFonts w:hint="eastAsia" w:ascii="Times New Roman" w:hAnsi="Times New Roman" w:eastAsia="仿宋_GB2312" w:cs="仿宋_GB2312"/>
                <w:kern w:val="0"/>
                <w:sz w:val="24"/>
                <w:szCs w:val="20"/>
                <w:highlight w:val="none"/>
              </w:rPr>
              <w:t>序号</w:t>
            </w:r>
          </w:p>
        </w:tc>
        <w:tc>
          <w:tcPr>
            <w:tcW w:w="775" w:type="dxa"/>
            <w:vAlign w:val="center"/>
          </w:tcPr>
          <w:p w14:paraId="079D08B0">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课程名称</w:t>
            </w:r>
          </w:p>
        </w:tc>
        <w:tc>
          <w:tcPr>
            <w:tcW w:w="3377" w:type="dxa"/>
            <w:vAlign w:val="center"/>
          </w:tcPr>
          <w:p w14:paraId="2C2848D7">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课程目标</w:t>
            </w:r>
          </w:p>
        </w:tc>
        <w:tc>
          <w:tcPr>
            <w:tcW w:w="2864" w:type="dxa"/>
            <w:vAlign w:val="center"/>
          </w:tcPr>
          <w:p w14:paraId="22B84B17">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主要教学内容</w:t>
            </w:r>
          </w:p>
        </w:tc>
        <w:tc>
          <w:tcPr>
            <w:tcW w:w="2958" w:type="dxa"/>
            <w:vAlign w:val="center"/>
          </w:tcPr>
          <w:p w14:paraId="71C59FD7">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highlight w:val="none"/>
              </w:rPr>
              <w:t>教学要求</w:t>
            </w:r>
          </w:p>
        </w:tc>
      </w:tr>
      <w:tr w14:paraId="6665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C47E2F5">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w:t>
            </w:r>
          </w:p>
        </w:tc>
        <w:tc>
          <w:tcPr>
            <w:tcW w:w="775" w:type="dxa"/>
            <w:vAlign w:val="center"/>
          </w:tcPr>
          <w:p w14:paraId="3EA9AA86">
            <w:pPr>
              <w:spacing w:after="0" w:line="360" w:lineRule="exact"/>
              <w:jc w:val="lef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PCB设计及应用</w:t>
            </w:r>
          </w:p>
        </w:tc>
        <w:tc>
          <w:tcPr>
            <w:tcW w:w="3377" w:type="dxa"/>
          </w:tcPr>
          <w:p w14:paraId="4A4B461F">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：理解电子CAD的基本概念、发展历程及在电子设计中的核心作用。</w:t>
            </w:r>
            <w:r>
              <w:rPr>
                <w:rFonts w:ascii="Times New Roman" w:hAnsi="Times New Roman" w:eastAsia="仿宋_GB2312" w:cs="仿宋_GB2312"/>
                <w:kern w:val="0"/>
                <w:sz w:val="24"/>
                <w:szCs w:val="20"/>
                <w:highlight w:val="none"/>
              </w:rPr>
              <w:t>掌握主流PCB设计软件的界面操作、功能模块及使用流程。掌握电路原理图设计规范，包括元器件符号绘制、电气连接规则及原理图审核标准。掌握印制电路板（PCB）设计基础，包括元器件封装设计、布局布线原则、信号完整性基础。了解单、双面板的设计特点及整机电路PCB设计的基本流程与行业标准。</w:t>
            </w:r>
          </w:p>
          <w:p w14:paraId="08B15608">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：能熟练使用软件完成电路原理图的绘制、检查与优化。</w:t>
            </w:r>
            <w:r>
              <w:rPr>
                <w:rFonts w:ascii="Times New Roman" w:hAnsi="Times New Roman" w:eastAsia="仿宋_GB2312" w:cs="仿宋_GB2312"/>
                <w:kern w:val="0"/>
                <w:sz w:val="24"/>
                <w:szCs w:val="20"/>
                <w:highlight w:val="none"/>
              </w:rPr>
              <w:t>能独立设计常用元器件的封装，根据电路需求完成PCB布局与布线设计。能对单、双面板电路进行分析，识别设计中的常见问题</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并提出改进方案。能结合产品需求，运用PCB设计软件完成简单电子产品的整机电路设计与初步验证。</w:t>
            </w:r>
          </w:p>
          <w:p w14:paraId="2884D610">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：养成“规范绘图、精准设计”的工作习惯，严格遵循电子设计行业标准与流程。</w:t>
            </w:r>
            <w:r>
              <w:rPr>
                <w:rFonts w:ascii="Times New Roman" w:hAnsi="Times New Roman" w:eastAsia="仿宋_GB2312" w:cs="仿宋_GB2312"/>
                <w:kern w:val="0"/>
                <w:sz w:val="24"/>
                <w:szCs w:val="20"/>
                <w:highlight w:val="none"/>
              </w:rPr>
              <w:t>培养分析电路设计问题、优化设计方案的逻辑思维能力与创新意识。提升在小组协作中沟通需求、分工配合完成复杂PCB设计项目的团队协作能力。</w:t>
            </w:r>
          </w:p>
          <w:p w14:paraId="67F57739">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通过高精度PCB设计实训，培养学生对技术细节的极致追求和严谨的工程态度。</w:t>
            </w:r>
            <w:r>
              <w:rPr>
                <w:rFonts w:ascii="Times New Roman" w:hAnsi="Times New Roman" w:eastAsia="仿宋_GB2312" w:cs="仿宋_GB2312"/>
                <w:kern w:val="0"/>
                <w:sz w:val="24"/>
                <w:szCs w:val="20"/>
                <w:highlight w:val="none"/>
              </w:rPr>
              <w:t>结合国产PCB设计软件发展案例，激发学生对本土技术创新的关注与科技报国的责任感。强调电路设计中的安全规范，树立“技术安全为先”的职业操守。</w:t>
            </w:r>
          </w:p>
        </w:tc>
        <w:tc>
          <w:tcPr>
            <w:tcW w:w="2864" w:type="dxa"/>
          </w:tcPr>
          <w:p w14:paraId="5D592727">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电路原理图识图、绘图能力，元器件符号和封装绘制能力，电子产品原理图设计能力，电子产品印制电路板图设计能力，整机电路单、双面板分析和初步设计能力，以及软件使用能力</w:t>
            </w:r>
          </w:p>
        </w:tc>
        <w:tc>
          <w:tcPr>
            <w:tcW w:w="2958" w:type="dxa"/>
          </w:tcPr>
          <w:p w14:paraId="1B268879">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知识掌握‌：学生需了解电子CAD的基本概念、发展历程及主要功能，掌握AltiumDesigner等常用软件的操作方法。</w:t>
            </w:r>
          </w:p>
          <w:p w14:paraId="791A87D9">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‌技能培养‌：培养学生运用电子CAD软件进行电子电路设计和绘图的能力，包括电路原理图设计、元器件符号和封装绘制、印制电路板图设计等。</w:t>
            </w:r>
          </w:p>
          <w:p w14:paraId="5597F6B0">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‌能力提升‌：通过项目实践，提高学生的分析问题、解决问题能力，培养创新意识和团队协作精神。</w:t>
            </w:r>
          </w:p>
          <w:p w14:paraId="3476D53E">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‌职业素养‌：引导学生了解行业标准与规范，培养良好的职业道德和严谨的工作作风。</w:t>
            </w:r>
          </w:p>
          <w:p w14:paraId="3FB142EA">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教学方法‌：采用“讲解+演示+实践”的教学模式，利用多媒体教学资源，组织小组讨论和合作实践，确保教学效果</w:t>
            </w:r>
          </w:p>
        </w:tc>
      </w:tr>
      <w:tr w14:paraId="3B86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3BD9A2C">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2</w:t>
            </w:r>
          </w:p>
        </w:tc>
        <w:tc>
          <w:tcPr>
            <w:tcW w:w="775" w:type="dxa"/>
            <w:vAlign w:val="center"/>
          </w:tcPr>
          <w:p w14:paraId="0D77B5A9">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电子装联技术及应用</w:t>
            </w:r>
          </w:p>
        </w:tc>
        <w:tc>
          <w:tcPr>
            <w:tcW w:w="3377" w:type="dxa"/>
          </w:tcPr>
          <w:p w14:paraId="04018317">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了解电子装联技术的发展历程、现状及未来趋势。掌握电子装联的基本概念、工艺流程和质量要求。掌握电子装联常用的工具和设备。掌握电子元件识别与检测。掌握电子元件的性能参数和检测方法，能够使用万用表、示波器等仪器对元件进行检测和筛选。理解焊接的基本原理和分类，掌握手工焊和自动化焊接技术。掌握电子组装工艺，整机装配的工艺方法和质量控制。能对简单的电子装联进行设计、调试。</w:t>
            </w:r>
          </w:p>
          <w:p w14:paraId="5BE50979">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能精准识别、检测常用电子元器件的性能参数、封装形式，判断其是否符合使用要求。熟练掌握电子装联核心工艺，如焊膏印刷、贴片、焊接、检测、返修等操作，严格遵循电子装联工艺的基本流程和操作规范。借助专业工具，完成电子产品的测试与调试，定位并解决装联过程中的工艺问题。依据产品需求，进行电路板装联工艺制程设计，能运用品管分析手法分析工艺缺陷，提出并实施持续改善方案。结合现代电子产品可制造性设计规范，参与电子装联组件验收，确保设计与生产工艺适配。精通电路板装联品质检测标准，运用检测设备开展缺陷检测、返修，保障产品质量。</w:t>
            </w:r>
          </w:p>
          <w:p w14:paraId="5008E4ED">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w:t>
            </w:r>
            <w:bookmarkStart w:id="28" w:name="_Toc362185967"/>
            <w:bookmarkStart w:id="29" w:name="_Toc362020403"/>
            <w:bookmarkStart w:id="30" w:name="_Toc362020466"/>
            <w:bookmarkStart w:id="31" w:name="_Toc362358933"/>
            <w:bookmarkStart w:id="32" w:name="_Toc362068515"/>
            <w:bookmarkStart w:id="33" w:name="_Toc362186278"/>
            <w:bookmarkStart w:id="34" w:name="_Toc362019011"/>
            <w:bookmarkStart w:id="35" w:name="_Toc362268822"/>
            <w:bookmarkStart w:id="36" w:name="_Toc362188489"/>
            <w:bookmarkStart w:id="37" w:name="_Toc362186431"/>
            <w:r>
              <w:rPr>
                <w:rFonts w:hint="eastAsia" w:ascii="Times New Roman" w:hAnsi="Times New Roman" w:eastAsia="仿宋_GB2312" w:cs="仿宋_GB2312"/>
                <w:kern w:val="0"/>
                <w:sz w:val="24"/>
                <w:szCs w:val="20"/>
                <w:highlight w:val="none"/>
              </w:rPr>
              <w:t>培养良好的职业道德观念。培养尊重科学，实事求是，勇于创新的精神。养成科学严谨、认真负责的工作态度。</w:t>
            </w:r>
            <w:bookmarkEnd w:id="28"/>
            <w:bookmarkEnd w:id="29"/>
            <w:bookmarkEnd w:id="30"/>
            <w:bookmarkEnd w:id="31"/>
            <w:bookmarkEnd w:id="32"/>
            <w:bookmarkEnd w:id="33"/>
            <w:bookmarkEnd w:id="34"/>
            <w:bookmarkEnd w:id="35"/>
            <w:bookmarkEnd w:id="36"/>
            <w:bookmarkEnd w:id="37"/>
          </w:p>
          <w:p w14:paraId="0A429E53">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通过元器件检测、电路焊接等高精度实操训练，让学生认识到技术操作中严谨细致的重要性，树立对技术的敬畏之心，养成精益求精的学习习惯。树立正确的技术应用观念，引导学生将技术用于推动社会进步与保障民生，抵制不当技术应用。强化职业道德意识模拟企业生产环境，通过遵守安全规程、严守质量标准等实训要求，培养学生诚实守信、爱岗敬业、规范操作的职业操守。</w:t>
            </w:r>
          </w:p>
        </w:tc>
        <w:tc>
          <w:tcPr>
            <w:tcW w:w="2864" w:type="dxa"/>
          </w:tcPr>
          <w:p w14:paraId="3D44E76A">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电子装联基础知识：介绍电子装联技术的发展历程、现状及未来趋势；讲解电子装联的基本概念、工艺流程和质量要求；介绍电子装联常用的工具和设备，如电烙铁、镊子、锡膏印刷机、贴片机等。</w:t>
            </w:r>
          </w:p>
          <w:p w14:paraId="4D148D0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电子元件识别与检测：学习各类电子元件的识别方法，包括电阻、电容、电感、二极管、三极管、集成电路等；掌握电子元件的性能参数和检测方法，能够使用万用表、示波器等仪器对元件进行检测和筛选。</w:t>
            </w:r>
          </w:p>
          <w:p w14:paraId="47911D97">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焊接技术：详细讲解焊接的基本原理和分类，如锡铅焊接、无铅焊接等；介绍手工焊接技术，包括电烙铁的使用方法、焊接步骤、焊接技巧和质量控制等；同时介绍自动化焊接技术，如波峰焊、回流焊的工艺原理、设备操作和工艺参数调整。</w:t>
            </w:r>
          </w:p>
          <w:p w14:paraId="11F0F582">
            <w:pPr>
              <w:spacing w:after="0" w:line="36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电子组装工艺：学习电子元件的安装方法，包括插件安装、表面贴装等；讲解电子组件的组装流程和工艺要求，如线缆连接、接插件安装、屏蔽处理等；介绍整机装配的工艺方法和质量控制，包括机箱组装、面板安装、内部布线等。</w:t>
            </w:r>
          </w:p>
        </w:tc>
        <w:tc>
          <w:tcPr>
            <w:tcW w:w="2958" w:type="dxa"/>
          </w:tcPr>
          <w:p w14:paraId="23DAA7AE">
            <w:pPr>
              <w:spacing w:after="24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应具备一定的电路基础、电子技术基础和计算机基础知识，以便更好地理解和掌握课程内容；在课程学习过程中，学生需要认真听讲、积极思考，按时完成教师布置的作业和实验任务；注重实践操作，严格遵守实验室的安全规定和操作规程，养成良好的实验习惯和职业素养；积极参加课程讨论和小组活动，培养团队合作精神和沟通能力。教师应具备扎实的电子装联技术专业知识和丰富的教学经验，能够熟练掌握课程内容和教学方法；在教学过程中，教师要注重理论与实践相结合，通过案例分析、实验演示、现场指导等方式，帮助学生更好地理解和掌握课程知识和技能；要关注学生的学习情况和反馈意见，及时调整教学进度和教学方法，满足不同学生的学习需求；同时，教师要注重培养学生的创新能力和实践能力，鼓励学生在实践中探索和创新。课程需要配备相应的教学资源，如多媒体教室、电子装联实验室、实验设备和仪器、教材、参考书籍、网络资源等。实验室应具备完善的电子装联设备和工具，如锡膏印刷机、贴片机、回流焊炉、波峰焊机、电烙铁、万用表、示波器等，以满足学生的实践操作需求。同时，学校还应提供丰富的教材和参考书籍，以及相关的网络资源，方便学生自主学习和查阅资料。</w:t>
            </w:r>
          </w:p>
        </w:tc>
      </w:tr>
      <w:tr w14:paraId="7343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58D97449">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3</w:t>
            </w:r>
          </w:p>
        </w:tc>
        <w:tc>
          <w:tcPr>
            <w:tcW w:w="775" w:type="dxa"/>
            <w:vAlign w:val="center"/>
          </w:tcPr>
          <w:p w14:paraId="1248D68B">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传感器与检测技术</w:t>
            </w:r>
          </w:p>
        </w:tc>
        <w:tc>
          <w:tcPr>
            <w:tcW w:w="3377" w:type="dxa"/>
          </w:tcPr>
          <w:p w14:paraId="0F8C7FF3">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理解检测技术的基本概念、传感器的定义、分类及在现代测控系统中的作用。掌握传感器的基本特性及误差理论与数据处理方法。掌握电阻式、电容式、电感式、压电式等常用传感器的工作原理、结构及应用场景。了解电测系统中的抗干扰技术及传感器选型的基本原则。</w:t>
            </w:r>
          </w:p>
          <w:p w14:paraId="7AE33A27">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能根据测试需求选择合适的传感器类型及测量方法。能使用万用表、示波器等仪器对传感器性能参数进行检测与校准。能分析检测系统的误差来源，运用数据处理方法优化测量结果，提高检测精度。能设计简单的传感器应用电路，解决实际测控场景中的基础检测问题。</w:t>
            </w:r>
          </w:p>
          <w:p w14:paraId="4F3CB4B5">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养成“实事求是、数据说话”的科学学风，对待检测结果严谨求实</w:t>
            </w:r>
            <w:r>
              <w:rPr>
                <w:rFonts w:hint="eastAsia" w:ascii="Times New Roman" w:hAnsi="Times New Roman" w:eastAsia="仿宋_GB2312" w:cs="仿宋_GB2312"/>
                <w:kern w:val="0"/>
                <w:sz w:val="24"/>
                <w:szCs w:val="20"/>
                <w:highlight w:val="none"/>
                <w:lang w:eastAsia="zh-CN"/>
              </w:rPr>
              <w:t>，</w:t>
            </w:r>
            <w:r>
              <w:rPr>
                <w:rFonts w:ascii="Times New Roman" w:hAnsi="Times New Roman" w:eastAsia="仿宋_GB2312" w:cs="仿宋_GB2312"/>
                <w:kern w:val="0"/>
                <w:sz w:val="24"/>
                <w:szCs w:val="20"/>
                <w:highlight w:val="none"/>
              </w:rPr>
              <w:t>杜绝数据造假。培养针对复杂测控需求，运用传感器知识与检测技术解决问题的工程思维。提升团队项目中分工采集数据、协作分析结果的沟通与协作能力。</w:t>
            </w:r>
          </w:p>
          <w:p w14:paraId="03BA4A23">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ascii="Times New Roman" w:hAnsi="Times New Roman" w:eastAsia="仿宋_GB2312" w:cs="仿宋_GB2312"/>
                <w:kern w:val="0"/>
                <w:sz w:val="24"/>
                <w:szCs w:val="20"/>
                <w:highlight w:val="none"/>
              </w:rPr>
              <w:t>通过传感器在智慧农业、环境监测等民生领域的应用案例，引导学生树立“技术为民”的应用理念。结合我国自主研发传感器在航天、医疗等领域的突破，激发民族自豪感与自主创新意识。强调检测数据的真实性与可靠性，培养学生坚守职业底线、诚信执业的道德品质。</w:t>
            </w:r>
          </w:p>
        </w:tc>
        <w:tc>
          <w:tcPr>
            <w:tcW w:w="2864" w:type="dxa"/>
          </w:tcPr>
          <w:p w14:paraId="1F1C2B62">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涵盖传感器工作原理、特性、应用及检测技术，旨在培养学生掌握传感器技术与应用能力</w:t>
            </w:r>
          </w:p>
        </w:tc>
        <w:tc>
          <w:tcPr>
            <w:tcW w:w="2958" w:type="dxa"/>
          </w:tcPr>
          <w:p w14:paraId="3BA38919">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要求学生掌握检测技术的基本概念、传感器的基本特性以及误差理论知识，学会误差分析与数据处理的方法，掌握各种传感器的原理、结构及相关检测方法，了解电测技术中的抗干扰问题。</w:t>
            </w:r>
          </w:p>
          <w:p w14:paraId="7A984A1C">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‌培养学生根据具体测试对象、测试要求、测试环境选择合适测量原理和测量方法的能力，能够对检测系统的性能进行分析，对测得的数据进行处理，并能设计测试系统的抗干扰措施。</w:t>
            </w:r>
          </w:p>
          <w:p w14:paraId="28EC81FD">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w:t>
            </w:r>
          </w:p>
        </w:tc>
      </w:tr>
      <w:tr w14:paraId="2A52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CC19D57">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4</w:t>
            </w:r>
          </w:p>
        </w:tc>
        <w:tc>
          <w:tcPr>
            <w:tcW w:w="775" w:type="dxa"/>
            <w:vAlign w:val="center"/>
          </w:tcPr>
          <w:p w14:paraId="49539CA6">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智能应用系统集成与维护</w:t>
            </w:r>
          </w:p>
        </w:tc>
        <w:tc>
          <w:tcPr>
            <w:tcW w:w="3377" w:type="dxa"/>
          </w:tcPr>
          <w:p w14:paraId="0DCEBC81">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：理解智能应用系统的定义、组成结构及典型应用领域。</w:t>
            </w:r>
            <w:r>
              <w:rPr>
                <w:rFonts w:ascii="Times New Roman" w:hAnsi="Times New Roman" w:eastAsia="仿宋_GB2312" w:cs="仿宋_GB2312"/>
                <w:kern w:val="0"/>
                <w:sz w:val="24"/>
                <w:szCs w:val="20"/>
                <w:highlight w:val="none"/>
              </w:rPr>
              <w:t>掌握智能硬件设备的工作原理、接口标准及通信协议。了解智能系统常用软件的基本功能及集成方法。掌握智能应用系统集成的流程及维护的核心技术。</w:t>
            </w:r>
          </w:p>
          <w:p w14:paraId="5796634E">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：能根据应用场景需求，完成智能应用系统的初步规划与硬件设备选型。</w:t>
            </w:r>
            <w:r>
              <w:rPr>
                <w:rFonts w:ascii="Times New Roman" w:hAnsi="Times New Roman" w:eastAsia="仿宋_GB2312" w:cs="仿宋_GB2312"/>
                <w:kern w:val="0"/>
                <w:sz w:val="24"/>
                <w:szCs w:val="20"/>
                <w:highlight w:val="none"/>
              </w:rPr>
              <w:t>能进行智能硬件的安装、调试及软件系统的部署与配置，实现设备间的协同工作。能运用调试工具定位系统集成中的常见问题</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并提出解决方案。</w:t>
            </w:r>
          </w:p>
          <w:p w14:paraId="2A5D2D8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能制定智能系统的日常维护策略，完成设备保养、软件升级及数据备份与恢复。</w:t>
            </w:r>
          </w:p>
          <w:p w14:paraId="3BA93D26">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：培养从系统全局出发分析问题的思维方式，提升综合协调硬件、软件与网络资源的能力。</w:t>
            </w:r>
            <w:r>
              <w:rPr>
                <w:rFonts w:ascii="Times New Roman" w:hAnsi="Times New Roman" w:eastAsia="仿宋_GB2312" w:cs="仿宋_GB2312"/>
                <w:kern w:val="0"/>
                <w:sz w:val="24"/>
                <w:szCs w:val="20"/>
                <w:highlight w:val="none"/>
              </w:rPr>
              <w:t>养成“预防为主、快速响应”的维护意识，对待系统故障主动排查、及时处理。提升在跨专业团队中协作推进项目的沟通与协调能力。</w:t>
            </w:r>
          </w:p>
          <w:p w14:paraId="006F4E50">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通过智能系统在养老、医疗等公益领域的应用案例，引导学生认识技术的社会价值，树立“技术服务民生”的理念。</w:t>
            </w:r>
            <w:r>
              <w:rPr>
                <w:rFonts w:ascii="Times New Roman" w:hAnsi="Times New Roman" w:eastAsia="仿宋_GB2312" w:cs="仿宋_GB2312"/>
                <w:kern w:val="0"/>
                <w:sz w:val="24"/>
                <w:szCs w:val="20"/>
                <w:highlight w:val="none"/>
              </w:rPr>
              <w:t>结合国产智能系统的发展成果，增强学生对本土技术的认同感与产业自信。强调系统集成中的标准化与规范化，培养学生遵守行业准则、追求工程质量的职业操守。</w:t>
            </w:r>
          </w:p>
          <w:p w14:paraId="258C7EE0">
            <w:pPr>
              <w:spacing w:after="0" w:line="320" w:lineRule="exact"/>
              <w:rPr>
                <w:rFonts w:hint="eastAsia" w:ascii="Times New Roman" w:hAnsi="Times New Roman" w:eastAsia="仿宋_GB2312" w:cs="仿宋_GB2312"/>
                <w:kern w:val="0"/>
                <w:sz w:val="24"/>
                <w:szCs w:val="20"/>
                <w:highlight w:val="none"/>
              </w:rPr>
            </w:pPr>
          </w:p>
        </w:tc>
        <w:tc>
          <w:tcPr>
            <w:tcW w:w="2864" w:type="dxa"/>
          </w:tcPr>
          <w:p w14:paraId="36E4E92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智能应用系统基础：介绍智能应用系统的概念、组成结构、分类和应用领域；讲解智能应用系统的发展历程、现状和未来趋势；介绍智能应用系统集成与维护的基本流程和方法。</w:t>
            </w:r>
          </w:p>
          <w:p w14:paraId="13656DC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智能硬件设备：学习各类智能硬件设备的工作原理、性能参数和应用场景，如传感器、执行器、控制器、智能终端等；掌握智能硬件设备的选型、安装和调试方法；了解智能硬件设备的接口标准和通信协议。</w:t>
            </w:r>
          </w:p>
          <w:p w14:paraId="161F50A9">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软件系统与开发：讲解智能应用系统中常用的操作系统、数据库管理系统和中间件等软件的安装、配置和管理；学习智能应用系统的软件开发技术，如编程语言、开发框架、API接口等；掌握软件系统的测试方法和质量控制。</w:t>
            </w:r>
          </w:p>
          <w:p w14:paraId="6D770D9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系统集成技术：详细讲解智能应用系统集成的方法和流程，包括系统规划、设计、设备选型、布线施工、系统调试等；学习系统集成中的数据融合、接口对接和协同工作等技术；通过实际案例分析，让学生了解系统集成过程中的常见问题和解决方法。</w:t>
            </w:r>
          </w:p>
          <w:p w14:paraId="3926A95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系统维护与管理：介绍智能应用系统的维护策略和方法，包括设备维护、软件升级、数据备份与恢复等；讲解系统故障诊断和排除的方法和技巧，通过实际操作让学生掌握常见故障的诊断和处理能力；学习系统性能优化的方法和技术，提高系统的稳定性和运行效率。</w:t>
            </w:r>
          </w:p>
        </w:tc>
        <w:tc>
          <w:tcPr>
            <w:tcW w:w="2958" w:type="dxa"/>
          </w:tcPr>
          <w:p w14:paraId="4636455B">
            <w:pPr>
              <w:overflowPunct w:val="0"/>
              <w:adjustRightInd w:val="0"/>
              <w:spacing w:after="0" w:line="360" w:lineRule="exact"/>
              <w:outlineLvl w:val="9"/>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要求：学生应具备一定的计算机基础、电子技术基础和网络知识，以便更好地理解和掌握课程内容；在课程学习过程中，学生需要认真听讲、积极思考，按时完成教师布置的作业和实验任务；注重实践操作，严格遵守实验室的安全规定和操作规程，养成良好的实验习惯和职业素养；积极参加课程讨论和小组活动，培养团队合作精神和沟通能力。</w:t>
            </w:r>
          </w:p>
          <w:p w14:paraId="1E600E86">
            <w:pPr>
              <w:overflowPunct w:val="0"/>
              <w:adjustRightInd w:val="0"/>
              <w:spacing w:after="0" w:line="360" w:lineRule="exact"/>
              <w:outlineLvl w:val="9"/>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师要求：教师应具备扎实的智能应用系统集成与维护专业知识和丰富的教学经验，能够熟练掌握课程内容和教学方法；在教学过程中，教师要注重理论与实践相结合，通过案例分析、实验演示、现场指导等方式，帮助学生更好地理解和掌握课程知识和技能；要关注学生的学习情况和反馈意见，及时调整教学进度和教学方法，满足不同学生的学习需求；同时，教师要注重培养学生的创新能力和实践能力，鼓励学生在实践中探索和创新。</w:t>
            </w:r>
          </w:p>
          <w:p w14:paraId="56BA4B05">
            <w:pPr>
              <w:overflowPunct w:val="0"/>
              <w:adjustRightInd w:val="0"/>
              <w:spacing w:after="0" w:line="360" w:lineRule="exact"/>
              <w:outlineLvl w:val="9"/>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学资源要求：课程需要配备相应的教学资源，如多媒体教室、智能应用系统实验室、实验设备和仪器、教材、参考书籍、网络资源等。实验室应具备完善的智能硬件设备、软件系统和通信网络等实验环境，以满足学生的实践操作需求。同时，学校还应提供丰富的教材和参考书籍，以及相关的网络资源，方便学生自主学习和查阅资料。</w:t>
            </w:r>
          </w:p>
        </w:tc>
      </w:tr>
      <w:tr w14:paraId="3732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F94FE84">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5</w:t>
            </w:r>
          </w:p>
        </w:tc>
        <w:tc>
          <w:tcPr>
            <w:tcW w:w="775" w:type="dxa"/>
            <w:vAlign w:val="center"/>
          </w:tcPr>
          <w:p w14:paraId="4B8CEA1D">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单片机技术及应用</w:t>
            </w:r>
          </w:p>
        </w:tc>
        <w:tc>
          <w:tcPr>
            <w:tcW w:w="3377" w:type="dxa"/>
          </w:tcPr>
          <w:p w14:paraId="324DA718">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：理解单片机的定义、组成结构及工作原理。</w:t>
            </w:r>
            <w:r>
              <w:rPr>
                <w:rFonts w:ascii="Times New Roman" w:hAnsi="Times New Roman" w:eastAsia="仿宋_GB2312" w:cs="仿宋_GB2312"/>
                <w:kern w:val="0"/>
                <w:sz w:val="24"/>
                <w:szCs w:val="20"/>
                <w:highlight w:val="none"/>
              </w:rPr>
              <w:t>掌握单片机指令系统的基本格式、寻址方式及常用指令的编程应用。掌握单片机中断系统、定时器</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计数器、串口通信的工作机制及配置方法。了解单片机模数（A/D）、数模（D/A）转换的原理及存储器扩展技术。</w:t>
            </w:r>
          </w:p>
          <w:p w14:paraId="01E6424F">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：能使用C语言或汇编语言编写单片机应用程序，实现基本I/O控制、中断响应等功能。</w:t>
            </w:r>
            <w:r>
              <w:rPr>
                <w:rFonts w:ascii="Times New Roman" w:hAnsi="Times New Roman" w:eastAsia="仿宋_GB2312" w:cs="仿宋_GB2312"/>
                <w:kern w:val="0"/>
                <w:sz w:val="24"/>
                <w:szCs w:val="20"/>
                <w:highlight w:val="none"/>
              </w:rPr>
              <w:t>能搭建单片机最小系统，完成外设的接口电路设计与调试。能运用仿真软件或开发工具对单片机程序进行调试，定位并解决逻辑错误与硬件故障。能设计简单的单片机应用系统</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并完成功能验证。</w:t>
            </w:r>
          </w:p>
          <w:p w14:paraId="26BDDCD3">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：养成“代码规范、逻辑清晰”的编程习惯，注重程序的可读性与可维护性。</w:t>
            </w:r>
            <w:r>
              <w:rPr>
                <w:rFonts w:ascii="Times New Roman" w:hAnsi="Times New Roman" w:eastAsia="仿宋_GB2312" w:cs="仿宋_GB2312"/>
                <w:kern w:val="0"/>
                <w:sz w:val="24"/>
                <w:szCs w:val="20"/>
                <w:highlight w:val="none"/>
              </w:rPr>
              <w:t>培养软硬件协同设计的工程意识，能综合考虑硬件限制与软件功能实现需求。提升针对实际问题，运用单片机技术创新解决方案的思维与实践能力。</w:t>
            </w:r>
          </w:p>
          <w:p w14:paraId="6FB5F9A5">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通过单片机在工业控制、智能家居等领域的国产化应用案例，激发学生科技报国的使命感。</w:t>
            </w:r>
            <w:r>
              <w:rPr>
                <w:rFonts w:ascii="Times New Roman" w:hAnsi="Times New Roman" w:eastAsia="仿宋_GB2312" w:cs="仿宋_GB2312"/>
                <w:kern w:val="0"/>
                <w:sz w:val="24"/>
                <w:szCs w:val="20"/>
                <w:highlight w:val="none"/>
              </w:rPr>
              <w:t>强调编程与硬件调试中的严谨性，培养学生对技术的敬畏之心。鼓励学生对传统单片机功能进行优化改进，培养突破常规、勇于探索的创新精神。</w:t>
            </w:r>
          </w:p>
        </w:tc>
        <w:tc>
          <w:tcPr>
            <w:tcW w:w="2864" w:type="dxa"/>
          </w:tcPr>
          <w:p w14:paraId="66D6A84A">
            <w:pPr>
              <w:spacing w:after="0" w:line="36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单片机的基础知识，I/0端口，中断系统；定时器系统，串口通信；模数、数模转换的使用；存储器扩展</w:t>
            </w:r>
          </w:p>
        </w:tc>
        <w:tc>
          <w:tcPr>
            <w:tcW w:w="2958" w:type="dxa"/>
          </w:tcPr>
          <w:p w14:paraId="238D9BDF">
            <w:pPr>
              <w:overflowPunct w:val="0"/>
              <w:adjustRightInd w:val="0"/>
              <w:spacing w:after="0" w:line="360" w:lineRule="exact"/>
              <w:outlineLvl w:val="9"/>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单片机原理与接口技术这门课的教学要求主要包括以下几点：</w:t>
            </w:r>
          </w:p>
          <w:p w14:paraId="5E0B9203">
            <w:pPr>
              <w:overflowPunct w:val="0"/>
              <w:adjustRightInd w:val="0"/>
              <w:spacing w:after="0" w:line="360" w:lineRule="exact"/>
              <w:outlineLvl w:val="9"/>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‌知识掌握‌：学生需掌握单片机的基本原理、组成结构、指令系统及编程方法，了解单片机的接口技术和应用实例。</w:t>
            </w:r>
          </w:p>
          <w:p w14:paraId="61313C8B">
            <w:pPr>
              <w:overflowPunct w:val="0"/>
              <w:adjustRightInd w:val="0"/>
              <w:spacing w:after="0" w:line="360" w:lineRule="exact"/>
              <w:outlineLvl w:val="9"/>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通过实验教学，培养学生单片机软硬件协同设计的能力，包括单片机应用系统的开发与设计、程序调试、故障分析等技能。</w:t>
            </w:r>
          </w:p>
          <w:p w14:paraId="31FF64A8">
            <w:pPr>
              <w:spacing w:after="24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注重培养学生的工程全局意识、分工协作的团队意识，以及刻苦钻研、求真务实、探索创新的工程素养。采用理论教学与实验教学相结合的方式，让学生在理解理论知识的基础上，通过实际操作加深理解，提升应用能力。</w:t>
            </w:r>
          </w:p>
        </w:tc>
      </w:tr>
      <w:tr w14:paraId="100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3876515">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6</w:t>
            </w:r>
          </w:p>
        </w:tc>
        <w:tc>
          <w:tcPr>
            <w:tcW w:w="775" w:type="dxa"/>
            <w:vAlign w:val="center"/>
          </w:tcPr>
          <w:p w14:paraId="11092B8A">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智能电子产品检测与维护</w:t>
            </w:r>
          </w:p>
        </w:tc>
        <w:tc>
          <w:tcPr>
            <w:tcW w:w="3377" w:type="dxa"/>
          </w:tcPr>
          <w:p w14:paraId="577BFE54">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：理解智能电子产品的定义、分类及硬件、软件组成结构。</w:t>
            </w:r>
            <w:r>
              <w:rPr>
                <w:rFonts w:ascii="Times New Roman" w:hAnsi="Times New Roman" w:eastAsia="仿宋_GB2312" w:cs="仿宋_GB2312"/>
                <w:kern w:val="0"/>
                <w:sz w:val="24"/>
                <w:szCs w:val="20"/>
                <w:highlight w:val="none"/>
              </w:rPr>
              <w:t>掌握万用表、示波器、逻辑分析仪等常用检测仪器的工作原理及操作规范。掌握智能电子产品的性能检测指标及检测流程。了解智能产品常见故障类型及维护技术。</w:t>
            </w:r>
          </w:p>
          <w:p w14:paraId="5E718362">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：能根据智能产品类型选择合适的检测工具，完成电气参数测试与功能验证。</w:t>
            </w:r>
            <w:r>
              <w:rPr>
                <w:rFonts w:ascii="Times New Roman" w:hAnsi="Times New Roman" w:eastAsia="仿宋_GB2312" w:cs="仿宋_GB2312"/>
                <w:kern w:val="0"/>
                <w:sz w:val="24"/>
                <w:szCs w:val="20"/>
                <w:highlight w:val="none"/>
              </w:rPr>
              <w:t>能运用故障诊断方法</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定位产品常见故障点。能独立完成简单的硬件维修与软件维护。能制定智能电子产品的日常保养计划，编写维护报告并提出性能优化建议。</w:t>
            </w:r>
          </w:p>
          <w:p w14:paraId="15EF54AF">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：养成“安全操作、规范检测”的职业习惯，严格遵守仪器使用规程与维修流程。</w:t>
            </w:r>
            <w:r>
              <w:rPr>
                <w:rFonts w:ascii="Times New Roman" w:hAnsi="Times New Roman" w:eastAsia="仿宋_GB2312" w:cs="仿宋_GB2312"/>
                <w:kern w:val="0"/>
                <w:sz w:val="24"/>
                <w:szCs w:val="20"/>
                <w:highlight w:val="none"/>
              </w:rPr>
              <w:t>培养对产品质量的责任意识，对待检测数据与维修结果认真负责、一丝不苟。提升以用户需求为导向，提供高效、可靠维护服务的服务意识与沟通能力。</w:t>
            </w:r>
          </w:p>
          <w:p w14:paraId="3EFAED84">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通过保障智能产品安全性能的检测实践，引导学生树立“质量为先、用户至上”的职业道德。</w:t>
            </w:r>
            <w:r>
              <w:rPr>
                <w:rFonts w:ascii="Times New Roman" w:hAnsi="Times New Roman" w:eastAsia="仿宋_GB2312" w:cs="仿宋_GB2312"/>
                <w:kern w:val="0"/>
                <w:sz w:val="24"/>
                <w:szCs w:val="20"/>
                <w:highlight w:val="none"/>
              </w:rPr>
              <w:t>结合国产智能产品的质量提升案例，增强民族品牌自信。强调维修过程中的诚信原则，培养学生诚实守信的职业操守。</w:t>
            </w:r>
          </w:p>
          <w:p w14:paraId="5E3D6262">
            <w:pPr>
              <w:spacing w:after="0" w:line="320" w:lineRule="exact"/>
              <w:rPr>
                <w:rFonts w:hint="eastAsia" w:ascii="Times New Roman" w:hAnsi="Times New Roman" w:eastAsia="仿宋_GB2312" w:cs="仿宋_GB2312"/>
                <w:kern w:val="0"/>
                <w:sz w:val="24"/>
                <w:szCs w:val="20"/>
                <w:highlight w:val="none"/>
              </w:rPr>
            </w:pPr>
          </w:p>
        </w:tc>
        <w:tc>
          <w:tcPr>
            <w:tcW w:w="2864" w:type="dxa"/>
          </w:tcPr>
          <w:p w14:paraId="46F6C8E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智能电子产品基础</w:t>
            </w:r>
          </w:p>
          <w:p w14:paraId="5D458067">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智能电子产品的概念、分类、发展现状与趋势。</w:t>
            </w:r>
          </w:p>
          <w:p w14:paraId="6D35BD71">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智能电子产品的硬件组成，包括芯片、传感器、执行器、存储设备等。</w:t>
            </w:r>
          </w:p>
          <w:p w14:paraId="718692D5">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智能电子产品的软件系统，如操作系统、应用程序、驱动程序等。</w:t>
            </w:r>
          </w:p>
          <w:p w14:paraId="16B9F96F">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检测工具与仪器</w:t>
            </w:r>
          </w:p>
          <w:p w14:paraId="16187181">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万用表、示波器、逻辑分析仪等常用电子测量仪器的使用方法。</w:t>
            </w:r>
          </w:p>
          <w:p w14:paraId="09E1BDD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专业检测设备，如智能电子产品综合测试仪、射频测试仪等的操作与应用。</w:t>
            </w:r>
          </w:p>
          <w:p w14:paraId="3DEBD73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检测工具的选择、校准与维护。</w:t>
            </w:r>
          </w:p>
          <w:p w14:paraId="3A2D58F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检测技术与方法</w:t>
            </w:r>
          </w:p>
          <w:p w14:paraId="02B59D9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智能电子产品的性能检测，包括电气性能、功能性能、通信性能等方面的测试。</w:t>
            </w:r>
          </w:p>
          <w:p w14:paraId="413BFFBA">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故障诊断方法，如直观检查法、信号注入法、对比法、替换法等。</w:t>
            </w:r>
          </w:p>
          <w:p w14:paraId="50A469C1">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基于软件的检测技术，如软件调试工具的使用、日志分析等。</w:t>
            </w:r>
          </w:p>
          <w:p w14:paraId="739E6237">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检测流程与规范，包括检测前的准备、检测步骤、数据记录与分析。</w:t>
            </w:r>
          </w:p>
          <w:p w14:paraId="6EE2CC7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维护技术与方法</w:t>
            </w:r>
          </w:p>
          <w:p w14:paraId="05E8CE2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智能电子产品的日常维护，包括清洁、保养、电池管理等。</w:t>
            </w:r>
          </w:p>
          <w:p w14:paraId="39DE13D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硬件维修技术，如元器件的更换、电路板的焊接与修复。</w:t>
            </w:r>
          </w:p>
          <w:p w14:paraId="11F7480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软件维护与升级，包括操作系统更新、应用程序升级、驱动程序安装等。</w:t>
            </w:r>
          </w:p>
          <w:p w14:paraId="0A8C4C08">
            <w:pPr>
              <w:spacing w:after="0" w:line="36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维护后的测试与验证，确保产品恢复正常运行。</w:t>
            </w:r>
          </w:p>
          <w:p w14:paraId="391951CF">
            <w:pPr>
              <w:spacing w:after="0" w:line="360" w:lineRule="exact"/>
              <w:rPr>
                <w:rFonts w:hint="eastAsia" w:ascii="Times New Roman" w:hAnsi="Times New Roman" w:eastAsia="仿宋_GB2312" w:cs="仿宋_GB2312"/>
                <w:kern w:val="0"/>
                <w:sz w:val="24"/>
                <w:szCs w:val="20"/>
                <w:highlight w:val="none"/>
              </w:rPr>
            </w:pPr>
          </w:p>
          <w:p w14:paraId="28261F20">
            <w:pPr>
              <w:spacing w:after="0" w:line="360" w:lineRule="exact"/>
              <w:rPr>
                <w:rFonts w:hint="eastAsia" w:ascii="Times New Roman" w:hAnsi="Times New Roman" w:eastAsia="仿宋_GB2312" w:cs="仿宋_GB2312"/>
                <w:kern w:val="0"/>
                <w:sz w:val="24"/>
                <w:szCs w:val="20"/>
                <w:highlight w:val="none"/>
              </w:rPr>
            </w:pPr>
          </w:p>
        </w:tc>
        <w:tc>
          <w:tcPr>
            <w:tcW w:w="2958" w:type="dxa"/>
          </w:tcPr>
          <w:p w14:paraId="5CA1186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学生要求</w:t>
            </w:r>
          </w:p>
          <w:p w14:paraId="78A083F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具备一定的电子技术、计算机技术和通信技术等基础知识。认真听讲，积极参与课堂讨论和实践操作，按时完成课程作业和实验任务。严格遵守实验室的安全规定和操作规程，爱护实验设备和仪器。注重实践能力的培养，在实践中不断提高自己的检测与维护技能，培养独立思考和解决问题的能力。</w:t>
            </w:r>
          </w:p>
          <w:p w14:paraId="1F7ED85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教师要求</w:t>
            </w:r>
          </w:p>
          <w:p w14:paraId="51E9965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具备扎实的智能电子产品检测与维护专业知识和丰富的教学经验。精心设计教学内容和教学方法，注重理论与实践相结合，通过案例分析、实验演示等方式帮助学生理解和掌握课程知识。</w:t>
            </w:r>
          </w:p>
          <w:p w14:paraId="688FF295">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关注学生的学习情况和反馈意见，及时调整教学进度和教学方法，满足不同学生的学习需求。指导学生进行实践操作，培养学生的实践能力和创新精神，注重学生职业素养的培养。</w:t>
            </w:r>
          </w:p>
          <w:p w14:paraId="02DF379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教学资源要求</w:t>
            </w:r>
          </w:p>
          <w:p w14:paraId="6F2B6065">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配备多媒体教室，用于理论教学和演示教学。建设专门的智能电子产品检测与维护实验室，配备充足的实验设备和仪器，包括各种智能电子产品、检测工具、维修设备等。提供丰富的教材、参考书籍、网络资源等，方便学生自主学习和查阅资料。</w:t>
            </w:r>
          </w:p>
          <w:p w14:paraId="0874AE8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建立实训基地或与相关企业合作，为学生提供实习和实践机会，让学生在实际工作环境中提高专业技能。</w:t>
            </w:r>
          </w:p>
        </w:tc>
      </w:tr>
      <w:tr w14:paraId="7296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C3D4D86">
            <w:pPr>
              <w:overflowPunct w:val="0"/>
              <w:adjustRightInd w:val="0"/>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7</w:t>
            </w:r>
          </w:p>
        </w:tc>
        <w:tc>
          <w:tcPr>
            <w:tcW w:w="775" w:type="dxa"/>
            <w:vAlign w:val="center"/>
          </w:tcPr>
          <w:p w14:paraId="4DFCEE7B">
            <w:pPr>
              <w:spacing w:after="0" w:line="36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嵌入式技术及应用</w:t>
            </w:r>
          </w:p>
        </w:tc>
        <w:tc>
          <w:tcPr>
            <w:tcW w:w="3377" w:type="dxa"/>
          </w:tcPr>
          <w:p w14:paraId="0BADD81B">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：理解嵌入式系统的定义、架构及典型应用场景。掌握ARM处理器内核结构、指令系统及存储体系。熟悉嵌入式外设接口的工作原理与配置方法。理解嵌入式操作系统的任务调度、内存管理及中断处理机制。</w:t>
            </w:r>
          </w:p>
          <w:p w14:paraId="4A1D4A21">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：能使用软件完成嵌入式电路板设计与调试。掌握嵌入式C语言编程，能实现外设驱动开发。能基于嵌入式操作系统完成多任务程序设计与调试。能运用调试工具定位并解决嵌入式系统故障。</w:t>
            </w:r>
          </w:p>
          <w:p w14:paraId="07AE6BC8">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：养成“代码规范、逻辑严谨”的开发习惯，严格遵循嵌入式开发流程。培养跨学科协作能力，能与硬件工程师、产品经理协同完成项目。树立“绿色开发”意识，关注嵌入式系统低功耗设计与环保材料应用。</w:t>
            </w:r>
          </w:p>
          <w:p w14:paraId="320786E5">
            <w:pPr>
              <w:spacing w:after="0" w:line="320" w:lineRule="exact"/>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培养严谨的工程实践态度。</w:t>
            </w:r>
            <w:r>
              <w:rPr>
                <w:rFonts w:ascii="Times New Roman" w:hAnsi="Times New Roman" w:eastAsia="仿宋_GB2312" w:cs="仿宋_GB2312"/>
                <w:kern w:val="0"/>
                <w:sz w:val="24"/>
                <w:szCs w:val="20"/>
                <w:highlight w:val="none"/>
              </w:rPr>
              <w:t>培养前沿探索与全球视野</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关注嵌入式技术与人工智能、物联网的融合趋势</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激发科技报国的使命感引入我国在嵌入式技术领域的自主创新成果</w:t>
            </w:r>
            <w:r>
              <w:rPr>
                <w:rFonts w:hint="eastAsia" w:ascii="Times New Roman" w:hAnsi="Times New Roman" w:eastAsia="仿宋_GB2312" w:cs="仿宋_GB2312"/>
                <w:kern w:val="0"/>
                <w:sz w:val="24"/>
                <w:szCs w:val="20"/>
                <w:highlight w:val="none"/>
              </w:rPr>
              <w:t>。</w:t>
            </w:r>
          </w:p>
          <w:p w14:paraId="0BA12612">
            <w:pPr>
              <w:spacing w:after="0" w:line="360" w:lineRule="exact"/>
              <w:rPr>
                <w:rFonts w:hint="eastAsia" w:ascii="Times New Roman" w:hAnsi="Times New Roman" w:eastAsia="仿宋_GB2312" w:cs="仿宋_GB2312"/>
                <w:kern w:val="0"/>
                <w:sz w:val="24"/>
                <w:szCs w:val="20"/>
                <w:highlight w:val="none"/>
              </w:rPr>
            </w:pPr>
          </w:p>
        </w:tc>
        <w:tc>
          <w:tcPr>
            <w:tcW w:w="2864" w:type="dxa"/>
          </w:tcPr>
          <w:p w14:paraId="1409450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嵌入式系统基础</w:t>
            </w:r>
          </w:p>
          <w:p w14:paraId="0B0CAF46">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嵌入式系统的概念、特点、分类和应用领域。嵌入式系统的发展历程、现状和未来趋势。嵌入式系统的组成结构，包括硬件平台和软件系统。</w:t>
            </w:r>
          </w:p>
          <w:p w14:paraId="7809056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嵌入式硬件基础</w:t>
            </w:r>
          </w:p>
          <w:p w14:paraId="7A2F057A">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嵌入式处理器的体系结构、工作原理和选型。存储器系统，包括Flash、SDRAM等的原理与应用。接口电路设计，如GPIO、UART、SPI、I2C等接口的原理与使用。硬件开发工具的使用，如示波器、逻辑分析仪等。</w:t>
            </w:r>
          </w:p>
          <w:p w14:paraId="6F8BAEF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嵌入式软件开发基础</w:t>
            </w:r>
          </w:p>
          <w:p w14:paraId="34B67497">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编程语言，如C、C++等在嵌入式系统中的应用。嵌入式Linux操作系统基础，包括常用命令、文件系统、进程管理等。开发环境的搭建，如交叉编译工具链的安装与配置。</w:t>
            </w:r>
          </w:p>
          <w:p w14:paraId="40B130F3">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Makefile的编写与使用，实现项目的自动化编译。</w:t>
            </w:r>
          </w:p>
          <w:p w14:paraId="73956A2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嵌入式应用开发</w:t>
            </w:r>
          </w:p>
          <w:p w14:paraId="21E7DC24">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基于Linux的应用程序开发，如标准I/O编程、文件I/O编程、多任务编程、进程间通信等。嵌入式图形界面开发，如使用Qt等框架进行界面设计。设备驱动程序开发，了解驱动程序的架构和开发方法。嵌入式系统的网络编程，实现网络通信功能。</w:t>
            </w:r>
          </w:p>
        </w:tc>
        <w:tc>
          <w:tcPr>
            <w:tcW w:w="2958" w:type="dxa"/>
          </w:tcPr>
          <w:p w14:paraId="00013776">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学生要求</w:t>
            </w:r>
          </w:p>
          <w:p w14:paraId="3D38DC9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具备一定的计算机基础、电子技术基础和编程语言基础，如掌握C语言编程。</w:t>
            </w:r>
          </w:p>
          <w:p w14:paraId="09C2D0C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认真学习课程理论知识，积极参与课堂讨论和互动，按时完成教师布置的作业。重视实践环节，在实验和课程设计中，严格遵守实验室的安全规定和操作规程，独立完成实验任务，提高自己的实践动手能力。培养自主学习能力和创新思维，主动查阅相关资料，了解嵌入式技术的最新发展动态，积极参与课外科技活动和项目实践。</w:t>
            </w:r>
          </w:p>
          <w:p w14:paraId="073453D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教师要求</w:t>
            </w:r>
          </w:p>
          <w:p w14:paraId="34D1F6A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教师应具备扎实的嵌入式技术专业知识和丰富的教学经验，熟悉嵌入式系统的硬件设计和软件开发流程。</w:t>
            </w:r>
          </w:p>
          <w:p w14:paraId="0C50136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精心设计教学内容和教学方法，采用案例教学、项目驱动等教学方法，激发学生的学习兴趣和积极性，提高教学效果。加强实践教学指导，引导学生掌握实验技能和项目开发方法，培养学生的工程实践能力和创新能力。关注学生的学习情况和反馈意见，及时调整教学进度和教学方法，满足不同学生的学习需求。</w:t>
            </w:r>
          </w:p>
          <w:p w14:paraId="0CAC9DA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教学资源要求</w:t>
            </w:r>
          </w:p>
          <w:p w14:paraId="433D0194">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配备多媒体教室，用于理论教学和演示教学，展示嵌入式系统的硬件结构、软件代码和实验演示等内容。建设嵌入式实验室，配备充足的实验设备和开发平台，如嵌入式开发板、传感器模块、实验箱等，满足学生的实践教学需求。提供丰富的教材、参考书籍、网络资源等，方便学生自主学习和查阅资料，了解嵌入式技术的相关知识和最新发展动态。建立校企合作基地，为学生提供实习和实践机会，让学生在实际工作环境中了解嵌入式技术的应用，提高学生的就业竞争力。</w:t>
            </w:r>
          </w:p>
        </w:tc>
      </w:tr>
    </w:tbl>
    <w:p w14:paraId="685A3319">
      <w:pPr>
        <w:adjustRightInd w:val="0"/>
        <w:snapToGrid w:val="0"/>
        <w:spacing w:after="0" w:line="500" w:lineRule="exact"/>
        <w:ind w:firstLine="320" w:firstLineChars="100"/>
        <w:outlineLvl w:val="2"/>
        <w:rPr>
          <w:rFonts w:hint="eastAsia" w:ascii="Times New Roman" w:hAnsi="Times New Roman" w:eastAsia="仿宋_GB2312" w:cs="仿宋_GB2312"/>
          <w:sz w:val="32"/>
          <w:szCs w:val="32"/>
          <w:highlight w:val="none"/>
        </w:rPr>
      </w:pPr>
      <w:bookmarkStart w:id="38" w:name="_Toc24826"/>
    </w:p>
    <w:p w14:paraId="4DE43AAD">
      <w:pPr>
        <w:adjustRightInd w:val="0"/>
        <w:snapToGrid w:val="0"/>
        <w:spacing w:after="0" w:line="500" w:lineRule="exact"/>
        <w:ind w:firstLine="320" w:firstLineChars="100"/>
        <w:outlineLvl w:val="2"/>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3.专业拓展课程</w:t>
      </w:r>
      <w:bookmarkEnd w:id="27"/>
      <w:bookmarkEnd w:id="38"/>
    </w:p>
    <w:p w14:paraId="185D506A">
      <w:pPr>
        <w:adjustRightInd w:val="0"/>
        <w:snapToGrid w:val="0"/>
        <w:spacing w:after="0" w:line="500" w:lineRule="exact"/>
        <w:ind w:firstLine="320" w:firstLineChars="1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专业拓展课程是按照岗位迁移，根据电子技术行业发展的趋势，依据企业用人需求调研，企业对电子应用型人才等方面日益增加的需求，建立了电子信息工程技术专业拓展课，并将辅修方向课程纳入其中。由SMT技术、微组装技术、集成电路制造工艺、电子产品生产管理、射频技术、短距离无线通信、无线传感器网络、FPGA技术及应用、无人机控制技术、移动应用开发、网络云化技术及应用、机器人控制技术、工业互联网实施与运维、电子信息专业英语等课程构成专业拓展课。</w:t>
      </w:r>
    </w:p>
    <w:p w14:paraId="1BADFE17">
      <w:pPr>
        <w:overflowPunct w:val="0"/>
        <w:adjustRightInd w:val="0"/>
        <w:spacing w:line="520" w:lineRule="exact"/>
        <w:jc w:val="center"/>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表5专业拓展</w:t>
      </w:r>
      <w:r>
        <w:rPr>
          <w:rFonts w:hint="eastAsia" w:ascii="Times New Roman" w:hAnsi="Times New Roman" w:eastAsia="仿宋_GB2312" w:cs="仿宋_GB2312"/>
          <w:color w:val="000000" w:themeColor="text1"/>
          <w:sz w:val="32"/>
          <w:szCs w:val="32"/>
          <w:highlight w:val="none"/>
          <w14:textFill>
            <w14:solidFill>
              <w14:schemeClr w14:val="tx1"/>
            </w14:solidFill>
          </w14:textFill>
        </w:rPr>
        <w:t>课课程目标、主要教学内容与要求</w:t>
      </w:r>
    </w:p>
    <w:tbl>
      <w:tblPr>
        <w:tblStyle w:val="11"/>
        <w:tblW w:w="101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830"/>
        <w:gridCol w:w="2926"/>
        <w:gridCol w:w="3395"/>
        <w:gridCol w:w="2355"/>
      </w:tblGrid>
      <w:tr w14:paraId="7217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536A6FFE">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序号</w:t>
            </w:r>
          </w:p>
        </w:tc>
        <w:tc>
          <w:tcPr>
            <w:tcW w:w="818" w:type="dxa"/>
            <w:vAlign w:val="center"/>
          </w:tcPr>
          <w:p w14:paraId="30D4E3EC">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课程名称</w:t>
            </w:r>
          </w:p>
        </w:tc>
        <w:tc>
          <w:tcPr>
            <w:tcW w:w="2928" w:type="dxa"/>
            <w:vAlign w:val="center"/>
          </w:tcPr>
          <w:p w14:paraId="3220A25D">
            <w:pPr>
              <w:spacing w:after="0" w:line="320" w:lineRule="exact"/>
              <w:jc w:val="left"/>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kern w:val="0"/>
                <w:sz w:val="24"/>
                <w:highlight w:val="none"/>
              </w:rPr>
              <w:t>课程教学目标</w:t>
            </w:r>
          </w:p>
        </w:tc>
        <w:tc>
          <w:tcPr>
            <w:tcW w:w="3400" w:type="dxa"/>
            <w:vAlign w:val="center"/>
          </w:tcPr>
          <w:p w14:paraId="5D102154">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主要教学内容</w:t>
            </w:r>
          </w:p>
        </w:tc>
        <w:tc>
          <w:tcPr>
            <w:tcW w:w="2359" w:type="dxa"/>
            <w:vAlign w:val="center"/>
          </w:tcPr>
          <w:p w14:paraId="6DDC7265">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教学要求</w:t>
            </w:r>
          </w:p>
        </w:tc>
      </w:tr>
      <w:tr w14:paraId="3836C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49048C7C">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w:t>
            </w:r>
          </w:p>
        </w:tc>
        <w:tc>
          <w:tcPr>
            <w:tcW w:w="818" w:type="dxa"/>
            <w:vAlign w:val="center"/>
          </w:tcPr>
          <w:p w14:paraId="695AD849">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SMT技术</w:t>
            </w:r>
          </w:p>
        </w:tc>
        <w:tc>
          <w:tcPr>
            <w:tcW w:w="2928" w:type="dxa"/>
          </w:tcPr>
          <w:p w14:paraId="4091D254">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：掌握SMT基础理论（元件、PCB知识）、完整工艺流程（印刷－贴装－焊接－检测）及设备操作原理；了解行业发展趋势。</w:t>
            </w:r>
          </w:p>
          <w:p w14:paraId="1E3CF8A4">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：能独立操作焊膏印刷机、贴片机等设备，设置工艺参数；运用AOI、X射线检测设备排查缺陷，完成不良品返修；具备SMT生产质量问题分析与优化能力。</w:t>
            </w:r>
          </w:p>
          <w:p w14:paraId="4E6A4252">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：培养严谨的工艺操作习惯与安全生产意识；提升团队协作效率，适应电子制造流水线作业节奏。</w:t>
            </w:r>
          </w:p>
          <w:p w14:paraId="03F89ADA">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结合SMT技术在高端电子设备（如通信基站、医疗仪器）中的应用，强调“工匠精神”，引导学生树立科技报国、助力电子制造业自主可控的责任意识。</w:t>
            </w:r>
          </w:p>
        </w:tc>
        <w:tc>
          <w:tcPr>
            <w:tcW w:w="3400" w:type="dxa"/>
          </w:tcPr>
          <w:p w14:paraId="47902F8F">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SMT概述：介绍SMT的定义、特点、发展历程以及在电子制造业中的地位和作用。</w:t>
            </w:r>
          </w:p>
          <w:p w14:paraId="1826790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电子元件知识：讲解常见SMT元件的类型、封装形式、识别方法及性能参数，如贴片电阻、电容、电感、芯片等。</w:t>
            </w:r>
          </w:p>
          <w:p w14:paraId="28B1F779">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PCB知识：包括PCB的结构、材质、设计规范以及与SMT工艺的兼容性。</w:t>
            </w:r>
          </w:p>
          <w:p w14:paraId="25E67BE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焊膏印刷：学习焊膏的特性、印刷设备的操作、印刷工艺参数的设置以及印刷质量的控制。</w:t>
            </w:r>
          </w:p>
          <w:p w14:paraId="5CA48783">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元件贴装：掌握贴片机的工作原理、编程方法、元件供料系统以及贴装精度的控制。</w:t>
            </w:r>
          </w:p>
          <w:p w14:paraId="41338A7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回流焊接：了解回流焊的原理、设备结构、温度曲线的设置与优化以及焊接质量的评估。</w:t>
            </w:r>
          </w:p>
          <w:p w14:paraId="79D9AD34">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检测与返修：学习使用各种检测设备，如自动光学检测（AOI）、X射线检测等进行质量检测，以及对不良品的返修方法。</w:t>
            </w:r>
          </w:p>
        </w:tc>
        <w:tc>
          <w:tcPr>
            <w:tcW w:w="2359" w:type="dxa"/>
          </w:tcPr>
          <w:p w14:paraId="0360D33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学生基础要求</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具备一定的电子技术基础，了解电路原理、电子元件等相关知识。掌握基本的计算机操作技能，因为SMT设备的编程和控制通常需要通过计算机进行。</w:t>
            </w:r>
          </w:p>
          <w:p w14:paraId="66EB3A61">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学习态度要求</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认真对待理论学习，理解SMT技术的基本原理和工艺流程，为实践操作打下坚实的基础。积极参与实践操作，严格遵守实验室的安全规定和操作规程，注重培养自己的动手能力和实际操作经验。</w:t>
            </w:r>
          </w:p>
        </w:tc>
      </w:tr>
      <w:tr w14:paraId="7CF1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4F223407">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2</w:t>
            </w:r>
          </w:p>
        </w:tc>
        <w:tc>
          <w:tcPr>
            <w:tcW w:w="818" w:type="dxa"/>
            <w:vAlign w:val="center"/>
          </w:tcPr>
          <w:p w14:paraId="32479D92">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微组装技术</w:t>
            </w:r>
          </w:p>
        </w:tc>
        <w:tc>
          <w:tcPr>
            <w:tcW w:w="2928" w:type="dxa"/>
          </w:tcPr>
          <w:p w14:paraId="58E79C8B">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：理解微组装技术的概念、标准及发展趋势；掌握核心材料（芯片、基板）特性、关键工艺（粘片、键合、封装）及设备（键合机、检测仪）原理；了解微组装设计与可靠性评估方法。</w:t>
            </w:r>
          </w:p>
          <w:p w14:paraId="3F3D5D25">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：能完成芯片贴装、引线键合等基础操作；使用显微镜、电子探针等仪器检测微组装产品质量；参与微组装结构设计与简单应用案例的方案制定。</w:t>
            </w:r>
          </w:p>
          <w:p w14:paraId="5AA9489C">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：养成精细化操作习惯，提升对微尺度工艺的专注力；培养基于标准规范开展工作的严谨性，增强创新设计思维。</w:t>
            </w:r>
          </w:p>
          <w:p w14:paraId="74B97231">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通过微组装技术在航空航天、集成电路等“卡脖子”领域的应用案例，激发学生攻坚克难的科研热情，树立突破技术壁垒、服务国家高端制造的理想。</w:t>
            </w:r>
          </w:p>
        </w:tc>
        <w:tc>
          <w:tcPr>
            <w:tcW w:w="3400" w:type="dxa"/>
          </w:tcPr>
          <w:p w14:paraId="6D11E62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微组装技术基础</w:t>
            </w:r>
          </w:p>
          <w:p w14:paraId="27427EC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微组装技术的发展历程、现状和趋势。微组装技术的基本概念、特点和优势。微组装技术相关的标准和规范。</w:t>
            </w:r>
          </w:p>
          <w:p w14:paraId="61261984">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微组装材料与工艺</w:t>
            </w:r>
          </w:p>
          <w:p w14:paraId="371D6B4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常用材料，如芯片、基板、封装材料、连接材料等的性能和应用。芯片贴装工艺，包括粘片、键合等技术的原理和操作方法。基板制造工艺，如多层陶瓷基板、薄膜基板的制作流程和工艺要点。封装工艺，如气密性封装、非气密性封装的类型和特点。</w:t>
            </w:r>
          </w:p>
          <w:p w14:paraId="4E08E7D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微组装设备与仪器</w:t>
            </w:r>
          </w:p>
          <w:p w14:paraId="52B218AC">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微组装设备，如自动贴片机、键合机、封装机等的工作原理和操作方法。检测与测试仪器，如显微镜、X射线检测仪、电子探针等的功能和使用。</w:t>
            </w:r>
          </w:p>
          <w:p w14:paraId="32D00D95">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微组装设计与应用</w:t>
            </w:r>
          </w:p>
          <w:p w14:paraId="294C36D3">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微组装结构设计，包括芯片布局、布线设计、热设计等。</w:t>
            </w:r>
          </w:p>
          <w:p w14:paraId="6F491345">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微组装技术在不同领域的应用案例分析。微组装产品的可靠性设计与评估。</w:t>
            </w:r>
          </w:p>
        </w:tc>
        <w:tc>
          <w:tcPr>
            <w:tcW w:w="2359" w:type="dxa"/>
          </w:tcPr>
          <w:p w14:paraId="4CA5CC86">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学生基础要求具备电子技术、材料科学、计算机基础等相关学科的基础知识。掌握一定的电路原理、半导体物理等知识。</w:t>
            </w:r>
          </w:p>
          <w:p w14:paraId="569EE73A">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学习态度要求</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认真学习课程理论知识，积极参与课堂讨论和案例分析。重视实践教学环节，严格遵守实验室的规章制度，认真完成实验任务。</w:t>
            </w:r>
          </w:p>
        </w:tc>
      </w:tr>
      <w:tr w14:paraId="419C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7586C36E">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3</w:t>
            </w:r>
          </w:p>
        </w:tc>
        <w:tc>
          <w:tcPr>
            <w:tcW w:w="818" w:type="dxa"/>
            <w:vAlign w:val="center"/>
          </w:tcPr>
          <w:p w14:paraId="1C88BAB1">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集成电路制造工艺</w:t>
            </w:r>
          </w:p>
        </w:tc>
        <w:tc>
          <w:tcPr>
            <w:tcW w:w="2928" w:type="dxa"/>
          </w:tcPr>
          <w:p w14:paraId="1569BB50">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：掌握半导体材料特性、集成电路核心工艺（氧化、光刻、刻蚀、掺杂、薄膜沉积）原理；理解CMOS工艺集成流程与封装技术（引脚封装、BGA）对芯片性能的影响。</w:t>
            </w:r>
          </w:p>
          <w:p w14:paraId="6948E91E">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：能分析光刻分辨率、刻蚀工艺参数对芯片质量的影响；运用CVD/PVD技术原理判断薄膜沉积质量；具备集成电路制造工艺问题初步诊断能力。</w:t>
            </w:r>
          </w:p>
          <w:p w14:paraId="1D5EC90C">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：培养对精密制造工艺的敬畏心与细节把控能力；建立“工艺－性能－可靠性”的系统思维，提升工程问题逻辑分析素养。</w:t>
            </w:r>
          </w:p>
          <w:p w14:paraId="4779BEF8">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结合我国集成电路产业发展现状，对比国际先进工艺，引导学生认识核心技术自主的重要性，树立投身芯片制造领域、打破国外技术垄断的使命感。</w:t>
            </w:r>
          </w:p>
        </w:tc>
        <w:tc>
          <w:tcPr>
            <w:tcW w:w="3400" w:type="dxa"/>
          </w:tcPr>
          <w:p w14:paraId="06D11887">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集成电路制造工艺基础</w:t>
            </w:r>
          </w:p>
          <w:p w14:paraId="300A6D7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半导体材料的特性和制备，如硅、锗等。集成电路制造中的基本工艺步骤，如氧化、光刻、刻蚀、扩散、离子注入等。</w:t>
            </w:r>
          </w:p>
          <w:p w14:paraId="1602AAB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光刻工艺</w:t>
            </w:r>
            <w:r>
              <w:rPr>
                <w:rFonts w:hint="eastAsia" w:ascii="Times New Roman" w:hAnsi="Times New Roman" w:eastAsia="仿宋_GB2312" w:cs="仿宋_GB2312"/>
                <w:kern w:val="0"/>
                <w:sz w:val="24"/>
                <w:szCs w:val="20"/>
                <w:highlight w:val="none"/>
              </w:rPr>
              <w:t>：</w:t>
            </w:r>
          </w:p>
          <w:p w14:paraId="43568B5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光刻的基本原理和光刻设备。光刻胶的特性和使用。光刻工艺的分辨率和精度控制。</w:t>
            </w:r>
          </w:p>
          <w:p w14:paraId="6F5EEED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刻蚀工艺</w:t>
            </w:r>
            <w:r>
              <w:rPr>
                <w:rFonts w:hint="eastAsia" w:ascii="Times New Roman" w:hAnsi="Times New Roman" w:eastAsia="仿宋_GB2312" w:cs="仿宋_GB2312"/>
                <w:kern w:val="0"/>
                <w:sz w:val="24"/>
                <w:szCs w:val="20"/>
                <w:highlight w:val="none"/>
              </w:rPr>
              <w:t>：</w:t>
            </w:r>
          </w:p>
          <w:p w14:paraId="443D4BD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干法刻蚀和湿法刻蚀的原理和工艺特点。刻蚀设备的结构和操作。刻蚀工艺的选择和优化。</w:t>
            </w:r>
          </w:p>
          <w:p w14:paraId="726C243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薄膜沉积工艺</w:t>
            </w:r>
            <w:r>
              <w:rPr>
                <w:rFonts w:hint="eastAsia" w:ascii="Times New Roman" w:hAnsi="Times New Roman" w:eastAsia="仿宋_GB2312" w:cs="仿宋_GB2312"/>
                <w:kern w:val="0"/>
                <w:sz w:val="24"/>
                <w:szCs w:val="20"/>
                <w:highlight w:val="none"/>
              </w:rPr>
              <w:t>：</w:t>
            </w:r>
          </w:p>
          <w:p w14:paraId="26FA5BB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化学气相沉积（CVD）、物理气相沉积（PVD）等薄膜沉积技术的原理和应用。薄膜的特性和质量控制。不同薄膜在集成电路中的作用。</w:t>
            </w:r>
          </w:p>
          <w:p w14:paraId="43325893">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掺杂工艺</w:t>
            </w:r>
            <w:r>
              <w:rPr>
                <w:rFonts w:hint="eastAsia" w:ascii="Times New Roman" w:hAnsi="Times New Roman" w:eastAsia="仿宋_GB2312" w:cs="仿宋_GB2312"/>
                <w:kern w:val="0"/>
                <w:sz w:val="24"/>
                <w:szCs w:val="20"/>
                <w:highlight w:val="none"/>
              </w:rPr>
              <w:t>：</w:t>
            </w:r>
          </w:p>
          <w:p w14:paraId="206187D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扩散和离子注入的原理、工艺过程和设备。掺杂浓度和分布的控制。掺杂对半导体器件性能的影响。</w:t>
            </w:r>
          </w:p>
          <w:p w14:paraId="4D3B566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工艺集成与封装</w:t>
            </w:r>
            <w:r>
              <w:rPr>
                <w:rFonts w:hint="eastAsia" w:ascii="Times New Roman" w:hAnsi="Times New Roman" w:eastAsia="仿宋_GB2312" w:cs="仿宋_GB2312"/>
                <w:kern w:val="0"/>
                <w:sz w:val="24"/>
                <w:szCs w:val="20"/>
                <w:highlight w:val="none"/>
              </w:rPr>
              <w:t>：</w:t>
            </w:r>
          </w:p>
          <w:p w14:paraId="3E1935C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CMOS工艺集成的流程和关键技术。集成电路封装的类型和工艺，如引脚封装、球栅阵列封装等。封装对集成电路性能和可靠性的影响</w:t>
            </w:r>
          </w:p>
        </w:tc>
        <w:tc>
          <w:tcPr>
            <w:tcW w:w="2359" w:type="dxa"/>
          </w:tcPr>
          <w:p w14:paraId="5CC1F90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学生基础要求</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具备电路分析、模拟电子技术、数字电子技术等电子类专业基础课程的知识。掌握半导体物理、半导体器件等相关课程的基本理论。</w:t>
            </w:r>
          </w:p>
          <w:p w14:paraId="1966C87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学习态度要求</w:t>
            </w:r>
            <w:r>
              <w:rPr>
                <w:rFonts w:hint="eastAsia" w:ascii="Times New Roman" w:hAnsi="Times New Roman" w:eastAsia="仿宋_GB2312" w:cs="仿宋_GB2312"/>
                <w:kern w:val="0"/>
                <w:sz w:val="24"/>
                <w:szCs w:val="20"/>
                <w:highlight w:val="none"/>
              </w:rPr>
              <w:t>：</w:t>
            </w:r>
            <w:r>
              <w:rPr>
                <w:rFonts w:ascii="Times New Roman" w:hAnsi="Times New Roman" w:eastAsia="仿宋_GB2312" w:cs="仿宋_GB2312"/>
                <w:kern w:val="0"/>
                <w:sz w:val="24"/>
                <w:szCs w:val="20"/>
                <w:highlight w:val="none"/>
              </w:rPr>
              <w:t>认真学习课程理论知识，积极参与课堂讨论和案例分析。重视实践教学环节，严格遵守实验室的规章制度，认真完成实验任务。</w:t>
            </w:r>
          </w:p>
        </w:tc>
      </w:tr>
      <w:tr w14:paraId="1653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4D6719E0">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4</w:t>
            </w:r>
          </w:p>
        </w:tc>
        <w:tc>
          <w:tcPr>
            <w:tcW w:w="818" w:type="dxa"/>
            <w:vAlign w:val="center"/>
          </w:tcPr>
          <w:p w14:paraId="3412DF02">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电子产品生产管理</w:t>
            </w:r>
          </w:p>
        </w:tc>
        <w:tc>
          <w:tcPr>
            <w:tcW w:w="2928" w:type="dxa"/>
          </w:tcPr>
          <w:p w14:paraId="65C78A15">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：掌握电子产品生产组织模式、工艺管理流程、技术文件（设计/工艺文件）编制规范；熟悉ISO 9000、3C认证、IECEE-CB体系等质量与认证标准。</w:t>
            </w:r>
          </w:p>
          <w:p w14:paraId="569CB0DE">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：能制定简单电子产品的生产工艺方案，编制成套技术文件；运用质量管理标准排查生产环节隐患；通过案例分析优化电子整机装配、调试流程。</w:t>
            </w:r>
          </w:p>
          <w:p w14:paraId="6A61DD7D">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：培养全局化的生产管理思维与标准化工作意识；提升跨环节协调能力（如工艺、质检、采购），适应企业生产运营节奏。</w:t>
            </w:r>
          </w:p>
          <w:p w14:paraId="68478FC0">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以“质量强国”理念为核心，结合我国电子产品从“制造”到“智造”的转型案例，强调合规生产与责任担当，引导学生树立产业升级中的主人翁意识。</w:t>
            </w:r>
          </w:p>
        </w:tc>
        <w:tc>
          <w:tcPr>
            <w:tcW w:w="3400" w:type="dxa"/>
          </w:tcPr>
          <w:p w14:paraId="6F583797">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涵盖电子产品生产制造的组织形式，分析电子产品特性、生产制造的基本要求，讲解生产组织模式与标准化知识；深入探讨生产工艺及其管理，包含工艺制定、管理工作的具体内容；介绍电子产品技术文件，如设计文件与工艺文件的分类、编号规则、成套性要求及编制方法；还涉及产品认证相关知识，如ISO 9000质量管理标准、ISO 14000环境标准、3C强制认证以及IECEE-CB体系等。此外，通过案例分析与实际项目，强化学生对电子整机装配工艺、表面组装工艺、调试与检验环节的理解与操作能力。</w:t>
            </w:r>
          </w:p>
        </w:tc>
        <w:tc>
          <w:tcPr>
            <w:tcW w:w="2359" w:type="dxa"/>
          </w:tcPr>
          <w:p w14:paraId="4FC7D636">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w:t>
            </w:r>
            <w:r>
              <w:rPr>
                <w:rFonts w:hint="eastAsia" w:ascii="Times New Roman" w:hAnsi="Times New Roman" w:eastAsia="仿宋_GB2312" w:cs="仿宋_GB2312"/>
                <w:kern w:val="0"/>
                <w:sz w:val="24"/>
                <w:szCs w:val="20"/>
                <w:highlight w:val="none"/>
                <w:lang w:eastAsia="zh-CN"/>
              </w:rPr>
              <w:t>须具备</w:t>
            </w:r>
            <w:r>
              <w:rPr>
                <w:rFonts w:ascii="Times New Roman" w:hAnsi="Times New Roman" w:eastAsia="仿宋_GB2312" w:cs="仿宋_GB2312"/>
                <w:kern w:val="0"/>
                <w:sz w:val="24"/>
                <w:szCs w:val="20"/>
                <w:highlight w:val="none"/>
              </w:rPr>
              <w:t>电子技术、计算机基础等相关知识，以更好地理解课程内容。在学习过程中，要认真对待理论知识学习，积极参与课堂讨论与案例分析，提升理论分析能力。同时，高度重视实践教学环节，严格遵循实验室和企业实习的规章制度，完成各项实践任务，增强动手能力与解决实际问题的能力。考核将采用多元化方式，综合考量学生的平时成绩、实践操作能力、考试成绩等，全面评估学生对课程知识的掌握与运用程度。</w:t>
            </w:r>
          </w:p>
        </w:tc>
      </w:tr>
      <w:tr w14:paraId="6905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0" w:hRule="atLeast"/>
          <w:jc w:val="center"/>
        </w:trPr>
        <w:tc>
          <w:tcPr>
            <w:tcW w:w="624" w:type="dxa"/>
            <w:vAlign w:val="center"/>
          </w:tcPr>
          <w:p w14:paraId="06C6CF99">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5</w:t>
            </w:r>
          </w:p>
        </w:tc>
        <w:tc>
          <w:tcPr>
            <w:tcW w:w="818" w:type="dxa"/>
            <w:vAlign w:val="center"/>
          </w:tcPr>
          <w:p w14:paraId="04073692">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射频技术</w:t>
            </w:r>
          </w:p>
        </w:tc>
        <w:tc>
          <w:tcPr>
            <w:tcW w:w="2928" w:type="dxa"/>
          </w:tcPr>
          <w:p w14:paraId="660EB7BB">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：掌握射频频段划分、信号特性；理解射频器件（天线、滤波器、放大器）原理与选型标准；熟悉射频电路（收发器、混频器）设计流程及系统（通信、雷达）架构。</w:t>
            </w:r>
          </w:p>
          <w:p w14:paraId="6A80475D">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：能完成射频器件性能参数测试；使用仿真工具设计简单射频电路；参与射频系统方案论证与实验验证，撰写完整实验报告。</w:t>
            </w:r>
          </w:p>
          <w:p w14:paraId="3DB8A187">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：培养射频系统设计的工程思维与实验数据严谨分析习惯；提升跨学科整合能力（结合通信、电路知识），增强技术创新意识。</w:t>
            </w:r>
          </w:p>
          <w:p w14:paraId="142A9B3B">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通过射频技术在5G通信、卫星导航等国家战略领域的应用，展现技术对国家信息基础设施建设的支撑作用，引导学生树立科技服务民生、助力数字中国建设的信念。</w:t>
            </w:r>
          </w:p>
        </w:tc>
        <w:tc>
          <w:tcPr>
            <w:tcW w:w="3400" w:type="dxa"/>
          </w:tcPr>
          <w:p w14:paraId="5346808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围绕射频技术展开，开篇讲解射频基本概念，包括射频频段划分、信号特性等基础知识。随后深入探讨射频器件，如天线、滤波器、放大器等，分析其原理、性能指标与选型要点。在电路设计方面，介绍射频收发器、混频器等关键电路，讲解设计流程与仿真方法。此外，课程还涵盖射频系统设计，从整体架构出发，阐述通信、雷达等典型系统的组成与设计思路。并融入实验教学，让学生通过实际操作，巩固理论知识，锻炼动手能力，完成从理论到实践的转化。</w:t>
            </w:r>
          </w:p>
        </w:tc>
        <w:tc>
          <w:tcPr>
            <w:tcW w:w="2359" w:type="dxa"/>
          </w:tcPr>
          <w:p w14:paraId="6C50E693">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论学习阶段，学生需按时参与课堂教学，认真听讲、做好笔记，积极参与课堂互动与讨论。课后主动完成教师布置的作业，通过阅读教材、查阅文献等方式加深对知识点的理解。实验环节，学生要提前预习实验内容，熟悉实验步骤与仪器设备的使用方法，实验过程中严格遵守操作规程，独立完成实验任务，认真记录实验数据，撰写实验报告。在课程项目中，以团队协作的方式，综合运用所学知识，完成从方案设计到系统实现的全过程，锻炼团队协作、沟通交流与解决实际问题的能力，课程结束时需达到规定的考核标准。</w:t>
            </w:r>
          </w:p>
        </w:tc>
      </w:tr>
      <w:tr w14:paraId="01C0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093C70BC">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6</w:t>
            </w:r>
          </w:p>
        </w:tc>
        <w:tc>
          <w:tcPr>
            <w:tcW w:w="818" w:type="dxa"/>
            <w:vAlign w:val="center"/>
          </w:tcPr>
          <w:p w14:paraId="47CA5FB3">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短距离无线通信</w:t>
            </w:r>
          </w:p>
        </w:tc>
        <w:tc>
          <w:tcPr>
            <w:tcW w:w="2928" w:type="dxa"/>
          </w:tcPr>
          <w:p w14:paraId="2EE16F4C">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：掌握短距离无线通信核心技术（蓝牙、ZigBee、Wi-Fi）原理、协议（802.11、通用访问配置文件）及应用场景；了解领域前沿发展趋势（如低功耗蓝牙）。</w:t>
            </w:r>
          </w:p>
          <w:p w14:paraId="3176AFF2">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：能独立完成短距离无线通信模块的硬件选型与软件开发；实现智能家居节点、移动设备数据交互等项目开发；具备技术方案对比与问题排查能力。</w:t>
            </w:r>
          </w:p>
          <w:p w14:paraId="4A865ACA">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：提升团队协作开发能力（分工完成硬件设计、软件编程）；培养基于用户需求优化通信方案的创新思维，增强工程实践素养。</w:t>
            </w:r>
          </w:p>
          <w:p w14:paraId="325E94A8">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结合短距离无线通信技术在智慧医疗、工业物联网中的民生应用，强调技术普惠价值，引导学生树立“科技为民”的设计理念，助力社会数字化转型。</w:t>
            </w:r>
          </w:p>
        </w:tc>
        <w:tc>
          <w:tcPr>
            <w:tcW w:w="3400" w:type="dxa"/>
          </w:tcPr>
          <w:p w14:paraId="5CDF322B">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围绕短距离无线通信展开多维度教学。开篇讲解短距离无线通信的基本概念、发展历程与应用场景，建立宏观认知。继而深入剖析蓝牙、ZigBee、Wi-Fi等主流技术的工作原理，包括信号调制解调、信道访问机制等。同时介绍相关通信协议，如蓝牙的通用访问配置文件、Wi-Fi的802.11协议族。实践环节安排学生进行短距离无线通信模块的硬件设计与软件开发，通过完成诸如智能家居节点通信、移动设备数据交互等项目，提升学生的动手能力与工程素养。此外，课程还会探讨短距离无线通信领域的前沿技术与发展趋势，拓宽学生的技术视野</w:t>
            </w:r>
          </w:p>
        </w:tc>
        <w:tc>
          <w:tcPr>
            <w:tcW w:w="2359" w:type="dxa"/>
          </w:tcPr>
          <w:p w14:paraId="0C213C28">
            <w:pPr>
              <w:spacing w:after="0" w:line="320" w:lineRule="exact"/>
              <w:rPr>
                <w:rFonts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论学习方面，要求学生按时参与课堂教学，认真完成指定教材与文献的阅读，积极参与课堂讨论，掌握短距离无线通信的理论知识，能够准确阐述相关技术原理与协议要点。实验环节，学生需独立完成各项实验任务，严格遵循实验规范，认真记录实验数据并撰写实验报告，锻炼实践操作与问题解决能力。课程考核将采用多样化形式，涵盖理论考试、实验报告、项目设计等，综合评定学生对知识的掌握程度与应用能力。学生应树立团队合作意识，在小组项目中发挥自身优势，协同完成开发任务，提升沟通协作与项目管理能力。</w:t>
            </w:r>
          </w:p>
          <w:p w14:paraId="1002A859">
            <w:pPr>
              <w:spacing w:after="0" w:line="320" w:lineRule="exact"/>
              <w:rPr>
                <w:rFonts w:hint="eastAsia" w:ascii="Times New Roman" w:hAnsi="Times New Roman" w:eastAsia="仿宋_GB2312" w:cs="仿宋_GB2312"/>
                <w:kern w:val="0"/>
                <w:sz w:val="24"/>
                <w:szCs w:val="20"/>
                <w:highlight w:val="none"/>
              </w:rPr>
            </w:pPr>
          </w:p>
        </w:tc>
      </w:tr>
      <w:tr w14:paraId="265E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60A4222A">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7</w:t>
            </w:r>
          </w:p>
        </w:tc>
        <w:tc>
          <w:tcPr>
            <w:tcW w:w="818" w:type="dxa"/>
            <w:vAlign w:val="center"/>
          </w:tcPr>
          <w:p w14:paraId="54260E41">
            <w:pPr>
              <w:spacing w:after="0" w:line="320" w:lineRule="exact"/>
              <w:jc w:val="center"/>
              <w:rPr>
                <w:rFonts w:hint="eastAsia" w:ascii="Times New Roman" w:hAnsi="Times New Roman" w:eastAsia="仿宋_GB2312" w:cs="仿宋_GB2312"/>
                <w:kern w:val="0"/>
                <w:sz w:val="24"/>
                <w:szCs w:val="20"/>
                <w:highlight w:val="none"/>
                <w:lang w:eastAsia="zh-CN"/>
              </w:rPr>
            </w:pPr>
            <w:r>
              <w:rPr>
                <w:rFonts w:hint="eastAsia" w:ascii="Times New Roman" w:hAnsi="Times New Roman" w:eastAsia="仿宋_GB2312" w:cs="仿宋_GB2312"/>
                <w:kern w:val="0"/>
                <w:sz w:val="24"/>
                <w:szCs w:val="20"/>
                <w:highlight w:val="none"/>
              </w:rPr>
              <w:t>无线传感器</w:t>
            </w:r>
            <w:r>
              <w:rPr>
                <w:rFonts w:hint="eastAsia" w:ascii="Times New Roman" w:hAnsi="Times New Roman" w:eastAsia="仿宋_GB2312" w:cs="仿宋_GB2312"/>
                <w:kern w:val="0"/>
                <w:sz w:val="24"/>
                <w:szCs w:val="20"/>
                <w:highlight w:val="none"/>
                <w:lang w:eastAsia="zh-CN"/>
              </w:rPr>
              <w:t>网络</w:t>
            </w:r>
          </w:p>
        </w:tc>
        <w:tc>
          <w:tcPr>
            <w:tcW w:w="2928" w:type="dxa"/>
          </w:tcPr>
          <w:p w14:paraId="593002B4">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：掌握无线传感器网络（WSN）结构、关键技术（定位、时间同步、数据融合）及各层通信协议（物理层、MAC层）；了解WSN在环境监测、工业自动化等领域的应用设计方法。</w:t>
            </w:r>
          </w:p>
          <w:p w14:paraId="41B40D53">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：能完成传感器节点的硬件选型与软件编程（如ZigBee协议栈应用）；实现WSN组网部署与数据采集、处理；具备WSN系统性能优化与问题诊断能力。</w:t>
            </w:r>
          </w:p>
          <w:p w14:paraId="65E6FF43">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：培养系统化的网络设计思维与数据驱动的问题分析习惯；提升自主学习能力，主动追踪WSN领域新技术（如低功耗广域网）。</w:t>
            </w:r>
          </w:p>
          <w:p w14:paraId="2FC66E19">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通过WSN在生态监测、灾害预警等公益领域的应用案例，传递“科技守护家园”的理念，引导学生将技术应用与社会需求结合，树立责任意识。</w:t>
            </w:r>
          </w:p>
        </w:tc>
        <w:tc>
          <w:tcPr>
            <w:tcW w:w="3400" w:type="dxa"/>
          </w:tcPr>
          <w:p w14:paraId="3DC08704">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程主要涵盖无线传感器网络的发展历程、基本结构、关键性能指标和关键技术等基础知识。深入讲解网络通信协议，包括物理层、MAC层、网络层等各层协议的原理和实现机制。介绍传感器节点的硬件设计、软件编程以及组网技术，如ZigBee协议栈的结构与应用。还会涉及到无线传感器网络的定位技术、时间同步技术、数据融合与处理技术等36。此外，课程将结合实际应用案例，让学生了解无线传感器网络在环境监测、智能家居、工业自动化等领域的应用场景和设计方法。</w:t>
            </w:r>
          </w:p>
        </w:tc>
        <w:tc>
          <w:tcPr>
            <w:tcW w:w="2359" w:type="dxa"/>
          </w:tcPr>
          <w:p w14:paraId="7EE8AD3B">
            <w:pPr>
              <w:spacing w:after="0" w:line="320" w:lineRule="exact"/>
              <w:rPr>
                <w:rFonts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需要具备电子技术、计算机技术、通信技术等相关专业的基础知识，以便更好地理解和掌握无线传感器网络的专业知识。在课程学习过程中，要求学生认真听讲，积极参与课堂讨论和互动，按时完成课后作业和实验任务。学生应深入理解课程中的基本概念、原理和技术，掌握无线传感器网络的设计方法和开发流程，能够独立进行传感器节点的硬件选型、软件编程和网络部署，并通过实验和课程设计等实践环节，提高自己的动手能力和解决实际问题的能力。同时，鼓励学生自主学习和探索，了解无线传感器网络领域的最新研究成果和发展趋势，培养创新思维和能力。</w:t>
            </w:r>
          </w:p>
          <w:p w14:paraId="70A1E0AF">
            <w:pPr>
              <w:spacing w:after="0" w:line="320" w:lineRule="exact"/>
              <w:rPr>
                <w:rFonts w:hint="eastAsia" w:ascii="Times New Roman" w:hAnsi="Times New Roman" w:eastAsia="仿宋_GB2312" w:cs="仿宋_GB2312"/>
                <w:kern w:val="0"/>
                <w:sz w:val="24"/>
                <w:szCs w:val="20"/>
                <w:highlight w:val="none"/>
              </w:rPr>
            </w:pPr>
          </w:p>
        </w:tc>
      </w:tr>
      <w:tr w14:paraId="4491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3EE1468C">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8</w:t>
            </w:r>
          </w:p>
        </w:tc>
        <w:tc>
          <w:tcPr>
            <w:tcW w:w="818" w:type="dxa"/>
            <w:vAlign w:val="center"/>
          </w:tcPr>
          <w:p w14:paraId="5375ED12">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FPGA技术及应用</w:t>
            </w:r>
          </w:p>
        </w:tc>
        <w:tc>
          <w:tcPr>
            <w:tcW w:w="2928" w:type="dxa"/>
          </w:tcPr>
          <w:p w14:paraId="6AFCC531">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：掌握FPGA体系结构（可编程逻辑单元、互连资源）、设计流程（需求分析-代码输入-Verilog/VHDL-仿真-时序分析）；了解FPGA在AI、物联网等领域的应用场景。</w:t>
            </w:r>
          </w:p>
          <w:p w14:paraId="69AFA39B">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：能使用FPGA开发工具（如Vivado）完成简单逻辑电路、数字信号处理模块设计；实现接口电路开发与功能仿真、时序优化；具备FPGA项目调试与问题解决能力。</w:t>
            </w:r>
          </w:p>
          <w:p w14:paraId="4985BAD6">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：培养硬件描述语言的规范编程习惯与逻辑思维能力；提升创新设计素养，能结合需求尝试差异化技术方案。</w:t>
            </w:r>
          </w:p>
          <w:p w14:paraId="04A3D7D3">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结合FPGA在工业控制、航空航天等关键领域的自主可控需求，强调核心技术自主研发的重要性，激发学生攻克技术难题、助力我国高端芯片设计产业发展的热情。</w:t>
            </w:r>
          </w:p>
        </w:tc>
        <w:tc>
          <w:tcPr>
            <w:tcW w:w="3400" w:type="dxa"/>
          </w:tcPr>
          <w:p w14:paraId="0C8F5D2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内容涵盖FPGA技术的基础理论和实际应用两大方面。首先，介绍FPGA的基本概念、发展历程、体系结构和工作原理，包括可编程逻辑单元、互连资源和I/O接口等关键组成部分。接着深入讲解FPGA的设计流程，从需求分析、设计输入（如硬件描述语言Verilog或VHDL）、综合、布局布线到功能仿真和时序分析。在实践环节，通过具体的实验项目，如简单逻辑电路设计、数字信号处理模块设计、接口电路设计等，让学生亲身体验FPGA的开发过程，掌握常用的开发工具和调试技巧。此外，还会介绍FPGA在物联网、人工智能、图像处理等前沿领域的应用案例，拓宽学生的视野。</w:t>
            </w:r>
          </w:p>
        </w:tc>
        <w:tc>
          <w:tcPr>
            <w:tcW w:w="2359" w:type="dxa"/>
          </w:tcPr>
          <w:p w14:paraId="4393BD3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需要具备一定的数字电路和计算机基础知识，熟悉数字逻辑设计的基本原理和方法。在课程学习过程中，要求学生认真听讲，积极参与课堂讨论和实践操作，按时完成课程作业和实验任务。对于理论知识部分，学生应深入理解并掌握FPGA技术的核心概念和原理，能够准确运用硬件描述语言进行电路设计和建模。在实践方面，学生需熟练使用FPGA开发工具，独立完成从设计到实现的全过程，并能够对设计结果进行有效</w:t>
            </w:r>
            <w:r>
              <w:rPr>
                <w:rFonts w:hint="eastAsia" w:ascii="Times New Roman" w:hAnsi="Times New Roman" w:eastAsia="仿宋_GB2312" w:cs="仿宋_GB2312"/>
                <w:kern w:val="0"/>
                <w:sz w:val="24"/>
                <w:szCs w:val="20"/>
                <w:highlight w:val="none"/>
              </w:rPr>
              <w:t>地</w:t>
            </w:r>
            <w:r>
              <w:rPr>
                <w:rFonts w:ascii="Times New Roman" w:hAnsi="Times New Roman" w:eastAsia="仿宋_GB2312" w:cs="仿宋_GB2312"/>
                <w:kern w:val="0"/>
                <w:sz w:val="24"/>
                <w:szCs w:val="20"/>
                <w:highlight w:val="none"/>
              </w:rPr>
              <w:t>测试和优化。鼓励学生在课程项目中发挥创新思维，尝试不同的设计方案和技术应用。课程结束时，学生将通过理论考试和实践考核来检验对FPGA技术及应用的掌握程度，考核合格方可取得相应学分。</w:t>
            </w:r>
          </w:p>
        </w:tc>
      </w:tr>
      <w:tr w14:paraId="66F2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1B93F8E6">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9</w:t>
            </w:r>
          </w:p>
        </w:tc>
        <w:tc>
          <w:tcPr>
            <w:tcW w:w="818" w:type="dxa"/>
            <w:vAlign w:val="center"/>
          </w:tcPr>
          <w:p w14:paraId="57491593">
            <w:pPr>
              <w:spacing w:after="0" w:line="320" w:lineRule="exact"/>
              <w:jc w:val="both"/>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无人机控制技术</w:t>
            </w:r>
          </w:p>
        </w:tc>
        <w:tc>
          <w:tcPr>
            <w:tcW w:w="2928" w:type="dxa"/>
          </w:tcPr>
          <w:p w14:paraId="7CBCC828">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：掌握无人机组成、分类及飞行控制系统架构（传感器、控制器）；理解无人机运动学/动力学模型、核心控制算法（PID、自适应控制）及导航、避障技术原理。</w:t>
            </w:r>
          </w:p>
          <w:p w14:paraId="4E31B5DE">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：能熟练操作无人机模拟系统与实际设备，完成姿态控制、路径规划；运用PID算法调试无人机飞行参数；具备无人机飞行故障初步诊断与处理能力。</w:t>
            </w:r>
          </w:p>
          <w:p w14:paraId="38A2BA3A">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：培养严谨的飞行操作规范意识与风险预判能力；提升基于数学模型解决工程问题的思维，增强技术实践创新素养。</w:t>
            </w:r>
          </w:p>
          <w:p w14:paraId="1284F848">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通过无人机在农业植保、国土测绘、应急救援等领域的应用，展现技术对国家农业现代化、防灾减灾的支撑作用，引导学生树立“科技赋能行业”的责任担当。</w:t>
            </w:r>
          </w:p>
        </w:tc>
        <w:tc>
          <w:tcPr>
            <w:tcW w:w="3400" w:type="dxa"/>
          </w:tcPr>
          <w:p w14:paraId="463DD7CA">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课程内容涵盖无人机控制技术的多个关键方面。首先介绍无人机的基本组成、分类以及发展历程，使学生对无人机有全面</w:t>
            </w:r>
            <w:r>
              <w:rPr>
                <w:rFonts w:hint="eastAsia" w:ascii="Times New Roman" w:hAnsi="Times New Roman" w:eastAsia="仿宋_GB2312" w:cs="仿宋_GB2312"/>
                <w:kern w:val="0"/>
                <w:sz w:val="24"/>
                <w:szCs w:val="20"/>
                <w:highlight w:val="none"/>
              </w:rPr>
              <w:t>地</w:t>
            </w:r>
            <w:r>
              <w:rPr>
                <w:rFonts w:ascii="Times New Roman" w:hAnsi="Times New Roman" w:eastAsia="仿宋_GB2312" w:cs="仿宋_GB2312"/>
                <w:kern w:val="0"/>
                <w:sz w:val="24"/>
                <w:szCs w:val="20"/>
                <w:highlight w:val="none"/>
              </w:rPr>
              <w:t>认识。深入讲解飞行控制系统的架构，包括传感器（如陀螺仪、加速度计等）的原理与应用，以及控制器的设计与实现。详细阐述无人机的运动学和动力学模型，为控制算法的学习提供理论基础。课程还将介绍常见的控制算法，如PID控制、自适应控制等，并通过仿真实验和实际操作让学生掌握算法的运用。此外，会涉及无人机的导航技术、姿态控制、路径规划以及避障等内容，使学生了解无人机控制的完整流程和关键技术点。</w:t>
            </w:r>
          </w:p>
        </w:tc>
        <w:tc>
          <w:tcPr>
            <w:tcW w:w="2359" w:type="dxa"/>
          </w:tcPr>
          <w:p w14:paraId="0E816954">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确保学生能够有效掌握无人机控制技术，本课程对学生提出了明确要求。在知识储备方面，学生应具备一定的数学基础，包括高等数学、线性代数和自动控制原理等相关知识，以便理解课程中的理论和算法。在实践操作上，学生需积极参与实验课程，认真完成各项实验任务，熟练掌握无人机的模拟操控和实际飞行操作技能。在学习态度上，要求学生保持严谨认真的态度，按时完成课程作业和项目任务，积极参与课堂讨论和小组协作学习。同时，鼓励学生自主学习和探索，阅读相关文献和研究资料，拓宽知识面，提升对无人机控制技术的理解和应用能力。</w:t>
            </w:r>
          </w:p>
        </w:tc>
      </w:tr>
      <w:tr w14:paraId="0A7F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624" w:type="dxa"/>
            <w:vAlign w:val="center"/>
          </w:tcPr>
          <w:p w14:paraId="6FB50063">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10</w:t>
            </w:r>
          </w:p>
        </w:tc>
        <w:tc>
          <w:tcPr>
            <w:tcW w:w="818" w:type="dxa"/>
            <w:vAlign w:val="center"/>
          </w:tcPr>
          <w:p w14:paraId="0E0DB3E6">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移动应用开发</w:t>
            </w:r>
          </w:p>
        </w:tc>
        <w:tc>
          <w:tcPr>
            <w:tcW w:w="2928" w:type="dxa"/>
          </w:tcPr>
          <w:p w14:paraId="5676D6B4">
            <w:pPr>
              <w:spacing w:after="0" w:line="320" w:lineRule="exact"/>
              <w:jc w:val="lef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：掌握移动OS（Android/iOS）特性、开发语言</w:t>
            </w:r>
            <w:r>
              <w:rPr>
                <w:rFonts w:hint="eastAsia" w:ascii="Times New Roman" w:hAnsi="Times New Roman" w:eastAsia="仿宋_GB2312"/>
                <w:spacing w:val="-17"/>
                <w:kern w:val="0"/>
                <w:sz w:val="24"/>
                <w:highlight w:val="none"/>
              </w:rPr>
              <w:t>（Java/Kotlin/Swift）</w:t>
            </w:r>
            <w:r>
              <w:rPr>
                <w:rFonts w:hint="eastAsia" w:ascii="Times New Roman" w:hAnsi="Times New Roman" w:eastAsia="仿宋_GB2312"/>
                <w:kern w:val="0"/>
                <w:sz w:val="24"/>
                <w:highlight w:val="none"/>
              </w:rPr>
              <w:t>及框架（Jetpack/UIKit）；理解移动应用设计（界面、架构）、数据存储、网络通信及测试优化方法。</w:t>
            </w:r>
          </w:p>
          <w:p w14:paraId="31C7879E">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：能独立完成移动应用界面设计与功能模块开发（如登录、数据展示）；实现数据存储（本地/云端）与网络交互；完成应用测试、调试与性能优化，输出完整项目成果。</w:t>
            </w:r>
          </w:p>
          <w:p w14:paraId="64CE96C4">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：培养用户需求导向的设计思维与规范化的代码编写习惯；提升团队协作开发能力（分工设计、开发、测试），增强快速迭代的项目管理意识。</w:t>
            </w:r>
          </w:p>
          <w:p w14:paraId="6B955DE9">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结合我国移动互联网产业（如政务APP、公益应用）的发展成果，强调技术的社会价值，引导学生开发符合民生需求的应用，树立“科技服务大众”的理念。</w:t>
            </w:r>
          </w:p>
        </w:tc>
        <w:tc>
          <w:tcPr>
            <w:tcW w:w="3400" w:type="dxa"/>
          </w:tcPr>
          <w:p w14:paraId="2AA9CFC2">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本课程内容丰富多样且循序渐进。首先，会介绍移动应用开发的行业背景、发展趋势以及常见的移动操作系统（如Android和iOS）。接着深入讲解移动应用开发所需的编程语言，如Java、Kotlin（针对Android）和Swift（针对iOS），包括语法基础、数据结构和算法等。在掌握编程语言后，课程会涵盖移动应用的界面设计原则和方法，使用相关工具进行界面布局和交互设计。随后是移动应用开发框架的学习，如Android的Jetpack组件和iOS的UIKit等，通过实际项目案例，让学生学习如何进行应用的架构设计、功能模块开发、数据存储与管理、网络通信等。课程还会涉及应用的测试与调试，包括单元测试、集成测试和性能优化等方面的知识，最后引导学生完成完整的移动应用项目开发，并进行项目展示与评估。</w:t>
            </w:r>
          </w:p>
        </w:tc>
        <w:tc>
          <w:tcPr>
            <w:tcW w:w="2359" w:type="dxa"/>
          </w:tcPr>
          <w:p w14:paraId="5976A9E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确保学生能够有效掌握移动应用开发知识和技能，本课程对学生提出以下要求。在知识储备方面，学生需要具备一定的计算机基础知识，包括操作系统、计算机网络等，同时对至少一种编程语言有初步了解。在学习态度上，学生应积极主动，按时完成课程作业和实验任务，认真参与课堂讨论和项目实践。在技能培养方面，要求学生熟练掌握移动应用开发工具的使用，能够按照规范进行代码编写和文档撰写。在团队协作中，要具备良好的沟通能力和团队合作精神，积极参与小组项目，充分发挥自己的优势，共同完成项目目标。此外，鼓励学生关注行业动态和新技术发展，不断拓展自己的知识面和技能，以适应快速变化的移动应用开发领域。</w:t>
            </w:r>
          </w:p>
        </w:tc>
      </w:tr>
      <w:tr w14:paraId="5D81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4" w:hRule="atLeast"/>
          <w:jc w:val="center"/>
        </w:trPr>
        <w:tc>
          <w:tcPr>
            <w:tcW w:w="624" w:type="dxa"/>
            <w:vAlign w:val="center"/>
          </w:tcPr>
          <w:p w14:paraId="1C57697F">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11</w:t>
            </w:r>
          </w:p>
        </w:tc>
        <w:tc>
          <w:tcPr>
            <w:tcW w:w="818" w:type="dxa"/>
            <w:vAlign w:val="center"/>
          </w:tcPr>
          <w:p w14:paraId="1CFDF1D7">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网络云化技术及应用</w:t>
            </w:r>
          </w:p>
        </w:tc>
        <w:tc>
          <w:tcPr>
            <w:tcW w:w="2928" w:type="dxa"/>
          </w:tcPr>
          <w:p w14:paraId="4FD6178F">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：掌握网络云化概念、云计算基础（云分类、IaaS/PaaS/SaaS）；理解SDN/NFV核心原理、架构及云化网络安全防护策略；了解行业应用案例（电信、互联网）。</w:t>
            </w:r>
          </w:p>
          <w:p w14:paraId="26FC6C6A">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：能基于云服务模式设计简单网络云化方案；使用实验平台完成SDN拓扑搭建与NFV功能部署；具备云化网络安全风险识别与基础防护能力。</w:t>
            </w:r>
          </w:p>
          <w:p w14:paraId="51B0447C">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：培养虚拟化、模块化的网络设计思维；提升对新技术（SDN/NFV）的学习适应能力，增强网络安全防护意识。</w:t>
            </w:r>
          </w:p>
          <w:p w14:paraId="26055E38">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结合网络云化技术在我国数字新基建（如算力网络、智慧城市）中的应用，强调技术对国家信息化建设的支撑作用，引导学生树立投身数字经济发展的使命感。</w:t>
            </w:r>
          </w:p>
        </w:tc>
        <w:tc>
          <w:tcPr>
            <w:tcW w:w="3400" w:type="dxa"/>
          </w:tcPr>
          <w:p w14:paraId="6A34C95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内容涵盖网络云化技术的多个方面。首先，介绍网络云化的基本概念、发展历程和行业背景，让学生对网络云化有宏观的认识。接着，深入讲解云计算的基础理论，包括云的分类（公有云、私有云、混合云等）、云服务模式（IaaS、PaaS、SaaS）等。重点阐述网络云化的关键技术，如软件定义网络（SDN）、网络功能虚拟化（NFV）的原理、架构和应用场景。还会涉及云化网络的安全问题，包括数据安全、网络安全防护策略等。此外，通过实际案例分析，展示网络云化技术在电信、互联网、企业等不同行业的具体应用，让学生了解如何将理论知识应用到实际项目中。</w:t>
            </w:r>
          </w:p>
        </w:tc>
        <w:tc>
          <w:tcPr>
            <w:tcW w:w="2359" w:type="dxa"/>
          </w:tcPr>
          <w:p w14:paraId="4C21924A">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在本课程的学习过程中，需满足以下要求。在知识储备方面，应具备一定的计算机网络基础知识，了解网络体系结构和常见的网络协议。在学习态度上，要积极主动，按时完成课程布置的各项任务，包括阅读教材、观看教学视频、完成作业等。课堂上要认真听讲，积极参与讨论和互动，提出自己的疑问和见解。在实践操作方面，学生需熟练掌握相关的实验工具和平台，按照实验指导书完成网络云化技术的实验操作，提升动手实践能力。</w:t>
            </w:r>
          </w:p>
        </w:tc>
      </w:tr>
      <w:tr w14:paraId="22BE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4" w:type="dxa"/>
            <w:vAlign w:val="center"/>
          </w:tcPr>
          <w:p w14:paraId="06630BCA">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12</w:t>
            </w:r>
          </w:p>
        </w:tc>
        <w:tc>
          <w:tcPr>
            <w:tcW w:w="818" w:type="dxa"/>
            <w:vAlign w:val="center"/>
          </w:tcPr>
          <w:p w14:paraId="6F23FF36">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机器人控制技术</w:t>
            </w:r>
          </w:p>
        </w:tc>
        <w:tc>
          <w:tcPr>
            <w:tcW w:w="2928" w:type="dxa"/>
          </w:tcPr>
          <w:p w14:paraId="33557EC6">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：掌握机器人结构、分类及运动学（正/逆解）、动力学原理；理解机器人经典控制（位置/速度/力控制）与智能控制（模糊、神经网络）策略；了解传感器技术与控制系统软硬件架构。</w:t>
            </w:r>
          </w:p>
          <w:p w14:paraId="7E0C30D3">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：能求解机器人运动学方程，确定末端执行器姿态；运用PID算法调试机器人位置控制参数；使用传感器获取机器人状态信息，完成简单控制任务。</w:t>
            </w:r>
          </w:p>
          <w:p w14:paraId="4F3BFFD8">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：培养基于数学模型分析机器人控制问题的逻辑思维；提升实验操作的严谨性与数据处理能力，增强跨学科（机械、控制、传感）整合素养。</w:t>
            </w:r>
          </w:p>
          <w:p w14:paraId="72B43B89">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通过机器人技术在工业自动化、医疗康复等领域的应用，展现我国制造业“智改数转”成果，引导学生树立助力我国从“制造大国”向“制造强国”转型的理想。</w:t>
            </w:r>
          </w:p>
        </w:tc>
        <w:tc>
          <w:tcPr>
            <w:tcW w:w="3400" w:type="dxa"/>
          </w:tcPr>
          <w:p w14:paraId="08080141">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内容涵盖机器人控制技术的多个关键方面。首先介绍机器人的基本结构和分类，为后续学习打下基础。深入讲解机器人运动学，包括正运动学和逆运动学的求解，以确定机器人末端执行器的位置和姿态。剖析机器人动力学，研究机器人运动与受力之间的关系，推导动力学方程。重点阐述机器人的位置控制、速度控制和力控制等经典控制策略，以及现代先进的智能控制方法，如模糊控制、神经网络控制等。此外，还会涉及机器人传感器技术，了解如何利用传感器获取机器人的状态信息，以及机器人控制系统的硬件组成和软件架构，通过实际案例分析和实验操作，让学生将理论知识应用到实践中。</w:t>
            </w:r>
          </w:p>
        </w:tc>
        <w:tc>
          <w:tcPr>
            <w:tcW w:w="2359" w:type="dxa"/>
          </w:tcPr>
          <w:p w14:paraId="4A25E6EE">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学生在学习本课程时，</w:t>
            </w:r>
            <w:r>
              <w:rPr>
                <w:rFonts w:hint="eastAsia" w:ascii="Times New Roman" w:hAnsi="Times New Roman" w:eastAsia="仿宋_GB2312" w:cs="仿宋_GB2312"/>
                <w:kern w:val="0"/>
                <w:sz w:val="24"/>
                <w:szCs w:val="20"/>
                <w:highlight w:val="none"/>
                <w:lang w:eastAsia="zh-CN"/>
              </w:rPr>
              <w:t>须具备</w:t>
            </w:r>
            <w:r>
              <w:rPr>
                <w:rFonts w:ascii="Times New Roman" w:hAnsi="Times New Roman" w:eastAsia="仿宋_GB2312" w:cs="仿宋_GB2312"/>
                <w:kern w:val="0"/>
                <w:sz w:val="24"/>
                <w:szCs w:val="20"/>
                <w:highlight w:val="none"/>
              </w:rPr>
              <w:t>一定的数学基础，包括高等数学、线性代数和概率论等知识，以便理解机器人控制技术中的相关理论和算法。要求学生按时参加课堂学习，积极参与课堂讨论和互动，认真做好笔记。课后要及时完成布置的作业，通过作业加深对知识点的理解和掌握。在实验环节，学生需严格遵守实验室的规章制度，认真操作实验设备，记录实验数据，撰写实验报告，提高实践操作能力和数据分析能力。</w:t>
            </w:r>
          </w:p>
        </w:tc>
      </w:tr>
      <w:tr w14:paraId="786F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jc w:val="center"/>
        </w:trPr>
        <w:tc>
          <w:tcPr>
            <w:tcW w:w="624" w:type="dxa"/>
            <w:vAlign w:val="center"/>
          </w:tcPr>
          <w:p w14:paraId="168426AB">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13</w:t>
            </w:r>
          </w:p>
        </w:tc>
        <w:tc>
          <w:tcPr>
            <w:tcW w:w="818" w:type="dxa"/>
            <w:vAlign w:val="center"/>
          </w:tcPr>
          <w:p w14:paraId="30E425C9">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工业互联网实施与运维</w:t>
            </w:r>
          </w:p>
        </w:tc>
        <w:tc>
          <w:tcPr>
            <w:tcW w:w="2928" w:type="dxa"/>
          </w:tcPr>
          <w:p w14:paraId="2DAF4175">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：掌握工业互联网体系架构、关键技术（物联网、大数据、AI）；理解实施流程（规划－设计－集成－测试）与运维管理（巡检、故障修复、安全防护）规范。</w:t>
            </w:r>
          </w:p>
          <w:p w14:paraId="6990C3D4">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：能参与工业互联网项目需求分析与方案设计；使用工具完成设备联网与系统调试；具备工业互联网系统日常运维、故障诊断与性能优化能力。</w:t>
            </w:r>
          </w:p>
          <w:p w14:paraId="4FDD8498">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：培养工业场景下的系统思维与问题解决能力；提升标准化运维意识与安全防护素养，适应工业现场复杂工作环境。</w:t>
            </w:r>
          </w:p>
          <w:p w14:paraId="7F6A78BB">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结合工业互联网对传统制造业升级的推动作用（如智能工厂、柔性生产），强调“产业报国”理念，引导学生认识技术对国家工业竞争力提升的核心价值，树立服务实体经济的意识。</w:t>
            </w:r>
          </w:p>
        </w:tc>
        <w:tc>
          <w:tcPr>
            <w:tcW w:w="3400" w:type="dxa"/>
          </w:tcPr>
          <w:p w14:paraId="6113B31D">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内容涵盖工业互联网基础理论，包括工业互联网的发展历程、体系架构、关键技术（如物联网、大数据、人工智能等）；工业互联网实施流程，从项目规划、需求分析、方案设计到设备联网、系统集成与测试；工业互联网运维管理，涉及日常巡检、故障诊断与修复、性能优化、安全防护等。此外，还会引入实际工业案例分析与实践项目，让学生在真实场景中应用所学知识，提升解决实际问题的能力。</w:t>
            </w:r>
          </w:p>
        </w:tc>
        <w:tc>
          <w:tcPr>
            <w:tcW w:w="2359" w:type="dxa"/>
          </w:tcPr>
          <w:p w14:paraId="72C3D540">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学生在学习本课程前，</w:t>
            </w:r>
            <w:r>
              <w:rPr>
                <w:rFonts w:hint="eastAsia" w:ascii="Times New Roman" w:hAnsi="Times New Roman" w:eastAsia="仿宋_GB2312" w:cs="仿宋_GB2312"/>
                <w:kern w:val="0"/>
                <w:sz w:val="24"/>
                <w:szCs w:val="20"/>
                <w:highlight w:val="none"/>
                <w:lang w:eastAsia="zh-CN"/>
              </w:rPr>
              <w:t>须具备</w:t>
            </w:r>
            <w:r>
              <w:rPr>
                <w:rFonts w:ascii="Times New Roman" w:hAnsi="Times New Roman" w:eastAsia="仿宋_GB2312" w:cs="仿宋_GB2312"/>
                <w:kern w:val="0"/>
                <w:sz w:val="24"/>
                <w:szCs w:val="20"/>
                <w:highlight w:val="none"/>
              </w:rPr>
              <w:t>一定的计算机基础知识、工业自动化相关知识以及网络通信基础。课程学习过程中，要求学生积极参与课堂讨论、实验操作和实践项目，按时完成作业与课程任务。在理论知识方面，需理解并掌握工业互联网的基本概念、技术原理和实施运维流程；在实践技能上，能够熟练运用相关工具和平台进行工业互联网系统的部署、调试与维护，具备分析和解决实际问题的能力。课程考核将综合考虑理论考试、实践操作表现以及项目作业完成质量。</w:t>
            </w:r>
          </w:p>
        </w:tc>
      </w:tr>
      <w:tr w14:paraId="6C1B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0" w:hRule="atLeast"/>
          <w:jc w:val="center"/>
        </w:trPr>
        <w:tc>
          <w:tcPr>
            <w:tcW w:w="624" w:type="dxa"/>
            <w:vAlign w:val="center"/>
          </w:tcPr>
          <w:p w14:paraId="4F8F1734">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14</w:t>
            </w:r>
          </w:p>
        </w:tc>
        <w:tc>
          <w:tcPr>
            <w:tcW w:w="818" w:type="dxa"/>
            <w:vAlign w:val="center"/>
          </w:tcPr>
          <w:p w14:paraId="12C29728">
            <w:pPr>
              <w:spacing w:after="0" w:line="320" w:lineRule="exact"/>
              <w:jc w:val="center"/>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电子信息专业英语</w:t>
            </w:r>
          </w:p>
        </w:tc>
        <w:tc>
          <w:tcPr>
            <w:tcW w:w="2928" w:type="dxa"/>
          </w:tcPr>
          <w:p w14:paraId="326D1C26">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知识目标</w:t>
            </w:r>
            <w:r>
              <w:rPr>
                <w:rFonts w:hint="eastAsia" w:ascii="Times New Roman" w:hAnsi="Times New Roman" w:eastAsia="仿宋_GB2312"/>
                <w:kern w:val="0"/>
                <w:sz w:val="24"/>
                <w:highlight w:val="none"/>
              </w:rPr>
              <w:t>：熟练掌握电子信息领域核心词汇（电路、通信、计算机）；理解专业文献（论文、技术手册、专利）结构与表达逻辑；掌握科技英语写作（摘要、实验报告）与口语交流规范。</w:t>
            </w:r>
          </w:p>
          <w:p w14:paraId="5234DE92">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能力目标</w:t>
            </w:r>
            <w:r>
              <w:rPr>
                <w:rFonts w:hint="eastAsia" w:ascii="Times New Roman" w:hAnsi="Times New Roman" w:eastAsia="仿宋_GB2312"/>
                <w:kern w:val="0"/>
                <w:sz w:val="24"/>
                <w:highlight w:val="none"/>
              </w:rPr>
              <w:t>：能流畅阅读英文专业文献，提炼核心观点；按规范撰写英文实验报告、技术摘要；在国际学术交流、商务洽谈场景中，用英语清晰表达专业观点。</w:t>
            </w:r>
          </w:p>
          <w:p w14:paraId="3944BC5F">
            <w:pPr>
              <w:spacing w:after="0" w:line="320" w:lineRule="exact"/>
              <w:rPr>
                <w:rFonts w:ascii="Times New Roman" w:hAnsi="Times New Roman" w:eastAsia="仿宋_GB2312"/>
                <w:kern w:val="0"/>
                <w:sz w:val="24"/>
                <w:highlight w:val="none"/>
              </w:rPr>
            </w:pPr>
            <w:r>
              <w:rPr>
                <w:rFonts w:hint="eastAsia" w:ascii="Times New Roman" w:hAnsi="Times New Roman" w:eastAsia="仿宋_GB2312"/>
                <w:b/>
                <w:bCs/>
                <w:kern w:val="0"/>
                <w:sz w:val="24"/>
                <w:highlight w:val="none"/>
              </w:rPr>
              <w:t>素质目标</w:t>
            </w:r>
            <w:r>
              <w:rPr>
                <w:rFonts w:hint="eastAsia" w:ascii="Times New Roman" w:hAnsi="Times New Roman" w:eastAsia="仿宋_GB2312"/>
                <w:kern w:val="0"/>
                <w:sz w:val="24"/>
                <w:highlight w:val="none"/>
              </w:rPr>
              <w:t>：培养自主查阅国际文献的学习能力；提升跨文化专业沟通素养，增强国际视野与学术交流自信。</w:t>
            </w:r>
          </w:p>
          <w:p w14:paraId="1B6BC882">
            <w:pPr>
              <w:spacing w:after="0" w:line="320" w:lineRule="exact"/>
              <w:rPr>
                <w:rFonts w:hint="eastAsia" w:ascii="Times New Roman" w:hAnsi="Times New Roman" w:eastAsia="仿宋_GB2312" w:cs="仿宋_GB2312"/>
                <w:kern w:val="0"/>
                <w:sz w:val="24"/>
                <w:highlight w:val="none"/>
              </w:rPr>
            </w:pPr>
            <w:r>
              <w:rPr>
                <w:rFonts w:hint="eastAsia" w:ascii="Times New Roman" w:hAnsi="Times New Roman" w:eastAsia="仿宋_GB2312"/>
                <w:b/>
                <w:bCs/>
                <w:kern w:val="0"/>
                <w:sz w:val="24"/>
                <w:highlight w:val="none"/>
              </w:rPr>
              <w:t>课程思政育人目标：</w:t>
            </w:r>
            <w:r>
              <w:rPr>
                <w:rFonts w:hint="eastAsia" w:ascii="Times New Roman" w:hAnsi="Times New Roman" w:eastAsia="仿宋_GB2312"/>
                <w:kern w:val="0"/>
                <w:sz w:val="24"/>
                <w:highlight w:val="none"/>
              </w:rPr>
              <w:t>通过解读国际顶尖电子信息期刊论文、技术标准，引导学生理性看待中外技术差距，树立“师夷长技以自强”的学习态度，培养用英语传播我国电子信息领域创新成果的能力。</w:t>
            </w:r>
          </w:p>
        </w:tc>
        <w:tc>
          <w:tcPr>
            <w:tcW w:w="3400" w:type="dxa"/>
          </w:tcPr>
          <w:p w14:paraId="51D12F9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课程内容涵盖电子信息专业英语的多个重要方面。首先，深入讲解电子信息领域的基础专业词汇，包括电路、信号处理、通信原理、计算机科学等核心学科的常用术语，通过例句和语境帮助学生理解和记忆。其次，剖析各类专业英语文献的结构和特点，如学术论文、技术手册、专利说明书等，进行针对性</w:t>
            </w:r>
            <w:r>
              <w:rPr>
                <w:rFonts w:hint="eastAsia" w:ascii="Times New Roman" w:hAnsi="Times New Roman" w:eastAsia="仿宋_GB2312" w:cs="仿宋_GB2312"/>
                <w:kern w:val="0"/>
                <w:sz w:val="24"/>
                <w:szCs w:val="20"/>
                <w:highlight w:val="none"/>
              </w:rPr>
              <w:t>地</w:t>
            </w:r>
            <w:r>
              <w:rPr>
                <w:rFonts w:ascii="Times New Roman" w:hAnsi="Times New Roman" w:eastAsia="仿宋_GB2312" w:cs="仿宋_GB2312"/>
                <w:kern w:val="0"/>
                <w:sz w:val="24"/>
                <w:szCs w:val="20"/>
                <w:highlight w:val="none"/>
              </w:rPr>
              <w:t>阅读训练，提升学生的文献解读能力。再者，安排专业英语写作课程，指导学生掌握科技论文写作规范、摘要撰写技巧、实验报告的格式和语言表达等。另外，设置口语交流环节，模拟国际学术会议、商务洽谈等场景，锻炼学生的口语表达和听力理解能力，使学生能够在实际交流中运用所学专业英语知识。</w:t>
            </w:r>
          </w:p>
        </w:tc>
        <w:tc>
          <w:tcPr>
            <w:tcW w:w="2359" w:type="dxa"/>
          </w:tcPr>
          <w:p w14:paraId="1C5A1BC8">
            <w:pPr>
              <w:spacing w:after="0" w:line="320" w:lineRule="exact"/>
              <w:rPr>
                <w:rFonts w:hint="eastAsia" w:ascii="Times New Roman" w:hAnsi="Times New Roman" w:eastAsia="仿宋_GB2312" w:cs="仿宋_GB2312"/>
                <w:kern w:val="0"/>
                <w:sz w:val="24"/>
                <w:szCs w:val="20"/>
                <w:highlight w:val="none"/>
              </w:rPr>
            </w:pPr>
            <w:r>
              <w:rPr>
                <w:rFonts w:ascii="Times New Roman" w:hAnsi="Times New Roman" w:eastAsia="仿宋_GB2312" w:cs="仿宋_GB2312"/>
                <w:kern w:val="0"/>
                <w:sz w:val="24"/>
                <w:szCs w:val="20"/>
                <w:highlight w:val="none"/>
              </w:rPr>
              <w:t>学生在本课程的学习过程中需达到以下要求。在知识掌握方面，要求熟练掌握课程所涉及的专业英语词汇，能够准确运用在阅读、写作和口语表达中。阅读方面，能够流畅阅读电子信息专业的英文文献，理解其核心内容，并能对文献进行总结和分析。写作上，严格按照科技英语写作规范完成各类作业，如实验报告、学术论文等，语言表达准确、逻辑清晰。口语交流时，需积极参与课堂互动，能够用英语进行专业话题的讨论和交流，发音准确，表达流利。此外，学生应按时完成课后作业和阅读任务，积极参与小组讨论和实践活动，培养自主学习和团队合作的能力。</w:t>
            </w:r>
          </w:p>
        </w:tc>
      </w:tr>
    </w:tbl>
    <w:p w14:paraId="49B10F5A">
      <w:pPr>
        <w:adjustRightInd w:val="0"/>
        <w:snapToGri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39" w:name="_Toc3668"/>
      <w:r>
        <w:rPr>
          <w:rFonts w:hint="eastAsia" w:ascii="Times New Roman" w:hAnsi="Times New Roman" w:eastAsia="仿宋_GB2312" w:cs="仿宋_GB2312"/>
          <w:sz w:val="32"/>
          <w:szCs w:val="32"/>
          <w:highlight w:val="none"/>
        </w:rPr>
        <w:t>4.实践性教学环节</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由初级维修电工实训、</w:t>
      </w:r>
      <w:bookmarkStart w:id="40" w:name="OLE_LINK5"/>
      <w:r>
        <w:rPr>
          <w:rFonts w:hint="eastAsia" w:ascii="Times New Roman" w:hAnsi="Times New Roman" w:eastAsia="仿宋_GB2312" w:cs="仿宋_GB2312"/>
          <w:sz w:val="32"/>
          <w:szCs w:val="32"/>
          <w:highlight w:val="none"/>
        </w:rPr>
        <w:t>中级维修电工实训、毕业设计、岗位实习</w:t>
      </w:r>
      <w:bookmarkEnd w:id="40"/>
      <w:r>
        <w:rPr>
          <w:rFonts w:hint="eastAsia" w:ascii="Times New Roman" w:hAnsi="Times New Roman" w:eastAsia="仿宋_GB2312" w:cs="仿宋_GB2312"/>
          <w:sz w:val="32"/>
          <w:szCs w:val="32"/>
          <w:highlight w:val="none"/>
        </w:rPr>
        <w:t>构成实践性教学环节。</w:t>
      </w:r>
      <w:bookmarkEnd w:id="39"/>
    </w:p>
    <w:p w14:paraId="237F4238">
      <w:pPr>
        <w:overflowPunct w:val="0"/>
        <w:adjustRightInd w:val="0"/>
        <w:spacing w:after="0" w:line="520" w:lineRule="exact"/>
        <w:jc w:val="center"/>
        <w:rPr>
          <w:rFonts w:hint="eastAsia" w:ascii="Times New Roman" w:hAnsi="Times New Roman" w:eastAsia="仿宋_GB2312" w:cs="仿宋_GB2312"/>
          <w:sz w:val="32"/>
          <w:szCs w:val="32"/>
          <w:highlight w:val="none"/>
        </w:rPr>
      </w:pPr>
    </w:p>
    <w:p w14:paraId="658D6A75">
      <w:pPr>
        <w:overflowPunct w:val="0"/>
        <w:adjustRightInd w:val="0"/>
        <w:spacing w:after="0" w:line="520" w:lineRule="exact"/>
        <w:jc w:val="center"/>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表6实践性教学环节课程目标、主要教学内容与要求</w:t>
      </w:r>
    </w:p>
    <w:tbl>
      <w:tblPr>
        <w:tblStyle w:val="11"/>
        <w:tblW w:w="1040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788"/>
        <w:gridCol w:w="3514"/>
        <w:gridCol w:w="2804"/>
        <w:gridCol w:w="2582"/>
      </w:tblGrid>
      <w:tr w14:paraId="5672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14:paraId="637082A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序号</w:t>
            </w:r>
          </w:p>
        </w:tc>
        <w:tc>
          <w:tcPr>
            <w:tcW w:w="788" w:type="dxa"/>
            <w:vAlign w:val="center"/>
          </w:tcPr>
          <w:p w14:paraId="55EBBA3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课程名称</w:t>
            </w:r>
          </w:p>
        </w:tc>
        <w:tc>
          <w:tcPr>
            <w:tcW w:w="3514" w:type="dxa"/>
            <w:vAlign w:val="center"/>
          </w:tcPr>
          <w:p w14:paraId="2B870E7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课程目标</w:t>
            </w:r>
          </w:p>
        </w:tc>
        <w:tc>
          <w:tcPr>
            <w:tcW w:w="2804" w:type="dxa"/>
            <w:vAlign w:val="center"/>
          </w:tcPr>
          <w:p w14:paraId="39D9897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主要教学内容</w:t>
            </w:r>
          </w:p>
        </w:tc>
        <w:tc>
          <w:tcPr>
            <w:tcW w:w="2582" w:type="dxa"/>
            <w:vAlign w:val="center"/>
          </w:tcPr>
          <w:p w14:paraId="35C17FA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教学要求</w:t>
            </w:r>
          </w:p>
        </w:tc>
      </w:tr>
      <w:tr w14:paraId="1E88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14:paraId="1EA2105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w:t>
            </w:r>
          </w:p>
        </w:tc>
        <w:tc>
          <w:tcPr>
            <w:tcW w:w="788" w:type="dxa"/>
            <w:vAlign w:val="center"/>
          </w:tcPr>
          <w:p w14:paraId="2618E8E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初级维修电工实训</w:t>
            </w:r>
          </w:p>
        </w:tc>
        <w:tc>
          <w:tcPr>
            <w:tcW w:w="3514" w:type="dxa"/>
          </w:tcPr>
          <w:p w14:paraId="6C01446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：掌握电工安全操作规程、电路基础原理，理解常用电气设备结构与工作原理，熟悉电工工具与仪器仪表使用规范。</w:t>
            </w:r>
          </w:p>
          <w:p w14:paraId="008D041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：能规范使用电工工具与万用表等仪器，独立完成照明电路、电动机控制电路安装调试，具备电气元件检测与简单故障排查能力。</w:t>
            </w:r>
          </w:p>
          <w:p w14:paraId="268FCD6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：培养安全第一的操作意识与规范的实操习惯，提升动手能力与问题解决素养，养成细致的实训记录与反思习惯。</w:t>
            </w:r>
          </w:p>
          <w:p w14:paraId="739C290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结合电工行业安全事故案例，强调 “安全责任重于泰山”；通过规范操作训练，传递严谨务实的职业精神与工匠精神。</w:t>
            </w:r>
          </w:p>
        </w:tc>
        <w:tc>
          <w:tcPr>
            <w:tcW w:w="2804" w:type="dxa"/>
          </w:tcPr>
          <w:p w14:paraId="491F5BD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ascii="Times New Roman" w:hAnsi="Times New Roman" w:eastAsia="仿宋_GB2312" w:cs="仿宋_GB2312"/>
                <w:sz w:val="24"/>
                <w:highlight w:val="none"/>
              </w:rPr>
              <w:t>内容紧密围绕初级维修电工所需的技能展开。首先介绍电工安全知识和操作规程，确保学生具备基本的安全意识。理论知识涵盖电路基础原理、电磁学基本知识、常用电气设备的结构与工作原理。实践操作包括常用电工工具（如电工刀、螺丝刀、钳子等）和仪器仪表（如万用表、钳形电流表等）的使用练习；进行简单照明电路、电动机控制电路的安装与调试；学习识别和检测电气元件（如电阻、电容、开关等）的好坏；模拟常见电路故障进行排查与修复训练等内容。</w:t>
            </w:r>
          </w:p>
        </w:tc>
        <w:tc>
          <w:tcPr>
            <w:tcW w:w="2582" w:type="dxa"/>
          </w:tcPr>
          <w:p w14:paraId="3C289DF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ascii="Times New Roman" w:hAnsi="Times New Roman" w:eastAsia="仿宋_GB2312" w:cs="仿宋_GB2312"/>
                <w:sz w:val="24"/>
                <w:highlight w:val="none"/>
              </w:rPr>
              <w:t>学生需按时出勤，认真遵守实训课堂纪律和安全操作规程，未经允许不得随意动用实训设备和工具。在理论学习环节，要做好笔记，积极思考，主动提问，深刻理解电工基础理论知识。实践操作时，严格按照步骤进行，规范使用工具和仪器仪表，注重操作细节，确保操作过程安全无误。认真记录操作过程和实验数据，独立完成实训报告，对实训内容进行总结和反思。在团队协作项目中，要积极参与讨论和分工合作，发挥自身优势，共同完成实训任务。若在实训过程中遇到问题，应及时向教师请教，不得擅自处理，以保证实训顺利进行和自身及设备安全。</w:t>
            </w:r>
          </w:p>
        </w:tc>
      </w:tr>
      <w:tr w14:paraId="576C0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14:paraId="3CAD963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w:t>
            </w:r>
          </w:p>
        </w:tc>
        <w:tc>
          <w:tcPr>
            <w:tcW w:w="788" w:type="dxa"/>
            <w:vAlign w:val="center"/>
          </w:tcPr>
          <w:p w14:paraId="72A673A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中级维修电工实训</w:t>
            </w:r>
          </w:p>
        </w:tc>
        <w:tc>
          <w:tcPr>
            <w:tcW w:w="3514" w:type="dxa"/>
          </w:tcPr>
          <w:p w14:paraId="5D30CA7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知识目标</w:t>
            </w:r>
            <w:r>
              <w:rPr>
                <w:rFonts w:hint="eastAsia" w:ascii="Times New Roman" w:hAnsi="Times New Roman" w:eastAsia="仿宋_GB2312" w:cs="仿宋_GB2312"/>
                <w:kern w:val="0"/>
                <w:sz w:val="24"/>
                <w:highlight w:val="none"/>
              </w:rPr>
              <w:t>：深入掌握电气安全进阶知识、PLC 基础理论与编程方法，理解电动机复杂控制线路（正反转、星三角启动等）原理，熟悉机床电气、配电柜维护要点。</w:t>
            </w:r>
          </w:p>
          <w:p w14:paraId="394859E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能力目标</w:t>
            </w:r>
            <w:r>
              <w:rPr>
                <w:rFonts w:hint="eastAsia" w:ascii="Times New Roman" w:hAnsi="Times New Roman" w:eastAsia="仿宋_GB2312" w:cs="仿宋_GB2312"/>
                <w:kern w:val="0"/>
                <w:sz w:val="24"/>
                <w:highlight w:val="none"/>
              </w:rPr>
              <w:t>：能精准使用兆欧表等仪器，独立完成复杂电气控制线路安装调试、PLC 程序编写与调试，具备典型电气设备故障检修能力。</w:t>
            </w:r>
          </w:p>
          <w:p w14:paraId="6A86FAAB">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rPr>
            </w:pPr>
            <w:r>
              <w:rPr>
                <w:rFonts w:hint="eastAsia" w:ascii="Times New Roman" w:hAnsi="Times New Roman" w:eastAsia="仿宋_GB2312" w:cs="仿宋_GB2312"/>
                <w:b/>
                <w:bCs/>
                <w:kern w:val="0"/>
                <w:sz w:val="24"/>
                <w:highlight w:val="none"/>
              </w:rPr>
              <w:t>素质目标</w:t>
            </w:r>
            <w:r>
              <w:rPr>
                <w:rFonts w:hint="eastAsia" w:ascii="Times New Roman" w:hAnsi="Times New Roman" w:eastAsia="仿宋_GB2312" w:cs="仿宋_GB2312"/>
                <w:kern w:val="0"/>
                <w:sz w:val="24"/>
                <w:highlight w:val="none"/>
              </w:rPr>
              <w:t>：培养复杂问题分析与系统解决能力，提升团队协作中的技术沟通素养，养成精益求精的设备维护习惯。</w:t>
            </w:r>
          </w:p>
          <w:p w14:paraId="3765408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b/>
                <w:bCs/>
                <w:kern w:val="0"/>
                <w:sz w:val="24"/>
                <w:highlight w:val="none"/>
              </w:rPr>
              <w:t>课程思政育人目标：</w:t>
            </w:r>
            <w:r>
              <w:rPr>
                <w:rFonts w:hint="eastAsia" w:ascii="Times New Roman" w:hAnsi="Times New Roman" w:eastAsia="仿宋_GB2312" w:cs="仿宋_GB2312"/>
                <w:kern w:val="0"/>
                <w:sz w:val="24"/>
                <w:highlight w:val="none"/>
              </w:rPr>
              <w:t>结合我国工业自动化设备自主研发案例，强调技术技能对产业升级的支撑作用，激发学生立足岗位、服务工业发展的职业理想。</w:t>
            </w:r>
          </w:p>
        </w:tc>
        <w:tc>
          <w:tcPr>
            <w:tcW w:w="2804" w:type="dxa"/>
          </w:tcPr>
          <w:p w14:paraId="4422D47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lang w:eastAsia="zh-CN"/>
              </w:rPr>
            </w:pPr>
            <w:r>
              <w:rPr>
                <w:rFonts w:ascii="Times New Roman" w:hAnsi="Times New Roman" w:eastAsia="仿宋_GB2312" w:cs="仿宋_GB2312"/>
                <w:sz w:val="24"/>
                <w:highlight w:val="none"/>
              </w:rPr>
              <w:t>中级维修电工实训课程内容丰富且实用，紧密围绕实际工作需求展开。涵盖了电气安全知识的深度讲解与严格实操规范训练，确保学生具备扎实的安全意识和操作能力。深入剖析常用电工工具、仪器仪表（如万用表、兆欧表、钳形电流表等）的精准使用方法和精细维护要点。系统学习电气控制线路（如电动机正反转控制、星三角降压启动控制、多地控制等）的原理、细致安装调试步骤和高效故障排除技巧。详细介绍 PLC（可编程逻辑控制器）的基础理论、编程方法以及在实际工业控制中的广泛应用。此外，还包括典型电气设备（如机床电气、配电柜等）的全面安装、精心调试、定期维护和及时故障检修等实训项目，</w:t>
            </w:r>
            <w:r>
              <w:rPr>
                <w:rFonts w:hint="eastAsia" w:ascii="Times New Roman" w:hAnsi="Times New Roman" w:eastAsia="仿宋_GB2312" w:cs="仿宋_GB2312"/>
                <w:sz w:val="24"/>
                <w:highlight w:val="none"/>
                <w:lang w:eastAsia="zh-CN"/>
              </w:rPr>
              <w:t xml:space="preserve">让学生在实践中积累工作经验。 </w:t>
            </w:r>
          </w:p>
        </w:tc>
        <w:tc>
          <w:tcPr>
            <w:tcW w:w="2582" w:type="dxa"/>
          </w:tcPr>
          <w:p w14:paraId="13A7C2D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ascii="Times New Roman" w:hAnsi="Times New Roman" w:eastAsia="仿宋_GB2312" w:cs="仿宋_GB2312"/>
                <w:sz w:val="24"/>
                <w:highlight w:val="none"/>
              </w:rPr>
              <w:t>学生在参与中级维修电工实训课程时，需严格遵守多项要求。在思想态度上，高度重视安全问题，时刻严格遵守实训室的各项安全规章制度，规范操作流程，杜绝任何安全事故的发生。积极主动地参与实训项目，全身心投入到实践操作中，遇到问题时勤于思考、勇于尝试，不断提升自身的动手能力和解决问题的能力。在知识技能方面，熟练掌握课程所涉及的专业理论知识，能够灵活且准确地运用所学知识指导实践操作。认真完成每一个实训任务，确保操作规范、结果准确，并详细记录实训过程和结果，按时提交高质量的实训报告。在团队协作方面，积极与团队成员进行沟通交流，密切配合，共同完成团队任务，培养良好的团队合作精神和沟通能力。尊重教师和其他同学，保持实训室的整洁和设备的完好，爱护公共财物。</w:t>
            </w:r>
          </w:p>
        </w:tc>
      </w:tr>
      <w:tr w14:paraId="34C6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717" w:type="dxa"/>
            <w:vAlign w:val="center"/>
          </w:tcPr>
          <w:p w14:paraId="7CF1355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3</w:t>
            </w:r>
          </w:p>
        </w:tc>
        <w:tc>
          <w:tcPr>
            <w:tcW w:w="788" w:type="dxa"/>
            <w:vAlign w:val="center"/>
          </w:tcPr>
          <w:p w14:paraId="737A7FF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毕业设计</w:t>
            </w:r>
          </w:p>
        </w:tc>
        <w:tc>
          <w:tcPr>
            <w:tcW w:w="3514" w:type="dxa"/>
          </w:tcPr>
          <w:p w14:paraId="6BD318F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：1.掌握所选课题相关的专业理论知识、技术标准及研究方法。2.</w:t>
            </w:r>
            <w:r>
              <w:rPr>
                <w:rFonts w:ascii="Times New Roman" w:hAnsi="Times New Roman" w:eastAsia="仿宋_GB2312" w:cs="仿宋_GB2312"/>
                <w:kern w:val="0"/>
                <w:sz w:val="24"/>
                <w:szCs w:val="20"/>
                <w:highlight w:val="none"/>
              </w:rPr>
              <w:t>理解毕业设计（论文）的结构规范、学术写作要求及知识产权保护相关规定。</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了解课题所属领域的技术现状、发展趋势及实际应用中的核心问题。</w:t>
            </w:r>
          </w:p>
          <w:p w14:paraId="256F2B7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：1.能独立分析课题需求，制定合理的研究或设计方案并进行可行性论证。2.</w:t>
            </w:r>
            <w:r>
              <w:rPr>
                <w:rFonts w:ascii="Times New Roman" w:hAnsi="Times New Roman" w:eastAsia="仿宋_GB2312" w:cs="仿宋_GB2312"/>
                <w:kern w:val="0"/>
                <w:sz w:val="24"/>
                <w:szCs w:val="20"/>
                <w:highlight w:val="none"/>
              </w:rPr>
              <w:t>能运用专业技能开展实践研究，收集并分析数据以验证方案有效性。</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能规范撰写毕业设计（论文），清晰呈现研究过程、结果及创新点，完成答辩汇报。</w:t>
            </w:r>
          </w:p>
          <w:p w14:paraId="2B127C9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：1.养成严谨的科研态度，对待研究数据与结论实事求是，杜绝学术不端行为。2.</w:t>
            </w:r>
            <w:r>
              <w:rPr>
                <w:rFonts w:ascii="Times New Roman" w:hAnsi="Times New Roman" w:eastAsia="仿宋_GB2312" w:cs="仿宋_GB2312"/>
                <w:kern w:val="0"/>
                <w:sz w:val="24"/>
                <w:szCs w:val="20"/>
                <w:highlight w:val="none"/>
              </w:rPr>
              <w:t>培养独立思考、自主解决复杂问题的能力，形成“发现问题 —分析问题—解决问题”的思维闭环。</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提升对研究成果负责的责任意识，注重成果的实用性与社会价值。</w:t>
            </w:r>
          </w:p>
          <w:p w14:paraId="525138DE">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1.强调毕业设计中的学术诚信，培养学生坚守学术道德的底线思维。2.</w:t>
            </w:r>
            <w:r>
              <w:rPr>
                <w:rFonts w:ascii="Times New Roman" w:hAnsi="Times New Roman" w:eastAsia="仿宋_GB2312" w:cs="仿宋_GB2312"/>
                <w:kern w:val="0"/>
                <w:sz w:val="24"/>
                <w:szCs w:val="20"/>
                <w:highlight w:val="none"/>
              </w:rPr>
              <w:t>鼓励选题结合社会需求，引导学生树立“学以致用、服务社会”的理念。</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通过攻克课题难点的过程，培养学生迎难而上、持之以恒的钻研精神。</w:t>
            </w:r>
          </w:p>
        </w:tc>
        <w:tc>
          <w:tcPr>
            <w:tcW w:w="2804" w:type="dxa"/>
          </w:tcPr>
          <w:p w14:paraId="3DBDE29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从选题的内容上可以分为理论型毕业设计（论文）和应用型毕业设计（论文）两大类</w:t>
            </w:r>
          </w:p>
        </w:tc>
        <w:tc>
          <w:tcPr>
            <w:tcW w:w="2582" w:type="dxa"/>
          </w:tcPr>
          <w:p w14:paraId="0907AFF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shd w:val="clear" w:color="auto" w:fill="FFFFFF"/>
              </w:rPr>
            </w:pPr>
            <w:r>
              <w:rPr>
                <w:rFonts w:hint="eastAsia" w:ascii="Times New Roman" w:hAnsi="Times New Roman" w:eastAsia="仿宋_GB2312" w:cs="仿宋_GB2312"/>
                <w:kern w:val="0"/>
                <w:sz w:val="24"/>
                <w:highlight w:val="none"/>
                <w:shd w:val="clear" w:color="auto" w:fill="FFFFFF"/>
              </w:rPr>
              <w:t>实习目标</w:t>
            </w: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：旨在使学生深入了解专业领域，增进理论与实践的联系，为学习专业课做准备，并检查和锻炼学生的实际应用能力。</w:t>
            </w:r>
          </w:p>
          <w:p w14:paraId="3749817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shd w:val="clear" w:color="auto" w:fill="FFFFFF"/>
              </w:rPr>
            </w:pP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实习方式与程序</w:t>
            </w: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：通常采用分散实习方式，学生需自行联系实习单位，并在实习过程中与校内指导教师保持联系。</w:t>
            </w:r>
          </w:p>
          <w:p w14:paraId="12E5A02A">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shd w:val="clear" w:color="auto" w:fill="FFFFFF"/>
              </w:rPr>
            </w:pP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时间安排</w:t>
            </w: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：实习时间一般为1周，具体安排可能因学校或专业而异。</w:t>
            </w:r>
          </w:p>
          <w:p w14:paraId="293AB99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highlight w:val="none"/>
                <w:shd w:val="clear" w:color="auto" w:fill="FFFFFF"/>
              </w:rPr>
            </w:pP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考核要求</w:t>
            </w: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：实习结束后，学生需要提交多份材料，包括实习报告等，以评定实习成绩。</w:t>
            </w:r>
          </w:p>
          <w:p w14:paraId="7E286D7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实习成绩评定</w:t>
            </w:r>
            <w:r>
              <w:rPr>
                <w:rFonts w:ascii="Times New Roman" w:hAnsi="Times New Roman" w:eastAsia="仿宋_GB2312" w:cs="Courier New"/>
                <w:kern w:val="0"/>
                <w:sz w:val="24"/>
                <w:highlight w:val="none"/>
                <w:shd w:val="clear" w:color="auto" w:fill="FFFFFF"/>
              </w:rPr>
              <w:t>‌</w:t>
            </w:r>
            <w:r>
              <w:rPr>
                <w:rFonts w:hint="eastAsia" w:ascii="Times New Roman" w:hAnsi="Times New Roman" w:eastAsia="仿宋_GB2312" w:cs="仿宋_GB2312"/>
                <w:kern w:val="0"/>
                <w:sz w:val="24"/>
                <w:highlight w:val="none"/>
                <w:shd w:val="clear" w:color="auto" w:fill="FFFFFF"/>
              </w:rPr>
              <w:t>：根据实习单位鉴定、实习表现等综合评定，实行百分制</w:t>
            </w:r>
          </w:p>
        </w:tc>
      </w:tr>
      <w:tr w14:paraId="439F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0" w:hRule="atLeast"/>
        </w:trPr>
        <w:tc>
          <w:tcPr>
            <w:tcW w:w="717" w:type="dxa"/>
            <w:vAlign w:val="center"/>
          </w:tcPr>
          <w:p w14:paraId="4D8CEB1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4</w:t>
            </w:r>
          </w:p>
        </w:tc>
        <w:tc>
          <w:tcPr>
            <w:tcW w:w="788" w:type="dxa"/>
            <w:vAlign w:val="center"/>
          </w:tcPr>
          <w:p w14:paraId="334C692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岗位实习</w:t>
            </w:r>
          </w:p>
        </w:tc>
        <w:tc>
          <w:tcPr>
            <w:tcW w:w="3514" w:type="dxa"/>
          </w:tcPr>
          <w:p w14:paraId="298D3C1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知识目标</w:t>
            </w:r>
            <w:r>
              <w:rPr>
                <w:rFonts w:hint="eastAsia" w:ascii="Times New Roman" w:hAnsi="Times New Roman" w:eastAsia="仿宋_GB2312" w:cs="仿宋_GB2312"/>
                <w:kern w:val="0"/>
                <w:sz w:val="24"/>
                <w:szCs w:val="20"/>
                <w:highlight w:val="none"/>
              </w:rPr>
              <w:t>：1.掌握实习岗位相关的专业技术知识。</w:t>
            </w:r>
          </w:p>
          <w:p w14:paraId="38EB7B7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kern w:val="0"/>
                <w:sz w:val="24"/>
                <w:szCs w:val="20"/>
                <w:highlight w:val="none"/>
              </w:rPr>
              <w:t>2.</w:t>
            </w:r>
            <w:r>
              <w:rPr>
                <w:rFonts w:ascii="Times New Roman" w:hAnsi="Times New Roman" w:eastAsia="仿宋_GB2312" w:cs="仿宋_GB2312"/>
                <w:kern w:val="0"/>
                <w:sz w:val="24"/>
                <w:szCs w:val="20"/>
                <w:highlight w:val="none"/>
              </w:rPr>
              <w:t>理解行业相关的法律法规、职业安全规范及企业管理制度。</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了解岗位所属领域的技术应用现状、岗位需求及职业发展路径。</w:t>
            </w:r>
          </w:p>
          <w:p w14:paraId="720A71B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能力目标</w:t>
            </w:r>
            <w:r>
              <w:rPr>
                <w:rFonts w:hint="eastAsia" w:ascii="Times New Roman" w:hAnsi="Times New Roman" w:eastAsia="仿宋_GB2312" w:cs="仿宋_GB2312"/>
                <w:kern w:val="0"/>
                <w:sz w:val="24"/>
                <w:szCs w:val="20"/>
                <w:highlight w:val="none"/>
              </w:rPr>
              <w:t>：1.能熟练完成岗位实际操作任务，达到岗位技能要求。2.</w:t>
            </w:r>
            <w:r>
              <w:rPr>
                <w:rFonts w:ascii="Times New Roman" w:hAnsi="Times New Roman" w:eastAsia="仿宋_GB2312" w:cs="仿宋_GB2312"/>
                <w:kern w:val="0"/>
                <w:sz w:val="24"/>
                <w:szCs w:val="20"/>
                <w:highlight w:val="none"/>
              </w:rPr>
              <w:t>能运用专业知识解决实习中遇到的实际问题，提出合理化改进建议。</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能与同事、领导有效沟通协作，融入团队并高效完成团队分配的任务。</w:t>
            </w:r>
          </w:p>
          <w:p w14:paraId="0F6EC2A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kern w:val="0"/>
                <w:sz w:val="24"/>
                <w:szCs w:val="20"/>
                <w:highlight w:val="none"/>
              </w:rPr>
            </w:pPr>
            <w:r>
              <w:rPr>
                <w:rFonts w:hint="eastAsia" w:ascii="Times New Roman" w:hAnsi="Times New Roman" w:eastAsia="仿宋_GB2312" w:cs="仿宋_GB2312"/>
                <w:b/>
                <w:bCs/>
                <w:kern w:val="0"/>
                <w:sz w:val="24"/>
                <w:szCs w:val="20"/>
                <w:highlight w:val="none"/>
              </w:rPr>
              <w:t>素质目标</w:t>
            </w:r>
            <w:r>
              <w:rPr>
                <w:rFonts w:hint="eastAsia" w:ascii="Times New Roman" w:hAnsi="Times New Roman" w:eastAsia="仿宋_GB2312" w:cs="仿宋_GB2312"/>
                <w:kern w:val="0"/>
                <w:sz w:val="24"/>
                <w:szCs w:val="20"/>
                <w:highlight w:val="none"/>
              </w:rPr>
              <w:t>：1.养成“爱岗敬业、踏实肯干”的职业态度，对待工作认真负责、积极主动。2.</w:t>
            </w:r>
            <w:r>
              <w:rPr>
                <w:rFonts w:ascii="Times New Roman" w:hAnsi="Times New Roman" w:eastAsia="仿宋_GB2312" w:cs="仿宋_GB2312"/>
                <w:kern w:val="0"/>
                <w:sz w:val="24"/>
                <w:szCs w:val="20"/>
                <w:highlight w:val="none"/>
              </w:rPr>
              <w:t>培养适应企业环境的能力，快速学习岗位新知识、新技能，提升职业适应性。</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树立终身学习意识，认识到持续提升专业能力对职业发展的重要性。</w:t>
            </w:r>
          </w:p>
          <w:p w14:paraId="7EBC61E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b/>
                <w:bCs/>
                <w:kern w:val="0"/>
                <w:sz w:val="24"/>
                <w:szCs w:val="20"/>
                <w:highlight w:val="none"/>
              </w:rPr>
              <w:t>课程思政育人目标：</w:t>
            </w:r>
            <w:r>
              <w:rPr>
                <w:rFonts w:hint="eastAsia" w:ascii="Times New Roman" w:hAnsi="Times New Roman" w:eastAsia="仿宋_GB2312" w:cs="仿宋_GB2312"/>
                <w:kern w:val="0"/>
                <w:sz w:val="24"/>
                <w:szCs w:val="20"/>
                <w:highlight w:val="none"/>
              </w:rPr>
              <w:t>1.通过岗位实践中的责任担当，培养学生的职业责任感。2.</w:t>
            </w:r>
            <w:r>
              <w:rPr>
                <w:rFonts w:ascii="Times New Roman" w:hAnsi="Times New Roman" w:eastAsia="仿宋_GB2312" w:cs="仿宋_GB2312"/>
                <w:kern w:val="0"/>
                <w:sz w:val="24"/>
                <w:szCs w:val="20"/>
                <w:highlight w:val="none"/>
              </w:rPr>
              <w:t>强调遵守企业规章制度与行业规范，引导学生树立“诚信守规、廉洁从业”的职业道德。</w:t>
            </w:r>
            <w:r>
              <w:rPr>
                <w:rFonts w:hint="eastAsia" w:ascii="Times New Roman" w:hAnsi="Times New Roman" w:eastAsia="仿宋_GB2312" w:cs="仿宋_GB2312"/>
                <w:kern w:val="0"/>
                <w:sz w:val="24"/>
                <w:szCs w:val="20"/>
                <w:highlight w:val="none"/>
              </w:rPr>
              <w:t>3.</w:t>
            </w:r>
            <w:r>
              <w:rPr>
                <w:rFonts w:ascii="Times New Roman" w:hAnsi="Times New Roman" w:eastAsia="仿宋_GB2312" w:cs="仿宋_GB2312"/>
                <w:kern w:val="0"/>
                <w:sz w:val="24"/>
                <w:szCs w:val="20"/>
                <w:highlight w:val="none"/>
              </w:rPr>
              <w:t>结合实习中对企业发展的观察，激发学生立足岗位、为行业发展贡献力量的奋斗精神。</w:t>
            </w:r>
          </w:p>
        </w:tc>
        <w:tc>
          <w:tcPr>
            <w:tcW w:w="2804" w:type="dxa"/>
          </w:tcPr>
          <w:p w14:paraId="3F1C3FD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学生根据自己的职业规划和具体情况，可以选择生产技术、维修技术、产品测试等岗位，参与企业的相关岗位的具体工作，查缺补漏，强化和完善自己的知识体系。</w:t>
            </w:r>
          </w:p>
        </w:tc>
        <w:tc>
          <w:tcPr>
            <w:tcW w:w="2582" w:type="dxa"/>
          </w:tcPr>
          <w:p w14:paraId="2D6E3F8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知识掌握</w:t>
            </w:r>
            <w:r>
              <w:rPr>
                <w:rFonts w:ascii="Times New Roman" w:hAnsi="Times New Roman" w:eastAsia="仿宋_GB2312" w:cs="Courier New"/>
                <w:sz w:val="24"/>
                <w:highlight w:val="none"/>
              </w:rPr>
              <w:t>‌</w:t>
            </w:r>
            <w:r>
              <w:rPr>
                <w:rFonts w:hint="eastAsia" w:ascii="Times New Roman" w:hAnsi="Times New Roman" w:eastAsia="仿宋_GB2312" w:cs="仿宋_GB2312"/>
                <w:sz w:val="24"/>
                <w:highlight w:val="none"/>
              </w:rPr>
              <w:t>：要求学生将所学专业知识与实习岗位实际工作相结合，深化对专业知识的理解。</w:t>
            </w:r>
          </w:p>
          <w:p w14:paraId="30D65708">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实践能力</w:t>
            </w:r>
            <w:r>
              <w:rPr>
                <w:rFonts w:ascii="Times New Roman" w:hAnsi="Times New Roman" w:eastAsia="仿宋_GB2312" w:cs="Courier New"/>
                <w:sz w:val="24"/>
                <w:highlight w:val="none"/>
              </w:rPr>
              <w:t>‌</w:t>
            </w:r>
            <w:r>
              <w:rPr>
                <w:rFonts w:hint="eastAsia" w:ascii="Times New Roman" w:hAnsi="Times New Roman" w:eastAsia="仿宋_GB2312" w:cs="仿宋_GB2312"/>
                <w:sz w:val="24"/>
                <w:highlight w:val="none"/>
              </w:rPr>
              <w:t>：通过实习，培养学生的实际操作能力、问题解决能力和团队协作能力，使其能够胜任实习岗位的工作。职业素养</w:t>
            </w:r>
            <w:r>
              <w:rPr>
                <w:rFonts w:ascii="Times New Roman" w:hAnsi="Times New Roman" w:eastAsia="仿宋_GB2312" w:cs="Courier New"/>
                <w:sz w:val="24"/>
                <w:highlight w:val="none"/>
              </w:rPr>
              <w:t>‌</w:t>
            </w:r>
            <w:r>
              <w:rPr>
                <w:rFonts w:hint="eastAsia" w:ascii="Times New Roman" w:hAnsi="Times New Roman" w:eastAsia="仿宋_GB2312" w:cs="仿宋_GB2312"/>
                <w:sz w:val="24"/>
                <w:highlight w:val="none"/>
              </w:rPr>
              <w:t>：强调职业道德、工作态度和责任心的培养，使学生具备良好的职业素养，为未来的职业发展奠定基础。实习报告</w:t>
            </w:r>
            <w:r>
              <w:rPr>
                <w:rFonts w:ascii="Times New Roman" w:hAnsi="Times New Roman" w:eastAsia="仿宋_GB2312" w:cs="Courier New"/>
                <w:sz w:val="24"/>
                <w:highlight w:val="none"/>
              </w:rPr>
              <w:t>‌</w:t>
            </w:r>
            <w:r>
              <w:rPr>
                <w:rFonts w:hint="eastAsia" w:ascii="Times New Roman" w:hAnsi="Times New Roman" w:eastAsia="仿宋_GB2312" w:cs="仿宋_GB2312"/>
                <w:sz w:val="24"/>
                <w:highlight w:val="none"/>
              </w:rPr>
              <w:t>：要求学生撰写实习报告，总结实习经历、收获和反思，以检验实习成果并提升书面表达能力。考核与评价</w:t>
            </w:r>
            <w:r>
              <w:rPr>
                <w:rFonts w:ascii="Times New Roman" w:hAnsi="Times New Roman" w:eastAsia="仿宋_GB2312" w:cs="Courier New"/>
                <w:sz w:val="24"/>
                <w:highlight w:val="none"/>
              </w:rPr>
              <w:t>‌</w:t>
            </w:r>
            <w:r>
              <w:rPr>
                <w:rFonts w:hint="eastAsia" w:ascii="Times New Roman" w:hAnsi="Times New Roman" w:eastAsia="仿宋_GB2312" w:cs="仿宋_GB2312"/>
                <w:sz w:val="24"/>
                <w:highlight w:val="none"/>
              </w:rPr>
              <w:t>：通过实习单位评价、指导教师考核和学生自评等多种方式，全面评估学生的实习表现，确保实习教学质量</w:t>
            </w:r>
          </w:p>
        </w:tc>
      </w:tr>
    </w:tbl>
    <w:p w14:paraId="58D7CE59">
      <w:pPr>
        <w:spacing w:after="0" w:line="520" w:lineRule="exact"/>
        <w:ind w:firstLine="640" w:firstLineChars="200"/>
        <w:outlineLvl w:val="1"/>
        <w:rPr>
          <w:rFonts w:hint="eastAsia" w:ascii="Times New Roman" w:hAnsi="Times New Roman" w:eastAsia="楷体" w:cs="楷体"/>
          <w:sz w:val="32"/>
          <w:szCs w:val="32"/>
          <w:highlight w:val="none"/>
        </w:rPr>
      </w:pPr>
      <w:bookmarkStart w:id="41" w:name="_Toc7219"/>
      <w:r>
        <w:rPr>
          <w:rFonts w:hint="eastAsia" w:ascii="Times New Roman" w:hAnsi="Times New Roman" w:eastAsia="楷体" w:cs="楷体"/>
          <w:sz w:val="32"/>
          <w:szCs w:val="32"/>
          <w:highlight w:val="none"/>
        </w:rPr>
        <w:t>（三）第二课堂素质教育课</w:t>
      </w:r>
      <w:bookmarkEnd w:id="41"/>
    </w:p>
    <w:p w14:paraId="4CAE943C">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第二课堂素质教育课包括思想成长、实践实习、创新创业、志愿公益、文体活动、工作履历、专业技能特长等其他各类课程及活动。</w:t>
      </w:r>
    </w:p>
    <w:p w14:paraId="46D856EB">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highlight w:val="none"/>
        </w:rPr>
      </w:pPr>
    </w:p>
    <w:p w14:paraId="2BA77C29">
      <w:pPr>
        <w:overflowPunct w:val="0"/>
        <w:adjustRightInd w:val="0"/>
        <w:spacing w:after="0" w:line="520" w:lineRule="exact"/>
        <w:outlineLvl w:val="9"/>
        <w:rPr>
          <w:rFonts w:hint="eastAsia" w:ascii="Times New Roman" w:hAnsi="Times New Roman" w:eastAsia="仿宋_GB2312" w:cs="仿宋_GB2312"/>
          <w:sz w:val="32"/>
          <w:szCs w:val="32"/>
          <w:highlight w:val="none"/>
        </w:rPr>
      </w:pPr>
    </w:p>
    <w:p w14:paraId="2A4002ED">
      <w:pPr>
        <w:overflowPunct w:val="0"/>
        <w:adjustRightInd w:val="0"/>
        <w:spacing w:after="0" w:line="520" w:lineRule="exact"/>
        <w:jc w:val="center"/>
        <w:outlineLvl w:val="9"/>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表7 第二课堂素质教育课安排表</w:t>
      </w:r>
    </w:p>
    <w:tbl>
      <w:tblPr>
        <w:tblStyle w:val="11"/>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5E8C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9897387">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bookmarkStart w:id="42" w:name="_Toc27457"/>
            <w:r>
              <w:rPr>
                <w:rFonts w:hint="eastAsia" w:ascii="Times New Roman" w:hAnsi="Times New Roman" w:eastAsia="仿宋_GB2312" w:cs="仿宋_GB2312"/>
                <w:color w:val="auto"/>
                <w:sz w:val="24"/>
                <w:lang w:val="en-US" w:eastAsia="zh-CN"/>
              </w:rPr>
              <w:t>模块</w:t>
            </w:r>
          </w:p>
        </w:tc>
        <w:tc>
          <w:tcPr>
            <w:tcW w:w="3573" w:type="dxa"/>
            <w:vAlign w:val="center"/>
          </w:tcPr>
          <w:p w14:paraId="45CA4E74">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21737274">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1E01ECDD">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76515479">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6C0D4DD7">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1CD0DDC3">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479D0670">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284C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5" w:type="dxa"/>
            <w:vAlign w:val="center"/>
          </w:tcPr>
          <w:p w14:paraId="56DE46E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1BEDDE8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1E667D3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2A0A8470">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17FC9D6A">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58BC1E02">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4479B90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0123A5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D69A68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327561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0061456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0F72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9" w:hRule="atLeast"/>
          <w:jc w:val="center"/>
        </w:trPr>
        <w:tc>
          <w:tcPr>
            <w:tcW w:w="1265" w:type="dxa"/>
            <w:vAlign w:val="center"/>
          </w:tcPr>
          <w:p w14:paraId="3E46876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0AF5CF2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7611AEC7">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17684A6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5656E72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00EE64A9">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2A9AAD7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49C43EEA">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4D780AD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F66924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4849CF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06F15E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5011B91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D21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jc w:val="center"/>
        </w:trPr>
        <w:tc>
          <w:tcPr>
            <w:tcW w:w="1265" w:type="dxa"/>
            <w:vAlign w:val="center"/>
          </w:tcPr>
          <w:p w14:paraId="0C05C0B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29CAA850">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687CD047">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79A6630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46D92CF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2B05187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2A6AE219">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0C99078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E17FA7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A34BC6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DCBCFB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4AE79E8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C1B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1265" w:type="dxa"/>
            <w:vAlign w:val="center"/>
          </w:tcPr>
          <w:p w14:paraId="7EF3053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38F1DFC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1DEC7DF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3EC36B6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3B1B7EF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1128FCE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481EE3CF">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5757AC3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53E467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1E70C1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5079425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F30DAA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7F9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jc w:val="center"/>
        </w:trPr>
        <w:tc>
          <w:tcPr>
            <w:tcW w:w="1265" w:type="dxa"/>
            <w:vAlign w:val="center"/>
          </w:tcPr>
          <w:p w14:paraId="08B25E86">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5FE64AF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6658A20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28E3510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5943AB9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4FF2CEA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402CE2B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345CAF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E0F3C2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ECCD25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2E6B5D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1C3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60207666">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76F5F9F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4963BAE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3627D22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1A17609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5260378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30A03CC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473804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145930E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04E93D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2C24BB2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14C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5802F5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758A3C7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6E6E556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58678DA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0D0B4ED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12A849E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65F2FF0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4D147A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6F9BCF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2F66B6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74F8841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C78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5457570">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50D0B7A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7F505B7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68C8449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0B0F5AB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39232C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3360E3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44B9A2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52E999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3B12F7A9">
      <w:pPr>
        <w:overflowPunct w:val="0"/>
        <w:adjustRightInd w:val="0"/>
        <w:spacing w:after="0" w:line="520" w:lineRule="exact"/>
        <w:ind w:firstLine="640" w:firstLineChars="200"/>
        <w:outlineLvl w:val="0"/>
        <w:rPr>
          <w:rFonts w:hint="eastAsia" w:ascii="Times New Roman" w:hAnsi="Times New Roman" w:eastAsia="黑体"/>
          <w:sz w:val="32"/>
          <w:szCs w:val="32"/>
          <w:highlight w:val="none"/>
        </w:rPr>
      </w:pPr>
      <w:r>
        <w:rPr>
          <w:rFonts w:hint="eastAsia" w:ascii="Times New Roman" w:hAnsi="Times New Roman" w:eastAsia="黑体"/>
          <w:sz w:val="32"/>
          <w:szCs w:val="32"/>
          <w:highlight w:val="none"/>
        </w:rPr>
        <w:t>八</w:t>
      </w:r>
      <w:r>
        <w:rPr>
          <w:rFonts w:ascii="Times New Roman" w:hAnsi="Times New Roman" w:eastAsia="黑体"/>
          <w:sz w:val="32"/>
          <w:szCs w:val="32"/>
          <w:highlight w:val="none"/>
        </w:rPr>
        <w:t>、教学进程总体安排</w:t>
      </w:r>
      <w:bookmarkEnd w:id="42"/>
    </w:p>
    <w:p w14:paraId="098A325C">
      <w:pPr>
        <w:spacing w:after="0" w:line="520" w:lineRule="exact"/>
        <w:ind w:firstLine="640" w:firstLineChars="200"/>
        <w:outlineLvl w:val="1"/>
        <w:rPr>
          <w:rFonts w:hint="eastAsia" w:ascii="Times New Roman" w:hAnsi="Times New Roman" w:eastAsia="楷体" w:cs="楷体"/>
          <w:sz w:val="32"/>
          <w:szCs w:val="32"/>
          <w:highlight w:val="none"/>
        </w:rPr>
      </w:pPr>
      <w:bookmarkStart w:id="43" w:name="_Toc9410"/>
      <w:r>
        <w:rPr>
          <w:rFonts w:hint="eastAsia" w:ascii="Times New Roman" w:hAnsi="Times New Roman" w:eastAsia="楷体" w:cs="楷体"/>
          <w:sz w:val="32"/>
          <w:szCs w:val="32"/>
          <w:highlight w:val="none"/>
        </w:rPr>
        <w:t>（一）教学环节分配表</w:t>
      </w:r>
      <w:bookmarkEnd w:id="43"/>
      <w:r>
        <w:rPr>
          <w:rFonts w:hint="eastAsia" w:ascii="Times New Roman" w:hAnsi="Times New Roman" w:eastAsia="楷体" w:cs="楷体"/>
          <w:sz w:val="32"/>
          <w:szCs w:val="32"/>
          <w:highlight w:val="none"/>
        </w:rPr>
        <w:t xml:space="preserve"> </w:t>
      </w:r>
    </w:p>
    <w:p w14:paraId="572F8113">
      <w:pPr>
        <w:spacing w:after="0" w:line="520" w:lineRule="exact"/>
        <w:ind w:firstLine="640" w:firstLineChars="200"/>
        <w:jc w:val="left"/>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教学周数分配表每学期总周数合计应为20周，各学期教学周数应与教学计划进程表一致，军训、入学教育、考试环节、实习开展、毕业设计、社会实践及毕业教育等，学期合计周数为20周。</w:t>
      </w:r>
    </w:p>
    <w:p w14:paraId="67B120A7">
      <w:pPr>
        <w:spacing w:after="0" w:line="520" w:lineRule="exact"/>
        <w:ind w:firstLine="640" w:firstLineChars="200"/>
        <w:jc w:val="center"/>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表8 教育活动时间分配表（单位：周）</w:t>
      </w:r>
    </w:p>
    <w:tbl>
      <w:tblPr>
        <w:tblStyle w:val="11"/>
        <w:tblW w:w="5116"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4"/>
        <w:gridCol w:w="1229"/>
        <w:gridCol w:w="1109"/>
        <w:gridCol w:w="1106"/>
        <w:gridCol w:w="1108"/>
        <w:gridCol w:w="1106"/>
        <w:gridCol w:w="1112"/>
      </w:tblGrid>
      <w:tr w14:paraId="1A89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8" w:type="pct"/>
            <w:vMerge w:val="restart"/>
            <w:shd w:val="clear" w:color="auto" w:fill="auto"/>
            <w:vAlign w:val="top"/>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03158F2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sz w:val="24"/>
                <w:szCs w:val="24"/>
                <w:highlight w:val="none"/>
              </w:rPr>
            </w:pPr>
          </w:p>
          <w:p w14:paraId="5AF4459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项目</w:t>
            </w:r>
          </w:p>
          <w:p w14:paraId="6D3F908B">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周数</w:t>
            </w:r>
          </w:p>
          <w:p w14:paraId="7F924122">
            <w:pPr>
              <w:keepNext w:val="0"/>
              <w:keepLines w:val="0"/>
              <w:pageBreakBefore w:val="0"/>
              <w:widowControl w:val="0"/>
              <w:kinsoku/>
              <w:wordWrap/>
              <w:overflowPunct/>
              <w:topLinePunct w:val="0"/>
              <w:autoSpaceDE/>
              <w:autoSpaceDN/>
              <w:bidi w:val="0"/>
              <w:adjustRightInd/>
              <w:snapToGrid/>
              <w:spacing w:after="0" w:line="320" w:lineRule="exact"/>
              <w:textAlignment w:val="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内容</w:t>
            </w:r>
          </w:p>
          <w:p w14:paraId="048A1E3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sz w:val="24"/>
                <w:szCs w:val="24"/>
                <w:highlight w:val="none"/>
                <w:lang w:val="en-US" w:eastAsia="zh-CN"/>
              </w:rPr>
            </w:pPr>
          </w:p>
          <w:p w14:paraId="5B83CCE6">
            <w:pPr>
              <w:keepNext w:val="0"/>
              <w:keepLines w:val="0"/>
              <w:pageBreakBefore w:val="0"/>
              <w:widowControl w:val="0"/>
              <w:kinsoku/>
              <w:wordWrap/>
              <w:overflowPunct/>
              <w:topLinePunct w:val="0"/>
              <w:autoSpaceDE/>
              <w:autoSpaceDN/>
              <w:bidi w:val="0"/>
              <w:adjustRightInd/>
              <w:snapToGrid/>
              <w:spacing w:after="0" w:line="320" w:lineRule="exact"/>
              <w:textAlignment w:val="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周数</w:t>
            </w:r>
          </w:p>
          <w:p w14:paraId="72AAA601">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学年</w:t>
            </w:r>
          </w:p>
        </w:tc>
        <w:tc>
          <w:tcPr>
            <w:tcW w:w="1229" w:type="pct"/>
            <w:gridSpan w:val="2"/>
            <w:vAlign w:val="center"/>
          </w:tcPr>
          <w:p w14:paraId="3281495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一</w:t>
            </w:r>
          </w:p>
        </w:tc>
        <w:tc>
          <w:tcPr>
            <w:tcW w:w="1164" w:type="pct"/>
            <w:gridSpan w:val="2"/>
            <w:vAlign w:val="center"/>
          </w:tcPr>
          <w:p w14:paraId="4835305F">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二</w:t>
            </w:r>
          </w:p>
        </w:tc>
        <w:tc>
          <w:tcPr>
            <w:tcW w:w="1166" w:type="pct"/>
            <w:gridSpan w:val="2"/>
            <w:vAlign w:val="center"/>
          </w:tcPr>
          <w:p w14:paraId="36F57417">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三</w:t>
            </w:r>
          </w:p>
        </w:tc>
      </w:tr>
      <w:tr w14:paraId="475C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8" w:type="pct"/>
            <w:vMerge w:val="continue"/>
          </w:tcPr>
          <w:p w14:paraId="2E005A35">
            <w:pPr>
              <w:spacing w:after="0" w:line="240" w:lineRule="auto"/>
              <w:rPr>
                <w:rFonts w:hint="eastAsia" w:ascii="Times New Roman" w:hAnsi="Times New Roman" w:eastAsia="仿宋_GB2312" w:cs="仿宋_GB2312"/>
                <w:sz w:val="24"/>
                <w:highlight w:val="none"/>
              </w:rPr>
            </w:pPr>
          </w:p>
        </w:tc>
        <w:tc>
          <w:tcPr>
            <w:tcW w:w="646" w:type="pct"/>
            <w:vAlign w:val="center"/>
          </w:tcPr>
          <w:p w14:paraId="0C762523">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w:t>
            </w:r>
          </w:p>
        </w:tc>
        <w:tc>
          <w:tcPr>
            <w:tcW w:w="583" w:type="pct"/>
            <w:vAlign w:val="center"/>
          </w:tcPr>
          <w:p w14:paraId="6A9EB71D">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w:t>
            </w:r>
          </w:p>
        </w:tc>
        <w:tc>
          <w:tcPr>
            <w:tcW w:w="581" w:type="pct"/>
            <w:vAlign w:val="center"/>
          </w:tcPr>
          <w:p w14:paraId="7A1C6778">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3</w:t>
            </w:r>
          </w:p>
        </w:tc>
        <w:tc>
          <w:tcPr>
            <w:tcW w:w="582" w:type="pct"/>
            <w:vAlign w:val="center"/>
          </w:tcPr>
          <w:p w14:paraId="2FC6EA07">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4</w:t>
            </w:r>
          </w:p>
        </w:tc>
        <w:tc>
          <w:tcPr>
            <w:tcW w:w="581" w:type="pct"/>
            <w:vAlign w:val="center"/>
          </w:tcPr>
          <w:p w14:paraId="6C0F07E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5</w:t>
            </w:r>
          </w:p>
        </w:tc>
        <w:tc>
          <w:tcPr>
            <w:tcW w:w="584" w:type="pct"/>
            <w:vAlign w:val="center"/>
          </w:tcPr>
          <w:p w14:paraId="01A10D19">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6</w:t>
            </w:r>
          </w:p>
        </w:tc>
      </w:tr>
      <w:tr w14:paraId="3945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8" w:type="pct"/>
            <w:vAlign w:val="center"/>
          </w:tcPr>
          <w:p w14:paraId="2C524FC6">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color w:val="000000"/>
                <w:sz w:val="24"/>
                <w:highlight w:val="none"/>
              </w:rPr>
              <w:t>课堂教学</w:t>
            </w:r>
          </w:p>
        </w:tc>
        <w:tc>
          <w:tcPr>
            <w:tcW w:w="646" w:type="pct"/>
            <w:vAlign w:val="center"/>
          </w:tcPr>
          <w:p w14:paraId="63E3AA93">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c>
          <w:tcPr>
            <w:tcW w:w="583" w:type="pct"/>
            <w:vAlign w:val="center"/>
          </w:tcPr>
          <w:p w14:paraId="73E84477">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c>
          <w:tcPr>
            <w:tcW w:w="581" w:type="pct"/>
            <w:vAlign w:val="center"/>
          </w:tcPr>
          <w:p w14:paraId="41C7375F">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c>
          <w:tcPr>
            <w:tcW w:w="582" w:type="pct"/>
            <w:vAlign w:val="center"/>
          </w:tcPr>
          <w:p w14:paraId="39609B55">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c>
          <w:tcPr>
            <w:tcW w:w="581" w:type="pct"/>
            <w:vAlign w:val="center"/>
          </w:tcPr>
          <w:p w14:paraId="2C3F229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c>
          <w:tcPr>
            <w:tcW w:w="584" w:type="pct"/>
            <w:vAlign w:val="center"/>
          </w:tcPr>
          <w:p w14:paraId="159A5776">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r>
      <w:tr w14:paraId="264B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2583CF84">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color w:val="000000"/>
                <w:sz w:val="24"/>
                <w:highlight w:val="none"/>
              </w:rPr>
              <w:t>考试</w:t>
            </w:r>
          </w:p>
        </w:tc>
        <w:tc>
          <w:tcPr>
            <w:tcW w:w="646" w:type="pct"/>
            <w:vAlign w:val="center"/>
          </w:tcPr>
          <w:p w14:paraId="5CA41300">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19-20</w:t>
            </w:r>
          </w:p>
        </w:tc>
        <w:tc>
          <w:tcPr>
            <w:tcW w:w="583" w:type="pct"/>
            <w:vAlign w:val="center"/>
          </w:tcPr>
          <w:p w14:paraId="3540D51F">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19-20</w:t>
            </w:r>
          </w:p>
        </w:tc>
        <w:tc>
          <w:tcPr>
            <w:tcW w:w="581" w:type="pct"/>
            <w:vAlign w:val="center"/>
          </w:tcPr>
          <w:p w14:paraId="763C8483">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19-20</w:t>
            </w:r>
          </w:p>
        </w:tc>
        <w:tc>
          <w:tcPr>
            <w:tcW w:w="582" w:type="pct"/>
            <w:vAlign w:val="center"/>
          </w:tcPr>
          <w:p w14:paraId="7835BEA4">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19-20</w:t>
            </w:r>
          </w:p>
        </w:tc>
        <w:tc>
          <w:tcPr>
            <w:tcW w:w="581" w:type="pct"/>
            <w:vAlign w:val="center"/>
          </w:tcPr>
          <w:p w14:paraId="0663FB10">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19-20</w:t>
            </w:r>
          </w:p>
        </w:tc>
        <w:tc>
          <w:tcPr>
            <w:tcW w:w="584" w:type="pct"/>
            <w:vAlign w:val="center"/>
          </w:tcPr>
          <w:p w14:paraId="3615F070">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19-20</w:t>
            </w:r>
          </w:p>
        </w:tc>
      </w:tr>
      <w:tr w14:paraId="68EC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F98695F">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color w:val="000000"/>
                <w:sz w:val="24"/>
                <w:highlight w:val="none"/>
              </w:rPr>
              <w:t>军训</w:t>
            </w:r>
          </w:p>
        </w:tc>
        <w:tc>
          <w:tcPr>
            <w:tcW w:w="646" w:type="pct"/>
            <w:vAlign w:val="center"/>
          </w:tcPr>
          <w:p w14:paraId="0DB639F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w:t>
            </w:r>
          </w:p>
        </w:tc>
        <w:tc>
          <w:tcPr>
            <w:tcW w:w="583" w:type="pct"/>
            <w:vAlign w:val="center"/>
          </w:tcPr>
          <w:p w14:paraId="0CEF01AD">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7AA25059">
            <w:pPr>
              <w:spacing w:after="0" w:line="240" w:lineRule="auto"/>
              <w:jc w:val="center"/>
              <w:rPr>
                <w:rFonts w:hint="eastAsia" w:ascii="Times New Roman" w:hAnsi="Times New Roman" w:eastAsia="仿宋_GB2312" w:cs="仿宋_GB2312"/>
                <w:sz w:val="24"/>
                <w:highlight w:val="none"/>
              </w:rPr>
            </w:pPr>
          </w:p>
        </w:tc>
        <w:tc>
          <w:tcPr>
            <w:tcW w:w="582" w:type="pct"/>
            <w:vAlign w:val="center"/>
          </w:tcPr>
          <w:p w14:paraId="77A1E50B">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1B15D459">
            <w:pPr>
              <w:spacing w:after="0" w:line="240" w:lineRule="auto"/>
              <w:jc w:val="center"/>
              <w:rPr>
                <w:rFonts w:hint="eastAsia" w:ascii="Times New Roman" w:hAnsi="Times New Roman" w:eastAsia="仿宋_GB2312" w:cs="仿宋_GB2312"/>
                <w:sz w:val="24"/>
                <w:highlight w:val="none"/>
              </w:rPr>
            </w:pPr>
          </w:p>
        </w:tc>
        <w:tc>
          <w:tcPr>
            <w:tcW w:w="584" w:type="pct"/>
            <w:vAlign w:val="center"/>
          </w:tcPr>
          <w:p w14:paraId="6A3C0019">
            <w:pPr>
              <w:spacing w:after="0" w:line="240" w:lineRule="auto"/>
              <w:jc w:val="center"/>
              <w:rPr>
                <w:rFonts w:hint="eastAsia" w:ascii="Times New Roman" w:hAnsi="Times New Roman" w:eastAsia="仿宋_GB2312" w:cs="仿宋_GB2312"/>
                <w:sz w:val="24"/>
                <w:highlight w:val="none"/>
              </w:rPr>
            </w:pPr>
          </w:p>
        </w:tc>
      </w:tr>
      <w:tr w14:paraId="451FF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84BC32D">
            <w:pPr>
              <w:spacing w:after="0" w:line="240" w:lineRule="auto"/>
              <w:jc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sz w:val="24"/>
                <w:highlight w:val="none"/>
              </w:rPr>
              <w:t>入学教育</w:t>
            </w:r>
          </w:p>
        </w:tc>
        <w:tc>
          <w:tcPr>
            <w:tcW w:w="646" w:type="pct"/>
            <w:vAlign w:val="center"/>
          </w:tcPr>
          <w:p w14:paraId="442F22EE">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3-8</w:t>
            </w:r>
          </w:p>
        </w:tc>
        <w:tc>
          <w:tcPr>
            <w:tcW w:w="583" w:type="pct"/>
            <w:vAlign w:val="center"/>
          </w:tcPr>
          <w:p w14:paraId="7CFCE708">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4D3BF58C">
            <w:pPr>
              <w:spacing w:after="0" w:line="240" w:lineRule="auto"/>
              <w:jc w:val="center"/>
              <w:rPr>
                <w:rFonts w:hint="eastAsia" w:ascii="Times New Roman" w:hAnsi="Times New Roman" w:eastAsia="仿宋_GB2312" w:cs="仿宋_GB2312"/>
                <w:sz w:val="24"/>
                <w:highlight w:val="none"/>
              </w:rPr>
            </w:pPr>
          </w:p>
        </w:tc>
        <w:tc>
          <w:tcPr>
            <w:tcW w:w="582" w:type="pct"/>
            <w:vAlign w:val="center"/>
          </w:tcPr>
          <w:p w14:paraId="27600645">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404EC35B">
            <w:pPr>
              <w:spacing w:after="0" w:line="240" w:lineRule="auto"/>
              <w:jc w:val="center"/>
              <w:rPr>
                <w:rFonts w:hint="eastAsia" w:ascii="Times New Roman" w:hAnsi="Times New Roman" w:eastAsia="仿宋_GB2312" w:cs="仿宋_GB2312"/>
                <w:sz w:val="24"/>
                <w:highlight w:val="none"/>
              </w:rPr>
            </w:pPr>
          </w:p>
        </w:tc>
        <w:tc>
          <w:tcPr>
            <w:tcW w:w="584" w:type="pct"/>
            <w:vAlign w:val="center"/>
          </w:tcPr>
          <w:p w14:paraId="03EB6850">
            <w:pPr>
              <w:spacing w:after="0" w:line="240" w:lineRule="auto"/>
              <w:jc w:val="center"/>
              <w:rPr>
                <w:rFonts w:hint="eastAsia" w:ascii="Times New Roman" w:hAnsi="Times New Roman" w:eastAsia="仿宋_GB2312" w:cs="仿宋_GB2312"/>
                <w:sz w:val="24"/>
                <w:highlight w:val="none"/>
              </w:rPr>
            </w:pPr>
          </w:p>
        </w:tc>
      </w:tr>
      <w:tr w14:paraId="7AF1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29B92204">
            <w:pPr>
              <w:spacing w:after="0" w:line="240" w:lineRule="auto"/>
              <w:jc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sz w:val="24"/>
                <w:highlight w:val="none"/>
              </w:rPr>
              <w:t>毕业设计</w:t>
            </w:r>
          </w:p>
        </w:tc>
        <w:tc>
          <w:tcPr>
            <w:tcW w:w="646" w:type="pct"/>
            <w:vAlign w:val="center"/>
          </w:tcPr>
          <w:p w14:paraId="5DFAC493">
            <w:pPr>
              <w:spacing w:after="0" w:line="240" w:lineRule="auto"/>
              <w:jc w:val="center"/>
              <w:rPr>
                <w:rFonts w:hint="eastAsia" w:ascii="Times New Roman" w:hAnsi="Times New Roman" w:eastAsia="仿宋_GB2312" w:cs="仿宋_GB2312"/>
                <w:sz w:val="24"/>
                <w:highlight w:val="none"/>
              </w:rPr>
            </w:pPr>
          </w:p>
        </w:tc>
        <w:tc>
          <w:tcPr>
            <w:tcW w:w="583" w:type="pct"/>
            <w:vAlign w:val="center"/>
          </w:tcPr>
          <w:p w14:paraId="52AAC7D4">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050EE137">
            <w:pPr>
              <w:spacing w:after="0" w:line="240" w:lineRule="auto"/>
              <w:jc w:val="center"/>
              <w:rPr>
                <w:rFonts w:hint="eastAsia" w:ascii="Times New Roman" w:hAnsi="Times New Roman" w:eastAsia="仿宋_GB2312" w:cs="仿宋_GB2312"/>
                <w:sz w:val="24"/>
                <w:highlight w:val="none"/>
              </w:rPr>
            </w:pPr>
          </w:p>
        </w:tc>
        <w:tc>
          <w:tcPr>
            <w:tcW w:w="582" w:type="pct"/>
            <w:vAlign w:val="center"/>
          </w:tcPr>
          <w:p w14:paraId="380C7DDA">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74032ECB">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c>
          <w:tcPr>
            <w:tcW w:w="584" w:type="pct"/>
            <w:vAlign w:val="center"/>
          </w:tcPr>
          <w:p w14:paraId="70584B85">
            <w:pPr>
              <w:spacing w:after="0" w:line="240" w:lineRule="auto"/>
              <w:jc w:val="center"/>
              <w:rPr>
                <w:rFonts w:hint="eastAsia" w:ascii="Times New Roman" w:hAnsi="Times New Roman" w:eastAsia="仿宋_GB2312" w:cs="仿宋_GB2312"/>
                <w:sz w:val="24"/>
                <w:highlight w:val="none"/>
              </w:rPr>
            </w:pPr>
          </w:p>
        </w:tc>
      </w:tr>
      <w:tr w14:paraId="1860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4680CA89">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color w:val="000000"/>
                <w:sz w:val="24"/>
                <w:highlight w:val="none"/>
              </w:rPr>
              <w:t>岗位实习</w:t>
            </w:r>
          </w:p>
        </w:tc>
        <w:tc>
          <w:tcPr>
            <w:tcW w:w="646" w:type="pct"/>
            <w:vAlign w:val="center"/>
          </w:tcPr>
          <w:p w14:paraId="498B34AA">
            <w:pPr>
              <w:spacing w:after="0" w:line="240" w:lineRule="auto"/>
              <w:jc w:val="center"/>
              <w:rPr>
                <w:rFonts w:hint="eastAsia" w:ascii="Times New Roman" w:hAnsi="Times New Roman" w:eastAsia="仿宋_GB2312" w:cs="仿宋_GB2312"/>
                <w:sz w:val="24"/>
                <w:highlight w:val="none"/>
              </w:rPr>
            </w:pPr>
          </w:p>
        </w:tc>
        <w:tc>
          <w:tcPr>
            <w:tcW w:w="583" w:type="pct"/>
            <w:vAlign w:val="center"/>
          </w:tcPr>
          <w:p w14:paraId="356A0F99">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1851820E">
            <w:pPr>
              <w:spacing w:after="0" w:line="240" w:lineRule="auto"/>
              <w:jc w:val="center"/>
              <w:rPr>
                <w:rFonts w:hint="eastAsia" w:ascii="Times New Roman" w:hAnsi="Times New Roman" w:eastAsia="仿宋_GB2312" w:cs="仿宋_GB2312"/>
                <w:sz w:val="24"/>
                <w:highlight w:val="none"/>
              </w:rPr>
            </w:pPr>
          </w:p>
        </w:tc>
        <w:tc>
          <w:tcPr>
            <w:tcW w:w="582" w:type="pct"/>
            <w:vAlign w:val="center"/>
          </w:tcPr>
          <w:p w14:paraId="0D8CA497">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7B2DF2E6">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c>
          <w:tcPr>
            <w:tcW w:w="584" w:type="pct"/>
            <w:vAlign w:val="center"/>
          </w:tcPr>
          <w:p w14:paraId="3B31BB34">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1-18</w:t>
            </w:r>
          </w:p>
        </w:tc>
      </w:tr>
      <w:tr w14:paraId="418F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1DADFDF">
            <w:pPr>
              <w:spacing w:after="0" w:line="240" w:lineRule="auto"/>
              <w:jc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sz w:val="24"/>
                <w:highlight w:val="none"/>
              </w:rPr>
              <w:t>社会实践</w:t>
            </w:r>
          </w:p>
        </w:tc>
        <w:tc>
          <w:tcPr>
            <w:tcW w:w="646" w:type="pct"/>
            <w:vAlign w:val="center"/>
          </w:tcPr>
          <w:p w14:paraId="2A9F0D88">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c>
          <w:tcPr>
            <w:tcW w:w="583" w:type="pct"/>
            <w:vAlign w:val="center"/>
          </w:tcPr>
          <w:p w14:paraId="086B05B7">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c>
          <w:tcPr>
            <w:tcW w:w="581" w:type="pct"/>
            <w:vAlign w:val="center"/>
          </w:tcPr>
          <w:p w14:paraId="03497A7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c>
          <w:tcPr>
            <w:tcW w:w="582" w:type="pct"/>
            <w:vAlign w:val="center"/>
          </w:tcPr>
          <w:p w14:paraId="2C93BE1E">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c>
          <w:tcPr>
            <w:tcW w:w="581" w:type="pct"/>
            <w:vAlign w:val="center"/>
          </w:tcPr>
          <w:p w14:paraId="76A34038">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c>
          <w:tcPr>
            <w:tcW w:w="584" w:type="pct"/>
            <w:vAlign w:val="center"/>
          </w:tcPr>
          <w:p w14:paraId="056CDE85">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1-20</w:t>
            </w:r>
          </w:p>
        </w:tc>
      </w:tr>
      <w:tr w14:paraId="23B6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D5134D9">
            <w:pPr>
              <w:spacing w:after="0" w:line="240" w:lineRule="auto"/>
              <w:jc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sz w:val="24"/>
                <w:highlight w:val="none"/>
              </w:rPr>
              <w:t>毕业教育</w:t>
            </w:r>
          </w:p>
        </w:tc>
        <w:tc>
          <w:tcPr>
            <w:tcW w:w="646" w:type="pct"/>
            <w:vAlign w:val="center"/>
          </w:tcPr>
          <w:p w14:paraId="6C84DB3C">
            <w:pPr>
              <w:spacing w:after="0" w:line="240" w:lineRule="auto"/>
              <w:jc w:val="center"/>
              <w:rPr>
                <w:rFonts w:hint="eastAsia" w:ascii="Times New Roman" w:hAnsi="Times New Roman" w:eastAsia="仿宋_GB2312" w:cs="仿宋_GB2312"/>
                <w:sz w:val="24"/>
                <w:highlight w:val="none"/>
              </w:rPr>
            </w:pPr>
          </w:p>
        </w:tc>
        <w:tc>
          <w:tcPr>
            <w:tcW w:w="583" w:type="pct"/>
            <w:vAlign w:val="center"/>
          </w:tcPr>
          <w:p w14:paraId="34EC833C">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26196FA7">
            <w:pPr>
              <w:spacing w:after="0" w:line="240" w:lineRule="auto"/>
              <w:jc w:val="center"/>
              <w:rPr>
                <w:rFonts w:hint="eastAsia" w:ascii="Times New Roman" w:hAnsi="Times New Roman" w:eastAsia="仿宋_GB2312" w:cs="仿宋_GB2312"/>
                <w:sz w:val="24"/>
                <w:highlight w:val="none"/>
              </w:rPr>
            </w:pPr>
          </w:p>
        </w:tc>
        <w:tc>
          <w:tcPr>
            <w:tcW w:w="582" w:type="pct"/>
            <w:vAlign w:val="center"/>
          </w:tcPr>
          <w:p w14:paraId="09DDA144">
            <w:pPr>
              <w:spacing w:after="0" w:line="240" w:lineRule="auto"/>
              <w:jc w:val="center"/>
              <w:rPr>
                <w:rFonts w:hint="eastAsia" w:ascii="Times New Roman" w:hAnsi="Times New Roman" w:eastAsia="仿宋_GB2312" w:cs="仿宋_GB2312"/>
                <w:sz w:val="24"/>
                <w:highlight w:val="none"/>
              </w:rPr>
            </w:pPr>
          </w:p>
        </w:tc>
        <w:tc>
          <w:tcPr>
            <w:tcW w:w="581" w:type="pct"/>
            <w:vAlign w:val="center"/>
          </w:tcPr>
          <w:p w14:paraId="15008EFA">
            <w:pPr>
              <w:spacing w:after="0" w:line="240" w:lineRule="auto"/>
              <w:jc w:val="center"/>
              <w:rPr>
                <w:rFonts w:hint="eastAsia" w:ascii="Times New Roman" w:hAnsi="Times New Roman" w:eastAsia="仿宋_GB2312" w:cs="仿宋_GB2312"/>
                <w:sz w:val="24"/>
                <w:highlight w:val="none"/>
              </w:rPr>
            </w:pPr>
          </w:p>
        </w:tc>
        <w:tc>
          <w:tcPr>
            <w:tcW w:w="584" w:type="pct"/>
            <w:vAlign w:val="center"/>
          </w:tcPr>
          <w:p w14:paraId="747CB6E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18-19</w:t>
            </w:r>
          </w:p>
        </w:tc>
      </w:tr>
      <w:tr w14:paraId="562D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43AA250B">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color w:val="000000"/>
                <w:sz w:val="24"/>
                <w:highlight w:val="none"/>
              </w:rPr>
              <w:t>学期教学总周数</w:t>
            </w:r>
          </w:p>
        </w:tc>
        <w:tc>
          <w:tcPr>
            <w:tcW w:w="646" w:type="pct"/>
            <w:vAlign w:val="center"/>
          </w:tcPr>
          <w:p w14:paraId="3A8CA388">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20周</w:t>
            </w:r>
          </w:p>
        </w:tc>
        <w:tc>
          <w:tcPr>
            <w:tcW w:w="583" w:type="pct"/>
            <w:vAlign w:val="center"/>
          </w:tcPr>
          <w:p w14:paraId="6E57149D">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20周</w:t>
            </w:r>
          </w:p>
        </w:tc>
        <w:tc>
          <w:tcPr>
            <w:tcW w:w="581" w:type="pct"/>
            <w:vAlign w:val="center"/>
          </w:tcPr>
          <w:p w14:paraId="3C58F357">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20周</w:t>
            </w:r>
          </w:p>
        </w:tc>
        <w:tc>
          <w:tcPr>
            <w:tcW w:w="582" w:type="pct"/>
            <w:vAlign w:val="center"/>
          </w:tcPr>
          <w:p w14:paraId="40315DEB">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20周</w:t>
            </w:r>
          </w:p>
        </w:tc>
        <w:tc>
          <w:tcPr>
            <w:tcW w:w="581" w:type="pct"/>
            <w:vAlign w:val="center"/>
          </w:tcPr>
          <w:p w14:paraId="29849CB3">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20周</w:t>
            </w:r>
          </w:p>
        </w:tc>
        <w:tc>
          <w:tcPr>
            <w:tcW w:w="584" w:type="pct"/>
            <w:vAlign w:val="center"/>
          </w:tcPr>
          <w:p w14:paraId="5A19A0BC">
            <w:pPr>
              <w:spacing w:after="0" w:line="240" w:lineRule="auto"/>
              <w:jc w:val="center"/>
              <w:rPr>
                <w:rFonts w:hint="eastAsia" w:ascii="Times New Roman" w:hAnsi="Times New Roman" w:eastAsia="仿宋_GB2312" w:cs="仿宋_GB2312"/>
                <w:sz w:val="24"/>
                <w:highlight w:val="none"/>
              </w:rPr>
            </w:pPr>
            <w:r>
              <w:rPr>
                <w:rFonts w:hint="eastAsia" w:ascii="Times New Roman" w:hAnsi="Times New Roman" w:eastAsia="仿宋_GB2312" w:cs="仿宋_GB2312"/>
                <w:sz w:val="24"/>
                <w:highlight w:val="none"/>
              </w:rPr>
              <w:t>20周</w:t>
            </w:r>
          </w:p>
        </w:tc>
      </w:tr>
    </w:tbl>
    <w:p w14:paraId="7B0C9F43">
      <w:pPr>
        <w:spacing w:after="0" w:line="520" w:lineRule="exact"/>
        <w:ind w:firstLine="640" w:firstLineChars="200"/>
        <w:outlineLvl w:val="1"/>
        <w:rPr>
          <w:rFonts w:hint="eastAsia" w:ascii="Times New Roman" w:hAnsi="Times New Roman" w:eastAsia="楷体" w:cs="楷体"/>
          <w:bCs/>
          <w:sz w:val="32"/>
          <w:szCs w:val="32"/>
          <w:highlight w:val="none"/>
        </w:rPr>
      </w:pPr>
      <w:bookmarkStart w:id="44" w:name="_Toc4654"/>
      <w:r>
        <w:rPr>
          <w:rFonts w:hint="eastAsia" w:ascii="Times New Roman" w:hAnsi="Times New Roman" w:eastAsia="楷体" w:cs="楷体"/>
          <w:sz w:val="32"/>
          <w:szCs w:val="32"/>
          <w:highlight w:val="none"/>
        </w:rPr>
        <w:t>（二）</w:t>
      </w:r>
      <w:r>
        <w:rPr>
          <w:rFonts w:hint="eastAsia" w:ascii="Times New Roman" w:hAnsi="Times New Roman" w:eastAsia="楷体" w:cs="楷体"/>
          <w:bCs/>
          <w:sz w:val="32"/>
          <w:szCs w:val="32"/>
          <w:highlight w:val="none"/>
        </w:rPr>
        <w:t>课程结构与学时、学分分配</w:t>
      </w:r>
      <w:bookmarkEnd w:id="44"/>
    </w:p>
    <w:p w14:paraId="0617162B">
      <w:pPr>
        <w:spacing w:after="0" w:line="520" w:lineRule="exact"/>
        <w:ind w:firstLine="640" w:firstLineChars="200"/>
        <w:rPr>
          <w:rFonts w:hint="eastAsia" w:ascii="Times New Roman" w:hAnsi="Times New Roman" w:eastAsia="仿宋_GB2312" w:cs="仿宋_GB2312"/>
          <w:bCs/>
          <w:sz w:val="32"/>
          <w:szCs w:val="32"/>
          <w:highlight w:val="none"/>
        </w:rPr>
      </w:pPr>
      <w:r>
        <w:rPr>
          <w:rFonts w:hint="eastAsia" w:ascii="Times New Roman" w:hAnsi="Times New Roman" w:eastAsia="仿宋_GB2312" w:cs="仿宋_GB2312"/>
          <w:sz w:val="32"/>
          <w:szCs w:val="32"/>
          <w:highlight w:val="none"/>
        </w:rPr>
        <w:t>本专业教学总学时为</w:t>
      </w:r>
      <w:r>
        <w:rPr>
          <w:rFonts w:hint="eastAsia" w:ascii="Times New Roman" w:hAnsi="Times New Roman" w:eastAsia="仿宋_GB2312" w:cs="仿宋_GB2312"/>
          <w:sz w:val="32"/>
          <w:szCs w:val="32"/>
          <w:highlight w:val="none"/>
          <w:lang w:val="en-US" w:eastAsia="zh-CN"/>
        </w:rPr>
        <w:t>2670</w:t>
      </w:r>
      <w:r>
        <w:rPr>
          <w:rFonts w:hint="eastAsia" w:ascii="Times New Roman" w:hAnsi="Times New Roman" w:eastAsia="仿宋_GB2312" w:cs="仿宋_GB2312"/>
          <w:sz w:val="32"/>
          <w:szCs w:val="32"/>
          <w:highlight w:val="none"/>
        </w:rPr>
        <w:t>学时。其中理论教学</w:t>
      </w:r>
      <w:r>
        <w:rPr>
          <w:rFonts w:hint="eastAsia" w:ascii="Times New Roman" w:hAnsi="Times New Roman" w:eastAsia="仿宋_GB2312" w:cs="仿宋_GB2312"/>
          <w:sz w:val="32"/>
          <w:szCs w:val="32"/>
          <w:highlight w:val="none"/>
          <w:lang w:val="en-US" w:eastAsia="zh-CN"/>
        </w:rPr>
        <w:t>1220</w:t>
      </w:r>
      <w:r>
        <w:rPr>
          <w:rFonts w:hint="eastAsia" w:ascii="Times New Roman" w:hAnsi="Times New Roman" w:eastAsia="仿宋_GB2312" w:cs="仿宋_GB2312"/>
          <w:sz w:val="32"/>
          <w:szCs w:val="32"/>
          <w:highlight w:val="none"/>
        </w:rPr>
        <w:t>学时，占4</w:t>
      </w:r>
      <w:r>
        <w:rPr>
          <w:rFonts w:hint="eastAsia" w:ascii="Times New Roman" w:hAnsi="Times New Roman" w:eastAsia="仿宋_GB2312" w:cs="仿宋_GB2312"/>
          <w:sz w:val="32"/>
          <w:szCs w:val="32"/>
          <w:highlight w:val="none"/>
          <w:lang w:val="en-US" w:eastAsia="zh-CN"/>
        </w:rPr>
        <w:t>5.69</w:t>
      </w:r>
      <w:r>
        <w:rPr>
          <w:rFonts w:hint="eastAsia" w:ascii="Times New Roman" w:hAnsi="Times New Roman" w:eastAsia="仿宋_GB2312" w:cs="仿宋_GB2312"/>
          <w:sz w:val="32"/>
          <w:szCs w:val="32"/>
          <w:highlight w:val="none"/>
        </w:rPr>
        <w:t>%；实践教学14</w:t>
      </w:r>
      <w:r>
        <w:rPr>
          <w:rFonts w:hint="eastAsia" w:ascii="Times New Roman" w:hAnsi="Times New Roman" w:eastAsia="仿宋_GB2312" w:cs="仿宋_GB2312"/>
          <w:sz w:val="32"/>
          <w:szCs w:val="32"/>
          <w:highlight w:val="none"/>
          <w:lang w:val="en-US" w:eastAsia="zh-CN"/>
        </w:rPr>
        <w:t>50</w:t>
      </w:r>
      <w:r>
        <w:rPr>
          <w:rFonts w:hint="eastAsia" w:ascii="Times New Roman" w:hAnsi="Times New Roman" w:eastAsia="仿宋_GB2312" w:cs="仿宋_GB2312"/>
          <w:sz w:val="32"/>
          <w:szCs w:val="32"/>
          <w:highlight w:val="none"/>
        </w:rPr>
        <w:t>学时，占</w:t>
      </w:r>
      <w:r>
        <w:rPr>
          <w:rFonts w:hint="eastAsia" w:ascii="Times New Roman" w:hAnsi="Times New Roman" w:eastAsia="仿宋_GB2312" w:cs="仿宋_GB2312"/>
          <w:sz w:val="32"/>
          <w:szCs w:val="32"/>
          <w:highlight w:val="none"/>
          <w:lang w:val="en-US" w:eastAsia="zh-CN"/>
        </w:rPr>
        <w:t>54.31</w:t>
      </w:r>
      <w:r>
        <w:rPr>
          <w:rFonts w:hint="eastAsia" w:ascii="Times New Roman" w:hAnsi="Times New Roman" w:eastAsia="仿宋_GB2312" w:cs="仿宋_GB2312"/>
          <w:sz w:val="32"/>
          <w:szCs w:val="32"/>
          <w:highlight w:val="none"/>
        </w:rPr>
        <w:t>%，其中岗位实习累计时间6个月。公共基础课9</w:t>
      </w:r>
      <w:r>
        <w:rPr>
          <w:rFonts w:hint="eastAsia" w:ascii="Times New Roman" w:hAnsi="Times New Roman" w:eastAsia="仿宋_GB2312" w:cs="仿宋_GB2312"/>
          <w:sz w:val="32"/>
          <w:szCs w:val="32"/>
          <w:highlight w:val="none"/>
          <w:lang w:val="en-US" w:eastAsia="zh-CN"/>
        </w:rPr>
        <w:t>54</w:t>
      </w:r>
      <w:r>
        <w:rPr>
          <w:rFonts w:hint="eastAsia" w:ascii="Times New Roman" w:hAnsi="Times New Roman" w:eastAsia="仿宋_GB2312" w:cs="仿宋_GB2312"/>
          <w:sz w:val="32"/>
          <w:szCs w:val="32"/>
          <w:highlight w:val="none"/>
        </w:rPr>
        <w:t>学时，占3</w:t>
      </w:r>
      <w:r>
        <w:rPr>
          <w:rFonts w:hint="eastAsia" w:ascii="Times New Roman" w:hAnsi="Times New Roman" w:eastAsia="仿宋_GB2312" w:cs="仿宋_GB2312"/>
          <w:sz w:val="32"/>
          <w:szCs w:val="32"/>
          <w:highlight w:val="none"/>
          <w:lang w:val="en-US" w:eastAsia="zh-CN"/>
        </w:rPr>
        <w:t>5.73</w:t>
      </w:r>
      <w:r>
        <w:rPr>
          <w:rFonts w:hint="eastAsia" w:ascii="Times New Roman" w:hAnsi="Times New Roman" w:eastAsia="仿宋_GB2312" w:cs="仿宋_GB2312"/>
          <w:sz w:val="32"/>
          <w:szCs w:val="32"/>
          <w:highlight w:val="none"/>
        </w:rPr>
        <w:t>%；选修课288学时，占10.</w:t>
      </w:r>
      <w:r>
        <w:rPr>
          <w:rFonts w:hint="eastAsia" w:ascii="Times New Roman" w:hAnsi="Times New Roman" w:eastAsia="仿宋_GB2312" w:cs="仿宋_GB2312"/>
          <w:sz w:val="32"/>
          <w:szCs w:val="32"/>
          <w:highlight w:val="none"/>
          <w:lang w:val="en-US" w:eastAsia="zh-CN"/>
        </w:rPr>
        <w:t>78</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bCs/>
          <w:sz w:val="32"/>
          <w:szCs w:val="32"/>
          <w:highlight w:val="none"/>
        </w:rPr>
        <w:t xml:space="preserve">  </w:t>
      </w:r>
    </w:p>
    <w:p w14:paraId="3D1CC943">
      <w:pPr>
        <w:spacing w:after="0" w:line="520" w:lineRule="exact"/>
        <w:ind w:firstLine="640" w:firstLineChars="200"/>
        <w:rPr>
          <w:rFonts w:hint="eastAsia" w:ascii="Times New Roman" w:hAnsi="Times New Roman" w:eastAsia="仿宋_GB2312" w:cs="仿宋_GB2312"/>
          <w:bCs/>
          <w:sz w:val="32"/>
          <w:szCs w:val="32"/>
          <w:highlight w:val="none"/>
        </w:rPr>
      </w:pPr>
    </w:p>
    <w:p w14:paraId="27E63C7E">
      <w:pPr>
        <w:spacing w:after="0" w:line="520" w:lineRule="exact"/>
        <w:jc w:val="center"/>
        <w:rPr>
          <w:rFonts w:hint="eastAsia" w:ascii="Times New Roman" w:hAnsi="Times New Roman" w:eastAsia="仿宋_GB2312" w:cs="仿宋_GB2312"/>
          <w:spacing w:val="-2"/>
          <w:sz w:val="32"/>
          <w:szCs w:val="32"/>
          <w:highlight w:val="none"/>
        </w:rPr>
      </w:pPr>
      <w:r>
        <w:rPr>
          <w:rFonts w:hint="eastAsia" w:ascii="Times New Roman" w:hAnsi="Times New Roman" w:eastAsia="仿宋_GB2312" w:cs="仿宋_GB2312"/>
          <w:sz w:val="32"/>
          <w:szCs w:val="32"/>
          <w:highlight w:val="none"/>
        </w:rPr>
        <w:t>表9</w:t>
      </w:r>
      <w:r>
        <w:rPr>
          <w:rFonts w:hint="eastAsia" w:ascii="Times New Roman" w:hAnsi="Times New Roman" w:eastAsia="仿宋_GB2312" w:cs="仿宋_GB2312"/>
          <w:spacing w:val="-2"/>
          <w:sz w:val="32"/>
          <w:szCs w:val="32"/>
          <w:highlight w:val="none"/>
        </w:rPr>
        <w:t>课程学时、学分分配表</w:t>
      </w:r>
    </w:p>
    <w:tbl>
      <w:tblPr>
        <w:tblStyle w:val="10"/>
        <w:tblW w:w="10627" w:type="dxa"/>
        <w:jc w:val="center"/>
        <w:tblLayout w:type="fixed"/>
        <w:tblCellMar>
          <w:top w:w="0" w:type="dxa"/>
          <w:left w:w="108" w:type="dxa"/>
          <w:bottom w:w="0" w:type="dxa"/>
          <w:right w:w="108" w:type="dxa"/>
        </w:tblCellMar>
      </w:tblPr>
      <w:tblGrid>
        <w:gridCol w:w="1021"/>
        <w:gridCol w:w="1968"/>
        <w:gridCol w:w="872"/>
        <w:gridCol w:w="718"/>
        <w:gridCol w:w="1118"/>
        <w:gridCol w:w="896"/>
        <w:gridCol w:w="759"/>
        <w:gridCol w:w="1261"/>
        <w:gridCol w:w="750"/>
        <w:gridCol w:w="1264"/>
      </w:tblGrid>
      <w:tr w14:paraId="1B19BBE0">
        <w:tblPrEx>
          <w:tblCellMar>
            <w:top w:w="0" w:type="dxa"/>
            <w:left w:w="108" w:type="dxa"/>
            <w:bottom w:w="0" w:type="dxa"/>
            <w:right w:w="108" w:type="dxa"/>
          </w:tblCellMar>
        </w:tblPrEx>
        <w:trPr>
          <w:trHeight w:val="240" w:hRule="atLeast"/>
          <w:jc w:val="center"/>
        </w:trPr>
        <w:tc>
          <w:tcPr>
            <w:tcW w:w="2989"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0D63A6B8">
            <w:pPr>
              <w:widowControl/>
              <w:spacing w:after="0"/>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课程类别</w:t>
            </w:r>
          </w:p>
        </w:tc>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7FFA0ACD">
            <w:pPr>
              <w:widowControl/>
              <w:spacing w:after="0"/>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noWrap/>
            <w:vAlign w:val="center"/>
          </w:tcPr>
          <w:p w14:paraId="49F955F3">
            <w:pPr>
              <w:widowControl/>
              <w:spacing w:after="0"/>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vAlign w:val="center"/>
          </w:tcPr>
          <w:p w14:paraId="751B8EF8">
            <w:pPr>
              <w:widowControl/>
              <w:spacing w:after="0" w:line="24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noWrap/>
            <w:vAlign w:val="center"/>
          </w:tcPr>
          <w:p w14:paraId="06AE1952">
            <w:pPr>
              <w:widowControl/>
              <w:spacing w:after="0" w:line="24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 xml:space="preserve">                         学时</w:t>
            </w:r>
          </w:p>
        </w:tc>
      </w:tr>
      <w:tr w14:paraId="51877B02">
        <w:tblPrEx>
          <w:tblCellMar>
            <w:top w:w="0" w:type="dxa"/>
            <w:left w:w="108" w:type="dxa"/>
            <w:bottom w:w="0" w:type="dxa"/>
            <w:right w:w="108" w:type="dxa"/>
          </w:tblCellMar>
        </w:tblPrEx>
        <w:trPr>
          <w:trHeight w:val="240" w:hRule="atLeast"/>
          <w:jc w:val="center"/>
        </w:trPr>
        <w:tc>
          <w:tcPr>
            <w:tcW w:w="29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7B6C9405">
            <w:pPr>
              <w:widowControl/>
              <w:spacing w:after="0"/>
              <w:jc w:val="center"/>
              <w:rPr>
                <w:rFonts w:hint="eastAsia" w:ascii="Times New Roman" w:hAnsi="Times New Roman" w:eastAsia="仿宋_GB2312" w:cs="仿宋_GB2312"/>
                <w:color w:val="000000"/>
                <w:sz w:val="24"/>
                <w:highlight w:val="none"/>
              </w:rPr>
            </w:pPr>
          </w:p>
        </w:tc>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1F27D96D">
            <w:pPr>
              <w:widowControl/>
              <w:spacing w:after="0"/>
              <w:jc w:val="center"/>
              <w:rPr>
                <w:rFonts w:hint="eastAsia" w:ascii="Times New Roman" w:hAnsi="Times New Roman" w:eastAsia="仿宋_GB2312" w:cs="仿宋_GB2312"/>
                <w:color w:val="000000"/>
                <w:sz w:val="24"/>
                <w:highlight w:val="none"/>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4857A1C9">
            <w:pPr>
              <w:widowControl/>
              <w:spacing w:after="0"/>
              <w:rPr>
                <w:rFonts w:hint="eastAsia" w:ascii="Times New Roman" w:hAnsi="Times New Roman" w:eastAsia="仿宋_GB2312" w:cs="仿宋_GB2312"/>
                <w:color w:val="000000"/>
                <w:sz w:val="24"/>
                <w:highlight w:val="none"/>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57343FBF">
            <w:pPr>
              <w:widowControl/>
              <w:spacing w:after="0" w:line="240" w:lineRule="atLeast"/>
              <w:jc w:val="center"/>
              <w:rPr>
                <w:rFonts w:hint="eastAsia" w:ascii="Times New Roman" w:hAnsi="Times New Roman" w:eastAsia="仿宋_GB2312" w:cs="仿宋_GB2312"/>
                <w:color w:val="000000"/>
                <w:sz w:val="24"/>
                <w:highlight w:val="none"/>
              </w:rPr>
            </w:pPr>
          </w:p>
        </w:tc>
        <w:tc>
          <w:tcPr>
            <w:tcW w:w="896" w:type="dxa"/>
            <w:vMerge w:val="restart"/>
            <w:tcBorders>
              <w:top w:val="single" w:color="000000" w:sz="4" w:space="0"/>
              <w:left w:val="single" w:color="000000" w:sz="4" w:space="0"/>
              <w:bottom w:val="single" w:color="000000" w:sz="4" w:space="0"/>
              <w:right w:val="single" w:color="000000" w:sz="4" w:space="0"/>
            </w:tcBorders>
            <w:noWrap/>
            <w:vAlign w:val="center"/>
          </w:tcPr>
          <w:p w14:paraId="18F6E3E1">
            <w:pPr>
              <w:widowControl/>
              <w:spacing w:after="0" w:line="24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noWrap/>
            <w:vAlign w:val="center"/>
          </w:tcPr>
          <w:p w14:paraId="6638C9F7">
            <w:pPr>
              <w:widowControl/>
              <w:spacing w:after="0" w:line="24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noWrap/>
            <w:vAlign w:val="center"/>
          </w:tcPr>
          <w:p w14:paraId="738C4FBD">
            <w:pPr>
              <w:widowControl/>
              <w:spacing w:after="0" w:line="24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实践教学</w:t>
            </w:r>
          </w:p>
        </w:tc>
      </w:tr>
      <w:tr w14:paraId="29D4597F">
        <w:tblPrEx>
          <w:tblCellMar>
            <w:top w:w="0" w:type="dxa"/>
            <w:left w:w="108" w:type="dxa"/>
            <w:bottom w:w="0" w:type="dxa"/>
            <w:right w:w="108" w:type="dxa"/>
          </w:tblCellMar>
        </w:tblPrEx>
        <w:trPr>
          <w:trHeight w:val="770" w:hRule="atLeast"/>
          <w:jc w:val="center"/>
        </w:trPr>
        <w:tc>
          <w:tcPr>
            <w:tcW w:w="29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6055C166">
            <w:pPr>
              <w:widowControl/>
              <w:spacing w:after="0"/>
              <w:jc w:val="center"/>
              <w:rPr>
                <w:rFonts w:hint="eastAsia" w:ascii="Times New Roman" w:hAnsi="Times New Roman" w:eastAsia="仿宋_GB2312" w:cs="仿宋_GB2312"/>
                <w:color w:val="000000"/>
                <w:sz w:val="24"/>
                <w:highlight w:val="none"/>
              </w:rPr>
            </w:pPr>
          </w:p>
        </w:tc>
        <w:tc>
          <w:tcPr>
            <w:tcW w:w="872" w:type="dxa"/>
            <w:vMerge w:val="continue"/>
            <w:tcBorders>
              <w:top w:val="single" w:color="000000" w:sz="4" w:space="0"/>
              <w:left w:val="single" w:color="000000" w:sz="4" w:space="0"/>
              <w:bottom w:val="single" w:color="000000" w:sz="4" w:space="0"/>
              <w:right w:val="single" w:color="000000" w:sz="4" w:space="0"/>
            </w:tcBorders>
            <w:vAlign w:val="center"/>
          </w:tcPr>
          <w:p w14:paraId="33ABCA6E">
            <w:pPr>
              <w:widowControl/>
              <w:spacing w:after="0"/>
              <w:jc w:val="center"/>
              <w:rPr>
                <w:rFonts w:hint="eastAsia" w:ascii="Times New Roman" w:hAnsi="Times New Roman" w:eastAsia="仿宋_GB2312" w:cs="仿宋_GB2312"/>
                <w:color w:val="000000"/>
                <w:sz w:val="24"/>
                <w:highlight w:val="none"/>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7E3DFACF">
            <w:pPr>
              <w:widowControl/>
              <w:spacing w:after="0"/>
              <w:rPr>
                <w:rFonts w:hint="eastAsia" w:ascii="Times New Roman" w:hAnsi="Times New Roman" w:eastAsia="仿宋_GB2312" w:cs="仿宋_GB2312"/>
                <w:color w:val="000000"/>
                <w:sz w:val="24"/>
                <w:highlight w:val="none"/>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61701A5E">
            <w:pPr>
              <w:widowControl/>
              <w:spacing w:after="0" w:line="240" w:lineRule="atLeast"/>
              <w:jc w:val="center"/>
              <w:rPr>
                <w:rFonts w:hint="eastAsia" w:ascii="Times New Roman" w:hAnsi="Times New Roman" w:eastAsia="仿宋_GB2312" w:cs="仿宋_GB2312"/>
                <w:color w:val="000000"/>
                <w:sz w:val="24"/>
                <w:highlight w:val="none"/>
              </w:rPr>
            </w:pPr>
          </w:p>
        </w:tc>
        <w:tc>
          <w:tcPr>
            <w:tcW w:w="896" w:type="dxa"/>
            <w:vMerge w:val="continue"/>
            <w:tcBorders>
              <w:top w:val="single" w:color="000000" w:sz="4" w:space="0"/>
              <w:left w:val="single" w:color="000000" w:sz="4" w:space="0"/>
              <w:bottom w:val="single" w:color="000000" w:sz="4" w:space="0"/>
              <w:right w:val="single" w:color="000000" w:sz="4" w:space="0"/>
            </w:tcBorders>
            <w:noWrap/>
            <w:vAlign w:val="center"/>
          </w:tcPr>
          <w:p w14:paraId="5F849535">
            <w:pPr>
              <w:widowControl/>
              <w:spacing w:after="0" w:line="240" w:lineRule="atLeast"/>
              <w:rPr>
                <w:rFonts w:hint="eastAsia" w:ascii="Times New Roman" w:hAnsi="Times New Roman" w:eastAsia="仿宋_GB2312" w:cs="仿宋_GB2312"/>
                <w:color w:val="000000"/>
                <w:sz w:val="24"/>
                <w:highlight w:val="none"/>
              </w:rPr>
            </w:pP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5360E56">
            <w:pPr>
              <w:widowControl/>
              <w:spacing w:after="0" w:line="24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学时</w:t>
            </w:r>
          </w:p>
        </w:tc>
        <w:tc>
          <w:tcPr>
            <w:tcW w:w="1261" w:type="dxa"/>
            <w:tcBorders>
              <w:top w:val="single" w:color="000000" w:sz="4" w:space="0"/>
              <w:left w:val="single" w:color="000000" w:sz="4" w:space="0"/>
              <w:bottom w:val="single" w:color="000000" w:sz="4" w:space="0"/>
              <w:right w:val="single" w:color="000000" w:sz="4" w:space="0"/>
            </w:tcBorders>
            <w:vAlign w:val="center"/>
          </w:tcPr>
          <w:p w14:paraId="1F106837">
            <w:pPr>
              <w:widowControl/>
              <w:spacing w:after="0" w:line="24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91F0DC4">
            <w:pPr>
              <w:widowControl/>
              <w:spacing w:after="0" w:line="24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学时</w:t>
            </w:r>
          </w:p>
        </w:tc>
        <w:tc>
          <w:tcPr>
            <w:tcW w:w="1264" w:type="dxa"/>
            <w:tcBorders>
              <w:top w:val="single" w:color="000000" w:sz="4" w:space="0"/>
              <w:left w:val="single" w:color="000000" w:sz="4" w:space="0"/>
              <w:bottom w:val="single" w:color="000000" w:sz="4" w:space="0"/>
              <w:right w:val="single" w:color="000000" w:sz="4" w:space="0"/>
            </w:tcBorders>
            <w:vAlign w:val="center"/>
          </w:tcPr>
          <w:p w14:paraId="60372628">
            <w:pPr>
              <w:widowControl/>
              <w:spacing w:after="0" w:line="24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占专业总学时比例（%）</w:t>
            </w:r>
          </w:p>
        </w:tc>
      </w:tr>
      <w:tr w14:paraId="232B596A">
        <w:tblPrEx>
          <w:tblCellMar>
            <w:top w:w="0" w:type="dxa"/>
            <w:left w:w="108" w:type="dxa"/>
            <w:bottom w:w="0" w:type="dxa"/>
            <w:right w:w="108" w:type="dxa"/>
          </w:tblCellMar>
        </w:tblPrEx>
        <w:trPr>
          <w:trHeight w:val="240" w:hRule="atLeast"/>
          <w:jc w:val="center"/>
        </w:trPr>
        <w:tc>
          <w:tcPr>
            <w:tcW w:w="2989"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4AFD401F">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公共基础课</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DB70D48">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43D949F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0E64C41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30.77%</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5A16C76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71D2AB0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vAlign w:val="center"/>
          </w:tcPr>
          <w:p w14:paraId="529294C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16.70%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333049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4E8E0616">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14.23%</w:t>
            </w:r>
          </w:p>
        </w:tc>
      </w:tr>
      <w:tr w14:paraId="14645B53">
        <w:tblPrEx>
          <w:tblCellMar>
            <w:top w:w="0" w:type="dxa"/>
            <w:left w:w="108" w:type="dxa"/>
            <w:bottom w:w="0" w:type="dxa"/>
            <w:right w:w="108" w:type="dxa"/>
          </w:tblCellMar>
        </w:tblPrEx>
        <w:trPr>
          <w:trHeight w:val="240" w:hRule="atLeast"/>
          <w:jc w:val="center"/>
        </w:trPr>
        <w:tc>
          <w:tcPr>
            <w:tcW w:w="29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14C41612">
            <w:pPr>
              <w:widowControl/>
              <w:spacing w:after="0" w:line="240" w:lineRule="auto"/>
              <w:jc w:val="center"/>
              <w:rPr>
                <w:rFonts w:hint="eastAsia" w:ascii="Times New Roman" w:hAnsi="Times New Roman" w:eastAsia="仿宋_GB2312" w:cs="仿宋_GB2312"/>
                <w:color w:val="000000"/>
                <w:sz w:val="24"/>
                <w:highlight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14EFD48">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7A242C8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1B05F5A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5.59%</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322F0A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6CCEC16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vAlign w:val="center"/>
          </w:tcPr>
          <w:p w14:paraId="56B17E5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E127EE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0F53455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1.80%</w:t>
            </w:r>
          </w:p>
        </w:tc>
      </w:tr>
      <w:tr w14:paraId="23FB748B">
        <w:tblPrEx>
          <w:tblCellMar>
            <w:top w:w="0" w:type="dxa"/>
            <w:left w:w="108" w:type="dxa"/>
            <w:bottom w:w="0" w:type="dxa"/>
            <w:right w:w="108" w:type="dxa"/>
          </w:tblCellMar>
        </w:tblPrEx>
        <w:trPr>
          <w:trHeight w:val="240" w:hRule="atLeast"/>
          <w:jc w:val="center"/>
        </w:trPr>
        <w:tc>
          <w:tcPr>
            <w:tcW w:w="29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338ED478">
            <w:pPr>
              <w:widowControl/>
              <w:spacing w:after="0" w:line="240" w:lineRule="auto"/>
              <w:jc w:val="center"/>
              <w:rPr>
                <w:rFonts w:hint="eastAsia" w:ascii="Times New Roman" w:hAnsi="Times New Roman" w:eastAsia="仿宋_GB2312" w:cs="仿宋_GB2312"/>
                <w:color w:val="000000"/>
                <w:sz w:val="24"/>
                <w:highlight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A63AC1A">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14F22BA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1B6C14E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36.36%</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B66E02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1AAF76D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vAlign w:val="center"/>
          </w:tcPr>
          <w:p w14:paraId="3F0E9A3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19.70%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112DCF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0F4FDAD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16.03%</w:t>
            </w:r>
          </w:p>
        </w:tc>
      </w:tr>
      <w:tr w14:paraId="25362718">
        <w:tblPrEx>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vAlign w:val="center"/>
          </w:tcPr>
          <w:p w14:paraId="6ADB10DB">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专业课</w:t>
            </w:r>
          </w:p>
        </w:tc>
        <w:tc>
          <w:tcPr>
            <w:tcW w:w="1968" w:type="dxa"/>
            <w:tcBorders>
              <w:top w:val="single" w:color="000000" w:sz="4" w:space="0"/>
              <w:left w:val="single" w:color="000000" w:sz="4" w:space="0"/>
              <w:bottom w:val="single" w:color="000000" w:sz="4" w:space="0"/>
              <w:right w:val="single" w:color="000000" w:sz="4" w:space="0"/>
            </w:tcBorders>
            <w:vAlign w:val="center"/>
          </w:tcPr>
          <w:p w14:paraId="314E2A68">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专业基础课</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F92BEC9">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3AA1D54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0AEC552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19.58%</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4D9F732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96A820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272</w:t>
            </w:r>
          </w:p>
        </w:tc>
        <w:tc>
          <w:tcPr>
            <w:tcW w:w="1261" w:type="dxa"/>
            <w:tcBorders>
              <w:top w:val="single" w:color="000000" w:sz="4" w:space="0"/>
              <w:left w:val="single" w:color="000000" w:sz="4" w:space="0"/>
              <w:bottom w:val="single" w:color="000000" w:sz="4" w:space="0"/>
              <w:right w:val="single" w:color="000000" w:sz="4" w:space="0"/>
            </w:tcBorders>
            <w:vAlign w:val="center"/>
          </w:tcPr>
          <w:p w14:paraId="40EF9A2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10.19%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B4966B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232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443E549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8.69%</w:t>
            </w:r>
          </w:p>
        </w:tc>
      </w:tr>
      <w:tr w14:paraId="48DB5B8E">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0FDCFD47">
            <w:pPr>
              <w:widowControl/>
              <w:spacing w:after="0" w:line="240" w:lineRule="auto"/>
              <w:jc w:val="center"/>
              <w:rPr>
                <w:rFonts w:hint="eastAsia" w:ascii="Times New Roman" w:hAnsi="Times New Roman" w:eastAsia="仿宋_GB2312" w:cs="仿宋_GB2312"/>
                <w:color w:val="000000"/>
                <w:sz w:val="24"/>
                <w:highlight w:val="none"/>
              </w:rPr>
            </w:pPr>
          </w:p>
        </w:tc>
        <w:tc>
          <w:tcPr>
            <w:tcW w:w="1968" w:type="dxa"/>
            <w:tcBorders>
              <w:top w:val="single" w:color="000000" w:sz="4" w:space="0"/>
              <w:left w:val="single" w:color="000000" w:sz="4" w:space="0"/>
              <w:bottom w:val="single" w:color="000000" w:sz="4" w:space="0"/>
              <w:right w:val="single" w:color="000000" w:sz="4" w:space="0"/>
            </w:tcBorders>
            <w:vAlign w:val="center"/>
          </w:tcPr>
          <w:p w14:paraId="206C0510">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专业核心课</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3969659F">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32F1891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26</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16FE51C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18.18%</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5BCFB1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468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488AE60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242</w:t>
            </w:r>
          </w:p>
        </w:tc>
        <w:tc>
          <w:tcPr>
            <w:tcW w:w="1261" w:type="dxa"/>
            <w:tcBorders>
              <w:top w:val="single" w:color="000000" w:sz="4" w:space="0"/>
              <w:left w:val="single" w:color="000000" w:sz="4" w:space="0"/>
              <w:bottom w:val="single" w:color="000000" w:sz="4" w:space="0"/>
              <w:right w:val="single" w:color="000000" w:sz="4" w:space="0"/>
            </w:tcBorders>
            <w:vAlign w:val="center"/>
          </w:tcPr>
          <w:p w14:paraId="3C35E3E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9.06%</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935D23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226</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368E23D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8.46%</w:t>
            </w:r>
          </w:p>
        </w:tc>
      </w:tr>
      <w:tr w14:paraId="053EF982">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6A4C61C5">
            <w:pPr>
              <w:widowControl/>
              <w:spacing w:after="0" w:line="240" w:lineRule="auto"/>
              <w:jc w:val="center"/>
              <w:rPr>
                <w:rFonts w:hint="eastAsia" w:ascii="Times New Roman" w:hAnsi="Times New Roman" w:eastAsia="仿宋_GB2312" w:cs="仿宋_GB2312"/>
                <w:color w:val="000000"/>
                <w:sz w:val="24"/>
                <w:highlight w:val="none"/>
              </w:rPr>
            </w:pPr>
          </w:p>
        </w:tc>
        <w:tc>
          <w:tcPr>
            <w:tcW w:w="1968" w:type="dxa"/>
            <w:tcBorders>
              <w:top w:val="single" w:color="000000" w:sz="4" w:space="0"/>
              <w:left w:val="single" w:color="000000" w:sz="4" w:space="0"/>
              <w:bottom w:val="single" w:color="000000" w:sz="4" w:space="0"/>
              <w:right w:val="single" w:color="000000" w:sz="4" w:space="0"/>
            </w:tcBorders>
            <w:vAlign w:val="center"/>
          </w:tcPr>
          <w:p w14:paraId="45CD6163">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专业拓展课</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4F76590">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FEDF02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1907A92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6.99%</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46F5598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160</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13B36D7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160</w:t>
            </w:r>
          </w:p>
        </w:tc>
        <w:tc>
          <w:tcPr>
            <w:tcW w:w="1261" w:type="dxa"/>
            <w:tcBorders>
              <w:top w:val="single" w:color="000000" w:sz="4" w:space="0"/>
              <w:left w:val="single" w:color="000000" w:sz="4" w:space="0"/>
              <w:bottom w:val="single" w:color="000000" w:sz="4" w:space="0"/>
              <w:right w:val="single" w:color="000000" w:sz="4" w:space="0"/>
            </w:tcBorders>
            <w:vAlign w:val="center"/>
          </w:tcPr>
          <w:p w14:paraId="75F51AA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5.99%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AAF7B8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E918D4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0.00%</w:t>
            </w:r>
          </w:p>
        </w:tc>
      </w:tr>
      <w:tr w14:paraId="06DD53D8">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2276CB11">
            <w:pPr>
              <w:widowControl/>
              <w:spacing w:after="0" w:line="240" w:lineRule="auto"/>
              <w:jc w:val="center"/>
              <w:textAlignment w:val="center"/>
              <w:rPr>
                <w:rFonts w:hint="eastAsia" w:ascii="Times New Roman" w:hAnsi="Times New Roman" w:eastAsia="仿宋_GB2312" w:cs="仿宋_GB2312"/>
                <w:color w:val="000000"/>
                <w:kern w:val="0"/>
                <w:sz w:val="24"/>
                <w:highlight w:val="none"/>
                <w:lang w:bidi="ar"/>
              </w:rPr>
            </w:pPr>
          </w:p>
        </w:tc>
        <w:tc>
          <w:tcPr>
            <w:tcW w:w="1968" w:type="dxa"/>
            <w:tcBorders>
              <w:top w:val="single" w:color="000000" w:sz="4" w:space="0"/>
              <w:left w:val="single" w:color="000000" w:sz="4" w:space="0"/>
              <w:bottom w:val="single" w:color="000000" w:sz="4" w:space="0"/>
              <w:right w:val="single" w:color="000000" w:sz="4" w:space="0"/>
            </w:tcBorders>
            <w:vAlign w:val="center"/>
          </w:tcPr>
          <w:p w14:paraId="33D908C2">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sz w:val="24"/>
                <w:highlight w:val="none"/>
              </w:rPr>
              <w:t>实践</w:t>
            </w:r>
            <w:r>
              <w:rPr>
                <w:rFonts w:hint="eastAsia" w:ascii="Times New Roman" w:hAnsi="Times New Roman" w:eastAsia="仿宋_GB2312" w:cs="仿宋_GB2312"/>
                <w:color w:val="000000"/>
                <w:sz w:val="24"/>
                <w:highlight w:val="none"/>
                <w:lang w:val="en-US" w:eastAsia="zh-CN"/>
              </w:rPr>
              <w:t>性</w:t>
            </w:r>
            <w:r>
              <w:rPr>
                <w:rFonts w:hint="eastAsia" w:ascii="Times New Roman" w:hAnsi="Times New Roman" w:eastAsia="仿宋_GB2312" w:cs="仿宋_GB2312"/>
                <w:color w:val="000000"/>
                <w:sz w:val="24"/>
                <w:highlight w:val="none"/>
              </w:rPr>
              <w:t>教学环节</w:t>
            </w:r>
          </w:p>
        </w:tc>
        <w:tc>
          <w:tcPr>
            <w:tcW w:w="872" w:type="dxa"/>
            <w:tcBorders>
              <w:top w:val="single" w:color="000000" w:sz="4" w:space="0"/>
              <w:left w:val="single" w:color="000000" w:sz="4" w:space="0"/>
              <w:bottom w:val="single" w:color="000000" w:sz="4" w:space="0"/>
              <w:right w:val="single" w:color="000000" w:sz="4" w:space="0"/>
            </w:tcBorders>
            <w:vAlign w:val="center"/>
          </w:tcPr>
          <w:p w14:paraId="336E56CB">
            <w:pPr>
              <w:widowControl/>
              <w:spacing w:after="0" w:line="240" w:lineRule="auto"/>
              <w:jc w:val="center"/>
              <w:textAlignment w:val="center"/>
              <w:rPr>
                <w:rFonts w:hint="eastAsia" w:ascii="Times New Roman" w:hAnsi="Times New Roman" w:eastAsia="仿宋_GB2312" w:cs="仿宋_GB2312"/>
                <w:color w:val="000000"/>
                <w:kern w:val="0"/>
                <w:sz w:val="24"/>
                <w:highlight w:val="none"/>
                <w:lang w:bidi="ar"/>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4F5BDC7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73B0B6A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18.88%</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4CC5F4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584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5700C28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vAlign w:val="center"/>
          </w:tcPr>
          <w:p w14:paraId="10B3C4B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21936F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564</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4A8F16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21.12%</w:t>
            </w:r>
          </w:p>
        </w:tc>
      </w:tr>
      <w:tr w14:paraId="26681EAB">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vAlign w:val="center"/>
          </w:tcPr>
          <w:p w14:paraId="728C3949">
            <w:pPr>
              <w:widowControl/>
              <w:spacing w:after="0" w:line="240" w:lineRule="auto"/>
              <w:jc w:val="center"/>
              <w:textAlignment w:val="center"/>
              <w:rPr>
                <w:rFonts w:hint="eastAsia" w:ascii="Times New Roman" w:hAnsi="Times New Roman" w:eastAsia="仿宋_GB2312" w:cs="仿宋_GB2312"/>
                <w:color w:val="000000"/>
                <w:kern w:val="0"/>
                <w:sz w:val="24"/>
                <w:highlight w:val="none"/>
                <w:lang w:bidi="ar"/>
              </w:rPr>
            </w:pP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14:paraId="25938EA2">
            <w:pPr>
              <w:widowControl/>
              <w:spacing w:after="0" w:line="240" w:lineRule="auto"/>
              <w:jc w:val="center"/>
              <w:textAlignment w:val="center"/>
              <w:rPr>
                <w:rFonts w:hint="eastAsia" w:ascii="Times New Roman" w:hAnsi="Times New Roman" w:eastAsia="仿宋_GB2312" w:cs="仿宋_GB2312"/>
                <w:color w:val="000000"/>
                <w:kern w:val="0"/>
                <w:sz w:val="24"/>
                <w:highlight w:val="none"/>
                <w:lang w:bidi="ar"/>
              </w:rPr>
            </w:pPr>
            <w:r>
              <w:rPr>
                <w:rFonts w:hint="eastAsia" w:ascii="Times New Roman" w:hAnsi="Times New Roman" w:eastAsia="仿宋_GB2312" w:cs="仿宋_GB2312"/>
                <w:color w:val="000000"/>
                <w:kern w:val="0"/>
                <w:sz w:val="24"/>
                <w:highlight w:val="none"/>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7C35D7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91</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5800006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63.64%</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9B3EA8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1716</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DD434A6">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694</w:t>
            </w:r>
          </w:p>
        </w:tc>
        <w:tc>
          <w:tcPr>
            <w:tcW w:w="1261" w:type="dxa"/>
            <w:tcBorders>
              <w:top w:val="single" w:color="000000" w:sz="4" w:space="0"/>
              <w:left w:val="single" w:color="000000" w:sz="4" w:space="0"/>
              <w:bottom w:val="single" w:color="000000" w:sz="4" w:space="0"/>
              <w:right w:val="single" w:color="000000" w:sz="4" w:space="0"/>
            </w:tcBorders>
            <w:vAlign w:val="center"/>
          </w:tcPr>
          <w:p w14:paraId="7BB38186">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25.99%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5ADDB4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1022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126C0D9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38.28%</w:t>
            </w:r>
          </w:p>
        </w:tc>
      </w:tr>
      <w:tr w14:paraId="066FCD35">
        <w:tblPrEx>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noWrap/>
            <w:vAlign w:val="center"/>
          </w:tcPr>
          <w:p w14:paraId="58454D3D">
            <w:pPr>
              <w:widowControl/>
              <w:spacing w:after="0" w:line="240" w:lineRule="auto"/>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合计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0F264C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143</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307228A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9718CB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2670</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072C925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1220</w:t>
            </w:r>
          </w:p>
        </w:tc>
        <w:tc>
          <w:tcPr>
            <w:tcW w:w="1261" w:type="dxa"/>
            <w:tcBorders>
              <w:top w:val="single" w:color="000000" w:sz="4" w:space="0"/>
              <w:left w:val="single" w:color="000000" w:sz="4" w:space="0"/>
              <w:bottom w:val="single" w:color="000000" w:sz="4" w:space="0"/>
              <w:right w:val="single" w:color="000000" w:sz="4" w:space="0"/>
            </w:tcBorders>
            <w:vAlign w:val="center"/>
          </w:tcPr>
          <w:p w14:paraId="2A567D8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45.69%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4DAA2E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1450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BC5530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54.31%</w:t>
            </w:r>
          </w:p>
        </w:tc>
      </w:tr>
    </w:tbl>
    <w:p w14:paraId="177D6DF9">
      <w:pPr>
        <w:spacing w:after="0" w:line="520" w:lineRule="exact"/>
        <w:ind w:firstLine="640" w:firstLineChars="200"/>
        <w:outlineLvl w:val="1"/>
        <w:rPr>
          <w:rFonts w:hint="eastAsia" w:ascii="Times New Roman" w:hAnsi="Times New Roman" w:eastAsia="楷体" w:cs="楷体"/>
          <w:sz w:val="32"/>
          <w:szCs w:val="32"/>
          <w:highlight w:val="none"/>
        </w:rPr>
      </w:pPr>
      <w:bookmarkStart w:id="45" w:name="_Toc4683"/>
      <w:r>
        <w:rPr>
          <w:rFonts w:hint="eastAsia" w:ascii="Times New Roman" w:hAnsi="Times New Roman" w:eastAsia="楷体" w:cs="楷体"/>
          <w:sz w:val="32"/>
          <w:szCs w:val="32"/>
          <w:highlight w:val="none"/>
        </w:rPr>
        <w:t>（三）教学计划进程</w:t>
      </w:r>
      <w:bookmarkEnd w:id="45"/>
    </w:p>
    <w:p w14:paraId="39177B2D">
      <w:pPr>
        <w:pStyle w:val="9"/>
        <w:shd w:val="clear" w:color="auto" w:fill="FFFFFF"/>
        <w:spacing w:before="0" w:beforeAutospacing="0" w:afterAutospacing="0" w:line="520" w:lineRule="exact"/>
        <w:jc w:val="center"/>
        <w:rPr>
          <w:rFonts w:hint="eastAsia" w:ascii="Times New Roman" w:hAnsi="Times New Roman" w:eastAsia="楷体" w:cs="楷体"/>
          <w:sz w:val="32"/>
          <w:szCs w:val="32"/>
          <w:highlight w:val="none"/>
        </w:rPr>
      </w:pPr>
      <w:r>
        <w:rPr>
          <w:rFonts w:hint="eastAsia" w:ascii="Times New Roman" w:hAnsi="Times New Roman" w:eastAsia="仿宋_GB2312" w:cs="仿宋_GB2312"/>
          <w:sz w:val="32"/>
          <w:szCs w:val="32"/>
          <w:highlight w:val="none"/>
        </w:rPr>
        <w:t>表10</w:t>
      </w:r>
      <w:r>
        <w:rPr>
          <w:rFonts w:hint="eastAsia" w:ascii="Times New Roman" w:hAnsi="Times New Roman" w:eastAsia="仿宋_GB2312" w:cs="仿宋_GB2312"/>
          <w:sz w:val="32"/>
          <w:szCs w:val="32"/>
          <w:highlight w:val="none"/>
          <w:shd w:val="clear" w:color="auto" w:fill="FFFFFF"/>
          <w:lang w:bidi="ar"/>
        </w:rPr>
        <w:t>教学计划进程安排表</w:t>
      </w:r>
    </w:p>
    <w:tbl>
      <w:tblPr>
        <w:tblStyle w:val="10"/>
        <w:tblW w:w="10633" w:type="dxa"/>
        <w:tblInd w:w="-794" w:type="dxa"/>
        <w:tblLayout w:type="fixed"/>
        <w:tblCellMar>
          <w:top w:w="0" w:type="dxa"/>
          <w:left w:w="0" w:type="dxa"/>
          <w:bottom w:w="0" w:type="dxa"/>
          <w:right w:w="0" w:type="dxa"/>
        </w:tblCellMar>
      </w:tblPr>
      <w:tblGrid>
        <w:gridCol w:w="516"/>
        <w:gridCol w:w="550"/>
        <w:gridCol w:w="417"/>
        <w:gridCol w:w="583"/>
        <w:gridCol w:w="1386"/>
        <w:gridCol w:w="1895"/>
        <w:gridCol w:w="690"/>
        <w:gridCol w:w="690"/>
        <w:gridCol w:w="690"/>
        <w:gridCol w:w="690"/>
        <w:gridCol w:w="359"/>
        <w:gridCol w:w="267"/>
        <w:gridCol w:w="300"/>
        <w:gridCol w:w="333"/>
        <w:gridCol w:w="350"/>
        <w:gridCol w:w="367"/>
        <w:gridCol w:w="550"/>
      </w:tblGrid>
      <w:tr w14:paraId="5EA91921">
        <w:tblPrEx>
          <w:tblCellMar>
            <w:top w:w="0" w:type="dxa"/>
            <w:left w:w="0" w:type="dxa"/>
            <w:bottom w:w="0" w:type="dxa"/>
            <w:right w:w="0" w:type="dxa"/>
          </w:tblCellMar>
        </w:tblPrEx>
        <w:trPr>
          <w:trHeight w:val="312" w:hRule="atLeast"/>
        </w:trPr>
        <w:tc>
          <w:tcPr>
            <w:tcW w:w="1483"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A6DBA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 xml:space="preserve">   课程类型</w:t>
            </w:r>
          </w:p>
        </w:tc>
        <w:tc>
          <w:tcPr>
            <w:tcW w:w="583"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7F50DF2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序号</w:t>
            </w:r>
          </w:p>
        </w:tc>
        <w:tc>
          <w:tcPr>
            <w:tcW w:w="1386"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45D303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课程代码</w:t>
            </w:r>
          </w:p>
        </w:tc>
        <w:tc>
          <w:tcPr>
            <w:tcW w:w="1895"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1310C3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课程名称</w:t>
            </w:r>
          </w:p>
        </w:tc>
        <w:tc>
          <w:tcPr>
            <w:tcW w:w="69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10F8739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学分</w:t>
            </w:r>
          </w:p>
        </w:tc>
        <w:tc>
          <w:tcPr>
            <w:tcW w:w="2070" w:type="dxa"/>
            <w:gridSpan w:val="3"/>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2405740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教学学时数</w:t>
            </w:r>
          </w:p>
        </w:tc>
        <w:tc>
          <w:tcPr>
            <w:tcW w:w="1976" w:type="dxa"/>
            <w:gridSpan w:val="6"/>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756ED8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开课学期和周学时</w:t>
            </w:r>
          </w:p>
        </w:tc>
        <w:tc>
          <w:tcPr>
            <w:tcW w:w="55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14:paraId="1CD7E74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考核类型</w:t>
            </w:r>
          </w:p>
        </w:tc>
      </w:tr>
      <w:tr w14:paraId="4FE5B8BB">
        <w:tblPrEx>
          <w:tblCellMar>
            <w:top w:w="0" w:type="dxa"/>
            <w:left w:w="0" w:type="dxa"/>
            <w:bottom w:w="0" w:type="dxa"/>
            <w:right w:w="0" w:type="dxa"/>
          </w:tblCellMar>
        </w:tblPrEx>
        <w:trPr>
          <w:trHeight w:val="328" w:hRule="atLeast"/>
        </w:trPr>
        <w:tc>
          <w:tcPr>
            <w:tcW w:w="14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099FA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2648A3B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1386"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53EBDA8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1895"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57AFDB5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69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5544DD6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070" w:type="dxa"/>
            <w:gridSpan w:val="3"/>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3BE1933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1976" w:type="dxa"/>
            <w:gridSpan w:val="6"/>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08F244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41E9965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09892AD2">
        <w:tblPrEx>
          <w:tblCellMar>
            <w:top w:w="0" w:type="dxa"/>
            <w:left w:w="0" w:type="dxa"/>
            <w:bottom w:w="0" w:type="dxa"/>
            <w:right w:w="0" w:type="dxa"/>
          </w:tblCellMar>
        </w:tblPrEx>
        <w:trPr>
          <w:trHeight w:val="356" w:hRule="atLeast"/>
        </w:trPr>
        <w:tc>
          <w:tcPr>
            <w:tcW w:w="1483"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4677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5A838BC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1386"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4DD081B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1895"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4E53A8F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69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14:paraId="4CE30BA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690" w:type="dxa"/>
            <w:tcBorders>
              <w:top w:val="nil"/>
              <w:left w:val="nil"/>
              <w:bottom w:val="nil"/>
              <w:right w:val="single" w:color="000000" w:sz="8" w:space="0"/>
            </w:tcBorders>
            <w:tcMar>
              <w:top w:w="15" w:type="dxa"/>
              <w:left w:w="15" w:type="dxa"/>
              <w:right w:w="15" w:type="dxa"/>
            </w:tcMar>
            <w:vAlign w:val="center"/>
          </w:tcPr>
          <w:p w14:paraId="5D6EA47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合计</w:t>
            </w:r>
          </w:p>
        </w:tc>
        <w:tc>
          <w:tcPr>
            <w:tcW w:w="690" w:type="dxa"/>
            <w:tcBorders>
              <w:top w:val="nil"/>
              <w:left w:val="nil"/>
              <w:bottom w:val="nil"/>
              <w:right w:val="single" w:color="000000" w:sz="8" w:space="0"/>
            </w:tcBorders>
            <w:tcMar>
              <w:top w:w="15" w:type="dxa"/>
              <w:left w:w="15" w:type="dxa"/>
              <w:right w:w="15" w:type="dxa"/>
            </w:tcMar>
            <w:vAlign w:val="center"/>
          </w:tcPr>
          <w:p w14:paraId="34EFD6E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理论学时</w:t>
            </w:r>
          </w:p>
        </w:tc>
        <w:tc>
          <w:tcPr>
            <w:tcW w:w="690" w:type="dxa"/>
            <w:tcBorders>
              <w:top w:val="nil"/>
              <w:left w:val="nil"/>
              <w:bottom w:val="nil"/>
              <w:right w:val="single" w:color="000000" w:sz="8" w:space="0"/>
            </w:tcBorders>
            <w:tcMar>
              <w:top w:w="15" w:type="dxa"/>
              <w:left w:w="15" w:type="dxa"/>
              <w:right w:w="15" w:type="dxa"/>
            </w:tcMar>
            <w:vAlign w:val="center"/>
          </w:tcPr>
          <w:p w14:paraId="680097A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实践学时</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22B7F1A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一</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55B23B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二</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21BF3BB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三</w:t>
            </w: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0357EB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四</w:t>
            </w: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5981E7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五</w:t>
            </w: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3945A2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六</w:t>
            </w: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5A5BD2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2BF7C1E5">
        <w:tblPrEx>
          <w:tblCellMar>
            <w:top w:w="0" w:type="dxa"/>
            <w:left w:w="0" w:type="dxa"/>
            <w:bottom w:w="0" w:type="dxa"/>
            <w:right w:w="0" w:type="dxa"/>
          </w:tblCellMar>
        </w:tblPrEx>
        <w:trPr>
          <w:trHeight w:val="397" w:hRule="atLeast"/>
        </w:trPr>
        <w:tc>
          <w:tcPr>
            <w:tcW w:w="1066" w:type="dxa"/>
            <w:gridSpan w:val="2"/>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14:paraId="70CE7C1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公共基础课</w:t>
            </w:r>
          </w:p>
        </w:tc>
        <w:tc>
          <w:tcPr>
            <w:tcW w:w="417"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4A397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必修</w:t>
            </w: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A85C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7459A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1B410101101</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918E6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思想道德与法治</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EE557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375B2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A7324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64958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0EEC54E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457F314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3C1F7D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4F28C8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3D90FE9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68AC3B4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1228929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152906A0">
        <w:tblPrEx>
          <w:tblCellMar>
            <w:top w:w="0" w:type="dxa"/>
            <w:left w:w="0" w:type="dxa"/>
            <w:bottom w:w="0" w:type="dxa"/>
            <w:right w:w="0" w:type="dxa"/>
          </w:tblCellMar>
        </w:tblPrEx>
        <w:trPr>
          <w:trHeight w:val="512"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A26E47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E873A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4BC41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B36DD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1A410101102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91346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形势与政策</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FF1B2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EB43B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D57BC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CCC3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tcBorders>
              <w:top w:val="nil"/>
              <w:left w:val="nil"/>
              <w:bottom w:val="single" w:color="000000" w:sz="8" w:space="0"/>
              <w:right w:val="single" w:color="000000" w:sz="8" w:space="0"/>
            </w:tcBorders>
            <w:tcMar>
              <w:top w:w="15" w:type="dxa"/>
              <w:left w:w="15" w:type="dxa"/>
              <w:right w:w="15" w:type="dxa"/>
            </w:tcMar>
            <w:vAlign w:val="center"/>
          </w:tcPr>
          <w:p w14:paraId="0A8EEB7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1到4学期开课，每学期8学时。</w:t>
            </w: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6582E6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516DD71">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14B654A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8CF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76BDA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9B783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1A410101103</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5CE8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国家安全教育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CC30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B4423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63920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39D15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1AC4738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C08EBC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298E56D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2292724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6733D23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782CF7F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577BF4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06FA86CD">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D21D2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3E6B2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B4AAE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4598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1A410101104</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F0FA9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军事理论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4D6C7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7A4D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B10F5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4214D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134FEC8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7457163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2E4148C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226461C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32F9F81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03F66EA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3382D4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C870F78">
        <w:tblPrEx>
          <w:tblCellMar>
            <w:top w:w="0" w:type="dxa"/>
            <w:left w:w="0" w:type="dxa"/>
            <w:bottom w:w="0" w:type="dxa"/>
            <w:right w:w="0" w:type="dxa"/>
          </w:tblCellMar>
        </w:tblPrEx>
        <w:trPr>
          <w:trHeight w:val="555"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573C4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7B236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C48D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5</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75821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1C410101105</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72CC0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军训</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CAE1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9A99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112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3C69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B87C7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112</w:t>
            </w:r>
          </w:p>
        </w:tc>
        <w:tc>
          <w:tcPr>
            <w:tcW w:w="1976" w:type="dxa"/>
            <w:gridSpan w:val="6"/>
            <w:tcBorders>
              <w:top w:val="nil"/>
              <w:left w:val="nil"/>
              <w:bottom w:val="single" w:color="000000" w:sz="8" w:space="0"/>
              <w:right w:val="single" w:color="000000" w:sz="8" w:space="0"/>
            </w:tcBorders>
            <w:tcMar>
              <w:top w:w="15" w:type="dxa"/>
              <w:left w:w="15" w:type="dxa"/>
              <w:right w:w="15" w:type="dxa"/>
            </w:tcMar>
            <w:vAlign w:val="center"/>
          </w:tcPr>
          <w:p w14:paraId="3193936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第1学期，实际训练时间不少于14天</w:t>
            </w: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010B949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772C8EA">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28358D6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45395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0DF2B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55FEC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1B410101106</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94EBE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计算机基础</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A9740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72FCE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828FC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6F47A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60ABCDD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2626FC3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04D41E6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4040DC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08BCA59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195482F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6E0BFDF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1EB46E0D">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2B5825B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DDE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1722C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A08C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1B410101107</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32C8A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高等数学</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B38BC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4CF4D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3D432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D518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371CDE5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347027D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4A8C94F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181BDB7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4BEA73B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3DFDA4D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CCB1F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20CA9610">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1D3783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9D4A5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13C7D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028F4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1B410101108</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DE16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大学英语</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0F932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99FAC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1A3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104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CF37F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24</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49EBA5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1B22726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5E641A3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7158D64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026A374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4439561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665CB83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2CAF2B5E">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5036FEC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2545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129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9</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E9CFF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highlight w:val="none"/>
                <w:u w:val="none"/>
                <w:lang w:val="en-US" w:eastAsia="zh-CN" w:bidi="ar"/>
              </w:rPr>
              <w:t>1C410101109</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11C32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大学体育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14B0E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BEEBC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bidi="ar"/>
              </w:rPr>
              <w:t>1</w:t>
            </w:r>
            <w:r>
              <w:rPr>
                <w:rFonts w:hint="eastAsia" w:ascii="Times New Roman" w:hAnsi="Times New Roman" w:eastAsia="仿宋_GB2312" w:cs="仿宋_GB2312"/>
                <w:color w:val="auto"/>
                <w:kern w:val="0"/>
                <w:sz w:val="20"/>
                <w:szCs w:val="20"/>
                <w:highlight w:val="none"/>
                <w:lang w:val="en-US" w:eastAsia="zh-CN" w:bidi="ar"/>
              </w:rPr>
              <w:t>44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FF493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BA7BE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bidi="ar"/>
              </w:rPr>
              <w:t>1</w:t>
            </w:r>
            <w:r>
              <w:rPr>
                <w:rFonts w:hint="eastAsia" w:ascii="Times New Roman" w:hAnsi="Times New Roman" w:eastAsia="仿宋_GB2312" w:cs="仿宋_GB2312"/>
                <w:color w:val="auto"/>
                <w:kern w:val="0"/>
                <w:sz w:val="20"/>
                <w:szCs w:val="20"/>
                <w:highlight w:val="none"/>
                <w:lang w:val="en-US" w:eastAsia="zh-CN" w:bidi="ar"/>
              </w:rPr>
              <w:t>44</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12431EB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5F3B40C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5733EFB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6DE2D62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2</w:t>
            </w: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09E5D0E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59EDB04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1D0D11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F6256C5">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5FB32F5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A584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4526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10</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A2DB7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1B410101110</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6E46C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大学生职业发展与就业指导</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44BA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7BC6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C0581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F6FB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6E4C7A0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3C3C50C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77759A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15BE676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371A1FA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65DF4D7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3888E0B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42C068F5">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75670D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F7D4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2429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11</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B2930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1B410101111</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744FA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大学生心理健康教育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25126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89B6D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496B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4DA56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2236D8E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1E8C8ED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148CA5C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57D93D6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19A92C0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5FB0E9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5D1FB7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35F2FE5B">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10789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C3D7C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DB386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1514A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1C410101112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0870F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劳动教育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5DF1B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C52FF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B21BD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F751B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15814EE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FA20B8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nil"/>
              <w:right w:val="nil"/>
            </w:tcBorders>
            <w:noWrap/>
            <w:tcMar>
              <w:top w:w="15" w:type="dxa"/>
              <w:left w:w="15" w:type="dxa"/>
              <w:right w:w="15" w:type="dxa"/>
            </w:tcMar>
            <w:vAlign w:val="center"/>
          </w:tcPr>
          <w:p w14:paraId="2145899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0A91AD1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20427B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047AE9E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D89AAC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B42A825">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12BC326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92D1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2BE36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13</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7B85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1B410101113</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25B8F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毛泽东思想和中国特色社会主义理论体系概论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A3254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7F206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EB5FE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DE425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489F3FF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41F3F4B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14:paraId="353B908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0D26539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6134E01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220072C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398C56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09B2BA2F">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0B3A31B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93B96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73F17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14</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72B2E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1B410101114</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BC488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创新创业教育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18B5A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DE061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89729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115B8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0E76261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50152B2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nil"/>
              <w:right w:val="nil"/>
            </w:tcBorders>
            <w:noWrap/>
            <w:tcMar>
              <w:top w:w="15" w:type="dxa"/>
              <w:left w:w="15" w:type="dxa"/>
              <w:right w:w="15" w:type="dxa"/>
            </w:tcMar>
            <w:vAlign w:val="center"/>
          </w:tcPr>
          <w:p w14:paraId="188BCDE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70B4F81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15B64F1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2AD71A6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1AE486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1C18D590">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66514F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9F5F8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3D47E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15</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32960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1B410101115</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9141E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习近平新时代中国特色社会主义思想概论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FA9A3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AF7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48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F2F2E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40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53E10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eastAsia="zh-CN" w:bidi="ar"/>
              </w:rPr>
            </w:pPr>
            <w:r>
              <w:rPr>
                <w:rFonts w:hint="eastAsia" w:ascii="Times New Roman" w:hAnsi="Times New Roman" w:eastAsia="仿宋_GB2312" w:cs="仿宋_GB2312"/>
                <w:color w:val="auto"/>
                <w:kern w:val="0"/>
                <w:sz w:val="20"/>
                <w:szCs w:val="20"/>
                <w:highlight w:val="none"/>
                <w:lang w:val="en-US" w:eastAsia="zh-CN" w:bidi="ar"/>
              </w:rPr>
              <w:t>8</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393F393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3BE82C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14:paraId="71274E5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053A791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37B2AC3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233D61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3EA9442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2E0A29EE">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291A88E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3B108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选修</w:t>
            </w: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09DD4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70728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1B410101201</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3E477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中国民俗剪纸技法</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A3945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A2743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BC617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E14F0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24</w:t>
            </w:r>
          </w:p>
        </w:tc>
        <w:tc>
          <w:tcPr>
            <w:tcW w:w="1976" w:type="dxa"/>
            <w:gridSpan w:val="6"/>
            <w:vMerge w:val="restart"/>
            <w:tcBorders>
              <w:top w:val="nil"/>
              <w:left w:val="nil"/>
              <w:bottom w:val="single" w:color="000000" w:sz="8" w:space="0"/>
              <w:right w:val="single" w:color="000000" w:sz="8" w:space="0"/>
            </w:tcBorders>
            <w:tcMar>
              <w:top w:w="15" w:type="dxa"/>
              <w:left w:w="15" w:type="dxa"/>
              <w:right w:w="15" w:type="dxa"/>
            </w:tcMar>
            <w:vAlign w:val="center"/>
          </w:tcPr>
          <w:p w14:paraId="7ACD681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公共选修课最低学分要求为8学分，其中要求2个学分为思政选修课学分。</w:t>
            </w: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175370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015B24AD">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5038B1B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23432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E9064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73E2F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1B410101202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1C25F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影视与鉴赏</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CCA6A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70CA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AEED5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E6F9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24</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3259FD8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33A09D8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7899DDCF">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05802AD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5F589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2225D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2536F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1A410101203</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FDD4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中华优秀传统文化</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C2B13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D7532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45EBC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99CE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5CB7C8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4D91A5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0A3E90E">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5C20358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DA5FF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79E0E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54BC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1A410101204</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482C8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中国共产党简史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06362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FC854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DC46B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1F5C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6EDF133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7F1EA0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6534823D">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6DEB98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FD3CF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854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5</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EA37B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1A410101205</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D2777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改革开放简史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013C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28AE6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E208A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574A0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6205CB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41E9C3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06C1E2E3">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7D964CC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7BE94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FE57C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6D3D6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1A410101206</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B17FC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中华人民共和国简史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DF601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37638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F639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F87FF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7CFE194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38B8E50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211BB68A">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CEBF3B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48BDC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04F5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82BC5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1A410101207</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3C3A9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社会主义发展简史</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028A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0ECE1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0A5AE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B710B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517E933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895609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2FC789E2">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01F5C06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303C9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CC11F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6D8A7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1A410101208</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242B1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中华民族共同体概论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13BE8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F995E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0437B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94EC0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767FB34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40CC4E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2CFF4394">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FC84AF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D129E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17158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9</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5BF5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1A410101210</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AE05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语文</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171CC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89C38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7600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C9217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63E715D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C3F1FE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330DB31F">
        <w:tblPrEx>
          <w:tblCellMar>
            <w:top w:w="0" w:type="dxa"/>
            <w:left w:w="0" w:type="dxa"/>
            <w:bottom w:w="0" w:type="dxa"/>
            <w:right w:w="0" w:type="dxa"/>
          </w:tblCellMar>
        </w:tblPrEx>
        <w:trPr>
          <w:trHeight w:val="397"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64520E4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86042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DA7E3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10</w:t>
            </w:r>
          </w:p>
        </w:tc>
        <w:tc>
          <w:tcPr>
            <w:tcW w:w="13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510D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18"/>
                <w:szCs w:val="18"/>
                <w:u w:val="none"/>
                <w:lang w:val="en-US" w:eastAsia="zh-CN" w:bidi="ar"/>
              </w:rPr>
              <w:t>1A410101211</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019C4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物理</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45920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45D72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F315E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3FCC1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416739D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17BC282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910AC44">
        <w:tblPrEx>
          <w:tblCellMar>
            <w:top w:w="0" w:type="dxa"/>
            <w:left w:w="0" w:type="dxa"/>
            <w:bottom w:w="0" w:type="dxa"/>
            <w:right w:w="0" w:type="dxa"/>
          </w:tblCellMar>
        </w:tblPrEx>
        <w:trPr>
          <w:trHeight w:val="384"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62C25C9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281"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9C2D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公共必修课程学分、学时小计</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7204F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44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0804A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826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8CB6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446</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29051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380</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02F5083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C8B3A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4F421C5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63B78D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0F21FF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566BE27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6FC7E18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7C73DA00">
        <w:tblPrEx>
          <w:tblCellMar>
            <w:top w:w="0" w:type="dxa"/>
            <w:left w:w="0" w:type="dxa"/>
            <w:bottom w:w="0" w:type="dxa"/>
            <w:right w:w="0" w:type="dxa"/>
          </w:tblCellMar>
        </w:tblPrEx>
        <w:trPr>
          <w:trHeight w:val="384"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10959DA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281"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384D7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公共必修课程学分、学时占比</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5FC76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30.77%</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3BDFE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30.94%</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CA8C7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16.70%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A84AB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14.23%</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606247C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5181DB2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10FAC8D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4B645A3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34B4467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2BCD66B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16439A2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384C6FE9">
        <w:tblPrEx>
          <w:tblCellMar>
            <w:top w:w="0" w:type="dxa"/>
            <w:left w:w="0" w:type="dxa"/>
            <w:bottom w:w="0" w:type="dxa"/>
            <w:right w:w="0" w:type="dxa"/>
          </w:tblCellMar>
        </w:tblPrEx>
        <w:trPr>
          <w:trHeight w:val="384"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FC45E7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281"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2F1F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公共选修课程学分、学时小计</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BF55C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031C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128</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A049D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F808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48</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17A1E83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244EB8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0EC9E6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386BEEB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01097FC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29262C5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6FE66C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0662D176">
        <w:tblPrEx>
          <w:tblCellMar>
            <w:top w:w="0" w:type="dxa"/>
            <w:left w:w="0" w:type="dxa"/>
            <w:bottom w:w="0" w:type="dxa"/>
            <w:right w:w="0" w:type="dxa"/>
          </w:tblCellMar>
        </w:tblPrEx>
        <w:trPr>
          <w:trHeight w:val="384" w:hRule="atLeast"/>
        </w:trPr>
        <w:tc>
          <w:tcPr>
            <w:tcW w:w="1066" w:type="dxa"/>
            <w:gridSpan w:val="2"/>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14:paraId="7F1EDA3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281"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4D0CD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公共选修课程学分、学时占比</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D7B29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5.59%</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020CE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4.79%</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CB11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3.00%</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2B187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1.80%</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7A26F7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1206051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5D4E52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334104A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76F9C22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6355699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224B60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0AFF3166">
        <w:tblPrEx>
          <w:tblCellMar>
            <w:top w:w="0" w:type="dxa"/>
            <w:left w:w="0" w:type="dxa"/>
            <w:bottom w:w="0" w:type="dxa"/>
            <w:right w:w="0" w:type="dxa"/>
          </w:tblCellMar>
        </w:tblPrEx>
        <w:trPr>
          <w:trHeight w:val="397" w:hRule="atLeast"/>
        </w:trPr>
        <w:tc>
          <w:tcPr>
            <w:tcW w:w="516" w:type="dxa"/>
            <w:vMerge w:val="restart"/>
            <w:tcBorders>
              <w:top w:val="nil"/>
              <w:left w:val="single" w:color="000000" w:sz="8" w:space="0"/>
              <w:right w:val="single" w:color="000000" w:sz="8" w:space="0"/>
            </w:tcBorders>
            <w:tcMar>
              <w:top w:w="15" w:type="dxa"/>
              <w:left w:w="15" w:type="dxa"/>
              <w:right w:w="15" w:type="dxa"/>
            </w:tcMar>
            <w:vAlign w:val="center"/>
          </w:tcPr>
          <w:p w14:paraId="485CB4D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B58E6E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1939B5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8F7A00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21D58AC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w:t>
            </w:r>
          </w:p>
          <w:p w14:paraId="108AA7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业</w:t>
            </w:r>
          </w:p>
          <w:p w14:paraId="3198600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课</w:t>
            </w:r>
          </w:p>
          <w:p w14:paraId="7EEDFDB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3627ADA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002ABCA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24E7F0C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5156919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5434CDE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restart"/>
            <w:tcBorders>
              <w:top w:val="nil"/>
              <w:left w:val="nil"/>
              <w:bottom w:val="single" w:color="000000" w:sz="8" w:space="0"/>
              <w:right w:val="nil"/>
            </w:tcBorders>
            <w:tcMar>
              <w:top w:w="15" w:type="dxa"/>
              <w:left w:w="15" w:type="dxa"/>
              <w:right w:w="15" w:type="dxa"/>
            </w:tcMar>
            <w:vAlign w:val="center"/>
          </w:tcPr>
          <w:p w14:paraId="781E35B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专业基础课</w:t>
            </w:r>
          </w:p>
        </w:tc>
        <w:tc>
          <w:tcPr>
            <w:tcW w:w="417"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A34A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必修</w:t>
            </w: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409C8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C052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3B460306302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93846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C语言程序设计</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1E3F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0834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CBA34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5182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3C2837B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421B564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374D0A1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029B38D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2746CC7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041B6B8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ACA1D0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0CB8737B">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2A81AA5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41A56B1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BA174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8FEC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33395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3B510101302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383D6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电路基础</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F9764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FF8E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1B954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EF847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56883F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4B234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668F121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7EE803E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46BA9B5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5DA5B0B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178CE4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718DF781">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18542BF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789C16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FAAA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E961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F23E2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3B510101303</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E3F29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电子工程制图</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33A4C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E8CA8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2F23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52399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686DCA1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72607FE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0440750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4927E95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2E9E11F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0E6C3F5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B43189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2AA76FD0">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542E7D9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25C8C27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F5F4B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F34D4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B89DC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3B510101304</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52C9B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模拟电子技术</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803D4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5EADC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5E9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9222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6B80D4B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100D162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36F337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5C3A590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7CF66E8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2A95C72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914DCA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3A0D70EE">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16F574F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1792333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0B56A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6497C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5</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72BE9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3B510101305</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91059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数字电子技术</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BAA12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0BB6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724AA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B7DA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175218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2B9A2E1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26D13A2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74D759D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0D9644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3B51F6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245EBF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3539136D">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3C3E887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346CF7F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FF082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DD14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4A64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3B510101306</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D9479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通信与网络技术</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1E034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BF930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45E26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A64F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3B1DBE1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66735E2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222CCB2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1866581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0A6D1A3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4B60F0B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08DDC34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1F85F904">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0811C47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3EA0886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D8EAF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E8101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69273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3B510101307</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0DAA8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智能系统导论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1A2FB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BB59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F04F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5ABE6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01C2FA1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34D4733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17E9C7D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1DC9A69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3CEF28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EF755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04FDCCD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31A945C5">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6482E68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restart"/>
            <w:tcBorders>
              <w:top w:val="nil"/>
              <w:left w:val="nil"/>
              <w:bottom w:val="single" w:color="000000" w:sz="8" w:space="0"/>
              <w:right w:val="nil"/>
            </w:tcBorders>
            <w:tcMar>
              <w:top w:w="15" w:type="dxa"/>
              <w:left w:w="15" w:type="dxa"/>
              <w:right w:w="15" w:type="dxa"/>
            </w:tcMar>
            <w:vAlign w:val="center"/>
          </w:tcPr>
          <w:p w14:paraId="3DF1E8D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专业核心课</w:t>
            </w:r>
          </w:p>
        </w:tc>
        <w:tc>
          <w:tcPr>
            <w:tcW w:w="417"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9B954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必修</w:t>
            </w: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18A3A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89AE1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3B510101401</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129E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PCB设计及应用</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4B58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35455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C36CD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25C2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4EC594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0A48128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4E0517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634C38F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510A5E7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4A785AC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3F78F5A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78929AD7">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40566FF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50D4B72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7803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02FD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0E47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6EC8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电子装联技术及应用</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E680F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8A15E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1ED42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21DD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54A1AA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EFD282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0EF61AD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78F284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4A7719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06C3139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2F7B1BB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738C0CAE">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1EF7C38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15C3339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C6068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FE7C5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18E2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3B510101403</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7412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传感技术及应用</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7D68B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32638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6FB7B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18</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B9163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18</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5A1BA1D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0CE4654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0923E92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52CD59F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1E0ED4D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3E40EF4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6A52293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26378FBE">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7B1AFE1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01FA99F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5E37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0CD0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FA64F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3B510101404</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F45EC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智能应用系统集成与维护</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DD81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89462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16DE4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171BA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5436E93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224BF5A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5D790B3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7209922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2B37D67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1C2FD6D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8B408A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4971020A">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7A692E6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16390B7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81E5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1118B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5</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894F3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3B510101405</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04B83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单片机技术及应用</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55F6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C4BE5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494F7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9458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02F43E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73FB8B2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1C5207D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36686D8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795CC2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1ED2126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2F2B82C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16DE9E22">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443D9C8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2784B96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9A22C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62974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20C53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3B510101406</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28F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智能电子产品检测与维修</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BA2F9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7FB28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064AD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40</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9392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5B242E6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229C6F7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0D22818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462264A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6267895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62C3807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366B755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4020DCBE">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59F344F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501E4B8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43E0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C358A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6495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3B510101407</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07539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嵌入式技术及应用</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E6E30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D2C22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98019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F5BE4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359E0EA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446CA5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4A73292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5E5DF9C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5FB586F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37BAD26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0054D8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考试</w:t>
            </w:r>
          </w:p>
        </w:tc>
      </w:tr>
      <w:tr w14:paraId="48678903">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69C133A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restart"/>
            <w:tcBorders>
              <w:top w:val="nil"/>
              <w:left w:val="nil"/>
              <w:bottom w:val="single" w:color="000000" w:sz="8" w:space="0"/>
              <w:right w:val="nil"/>
            </w:tcBorders>
            <w:tcMar>
              <w:top w:w="15" w:type="dxa"/>
              <w:left w:w="15" w:type="dxa"/>
              <w:right w:w="15" w:type="dxa"/>
            </w:tcMar>
            <w:vAlign w:val="center"/>
          </w:tcPr>
          <w:p w14:paraId="4FB4955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68D3FF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053326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B220AA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4512406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AD0CA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6EC28C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3A90587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560BB1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6E3DBDC2">
            <w:pPr>
              <w:keepNext w:val="0"/>
              <w:keepLines w:val="0"/>
              <w:pageBreakBefore w:val="0"/>
              <w:widowControl/>
              <w:kinsoku/>
              <w:wordWrap/>
              <w:overflowPunct/>
              <w:topLinePunct w:val="0"/>
              <w:autoSpaceDE/>
              <w:autoSpaceDN/>
              <w:bidi w:val="0"/>
              <w:adjustRightInd/>
              <w:snapToGrid/>
              <w:spacing w:after="0" w:line="240" w:lineRule="exact"/>
              <w:jc w:val="both"/>
              <w:textAlignment w:val="center"/>
              <w:rPr>
                <w:rFonts w:hint="eastAsia" w:ascii="Times New Roman" w:hAnsi="Times New Roman" w:eastAsia="仿宋_GB2312" w:cs="仿宋_GB2312"/>
                <w:color w:val="auto"/>
                <w:kern w:val="0"/>
                <w:sz w:val="20"/>
                <w:szCs w:val="20"/>
                <w:highlight w:val="none"/>
                <w:lang w:bidi="ar"/>
              </w:rPr>
            </w:pPr>
          </w:p>
          <w:p w14:paraId="012AF94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专业拓展课</w:t>
            </w:r>
          </w:p>
        </w:tc>
        <w:tc>
          <w:tcPr>
            <w:tcW w:w="41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D7569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150204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15EB6A7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487233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452AAFE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27BCD13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72C2978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57C736C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6296E3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238D84B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p w14:paraId="65BBB08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选修</w:t>
            </w: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46EC8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38E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3A510101501</w:t>
            </w:r>
          </w:p>
        </w:tc>
        <w:tc>
          <w:tcPr>
            <w:tcW w:w="18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B5D5A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SMT技术</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203F3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CBDA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ED24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B00B9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restart"/>
            <w:tcBorders>
              <w:top w:val="nil"/>
              <w:left w:val="nil"/>
              <w:bottom w:val="single" w:color="000000" w:sz="8" w:space="0"/>
              <w:right w:val="single" w:color="000000" w:sz="8" w:space="0"/>
            </w:tcBorders>
            <w:tcMar>
              <w:top w:w="15" w:type="dxa"/>
              <w:left w:w="15" w:type="dxa"/>
              <w:right w:w="15" w:type="dxa"/>
            </w:tcMar>
            <w:vAlign w:val="center"/>
          </w:tcPr>
          <w:p w14:paraId="5CBA1AF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专业拓展课最低学分要求为10学分</w:t>
            </w: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362B1A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122FEFEB">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7F047B0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5CFDAC2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E75D6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A106F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A360A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3A510101502</w:t>
            </w:r>
          </w:p>
        </w:tc>
        <w:tc>
          <w:tcPr>
            <w:tcW w:w="18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5B4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微组装技术</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0ED35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81781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7728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5D98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62E0624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1F164F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481AEEA8">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16A7594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6B93952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67335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BAF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2EE64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3A510101503</w:t>
            </w:r>
          </w:p>
        </w:tc>
        <w:tc>
          <w:tcPr>
            <w:tcW w:w="18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6CC3B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集成电路制造工艺</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E583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73B57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3330C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133F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3A71E1C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1A2F162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120C5BA">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507C4F8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5FFC70C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3B78B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3001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46CED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3A510101504</w:t>
            </w:r>
          </w:p>
        </w:tc>
        <w:tc>
          <w:tcPr>
            <w:tcW w:w="18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F72C3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电子产品生产管理</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E6713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621DD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FD37E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FD32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7531B5D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48DE6E2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4052B9D5">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6D5C980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2116051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FAE39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F2F14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5</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CBA8C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3A510101505</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DE80E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射频技术</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89AC2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955E2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9CB88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8FF1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77E0EB0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5949AC6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1147D349">
        <w:tblPrEx>
          <w:tblCellMar>
            <w:top w:w="0" w:type="dxa"/>
            <w:left w:w="0" w:type="dxa"/>
            <w:bottom w:w="0" w:type="dxa"/>
            <w:right w:w="0" w:type="dxa"/>
          </w:tblCellMar>
        </w:tblPrEx>
        <w:trPr>
          <w:trHeight w:val="350"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36A0380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40C8263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41E18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C0A4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988F2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3A510101506</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7CE0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短距离无线通信</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E173C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ECCE6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7D74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4A60E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69FF5C1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5B50F3C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12B64B18">
        <w:tblPrEx>
          <w:tblCellMar>
            <w:top w:w="0" w:type="dxa"/>
            <w:left w:w="0" w:type="dxa"/>
            <w:bottom w:w="0" w:type="dxa"/>
            <w:right w:w="0" w:type="dxa"/>
          </w:tblCellMar>
        </w:tblPrEx>
        <w:trPr>
          <w:trHeight w:val="365"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17F2538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3E1E762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C30DE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A4AA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7</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F64F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3A510101507</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07BF7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eastAsia="zh-CN" w:bidi="ar"/>
              </w:rPr>
            </w:pPr>
            <w:r>
              <w:rPr>
                <w:rFonts w:hint="eastAsia" w:ascii="Times New Roman" w:hAnsi="Times New Roman" w:eastAsia="仿宋_GB2312" w:cs="仿宋_GB2312"/>
                <w:color w:val="auto"/>
                <w:kern w:val="0"/>
                <w:sz w:val="20"/>
                <w:szCs w:val="20"/>
                <w:highlight w:val="none"/>
                <w:lang w:bidi="ar"/>
              </w:rPr>
              <w:t>无线传感器</w:t>
            </w:r>
            <w:r>
              <w:rPr>
                <w:rFonts w:hint="eastAsia" w:ascii="Times New Roman" w:hAnsi="Times New Roman" w:eastAsia="仿宋_GB2312" w:cs="仿宋_GB2312"/>
                <w:color w:val="auto"/>
                <w:kern w:val="0"/>
                <w:sz w:val="20"/>
                <w:szCs w:val="20"/>
                <w:highlight w:val="none"/>
                <w:lang w:eastAsia="zh-CN" w:bidi="ar"/>
              </w:rPr>
              <w:t>网络</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19200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E5E7C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50600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0880D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17659A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72EE504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0C195699">
        <w:tblPrEx>
          <w:tblCellMar>
            <w:top w:w="0" w:type="dxa"/>
            <w:left w:w="0" w:type="dxa"/>
            <w:bottom w:w="0" w:type="dxa"/>
            <w:right w:w="0" w:type="dxa"/>
          </w:tblCellMar>
        </w:tblPrEx>
        <w:trPr>
          <w:trHeight w:val="33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410AC3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243EB5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2D4D4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2BBFB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511F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3A510101508</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3875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FPGA技术及应用</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5D6F7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69BE1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B27F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7D12E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5274C61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5809358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0CABFA9B">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6FE65F1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659659C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84790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E0FB5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9</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C4D0D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3A510101509</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74D5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无人机控制技术</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329E8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AB72F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433E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CF93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49DAF55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066521C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6A11CB93">
        <w:tblPrEx>
          <w:tblCellMar>
            <w:top w:w="0" w:type="dxa"/>
            <w:left w:w="0" w:type="dxa"/>
            <w:bottom w:w="0" w:type="dxa"/>
            <w:right w:w="0" w:type="dxa"/>
          </w:tblCellMar>
        </w:tblPrEx>
        <w:trPr>
          <w:trHeight w:val="322"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258A713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3D5E970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1A963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4F00F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10</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073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3A510101510</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9A69D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移动应用开发</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70633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3535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22522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183F1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083E1E4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2E66D02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544887A9">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3C2EBCA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1B1755F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9B162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191CA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11</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8A1DB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3A510101511</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9A603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网络云化技术及应用</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41542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679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98DE9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F00AC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1D899F5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5E37396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64BD66EF">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009C98B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404E3C8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3E76C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3135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12</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DFDB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3A510101512</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8BD84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机器人控制技术</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7290E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375DE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2CA74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DB7E2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09A0D8B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3E1199A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7A9710EC">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5E60723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784F314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9C858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C332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13</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30C7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3A510101513</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FE312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spacing w:val="-11"/>
                <w:kern w:val="0"/>
                <w:sz w:val="20"/>
                <w:szCs w:val="20"/>
                <w:highlight w:val="none"/>
                <w:lang w:bidi="ar"/>
              </w:rPr>
              <w:t>工业互联网实施与运维</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BAFF7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81FF7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D7B9A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F665C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1D995CD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303D3DD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3F3920C6">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75271B2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nil"/>
              <w:bottom w:val="single" w:color="000000" w:sz="8" w:space="0"/>
              <w:right w:val="nil"/>
            </w:tcBorders>
            <w:tcMar>
              <w:top w:w="15" w:type="dxa"/>
              <w:left w:w="15" w:type="dxa"/>
              <w:right w:w="15" w:type="dxa"/>
            </w:tcMar>
            <w:vAlign w:val="center"/>
          </w:tcPr>
          <w:p w14:paraId="005078A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18F2A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B50D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14</w:t>
            </w:r>
          </w:p>
        </w:tc>
        <w:tc>
          <w:tcPr>
            <w:tcW w:w="13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DCC0E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i w:val="0"/>
                <w:iCs w:val="0"/>
                <w:color w:val="auto"/>
                <w:kern w:val="0"/>
                <w:sz w:val="20"/>
                <w:szCs w:val="20"/>
                <w:u w:val="none"/>
                <w:lang w:val="en-US" w:eastAsia="zh-CN" w:bidi="ar"/>
              </w:rPr>
              <w:t>3A510101514</w:t>
            </w:r>
          </w:p>
        </w:tc>
        <w:tc>
          <w:tcPr>
            <w:tcW w:w="18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6E9DE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电子信息专业英语</w:t>
            </w:r>
          </w:p>
        </w:tc>
        <w:tc>
          <w:tcPr>
            <w:tcW w:w="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61B11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F3FF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F793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8406A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w:t>
            </w:r>
          </w:p>
        </w:tc>
        <w:tc>
          <w:tcPr>
            <w:tcW w:w="1976" w:type="dxa"/>
            <w:gridSpan w:val="6"/>
            <w:vMerge w:val="continue"/>
            <w:tcBorders>
              <w:top w:val="nil"/>
              <w:left w:val="nil"/>
              <w:bottom w:val="single" w:color="000000" w:sz="8" w:space="0"/>
              <w:right w:val="single" w:color="000000" w:sz="8" w:space="0"/>
            </w:tcBorders>
            <w:tcMar>
              <w:top w:w="15" w:type="dxa"/>
              <w:left w:w="15" w:type="dxa"/>
              <w:right w:w="15" w:type="dxa"/>
            </w:tcMar>
            <w:vAlign w:val="center"/>
          </w:tcPr>
          <w:p w14:paraId="17F2839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4BAA23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41E30A0C">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6F2D165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restart"/>
            <w:tcBorders>
              <w:top w:val="nil"/>
              <w:left w:val="single" w:color="000000" w:sz="8" w:space="0"/>
              <w:bottom w:val="single" w:color="000000" w:sz="8" w:space="0"/>
              <w:right w:val="nil"/>
            </w:tcBorders>
            <w:tcMar>
              <w:top w:w="15" w:type="dxa"/>
              <w:left w:w="15" w:type="dxa"/>
              <w:right w:w="15" w:type="dxa"/>
            </w:tcMar>
            <w:vAlign w:val="center"/>
          </w:tcPr>
          <w:p w14:paraId="2D0EE90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实践</w:t>
            </w:r>
            <w:r>
              <w:rPr>
                <w:rFonts w:hint="eastAsia" w:ascii="Times New Roman" w:hAnsi="Times New Roman" w:eastAsia="仿宋_GB2312" w:cs="仿宋_GB2312"/>
                <w:color w:val="auto"/>
                <w:kern w:val="0"/>
                <w:sz w:val="20"/>
                <w:szCs w:val="20"/>
                <w:highlight w:val="none"/>
                <w:lang w:val="en-US" w:eastAsia="zh-CN" w:bidi="ar"/>
              </w:rPr>
              <w:t>性</w:t>
            </w:r>
            <w:r>
              <w:rPr>
                <w:rFonts w:hint="eastAsia" w:ascii="Times New Roman" w:hAnsi="Times New Roman" w:eastAsia="仿宋_GB2312" w:cs="仿宋_GB2312"/>
                <w:color w:val="auto"/>
                <w:kern w:val="0"/>
                <w:sz w:val="20"/>
                <w:szCs w:val="20"/>
                <w:highlight w:val="none"/>
                <w:lang w:bidi="ar"/>
              </w:rPr>
              <w:t>教学环节</w:t>
            </w:r>
          </w:p>
        </w:tc>
        <w:tc>
          <w:tcPr>
            <w:tcW w:w="417" w:type="dxa"/>
            <w:vMerge w:val="restart"/>
            <w:tcBorders>
              <w:top w:val="nil"/>
              <w:left w:val="single" w:color="000000" w:sz="4" w:space="0"/>
              <w:bottom w:val="single" w:color="000000" w:sz="4" w:space="0"/>
              <w:right w:val="single" w:color="000000" w:sz="4" w:space="0"/>
            </w:tcBorders>
            <w:noWrap/>
            <w:tcMar>
              <w:top w:w="15" w:type="dxa"/>
              <w:left w:w="15" w:type="dxa"/>
              <w:right w:w="15" w:type="dxa"/>
            </w:tcMar>
            <w:vAlign w:val="center"/>
          </w:tcPr>
          <w:p w14:paraId="65D7333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必修</w:t>
            </w:r>
          </w:p>
        </w:tc>
        <w:tc>
          <w:tcPr>
            <w:tcW w:w="583" w:type="dxa"/>
            <w:tcBorders>
              <w:top w:val="nil"/>
              <w:left w:val="nil"/>
              <w:bottom w:val="single" w:color="000000" w:sz="8" w:space="0"/>
              <w:right w:val="single" w:color="000000" w:sz="8" w:space="0"/>
            </w:tcBorders>
            <w:noWrap/>
            <w:tcMar>
              <w:top w:w="15" w:type="dxa"/>
              <w:left w:w="15" w:type="dxa"/>
              <w:right w:w="15" w:type="dxa"/>
            </w:tcMar>
            <w:vAlign w:val="center"/>
          </w:tcPr>
          <w:p w14:paraId="5BE084C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w:t>
            </w:r>
          </w:p>
        </w:tc>
        <w:tc>
          <w:tcPr>
            <w:tcW w:w="1386"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14:paraId="687A798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3C460306601</w:t>
            </w:r>
          </w:p>
        </w:tc>
        <w:tc>
          <w:tcPr>
            <w:tcW w:w="1895" w:type="dxa"/>
            <w:tcBorders>
              <w:top w:val="nil"/>
              <w:left w:val="nil"/>
              <w:bottom w:val="single" w:color="000000" w:sz="8" w:space="0"/>
              <w:right w:val="single" w:color="000000" w:sz="8" w:space="0"/>
            </w:tcBorders>
            <w:tcMar>
              <w:top w:w="15" w:type="dxa"/>
              <w:left w:w="15" w:type="dxa"/>
              <w:right w:w="15" w:type="dxa"/>
            </w:tcMar>
            <w:vAlign w:val="center"/>
          </w:tcPr>
          <w:p w14:paraId="63FA437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初级维修电工实训</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3AD0E2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41F76F5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4978E13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2202AD6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0B5ADBA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69168FD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6E59CA9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3714500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tcMar>
              <w:top w:w="15" w:type="dxa"/>
              <w:left w:w="15" w:type="dxa"/>
              <w:right w:w="15" w:type="dxa"/>
            </w:tcMar>
            <w:vAlign w:val="center"/>
          </w:tcPr>
          <w:p w14:paraId="5D9EEBE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tcMar>
              <w:top w:w="15" w:type="dxa"/>
              <w:left w:w="15" w:type="dxa"/>
              <w:right w:w="15" w:type="dxa"/>
            </w:tcMar>
            <w:vAlign w:val="center"/>
          </w:tcPr>
          <w:p w14:paraId="666A964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749AEE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2EEF572A">
        <w:tblPrEx>
          <w:tblCellMar>
            <w:top w:w="0" w:type="dxa"/>
            <w:left w:w="0" w:type="dxa"/>
            <w:bottom w:w="0" w:type="dxa"/>
            <w:right w:w="0" w:type="dxa"/>
          </w:tblCellMar>
        </w:tblPrEx>
        <w:trPr>
          <w:trHeight w:val="397"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2CD04FE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single" w:color="000000" w:sz="8" w:space="0"/>
              <w:bottom w:val="single" w:color="000000" w:sz="8" w:space="0"/>
              <w:right w:val="nil"/>
            </w:tcBorders>
            <w:tcMar>
              <w:top w:w="15" w:type="dxa"/>
              <w:left w:w="15" w:type="dxa"/>
              <w:right w:w="15" w:type="dxa"/>
            </w:tcMar>
            <w:vAlign w:val="center"/>
          </w:tcPr>
          <w:p w14:paraId="06EA86C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nil"/>
              <w:left w:val="single" w:color="000000" w:sz="4" w:space="0"/>
              <w:bottom w:val="single" w:color="000000" w:sz="4" w:space="0"/>
              <w:right w:val="single" w:color="000000" w:sz="4" w:space="0"/>
            </w:tcBorders>
            <w:noWrap/>
            <w:tcMar>
              <w:top w:w="15" w:type="dxa"/>
              <w:left w:w="15" w:type="dxa"/>
              <w:right w:w="15" w:type="dxa"/>
            </w:tcMar>
            <w:vAlign w:val="center"/>
          </w:tcPr>
          <w:p w14:paraId="7461F13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nil"/>
              <w:left w:val="nil"/>
              <w:bottom w:val="single" w:color="000000" w:sz="8" w:space="0"/>
              <w:right w:val="single" w:color="000000" w:sz="8" w:space="0"/>
            </w:tcBorders>
            <w:noWrap/>
            <w:tcMar>
              <w:top w:w="15" w:type="dxa"/>
              <w:left w:w="15" w:type="dxa"/>
              <w:right w:w="15" w:type="dxa"/>
            </w:tcMar>
            <w:vAlign w:val="center"/>
          </w:tcPr>
          <w:p w14:paraId="633480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1386"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14:paraId="6FF344E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3C460306602</w:t>
            </w:r>
          </w:p>
        </w:tc>
        <w:tc>
          <w:tcPr>
            <w:tcW w:w="1895" w:type="dxa"/>
            <w:tcBorders>
              <w:top w:val="nil"/>
              <w:left w:val="nil"/>
              <w:bottom w:val="single" w:color="000000" w:sz="8" w:space="0"/>
              <w:right w:val="single" w:color="000000" w:sz="8" w:space="0"/>
            </w:tcBorders>
            <w:tcMar>
              <w:top w:w="15" w:type="dxa"/>
              <w:left w:w="15" w:type="dxa"/>
              <w:right w:w="15" w:type="dxa"/>
            </w:tcMar>
            <w:vAlign w:val="center"/>
          </w:tcPr>
          <w:p w14:paraId="17C63CF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中级维修电工实训</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5DBC372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5F6088B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1EA49A0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56199F3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36</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4B39741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7230FF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6E70BB3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w:t>
            </w: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03BE51B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183606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FDD284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511F848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4738429E">
        <w:tblPrEx>
          <w:tblCellMar>
            <w:top w:w="0" w:type="dxa"/>
            <w:left w:w="0" w:type="dxa"/>
            <w:bottom w:w="0" w:type="dxa"/>
            <w:right w:w="0" w:type="dxa"/>
          </w:tblCellMar>
        </w:tblPrEx>
        <w:trPr>
          <w:trHeight w:val="374" w:hRule="atLeast"/>
        </w:trPr>
        <w:tc>
          <w:tcPr>
            <w:tcW w:w="516" w:type="dxa"/>
            <w:vMerge w:val="continue"/>
            <w:tcBorders>
              <w:left w:val="single" w:color="000000" w:sz="8" w:space="0"/>
              <w:right w:val="single" w:color="000000" w:sz="8" w:space="0"/>
            </w:tcBorders>
            <w:tcMar>
              <w:top w:w="15" w:type="dxa"/>
              <w:left w:w="15" w:type="dxa"/>
              <w:right w:w="15" w:type="dxa"/>
            </w:tcMar>
            <w:vAlign w:val="center"/>
          </w:tcPr>
          <w:p w14:paraId="2DF31D9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single" w:color="000000" w:sz="8" w:space="0"/>
              <w:bottom w:val="single" w:color="000000" w:sz="8" w:space="0"/>
              <w:right w:val="nil"/>
            </w:tcBorders>
            <w:tcMar>
              <w:top w:w="15" w:type="dxa"/>
              <w:left w:w="15" w:type="dxa"/>
              <w:right w:w="15" w:type="dxa"/>
            </w:tcMar>
            <w:vAlign w:val="center"/>
          </w:tcPr>
          <w:p w14:paraId="43A59B6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nil"/>
              <w:left w:val="single" w:color="000000" w:sz="4" w:space="0"/>
              <w:bottom w:val="single" w:color="000000" w:sz="4" w:space="0"/>
              <w:right w:val="single" w:color="000000" w:sz="4" w:space="0"/>
            </w:tcBorders>
            <w:noWrap/>
            <w:tcMar>
              <w:top w:w="15" w:type="dxa"/>
              <w:left w:w="15" w:type="dxa"/>
              <w:right w:w="15" w:type="dxa"/>
            </w:tcMar>
            <w:vAlign w:val="center"/>
          </w:tcPr>
          <w:p w14:paraId="2DBD856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nil"/>
              <w:left w:val="nil"/>
              <w:bottom w:val="single" w:color="000000" w:sz="8" w:space="0"/>
              <w:right w:val="single" w:color="000000" w:sz="8" w:space="0"/>
            </w:tcBorders>
            <w:noWrap/>
            <w:tcMar>
              <w:top w:w="15" w:type="dxa"/>
              <w:left w:w="15" w:type="dxa"/>
              <w:right w:w="15" w:type="dxa"/>
            </w:tcMar>
            <w:vAlign w:val="center"/>
          </w:tcPr>
          <w:p w14:paraId="62F5A32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3</w:t>
            </w:r>
          </w:p>
        </w:tc>
        <w:tc>
          <w:tcPr>
            <w:tcW w:w="1386" w:type="dxa"/>
            <w:tcBorders>
              <w:top w:val="nil"/>
              <w:left w:val="nil"/>
              <w:bottom w:val="single" w:color="000000" w:sz="8" w:space="0"/>
              <w:right w:val="nil"/>
            </w:tcBorders>
            <w:tcMar>
              <w:top w:w="15" w:type="dxa"/>
              <w:left w:w="15" w:type="dxa"/>
              <w:right w:w="15" w:type="dxa"/>
            </w:tcMar>
            <w:vAlign w:val="center"/>
          </w:tcPr>
          <w:p w14:paraId="3C1214F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89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0213E57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毕业设计</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49C8EA1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5</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3603143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80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2C5116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627667E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60</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29D0360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3590393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668FE4F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79D9127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0D2BD51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20</w:t>
            </w: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971B05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CA23C3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2D2F4BF4">
        <w:tblPrEx>
          <w:tblCellMar>
            <w:top w:w="0" w:type="dxa"/>
            <w:left w:w="0" w:type="dxa"/>
            <w:bottom w:w="0" w:type="dxa"/>
            <w:right w:w="0" w:type="dxa"/>
          </w:tblCellMar>
        </w:tblPrEx>
        <w:trPr>
          <w:trHeight w:val="335" w:hRule="atLeast"/>
        </w:trPr>
        <w:tc>
          <w:tcPr>
            <w:tcW w:w="516" w:type="dxa"/>
            <w:vMerge w:val="continue"/>
            <w:tcBorders>
              <w:left w:val="single" w:color="000000" w:sz="8" w:space="0"/>
              <w:bottom w:val="single" w:color="000000" w:sz="8" w:space="0"/>
              <w:right w:val="single" w:color="000000" w:sz="8" w:space="0"/>
            </w:tcBorders>
            <w:tcMar>
              <w:top w:w="15" w:type="dxa"/>
              <w:left w:w="15" w:type="dxa"/>
              <w:right w:w="15" w:type="dxa"/>
            </w:tcMar>
            <w:vAlign w:val="center"/>
          </w:tcPr>
          <w:p w14:paraId="2F57AF2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vMerge w:val="continue"/>
            <w:tcBorders>
              <w:top w:val="nil"/>
              <w:left w:val="single" w:color="000000" w:sz="8" w:space="0"/>
              <w:bottom w:val="single" w:color="000000" w:sz="8" w:space="0"/>
              <w:right w:val="nil"/>
            </w:tcBorders>
            <w:tcMar>
              <w:top w:w="15" w:type="dxa"/>
              <w:left w:w="15" w:type="dxa"/>
              <w:right w:w="15" w:type="dxa"/>
            </w:tcMar>
            <w:vAlign w:val="center"/>
          </w:tcPr>
          <w:p w14:paraId="167331B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17" w:type="dxa"/>
            <w:vMerge w:val="continue"/>
            <w:tcBorders>
              <w:top w:val="nil"/>
              <w:left w:val="single" w:color="000000" w:sz="4" w:space="0"/>
              <w:bottom w:val="single" w:color="000000" w:sz="4" w:space="0"/>
              <w:right w:val="single" w:color="000000" w:sz="4" w:space="0"/>
            </w:tcBorders>
            <w:noWrap/>
            <w:tcMar>
              <w:top w:w="15" w:type="dxa"/>
              <w:left w:w="15" w:type="dxa"/>
              <w:right w:w="15" w:type="dxa"/>
            </w:tcMar>
            <w:vAlign w:val="center"/>
          </w:tcPr>
          <w:p w14:paraId="2DD50EB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83" w:type="dxa"/>
            <w:tcBorders>
              <w:top w:val="nil"/>
              <w:left w:val="nil"/>
              <w:bottom w:val="single" w:color="000000" w:sz="8" w:space="0"/>
              <w:right w:val="single" w:color="000000" w:sz="8" w:space="0"/>
            </w:tcBorders>
            <w:noWrap/>
            <w:tcMar>
              <w:top w:w="15" w:type="dxa"/>
              <w:left w:w="15" w:type="dxa"/>
              <w:right w:w="15" w:type="dxa"/>
            </w:tcMar>
            <w:vAlign w:val="center"/>
          </w:tcPr>
          <w:p w14:paraId="65B6E6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w:t>
            </w:r>
          </w:p>
        </w:tc>
        <w:tc>
          <w:tcPr>
            <w:tcW w:w="1386" w:type="dxa"/>
            <w:tcBorders>
              <w:top w:val="nil"/>
              <w:left w:val="nil"/>
              <w:bottom w:val="single" w:color="000000" w:sz="8" w:space="0"/>
              <w:right w:val="nil"/>
            </w:tcBorders>
            <w:tcMar>
              <w:top w:w="15" w:type="dxa"/>
              <w:left w:w="15" w:type="dxa"/>
              <w:right w:w="15" w:type="dxa"/>
            </w:tcMar>
            <w:vAlign w:val="center"/>
          </w:tcPr>
          <w:p w14:paraId="19FEA5D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89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D701BE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岗位实习</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241989D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18</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78C3F15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432</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0A04F09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0DB293C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432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679D64A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2977ECE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4CC2268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tcMar>
              <w:top w:w="15" w:type="dxa"/>
              <w:left w:w="15" w:type="dxa"/>
              <w:right w:w="15" w:type="dxa"/>
            </w:tcMar>
            <w:vAlign w:val="center"/>
          </w:tcPr>
          <w:p w14:paraId="16B95A8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64EFE30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52B14B9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eastAsia="zh-CN" w:bidi="ar"/>
              </w:rPr>
            </w:pPr>
            <w:r>
              <w:rPr>
                <w:rFonts w:hint="eastAsia" w:ascii="Times New Roman" w:hAnsi="Times New Roman" w:eastAsia="仿宋_GB2312" w:cs="仿宋_GB2312"/>
                <w:color w:val="auto"/>
                <w:kern w:val="0"/>
                <w:sz w:val="20"/>
                <w:szCs w:val="20"/>
                <w:highlight w:val="none"/>
                <w:lang w:val="en-US" w:eastAsia="zh-CN" w:bidi="ar"/>
              </w:rPr>
              <w:t>18</w:t>
            </w:r>
          </w:p>
        </w:tc>
        <w:tc>
          <w:tcPr>
            <w:tcW w:w="550" w:type="dxa"/>
            <w:tcBorders>
              <w:top w:val="nil"/>
              <w:left w:val="nil"/>
              <w:bottom w:val="single" w:color="000000" w:sz="8" w:space="0"/>
              <w:right w:val="single" w:color="000000" w:sz="8" w:space="0"/>
            </w:tcBorders>
            <w:tcMar>
              <w:top w:w="15" w:type="dxa"/>
              <w:left w:w="15" w:type="dxa"/>
              <w:right w:w="15" w:type="dxa"/>
            </w:tcMar>
            <w:vAlign w:val="center"/>
          </w:tcPr>
          <w:p w14:paraId="4B3667A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考查</w:t>
            </w:r>
          </w:p>
        </w:tc>
      </w:tr>
      <w:tr w14:paraId="151DCA21">
        <w:tblPrEx>
          <w:tblCellMar>
            <w:top w:w="0" w:type="dxa"/>
            <w:left w:w="0" w:type="dxa"/>
            <w:bottom w:w="0" w:type="dxa"/>
            <w:right w:w="0" w:type="dxa"/>
          </w:tblCellMar>
        </w:tblPrEx>
        <w:trPr>
          <w:trHeight w:val="330" w:hRule="atLeast"/>
        </w:trPr>
        <w:tc>
          <w:tcPr>
            <w:tcW w:w="516"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36B0C7E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831" w:type="dxa"/>
            <w:gridSpan w:val="5"/>
            <w:tcBorders>
              <w:top w:val="nil"/>
              <w:left w:val="nil"/>
              <w:bottom w:val="single" w:color="000000" w:sz="8" w:space="0"/>
              <w:right w:val="single" w:color="000000" w:sz="8" w:space="0"/>
            </w:tcBorders>
            <w:tcMar>
              <w:top w:w="15" w:type="dxa"/>
              <w:left w:w="15" w:type="dxa"/>
              <w:right w:w="15" w:type="dxa"/>
            </w:tcMar>
            <w:vAlign w:val="center"/>
          </w:tcPr>
          <w:p w14:paraId="7E7BEA7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专业必修课程学分、学时小计</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1F6051F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81</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462E2F9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1556</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57ECFF5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534</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2EFABB3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1022</w:t>
            </w:r>
          </w:p>
        </w:tc>
        <w:tc>
          <w:tcPr>
            <w:tcW w:w="359" w:type="dxa"/>
            <w:tcBorders>
              <w:top w:val="nil"/>
              <w:left w:val="nil"/>
              <w:bottom w:val="single" w:color="000000" w:sz="8" w:space="0"/>
              <w:right w:val="single" w:color="000000" w:sz="8" w:space="0"/>
            </w:tcBorders>
            <w:tcMar>
              <w:top w:w="15" w:type="dxa"/>
              <w:left w:w="15" w:type="dxa"/>
              <w:right w:w="15" w:type="dxa"/>
            </w:tcMar>
            <w:vAlign w:val="center"/>
          </w:tcPr>
          <w:p w14:paraId="3127C2F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tcMar>
              <w:top w:w="15" w:type="dxa"/>
              <w:left w:w="15" w:type="dxa"/>
              <w:right w:w="15" w:type="dxa"/>
            </w:tcMar>
            <w:vAlign w:val="center"/>
          </w:tcPr>
          <w:p w14:paraId="5F3D74D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tcMar>
              <w:top w:w="15" w:type="dxa"/>
              <w:left w:w="15" w:type="dxa"/>
              <w:right w:w="15" w:type="dxa"/>
            </w:tcMar>
            <w:vAlign w:val="center"/>
          </w:tcPr>
          <w:p w14:paraId="73DE5D0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50106DE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02D5161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E83C57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45B5BEA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5607DD62">
        <w:tblPrEx>
          <w:tblCellMar>
            <w:top w:w="0" w:type="dxa"/>
            <w:left w:w="0" w:type="dxa"/>
            <w:bottom w:w="0" w:type="dxa"/>
            <w:right w:w="0" w:type="dxa"/>
          </w:tblCellMar>
        </w:tblPrEx>
        <w:trPr>
          <w:trHeight w:val="300" w:hRule="atLeast"/>
        </w:trPr>
        <w:tc>
          <w:tcPr>
            <w:tcW w:w="516"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152C84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831" w:type="dxa"/>
            <w:gridSpan w:val="5"/>
            <w:tcBorders>
              <w:top w:val="nil"/>
              <w:left w:val="nil"/>
              <w:bottom w:val="single" w:color="000000" w:sz="8" w:space="0"/>
              <w:right w:val="single" w:color="000000" w:sz="8" w:space="0"/>
            </w:tcBorders>
            <w:tcMar>
              <w:top w:w="15" w:type="dxa"/>
              <w:left w:w="15" w:type="dxa"/>
              <w:right w:w="15" w:type="dxa"/>
            </w:tcMar>
            <w:vAlign w:val="center"/>
          </w:tcPr>
          <w:p w14:paraId="6DD9F79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专业必修课程学分、学时占比</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1FF714C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56.64%</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063879E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58.28%</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474ED26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20.00%</w:t>
            </w:r>
          </w:p>
        </w:tc>
        <w:tc>
          <w:tcPr>
            <w:tcW w:w="690" w:type="dxa"/>
            <w:tcBorders>
              <w:top w:val="nil"/>
              <w:left w:val="nil"/>
              <w:bottom w:val="single" w:color="000000" w:sz="8" w:space="0"/>
              <w:right w:val="single" w:color="000000" w:sz="8" w:space="0"/>
            </w:tcBorders>
            <w:tcMar>
              <w:top w:w="15" w:type="dxa"/>
              <w:left w:w="15" w:type="dxa"/>
              <w:right w:w="15" w:type="dxa"/>
            </w:tcMar>
            <w:vAlign w:val="center"/>
          </w:tcPr>
          <w:p w14:paraId="79318EB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38.28%</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75EC41F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415CFCD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5D408E3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2AF76DA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5C93D2D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4DFE0CD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6EF08C7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7F121025">
        <w:tblPrEx>
          <w:tblCellMar>
            <w:top w:w="0" w:type="dxa"/>
            <w:left w:w="0" w:type="dxa"/>
            <w:bottom w:w="0" w:type="dxa"/>
            <w:right w:w="0" w:type="dxa"/>
          </w:tblCellMar>
        </w:tblPrEx>
        <w:trPr>
          <w:trHeight w:val="330" w:hRule="atLeast"/>
        </w:trPr>
        <w:tc>
          <w:tcPr>
            <w:tcW w:w="516"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13F583F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831" w:type="dxa"/>
            <w:gridSpan w:val="5"/>
            <w:tcBorders>
              <w:top w:val="nil"/>
              <w:left w:val="nil"/>
              <w:bottom w:val="single" w:color="000000" w:sz="8" w:space="0"/>
              <w:right w:val="single" w:color="000000" w:sz="8" w:space="0"/>
            </w:tcBorders>
            <w:tcMar>
              <w:top w:w="15" w:type="dxa"/>
              <w:left w:w="15" w:type="dxa"/>
              <w:right w:w="15" w:type="dxa"/>
            </w:tcMar>
            <w:vAlign w:val="center"/>
          </w:tcPr>
          <w:p w14:paraId="1D8B122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专业拓展课程学分、学时小计</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1BE38F5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3831CE9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160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4F3D83C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bidi="ar"/>
              </w:rPr>
            </w:pPr>
            <w:r>
              <w:rPr>
                <w:rFonts w:hint="eastAsia" w:ascii="Times New Roman" w:hAnsi="Times New Roman" w:eastAsia="仿宋_GB2312" w:cs="仿宋_GB2312"/>
                <w:color w:val="auto"/>
                <w:kern w:val="0"/>
                <w:sz w:val="20"/>
                <w:szCs w:val="20"/>
                <w:highlight w:val="none"/>
                <w:lang w:val="en-US" w:eastAsia="zh-CN" w:bidi="ar"/>
              </w:rPr>
              <w:t>160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09A369D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bidi="ar"/>
              </w:rPr>
            </w:pPr>
            <w:r>
              <w:rPr>
                <w:rFonts w:hint="eastAsia" w:ascii="Times New Roman" w:hAnsi="Times New Roman" w:eastAsia="仿宋_GB2312" w:cs="仿宋_GB2312"/>
                <w:color w:val="auto"/>
                <w:kern w:val="0"/>
                <w:sz w:val="20"/>
                <w:szCs w:val="20"/>
                <w:highlight w:val="none"/>
                <w:lang w:val="en-US" w:eastAsia="zh-CN" w:bidi="ar"/>
              </w:rPr>
              <w:t>0</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2ED1F59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2CCD360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6C30897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3B7FA50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000E687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64C2913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0A3D1BAA">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35AA24D9">
        <w:tblPrEx>
          <w:tblCellMar>
            <w:top w:w="0" w:type="dxa"/>
            <w:left w:w="0" w:type="dxa"/>
            <w:bottom w:w="0" w:type="dxa"/>
            <w:right w:w="0" w:type="dxa"/>
          </w:tblCellMar>
        </w:tblPrEx>
        <w:trPr>
          <w:trHeight w:val="300" w:hRule="atLeast"/>
        </w:trPr>
        <w:tc>
          <w:tcPr>
            <w:tcW w:w="516"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554FD1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4831" w:type="dxa"/>
            <w:gridSpan w:val="5"/>
            <w:tcBorders>
              <w:top w:val="nil"/>
              <w:left w:val="nil"/>
              <w:bottom w:val="single" w:color="000000" w:sz="8" w:space="0"/>
              <w:right w:val="single" w:color="000000" w:sz="8" w:space="0"/>
            </w:tcBorders>
            <w:tcMar>
              <w:top w:w="15" w:type="dxa"/>
              <w:left w:w="15" w:type="dxa"/>
              <w:right w:w="15" w:type="dxa"/>
            </w:tcMar>
            <w:vAlign w:val="center"/>
          </w:tcPr>
          <w:p w14:paraId="28B37FB1">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专业拓展课程学分、学时占比</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648351AE">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6.99%</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20FE88D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5.99%</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0DDF703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5.99%</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4380E58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0.00%</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4F2AF36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19A455F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60AF3C8B">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3115138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4E6858A9">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63E5700">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26F02A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r w14:paraId="7ED5433C">
        <w:tblPrEx>
          <w:tblCellMar>
            <w:top w:w="0" w:type="dxa"/>
            <w:left w:w="0" w:type="dxa"/>
            <w:bottom w:w="0" w:type="dxa"/>
            <w:right w:w="0" w:type="dxa"/>
          </w:tblCellMar>
        </w:tblPrEx>
        <w:trPr>
          <w:trHeight w:val="315" w:hRule="atLeast"/>
        </w:trPr>
        <w:tc>
          <w:tcPr>
            <w:tcW w:w="5347" w:type="dxa"/>
            <w:gridSpan w:val="6"/>
            <w:tcBorders>
              <w:top w:val="nil"/>
              <w:left w:val="single" w:color="000000" w:sz="8" w:space="0"/>
              <w:bottom w:val="single" w:color="000000" w:sz="8" w:space="0"/>
              <w:right w:val="single" w:color="000000" w:sz="8" w:space="0"/>
            </w:tcBorders>
            <w:tcMar>
              <w:top w:w="15" w:type="dxa"/>
              <w:left w:w="15" w:type="dxa"/>
              <w:right w:w="15" w:type="dxa"/>
            </w:tcMar>
            <w:vAlign w:val="center"/>
          </w:tcPr>
          <w:p w14:paraId="7AAD683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bidi="ar"/>
              </w:rPr>
              <w:t>总学分、总学时合计</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2428DE6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143</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1B7439CC">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r>
              <w:rPr>
                <w:rFonts w:hint="eastAsia" w:ascii="Times New Roman" w:hAnsi="Times New Roman" w:eastAsia="仿宋_GB2312" w:cs="仿宋_GB2312"/>
                <w:color w:val="auto"/>
                <w:kern w:val="0"/>
                <w:sz w:val="20"/>
                <w:szCs w:val="20"/>
                <w:highlight w:val="none"/>
                <w:lang w:val="en-US" w:eastAsia="zh-CN" w:bidi="ar"/>
              </w:rPr>
              <w:t>2670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4E75250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bidi="ar"/>
              </w:rPr>
            </w:pPr>
            <w:r>
              <w:rPr>
                <w:rFonts w:hint="eastAsia" w:ascii="Times New Roman" w:hAnsi="Times New Roman" w:eastAsia="仿宋_GB2312" w:cs="仿宋_GB2312"/>
                <w:color w:val="auto"/>
                <w:kern w:val="0"/>
                <w:sz w:val="20"/>
                <w:szCs w:val="20"/>
                <w:highlight w:val="none"/>
                <w:lang w:val="en-US" w:eastAsia="zh-CN" w:bidi="ar"/>
              </w:rPr>
              <w:t>1220</w:t>
            </w:r>
          </w:p>
        </w:tc>
        <w:tc>
          <w:tcPr>
            <w:tcW w:w="690" w:type="dxa"/>
            <w:tcBorders>
              <w:top w:val="nil"/>
              <w:left w:val="nil"/>
              <w:bottom w:val="single" w:color="000000" w:sz="8" w:space="0"/>
              <w:right w:val="single" w:color="000000" w:sz="8" w:space="0"/>
            </w:tcBorders>
            <w:noWrap/>
            <w:tcMar>
              <w:top w:w="15" w:type="dxa"/>
              <w:left w:w="15" w:type="dxa"/>
              <w:right w:w="15" w:type="dxa"/>
            </w:tcMar>
            <w:vAlign w:val="center"/>
          </w:tcPr>
          <w:p w14:paraId="510F9E44">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Times New Roman" w:hAnsi="Times New Roman" w:eastAsia="仿宋_GB2312" w:cs="仿宋_GB2312"/>
                <w:color w:val="auto"/>
                <w:kern w:val="0"/>
                <w:sz w:val="20"/>
                <w:szCs w:val="20"/>
                <w:highlight w:val="none"/>
                <w:lang w:val="en-US" w:bidi="ar"/>
              </w:rPr>
            </w:pPr>
            <w:r>
              <w:rPr>
                <w:rFonts w:hint="eastAsia" w:ascii="Times New Roman" w:hAnsi="Times New Roman" w:eastAsia="仿宋_GB2312" w:cs="仿宋_GB2312"/>
                <w:color w:val="auto"/>
                <w:kern w:val="0"/>
                <w:sz w:val="20"/>
                <w:szCs w:val="20"/>
                <w:highlight w:val="none"/>
                <w:lang w:val="en-US" w:eastAsia="zh-CN" w:bidi="ar"/>
              </w:rPr>
              <w:t>1450</w:t>
            </w:r>
          </w:p>
        </w:tc>
        <w:tc>
          <w:tcPr>
            <w:tcW w:w="359" w:type="dxa"/>
            <w:tcBorders>
              <w:top w:val="nil"/>
              <w:left w:val="nil"/>
              <w:bottom w:val="single" w:color="000000" w:sz="8" w:space="0"/>
              <w:right w:val="single" w:color="000000" w:sz="8" w:space="0"/>
            </w:tcBorders>
            <w:noWrap/>
            <w:tcMar>
              <w:top w:w="15" w:type="dxa"/>
              <w:left w:w="15" w:type="dxa"/>
              <w:right w:w="15" w:type="dxa"/>
            </w:tcMar>
            <w:vAlign w:val="center"/>
          </w:tcPr>
          <w:p w14:paraId="6A385DEF">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267" w:type="dxa"/>
            <w:tcBorders>
              <w:top w:val="nil"/>
              <w:left w:val="nil"/>
              <w:bottom w:val="single" w:color="000000" w:sz="8" w:space="0"/>
              <w:right w:val="single" w:color="000000" w:sz="8" w:space="0"/>
            </w:tcBorders>
            <w:noWrap/>
            <w:tcMar>
              <w:top w:w="15" w:type="dxa"/>
              <w:left w:w="15" w:type="dxa"/>
              <w:right w:w="15" w:type="dxa"/>
            </w:tcMar>
            <w:vAlign w:val="center"/>
          </w:tcPr>
          <w:p w14:paraId="271B160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00" w:type="dxa"/>
            <w:tcBorders>
              <w:top w:val="nil"/>
              <w:left w:val="nil"/>
              <w:bottom w:val="single" w:color="000000" w:sz="8" w:space="0"/>
              <w:right w:val="single" w:color="000000" w:sz="8" w:space="0"/>
            </w:tcBorders>
            <w:noWrap/>
            <w:tcMar>
              <w:top w:w="15" w:type="dxa"/>
              <w:left w:w="15" w:type="dxa"/>
              <w:right w:w="15" w:type="dxa"/>
            </w:tcMar>
            <w:vAlign w:val="center"/>
          </w:tcPr>
          <w:p w14:paraId="797CF5BD">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33" w:type="dxa"/>
            <w:tcBorders>
              <w:top w:val="nil"/>
              <w:left w:val="nil"/>
              <w:bottom w:val="single" w:color="000000" w:sz="8" w:space="0"/>
              <w:right w:val="single" w:color="000000" w:sz="8" w:space="0"/>
            </w:tcBorders>
            <w:noWrap/>
            <w:tcMar>
              <w:top w:w="15" w:type="dxa"/>
              <w:left w:w="15" w:type="dxa"/>
              <w:right w:w="15" w:type="dxa"/>
            </w:tcMar>
            <w:vAlign w:val="center"/>
          </w:tcPr>
          <w:p w14:paraId="2BE6BC2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50" w:type="dxa"/>
            <w:tcBorders>
              <w:top w:val="nil"/>
              <w:left w:val="nil"/>
              <w:bottom w:val="single" w:color="000000" w:sz="8" w:space="0"/>
              <w:right w:val="single" w:color="000000" w:sz="8" w:space="0"/>
            </w:tcBorders>
            <w:noWrap/>
            <w:tcMar>
              <w:top w:w="15" w:type="dxa"/>
              <w:left w:w="15" w:type="dxa"/>
              <w:right w:w="15" w:type="dxa"/>
            </w:tcMar>
            <w:vAlign w:val="center"/>
          </w:tcPr>
          <w:p w14:paraId="5F19654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367" w:type="dxa"/>
            <w:tcBorders>
              <w:top w:val="nil"/>
              <w:left w:val="nil"/>
              <w:bottom w:val="single" w:color="000000" w:sz="8" w:space="0"/>
              <w:right w:val="single" w:color="000000" w:sz="8" w:space="0"/>
            </w:tcBorders>
            <w:noWrap/>
            <w:tcMar>
              <w:top w:w="15" w:type="dxa"/>
              <w:left w:w="15" w:type="dxa"/>
              <w:right w:w="15" w:type="dxa"/>
            </w:tcMar>
            <w:vAlign w:val="center"/>
          </w:tcPr>
          <w:p w14:paraId="70886006">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c>
          <w:tcPr>
            <w:tcW w:w="550" w:type="dxa"/>
            <w:tcBorders>
              <w:top w:val="nil"/>
              <w:left w:val="nil"/>
              <w:bottom w:val="single" w:color="000000" w:sz="8" w:space="0"/>
              <w:right w:val="single" w:color="000000" w:sz="8" w:space="0"/>
            </w:tcBorders>
            <w:noWrap/>
            <w:tcMar>
              <w:top w:w="15" w:type="dxa"/>
              <w:left w:w="15" w:type="dxa"/>
              <w:right w:w="15" w:type="dxa"/>
            </w:tcMar>
            <w:vAlign w:val="center"/>
          </w:tcPr>
          <w:p w14:paraId="2DE86DB3">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0"/>
                <w:sz w:val="20"/>
                <w:szCs w:val="20"/>
                <w:highlight w:val="none"/>
                <w:lang w:bidi="ar"/>
              </w:rPr>
            </w:pPr>
          </w:p>
        </w:tc>
      </w:tr>
    </w:tbl>
    <w:p w14:paraId="25876375">
      <w:pPr>
        <w:overflowPunct w:val="0"/>
        <w:adjustRightInd w:val="0"/>
        <w:spacing w:after="0" w:line="520" w:lineRule="exact"/>
        <w:ind w:firstLine="640" w:firstLineChars="200"/>
        <w:outlineLvl w:val="0"/>
        <w:rPr>
          <w:rFonts w:hint="eastAsia" w:ascii="Times New Roman" w:hAnsi="Times New Roman" w:eastAsia="黑体" w:cs="黑体"/>
          <w:sz w:val="32"/>
          <w:szCs w:val="32"/>
          <w:highlight w:val="none"/>
        </w:rPr>
      </w:pPr>
      <w:bookmarkStart w:id="46" w:name="_Toc13892"/>
      <w:r>
        <w:rPr>
          <w:rFonts w:hint="eastAsia" w:ascii="Times New Roman" w:hAnsi="Times New Roman" w:eastAsia="黑体" w:cs="黑体"/>
          <w:sz w:val="32"/>
          <w:szCs w:val="32"/>
          <w:highlight w:val="none"/>
        </w:rPr>
        <w:t>九、师资队伍</w:t>
      </w:r>
      <w:bookmarkEnd w:id="46"/>
    </w:p>
    <w:p w14:paraId="7CB71BF9">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按照“四有好老师”“四个相统一”“四个引路人”的要求建设专业教师队伍，将师德师风作为教师队伍建设的第一标准。</w:t>
      </w:r>
    </w:p>
    <w:p w14:paraId="228382EA">
      <w:pPr>
        <w:numPr>
          <w:ilvl w:val="0"/>
          <w:numId w:val="1"/>
        </w:num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47" w:name="_Toc9503"/>
      <w:r>
        <w:rPr>
          <w:rFonts w:hint="eastAsia" w:ascii="Times New Roman" w:hAnsi="Times New Roman" w:eastAsia="楷体" w:cs="楷体"/>
          <w:sz w:val="32"/>
          <w:szCs w:val="32"/>
          <w:highlight w:val="none"/>
        </w:rPr>
        <w:t>队伍结构</w:t>
      </w:r>
      <w:bookmarkEnd w:id="47"/>
    </w:p>
    <w:p w14:paraId="17888E8F">
      <w:pPr>
        <w:overflowPunct w:val="0"/>
        <w:adjustRightInd w:val="0"/>
        <w:spacing w:after="0" w:line="540" w:lineRule="exact"/>
        <w:ind w:firstLine="640" w:firstLineChars="200"/>
        <w:jc w:val="both"/>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学生数与本专业专任教师数比例为25:1，“双师型”教师占专业课教师数60</w:t>
      </w:r>
      <w:r>
        <w:rPr>
          <w:rFonts w:hint="default" w:ascii="Times New Roman" w:hAnsi="Times New Roman"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，高级职称专任教师的比例为</w:t>
      </w:r>
      <w:r>
        <w:rPr>
          <w:rFonts w:hint="default" w:ascii="Times New Roman" w:hAnsi="Times New Roman" w:eastAsia="仿宋_GB2312" w:cs="仿宋_GB2312"/>
          <w:sz w:val="32"/>
          <w:szCs w:val="32"/>
          <w:highlight w:val="none"/>
          <w:lang w:val="en-US" w:eastAsia="zh-CN"/>
        </w:rPr>
        <w:t>20%</w:t>
      </w:r>
      <w:r>
        <w:rPr>
          <w:rFonts w:hint="eastAsia" w:ascii="Times New Roman" w:hAnsi="Times New Roman"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rPr>
        <w:t>本专业带头人为潘宏锋，副高职称，负责本专业的规划与建设、主持专业人才培养方案、课程标准的制定与修订、教材、专业教学标准、专业认证体系的建设工作、负责本专业教学改革和实践技能培养方案的制定等工作。</w:t>
      </w:r>
    </w:p>
    <w:p w14:paraId="14201392">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48" w:name="_Toc12588"/>
      <w:r>
        <w:rPr>
          <w:rFonts w:hint="eastAsia" w:ascii="Times New Roman" w:hAnsi="Times New Roman" w:eastAsia="楷体" w:cs="楷体"/>
          <w:sz w:val="32"/>
          <w:szCs w:val="32"/>
          <w:highlight w:val="none"/>
        </w:rPr>
        <w:t>（二）专业带头人</w:t>
      </w:r>
      <w:bookmarkEnd w:id="48"/>
    </w:p>
    <w:p w14:paraId="6C2F7711">
      <w:pPr>
        <w:overflowPunct w:val="0"/>
        <w:adjustRightInd w:val="0"/>
        <w:spacing w:after="0" w:line="520" w:lineRule="exact"/>
        <w:ind w:firstLine="640" w:firstLineChars="200"/>
        <w:rPr>
          <w:rFonts w:hint="eastAsia" w:ascii="Times New Roman" w:hAnsi="Times New Roman" w:eastAsia="楷体" w:cs="楷体"/>
          <w:sz w:val="32"/>
          <w:szCs w:val="32"/>
          <w:highlight w:val="none"/>
        </w:rPr>
      </w:pPr>
      <w:r>
        <w:rPr>
          <w:rFonts w:hint="eastAsia" w:ascii="Times New Roman" w:hAnsi="Times New Roman" w:eastAsia="仿宋_GB2312" w:cs="仿宋_GB2312"/>
          <w:sz w:val="32"/>
          <w:szCs w:val="32"/>
          <w:highlight w:val="none"/>
        </w:rPr>
        <w:t>专业带头人原则上应具有副高及以上职称，能够较好地把握国内外电子行业、专业发展，能广泛联系行业企业，了解行业企业对本专业人才的需求实际，教学设计、专业研究能力强，组织开展教科研工作能力强，在本区域或本领域具有一定的专业影响力。</w:t>
      </w:r>
    </w:p>
    <w:p w14:paraId="5DB2F48D">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49" w:name="_Toc2135"/>
      <w:r>
        <w:rPr>
          <w:rFonts w:hint="eastAsia" w:ascii="Times New Roman" w:hAnsi="Times New Roman" w:eastAsia="楷体" w:cs="楷体"/>
          <w:sz w:val="32"/>
          <w:szCs w:val="32"/>
          <w:highlight w:val="none"/>
        </w:rPr>
        <w:t>（三）专任教师</w:t>
      </w:r>
      <w:bookmarkEnd w:id="49"/>
    </w:p>
    <w:p w14:paraId="4A92F036">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专任教师应具有高校教师资格；有理想信念、有道德情操、有扎实学识、有仁爱之心；</w:t>
      </w:r>
      <w:r>
        <w:rPr>
          <w:rFonts w:hint="eastAsia" w:ascii="Times New Roman" w:hAnsi="Times New Roman" w:eastAsia="仿宋_GB2312" w:cs="仿宋_GB2312"/>
          <w:sz w:val="32"/>
          <w:szCs w:val="32"/>
          <w:highlight w:val="none"/>
          <w:lang w:val="en-US" w:eastAsia="zh-CN"/>
        </w:rPr>
        <w:t>具有电子信息工程、电子科学与技术、通信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w:t>
      </w:r>
      <w:r>
        <w:rPr>
          <w:rFonts w:hint="default"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sz w:val="32"/>
          <w:szCs w:val="32"/>
          <w:highlight w:val="none"/>
          <w:lang w:val="en-US" w:eastAsia="zh-CN"/>
        </w:rPr>
        <w:t>个月在企业或生产性实训基地锻炼，每</w:t>
      </w:r>
      <w:r>
        <w:rPr>
          <w:rFonts w:hint="default" w:ascii="Times New Roman" w:hAnsi="Times New Roman" w:eastAsia="仿宋_GB2312" w:cs="仿宋_GB2312"/>
          <w:sz w:val="32"/>
          <w:szCs w:val="32"/>
          <w:highlight w:val="none"/>
          <w:lang w:val="en-US" w:eastAsia="zh-CN"/>
        </w:rPr>
        <w:t>5</w:t>
      </w:r>
      <w:r>
        <w:rPr>
          <w:rFonts w:hint="eastAsia" w:ascii="Times New Roman" w:hAnsi="Times New Roman" w:eastAsia="仿宋_GB2312" w:cs="仿宋_GB2312"/>
          <w:sz w:val="32"/>
          <w:szCs w:val="32"/>
          <w:highlight w:val="none"/>
          <w:lang w:val="en-US" w:eastAsia="zh-CN"/>
        </w:rPr>
        <w:t>年累计不少于</w:t>
      </w:r>
      <w:r>
        <w:rPr>
          <w:rFonts w:hint="default" w:ascii="Times New Roman" w:hAnsi="Times New Roman" w:eastAsia="仿宋_GB2312" w:cs="仿宋_GB2312"/>
          <w:sz w:val="32"/>
          <w:szCs w:val="32"/>
          <w:highlight w:val="none"/>
          <w:lang w:val="en-US" w:eastAsia="zh-CN"/>
        </w:rPr>
        <w:t>6</w:t>
      </w:r>
      <w:r>
        <w:rPr>
          <w:rFonts w:hint="eastAsia" w:ascii="Times New Roman" w:hAnsi="Times New Roman" w:eastAsia="仿宋_GB2312" w:cs="仿宋_GB2312"/>
          <w:sz w:val="32"/>
          <w:szCs w:val="32"/>
          <w:highlight w:val="none"/>
          <w:lang w:val="en-US" w:eastAsia="zh-CN"/>
        </w:rPr>
        <w:t>个月的企业实践经历。</w:t>
      </w:r>
    </w:p>
    <w:p w14:paraId="221EC0BC">
      <w:pPr>
        <w:overflowPunct w:val="0"/>
        <w:adjustRightInd w:val="0"/>
        <w:spacing w:after="0" w:line="520" w:lineRule="exact"/>
        <w:ind w:firstLine="640" w:firstLineChars="200"/>
        <w:rPr>
          <w:rFonts w:hint="eastAsia" w:ascii="Times New Roman" w:hAnsi="Times New Roman" w:eastAsia="楷体" w:cs="楷体"/>
          <w:sz w:val="32"/>
          <w:szCs w:val="32"/>
          <w:highlight w:val="none"/>
        </w:rPr>
      </w:pPr>
      <w:r>
        <w:rPr>
          <w:rFonts w:hint="eastAsia" w:ascii="Times New Roman" w:hAnsi="Times New Roman" w:eastAsia="楷体" w:cs="楷体"/>
          <w:sz w:val="32"/>
          <w:szCs w:val="32"/>
          <w:highlight w:val="none"/>
        </w:rPr>
        <w:t>（四）兼职教师</w:t>
      </w:r>
    </w:p>
    <w:p w14:paraId="74FFD244">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兼职教师</w:t>
      </w:r>
      <w:r>
        <w:rPr>
          <w:rFonts w:hint="eastAsia" w:ascii="Times New Roman" w:hAnsi="Times New Roman" w:eastAsia="仿宋_GB2312" w:cs="仿宋_GB2312"/>
          <w:sz w:val="32"/>
          <w:szCs w:val="32"/>
          <w:highlight w:val="none"/>
          <w:lang w:val="en-US" w:eastAsia="zh-CN"/>
        </w:rPr>
        <w:t>主要从本专业相关行业企业的高技能人才中聘任，</w:t>
      </w:r>
      <w:r>
        <w:rPr>
          <w:rFonts w:hint="eastAsia" w:ascii="Times New Roman" w:hAnsi="Times New Roman" w:eastAsia="仿宋_GB2312" w:cs="仿宋_GB2312"/>
          <w:sz w:val="32"/>
          <w:szCs w:val="32"/>
          <w:highlight w:val="none"/>
        </w:rPr>
        <w:t>具备良好的思想政治素质、职业道德和工匠精神，</w:t>
      </w:r>
      <w:r>
        <w:rPr>
          <w:rFonts w:hint="eastAsia" w:ascii="Times New Roman" w:hAnsi="Times New Roman" w:eastAsia="仿宋_GB2312" w:cs="仿宋_GB2312"/>
          <w:sz w:val="32"/>
          <w:szCs w:val="32"/>
          <w:highlight w:val="none"/>
          <w:lang w:val="en-US" w:eastAsia="zh-CN"/>
        </w:rPr>
        <w:t>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352A091D">
      <w:pPr>
        <w:overflowPunct w:val="0"/>
        <w:adjustRightInd w:val="0"/>
        <w:spacing w:after="0" w:line="520" w:lineRule="exact"/>
        <w:ind w:firstLine="640" w:firstLineChars="200"/>
        <w:outlineLvl w:val="0"/>
        <w:rPr>
          <w:rFonts w:hint="eastAsia" w:ascii="Times New Roman" w:hAnsi="Times New Roman" w:eastAsia="楷体" w:cs="楷体"/>
          <w:sz w:val="32"/>
          <w:szCs w:val="32"/>
          <w:highlight w:val="none"/>
        </w:rPr>
      </w:pPr>
      <w:bookmarkStart w:id="50" w:name="_Toc16720"/>
      <w:r>
        <w:rPr>
          <w:rFonts w:hint="eastAsia" w:ascii="Times New Roman" w:hAnsi="Times New Roman" w:eastAsia="黑体" w:cs="黑体"/>
          <w:sz w:val="32"/>
          <w:szCs w:val="32"/>
          <w:highlight w:val="none"/>
        </w:rPr>
        <w:t>十、教学条件</w:t>
      </w:r>
      <w:bookmarkEnd w:id="50"/>
    </w:p>
    <w:p w14:paraId="26770A13">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51" w:name="_Toc2466"/>
      <w:r>
        <w:rPr>
          <w:rFonts w:hint="eastAsia" w:ascii="Times New Roman" w:hAnsi="Times New Roman" w:eastAsia="楷体" w:cs="楷体"/>
          <w:sz w:val="32"/>
          <w:szCs w:val="32"/>
          <w:highlight w:val="none"/>
        </w:rPr>
        <w:t>（一）教学设施</w:t>
      </w:r>
      <w:bookmarkEnd w:id="51"/>
    </w:p>
    <w:p w14:paraId="033E406C">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教学设施主要包括能够满足正常的课程教学、实习实训所需的专业教室、校内实训室和校外实训基地等。</w:t>
      </w:r>
    </w:p>
    <w:p w14:paraId="25A8BB25">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52" w:name="_Toc2792"/>
      <w:r>
        <w:rPr>
          <w:rFonts w:hint="eastAsia" w:ascii="Times New Roman" w:hAnsi="Times New Roman" w:eastAsia="仿宋_GB2312" w:cs="仿宋_GB2312"/>
          <w:sz w:val="32"/>
          <w:szCs w:val="32"/>
          <w:highlight w:val="none"/>
        </w:rPr>
        <w:t>1.专业教室要求</w:t>
      </w:r>
      <w:bookmarkEnd w:id="52"/>
    </w:p>
    <w:p w14:paraId="75BBF5E7">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学校为该专业配备公共教室（配备有多媒体设施）、多媒体教室等，满足理论教学要求。</w:t>
      </w:r>
    </w:p>
    <w:p w14:paraId="16BB0A29">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配有黑（白）板、多媒体计算机、投影设备、音响设备，安装应急照明装置并保持良好状态，符合紧急疏散要求，标志明显，逃生通道畅通无阻。</w:t>
      </w:r>
    </w:p>
    <w:p w14:paraId="265C559C">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53" w:name="_Toc7317"/>
      <w:r>
        <w:rPr>
          <w:rFonts w:hint="eastAsia" w:ascii="Times New Roman" w:hAnsi="Times New Roman" w:eastAsia="仿宋_GB2312" w:cs="仿宋_GB2312"/>
          <w:sz w:val="32"/>
          <w:szCs w:val="32"/>
          <w:highlight w:val="none"/>
        </w:rPr>
        <w:t>2.校内实训资源</w:t>
      </w:r>
      <w:bookmarkEnd w:id="53"/>
    </w:p>
    <w:p w14:paraId="0A71A935">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highlight w:val="none"/>
          <w:lang w:eastAsia="zh-CN"/>
        </w:rPr>
      </w:pPr>
      <w:r>
        <w:rPr>
          <w:rFonts w:hint="eastAsia" w:ascii="Times New Roman" w:hAnsi="Times New Roman" w:eastAsia="仿宋_GB2312" w:cs="仿宋_GB2312"/>
          <w:sz w:val="32"/>
          <w:szCs w:val="32"/>
          <w:highlight w:val="none"/>
          <w:lang w:eastAsia="zh-CN"/>
        </w:rPr>
        <w:t>校内实训资源包括电子技术实训室、电工基础实训室等多个专业实训室。这些实训室配备了先进的实验设备和仪器，能够满足学生实践技能训练的需求。同时，实训室还提供了模拟实际工作环境的场景，让学生在实践中更好地理解和掌握专业知识，提高实际操作能力。此外，学校还与企业合作建立了校外实训基地，为学生提供更多的实践机会和就业渠道。</w:t>
      </w:r>
    </w:p>
    <w:p w14:paraId="222FCD3F">
      <w:pPr>
        <w:overflowPunct w:val="0"/>
        <w:adjustRightInd w:val="0"/>
        <w:spacing w:after="0" w:line="520" w:lineRule="exact"/>
        <w:jc w:val="center"/>
        <w:rPr>
          <w:rFonts w:hint="eastAsia" w:ascii="Times New Roman" w:hAnsi="Times New Roman" w:eastAsia="仿宋_GB2312" w:cs="仿宋_GB2312"/>
          <w:kern w:val="0"/>
          <w:sz w:val="32"/>
          <w:szCs w:val="32"/>
          <w:highlight w:val="none"/>
        </w:rPr>
      </w:pPr>
      <w:r>
        <w:rPr>
          <w:rFonts w:hint="eastAsia" w:ascii="Times New Roman" w:hAnsi="Times New Roman" w:eastAsia="仿宋_GB2312" w:cs="仿宋_GB2312"/>
          <w:sz w:val="32"/>
          <w:szCs w:val="32"/>
          <w:highlight w:val="none"/>
        </w:rPr>
        <w:t xml:space="preserve">表11 </w:t>
      </w:r>
      <w:r>
        <w:rPr>
          <w:rFonts w:hint="eastAsia" w:ascii="Times New Roman" w:hAnsi="Times New Roman" w:eastAsia="仿宋_GB2312" w:cs="仿宋_GB2312"/>
          <w:kern w:val="0"/>
          <w:sz w:val="32"/>
          <w:szCs w:val="32"/>
          <w:highlight w:val="none"/>
        </w:rPr>
        <w:t>校内实训资源列表</w:t>
      </w:r>
    </w:p>
    <w:tbl>
      <w:tblPr>
        <w:tblStyle w:val="11"/>
        <w:tblW w:w="10298"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1337"/>
        <w:gridCol w:w="1806"/>
        <w:gridCol w:w="1986"/>
        <w:gridCol w:w="3403"/>
        <w:gridCol w:w="942"/>
      </w:tblGrid>
      <w:tr w14:paraId="63C5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5A35B47">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序号</w:t>
            </w:r>
          </w:p>
        </w:tc>
        <w:tc>
          <w:tcPr>
            <w:tcW w:w="1293" w:type="dxa"/>
            <w:vAlign w:val="center"/>
          </w:tcPr>
          <w:p w14:paraId="74B2FB17">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实验实训室名称</w:t>
            </w:r>
          </w:p>
        </w:tc>
        <w:tc>
          <w:tcPr>
            <w:tcW w:w="1814" w:type="dxa"/>
            <w:vAlign w:val="center"/>
          </w:tcPr>
          <w:p w14:paraId="3CDA0857">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实训适用课程</w:t>
            </w:r>
          </w:p>
        </w:tc>
        <w:tc>
          <w:tcPr>
            <w:tcW w:w="1997" w:type="dxa"/>
            <w:vAlign w:val="center"/>
          </w:tcPr>
          <w:p w14:paraId="723B2629">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实训项目</w:t>
            </w:r>
          </w:p>
        </w:tc>
        <w:tc>
          <w:tcPr>
            <w:tcW w:w="3422" w:type="dxa"/>
            <w:vAlign w:val="center"/>
          </w:tcPr>
          <w:p w14:paraId="40DE4948">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主要设备名称及配置数量</w:t>
            </w:r>
          </w:p>
        </w:tc>
        <w:tc>
          <w:tcPr>
            <w:tcW w:w="945" w:type="dxa"/>
          </w:tcPr>
          <w:p w14:paraId="005B7082">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工位数</w:t>
            </w:r>
          </w:p>
        </w:tc>
      </w:tr>
      <w:tr w14:paraId="51CC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2C7C63C">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1</w:t>
            </w:r>
          </w:p>
        </w:tc>
        <w:tc>
          <w:tcPr>
            <w:tcW w:w="1293" w:type="dxa"/>
            <w:vAlign w:val="center"/>
          </w:tcPr>
          <w:p w14:paraId="58EE5A62">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电工基础实训室</w:t>
            </w:r>
          </w:p>
        </w:tc>
        <w:tc>
          <w:tcPr>
            <w:tcW w:w="1814" w:type="dxa"/>
            <w:vAlign w:val="center"/>
          </w:tcPr>
          <w:p w14:paraId="21EAB5A3">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初级维修电工实训、中级维修电工实训</w:t>
            </w:r>
          </w:p>
        </w:tc>
        <w:tc>
          <w:tcPr>
            <w:tcW w:w="1997" w:type="dxa"/>
            <w:vAlign w:val="center"/>
          </w:tcPr>
          <w:p w14:paraId="76D4C038">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基本电工线路的接线实训</w:t>
            </w:r>
            <w:r>
              <w:rPr>
                <w:rFonts w:hint="eastAsia" w:ascii="Times New Roman" w:hAnsi="Times New Roman" w:eastAsia="仿宋_GB2312" w:cs="仿宋_GB2312"/>
                <w:color w:val="000000" w:themeColor="text1"/>
                <w:sz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highlight w:val="none"/>
                <w14:textFill>
                  <w14:solidFill>
                    <w14:schemeClr w14:val="tx1"/>
                  </w14:solidFill>
                </w14:textFill>
              </w:rPr>
              <w:t>中级维修电工实训</w:t>
            </w:r>
          </w:p>
        </w:tc>
        <w:tc>
          <w:tcPr>
            <w:tcW w:w="3422" w:type="dxa"/>
            <w:vAlign w:val="center"/>
          </w:tcPr>
          <w:p w14:paraId="03A01559">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传感器实验箱8台、多功能电学实验与实训考核台13台、心肺急救复苏模型1台、</w:t>
            </w:r>
          </w:p>
        </w:tc>
        <w:tc>
          <w:tcPr>
            <w:tcW w:w="945" w:type="dxa"/>
            <w:vAlign w:val="center"/>
          </w:tcPr>
          <w:p w14:paraId="53615BEF">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10</w:t>
            </w:r>
          </w:p>
        </w:tc>
      </w:tr>
      <w:tr w14:paraId="022F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5DC0E88">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2</w:t>
            </w:r>
          </w:p>
        </w:tc>
        <w:tc>
          <w:tcPr>
            <w:tcW w:w="1293" w:type="dxa"/>
            <w:vAlign w:val="center"/>
          </w:tcPr>
          <w:p w14:paraId="501CD7DE">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电子技术实验实训室</w:t>
            </w:r>
          </w:p>
        </w:tc>
        <w:tc>
          <w:tcPr>
            <w:tcW w:w="1814" w:type="dxa"/>
            <w:vAlign w:val="center"/>
          </w:tcPr>
          <w:p w14:paraId="45CA1077">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数字电子技术、模拟电子技术</w:t>
            </w:r>
          </w:p>
        </w:tc>
        <w:tc>
          <w:tcPr>
            <w:tcW w:w="1997" w:type="dxa"/>
            <w:vAlign w:val="center"/>
          </w:tcPr>
          <w:p w14:paraId="29BC2B86">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模拟电子线路实验</w:t>
            </w:r>
            <w:r>
              <w:rPr>
                <w:rFonts w:hint="eastAsia" w:ascii="Times New Roman" w:hAnsi="Times New Roman" w:eastAsia="仿宋_GB2312" w:cs="仿宋_GB2312"/>
                <w:color w:val="000000" w:themeColor="text1"/>
                <w:sz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highlight w:val="none"/>
                <w14:textFill>
                  <w14:solidFill>
                    <w14:schemeClr w14:val="tx1"/>
                  </w14:solidFill>
                </w14:textFill>
              </w:rPr>
              <w:t>数字电子线路实验</w:t>
            </w:r>
          </w:p>
          <w:p w14:paraId="51AC9DD9">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p>
        </w:tc>
        <w:tc>
          <w:tcPr>
            <w:tcW w:w="3422" w:type="dxa"/>
            <w:vAlign w:val="center"/>
          </w:tcPr>
          <w:p w14:paraId="57DBB28C">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数字电路试验箱20个、RF宽带扫频仪1个、交流毫伏表6台、LCR数字电桥5台、通信系统原理实验系统8套、多功能电学实验与实训考核台13台、数字存储示波器9、虚拟示波器9台、数字示波器2台、函数信号发生器3台、自动失真测试仪1台、微型电子计算机8台、DDS函数信号发生器1台。</w:t>
            </w:r>
          </w:p>
        </w:tc>
        <w:tc>
          <w:tcPr>
            <w:tcW w:w="945" w:type="dxa"/>
            <w:vAlign w:val="center"/>
          </w:tcPr>
          <w:p w14:paraId="471D4C84">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80</w:t>
            </w:r>
          </w:p>
        </w:tc>
      </w:tr>
      <w:tr w14:paraId="6732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010863C">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3</w:t>
            </w:r>
          </w:p>
        </w:tc>
        <w:tc>
          <w:tcPr>
            <w:tcW w:w="1293" w:type="dxa"/>
            <w:vAlign w:val="center"/>
          </w:tcPr>
          <w:p w14:paraId="3C680275">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CAD/CAM实验实训室</w:t>
            </w:r>
          </w:p>
        </w:tc>
        <w:tc>
          <w:tcPr>
            <w:tcW w:w="1814" w:type="dxa"/>
            <w:vAlign w:val="center"/>
          </w:tcPr>
          <w:p w14:paraId="11B4688B">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电子CAD</w:t>
            </w:r>
          </w:p>
        </w:tc>
        <w:tc>
          <w:tcPr>
            <w:tcW w:w="1997" w:type="dxa"/>
            <w:vAlign w:val="center"/>
          </w:tcPr>
          <w:p w14:paraId="74F332FE">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CAD制图</w:t>
            </w:r>
          </w:p>
        </w:tc>
        <w:tc>
          <w:tcPr>
            <w:tcW w:w="3422" w:type="dxa"/>
            <w:vAlign w:val="center"/>
          </w:tcPr>
          <w:p w14:paraId="297047EF">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服务器1台、交换机1台以及可运行AutoCAD的计算机80台</w:t>
            </w:r>
          </w:p>
        </w:tc>
        <w:tc>
          <w:tcPr>
            <w:tcW w:w="945" w:type="dxa"/>
            <w:vAlign w:val="center"/>
          </w:tcPr>
          <w:p w14:paraId="33BA4CF9">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80</w:t>
            </w:r>
          </w:p>
        </w:tc>
      </w:tr>
      <w:tr w14:paraId="4F37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trPr>
        <w:tc>
          <w:tcPr>
            <w:tcW w:w="827" w:type="dxa"/>
            <w:vAlign w:val="center"/>
          </w:tcPr>
          <w:p w14:paraId="0C97A501">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4</w:t>
            </w:r>
          </w:p>
        </w:tc>
        <w:tc>
          <w:tcPr>
            <w:tcW w:w="1293" w:type="dxa"/>
            <w:vAlign w:val="center"/>
          </w:tcPr>
          <w:p w14:paraId="61201DCE">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自动控制实验实训室</w:t>
            </w:r>
          </w:p>
        </w:tc>
        <w:tc>
          <w:tcPr>
            <w:tcW w:w="1814" w:type="dxa"/>
            <w:vAlign w:val="center"/>
          </w:tcPr>
          <w:p w14:paraId="2C416DED">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电气控制与PLC、单片机原理与接口技术</w:t>
            </w:r>
          </w:p>
        </w:tc>
        <w:tc>
          <w:tcPr>
            <w:tcW w:w="1997" w:type="dxa"/>
            <w:vAlign w:val="center"/>
          </w:tcPr>
          <w:p w14:paraId="55098BC3">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控制系统认识实训</w:t>
            </w:r>
            <w:r>
              <w:rPr>
                <w:rFonts w:hint="eastAsia" w:ascii="Times New Roman" w:hAnsi="Times New Roman" w:eastAsia="仿宋_GB2312" w:cs="仿宋_GB2312"/>
                <w:color w:val="000000" w:themeColor="text1"/>
                <w:sz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highlight w:val="none"/>
                <w14:textFill>
                  <w14:solidFill>
                    <w14:schemeClr w14:val="tx1"/>
                  </w14:solidFill>
                </w14:textFill>
              </w:rPr>
              <w:t>PLC与单片机认识实训PLC应用实训</w:t>
            </w:r>
            <w:r>
              <w:rPr>
                <w:rFonts w:hint="eastAsia" w:ascii="Times New Roman" w:hAnsi="Times New Roman" w:eastAsia="仿宋_GB2312" w:cs="仿宋_GB2312"/>
                <w:color w:val="000000" w:themeColor="text1"/>
                <w:sz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highlight w:val="none"/>
                <w14:textFill>
                  <w14:solidFill>
                    <w14:schemeClr w14:val="tx1"/>
                  </w14:solidFill>
                </w14:textFill>
              </w:rPr>
              <w:t>单片机应用实训</w:t>
            </w:r>
          </w:p>
        </w:tc>
        <w:tc>
          <w:tcPr>
            <w:tcW w:w="3422" w:type="dxa"/>
            <w:vAlign w:val="center"/>
          </w:tcPr>
          <w:p w14:paraId="4BDA6201">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微型计算机6套、单片机实验开发系统综合装置6套、多合一单片机微机实验仪8台、</w:t>
            </w:r>
          </w:p>
        </w:tc>
        <w:tc>
          <w:tcPr>
            <w:tcW w:w="945" w:type="dxa"/>
            <w:vAlign w:val="center"/>
          </w:tcPr>
          <w:p w14:paraId="60ED50CD">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80</w:t>
            </w:r>
          </w:p>
        </w:tc>
      </w:tr>
      <w:tr w14:paraId="0D6E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04F7841">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5</w:t>
            </w:r>
          </w:p>
        </w:tc>
        <w:tc>
          <w:tcPr>
            <w:tcW w:w="1293" w:type="dxa"/>
            <w:vAlign w:val="center"/>
          </w:tcPr>
          <w:p w14:paraId="012C790C">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电子工艺实训室</w:t>
            </w:r>
          </w:p>
        </w:tc>
        <w:tc>
          <w:tcPr>
            <w:tcW w:w="1814" w:type="dxa"/>
            <w:vAlign w:val="center"/>
          </w:tcPr>
          <w:p w14:paraId="7CAA1328">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电子设计</w:t>
            </w:r>
          </w:p>
        </w:tc>
        <w:tc>
          <w:tcPr>
            <w:tcW w:w="1997" w:type="dxa"/>
            <w:vAlign w:val="center"/>
          </w:tcPr>
          <w:p w14:paraId="7EA8E06C">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安全操作、元器件及其封装的识别、元器件的安装、手工焊接、调试、故障排除、产品质量保证等实训项目。</w:t>
            </w:r>
          </w:p>
        </w:tc>
        <w:tc>
          <w:tcPr>
            <w:tcW w:w="3422" w:type="dxa"/>
            <w:vAlign w:val="center"/>
          </w:tcPr>
          <w:p w14:paraId="757A2413">
            <w:pPr>
              <w:overflowPunct w:val="0"/>
              <w:adjustRightInd w:val="0"/>
              <w:spacing w:after="0" w:line="360" w:lineRule="exact"/>
              <w:jc w:val="left"/>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电子产品焊接及工艺实训台21台</w:t>
            </w:r>
          </w:p>
        </w:tc>
        <w:tc>
          <w:tcPr>
            <w:tcW w:w="945" w:type="dxa"/>
            <w:vAlign w:val="center"/>
          </w:tcPr>
          <w:p w14:paraId="307502A9">
            <w:pPr>
              <w:overflowPunct w:val="0"/>
              <w:adjustRightInd w:val="0"/>
              <w:spacing w:after="0" w:line="360" w:lineRule="exact"/>
              <w:jc w:val="center"/>
              <w:rPr>
                <w:rFonts w:hint="eastAsia" w:ascii="Times New Roman" w:hAnsi="Times New Roman" w:eastAsia="仿宋_GB2312" w:cs="仿宋_GB2312"/>
                <w:color w:val="000000" w:themeColor="text1"/>
                <w:sz w:val="24"/>
                <w:highlight w:val="none"/>
                <w14:textFill>
                  <w14:solidFill>
                    <w14:schemeClr w14:val="tx1"/>
                  </w14:solidFill>
                </w14:textFill>
              </w:rPr>
            </w:pPr>
            <w:r>
              <w:rPr>
                <w:rFonts w:hint="eastAsia" w:ascii="Times New Roman" w:hAnsi="Times New Roman" w:eastAsia="仿宋_GB2312" w:cs="仿宋_GB2312"/>
                <w:color w:val="000000" w:themeColor="text1"/>
                <w:sz w:val="24"/>
                <w:highlight w:val="none"/>
                <w14:textFill>
                  <w14:solidFill>
                    <w14:schemeClr w14:val="tx1"/>
                  </w14:solidFill>
                </w14:textFill>
              </w:rPr>
              <w:t>80</w:t>
            </w:r>
          </w:p>
        </w:tc>
      </w:tr>
    </w:tbl>
    <w:p w14:paraId="02C7DE35">
      <w:pPr>
        <w:pStyle w:val="2"/>
        <w:widowControl/>
        <w:spacing w:before="0" w:after="0" w:line="520" w:lineRule="exact"/>
        <w:ind w:firstLine="640" w:firstLineChars="200"/>
        <w:rPr>
          <w:rFonts w:hint="eastAsia" w:ascii="Times New Roman" w:hAnsi="Times New Roman" w:eastAsia="仿宋_GB2312" w:cs="仿宋_GB2312"/>
          <w:color w:val="auto"/>
          <w:sz w:val="32"/>
          <w:szCs w:val="32"/>
          <w:highlight w:val="none"/>
        </w:rPr>
      </w:pPr>
      <w:bookmarkStart w:id="54" w:name="_Toc31363"/>
      <w:r>
        <w:rPr>
          <w:rFonts w:hint="eastAsia" w:ascii="Times New Roman" w:hAnsi="Times New Roman" w:eastAsia="仿宋_GB2312" w:cs="仿宋_GB2312"/>
          <w:color w:val="auto"/>
          <w:sz w:val="32"/>
          <w:szCs w:val="32"/>
          <w:highlight w:val="none"/>
        </w:rPr>
        <w:t>3.校外实训资源</w:t>
      </w:r>
      <w:bookmarkEnd w:id="54"/>
    </w:p>
    <w:p w14:paraId="009F9D77">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（1）校外实训基地基本要求</w:t>
      </w:r>
    </w:p>
    <w:p w14:paraId="6760C423">
      <w:pPr>
        <w:pStyle w:val="133"/>
        <w:spacing w:after="0"/>
        <w:rPr>
          <w:rFonts w:ascii="Times New Roman" w:hAnsi="Times New Roman" w:cs="仿宋_GB2312"/>
          <w:szCs w:val="32"/>
          <w:highlight w:val="none"/>
        </w:rPr>
      </w:pPr>
      <w:r>
        <w:rPr>
          <w:rFonts w:ascii="Times New Roman" w:hAnsi="Times New Roman" w:cs="仿宋_GB2312"/>
          <w:highlight w:val="none"/>
        </w:rPr>
        <w:t>具有稳定的校外实训基地2个以上，实训设施齐备，实训岗位、实训指导教师确定，实训管理及实施规章制度齐全。</w:t>
      </w:r>
    </w:p>
    <w:p w14:paraId="3EA15030">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（2）学生实习基地基本要求</w:t>
      </w:r>
    </w:p>
    <w:p w14:paraId="70E92195">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具有稳定的校外实习基地2个以上；能提供电子设备装配调试、电子设备检验、电子产品维修、电子设备生产管理、电子信息系统集成、电子产品设计开发等相关实习岗位，能涵盖当前相关产业的主流技术，可接纳一定规模的学生实习；能够配备相应数量的指导教师对学生实习进行指导和管理；有保证实习生日常工作、学习、生活的规章制度，有安全、保险保障</w:t>
      </w:r>
    </w:p>
    <w:p w14:paraId="11A37F0A">
      <w:pPr>
        <w:overflowPunct w:val="0"/>
        <w:adjustRightInd w:val="0"/>
        <w:spacing w:after="0" w:line="520" w:lineRule="exact"/>
        <w:jc w:val="center"/>
        <w:rPr>
          <w:rFonts w:hint="eastAsia" w:ascii="Times New Roman" w:hAnsi="Times New Roman" w:eastAsia="仿宋_GB2312" w:cs="仿宋_GB2312"/>
          <w:sz w:val="32"/>
          <w:szCs w:val="32"/>
          <w:highlight w:val="none"/>
        </w:rPr>
      </w:pPr>
    </w:p>
    <w:p w14:paraId="326C5A86">
      <w:pPr>
        <w:overflowPunct w:val="0"/>
        <w:adjustRightInd w:val="0"/>
        <w:spacing w:after="0" w:line="520" w:lineRule="exact"/>
        <w:jc w:val="center"/>
        <w:rPr>
          <w:rFonts w:hint="eastAsia" w:ascii="Times New Roman" w:hAnsi="Times New Roman" w:eastAsia="仿宋_GB2312" w:cs="仿宋_GB2312"/>
          <w:sz w:val="32"/>
          <w:szCs w:val="32"/>
          <w:highlight w:val="none"/>
        </w:rPr>
      </w:pPr>
    </w:p>
    <w:p w14:paraId="507D7E71">
      <w:pPr>
        <w:overflowPunct w:val="0"/>
        <w:adjustRightInd w:val="0"/>
        <w:spacing w:after="0" w:line="520" w:lineRule="exact"/>
        <w:jc w:val="center"/>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表12 校外实习基地一览表</w:t>
      </w:r>
    </w:p>
    <w:tbl>
      <w:tblPr>
        <w:tblStyle w:val="11"/>
        <w:tblW w:w="10509"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215"/>
        <w:gridCol w:w="1263"/>
        <w:gridCol w:w="6081"/>
        <w:gridCol w:w="1230"/>
      </w:tblGrid>
      <w:tr w14:paraId="2F68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D0691CE">
            <w:pPr>
              <w:overflowPunct w:val="0"/>
              <w:adjustRightInd w:val="0"/>
              <w:spacing w:after="0" w:line="320" w:lineRule="exact"/>
              <w:jc w:val="center"/>
              <w:rPr>
                <w:rFonts w:hint="eastAsia" w:ascii="Times New Roman" w:hAnsi="Times New Roman" w:eastAsia="仿宋_GB2312" w:cs="仿宋_GB2312"/>
                <w:sz w:val="24"/>
              </w:rPr>
            </w:pPr>
            <w:bookmarkStart w:id="55" w:name="_Toc28039"/>
            <w:r>
              <w:rPr>
                <w:rFonts w:hint="eastAsia" w:ascii="Times New Roman" w:hAnsi="Times New Roman" w:eastAsia="仿宋_GB2312" w:cs="仿宋_GB2312"/>
                <w:sz w:val="24"/>
              </w:rPr>
              <w:t>序号</w:t>
            </w:r>
          </w:p>
        </w:tc>
        <w:tc>
          <w:tcPr>
            <w:tcW w:w="1215" w:type="dxa"/>
            <w:vAlign w:val="center"/>
          </w:tcPr>
          <w:p w14:paraId="40050732">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校外实习基地名称</w:t>
            </w:r>
          </w:p>
        </w:tc>
        <w:tc>
          <w:tcPr>
            <w:tcW w:w="1263" w:type="dxa"/>
            <w:vAlign w:val="center"/>
          </w:tcPr>
          <w:p w14:paraId="4FA0705A">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合作企业名称</w:t>
            </w:r>
          </w:p>
        </w:tc>
        <w:tc>
          <w:tcPr>
            <w:tcW w:w="6081" w:type="dxa"/>
            <w:vAlign w:val="center"/>
          </w:tcPr>
          <w:p w14:paraId="441BB43F">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合作内容</w:t>
            </w:r>
          </w:p>
        </w:tc>
        <w:tc>
          <w:tcPr>
            <w:tcW w:w="1230" w:type="dxa"/>
            <w:vAlign w:val="center"/>
          </w:tcPr>
          <w:p w14:paraId="3A06B811">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接纳学生实习人次</w:t>
            </w:r>
          </w:p>
        </w:tc>
      </w:tr>
      <w:tr w14:paraId="06AD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Align w:val="center"/>
          </w:tcPr>
          <w:p w14:paraId="745530B6">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1215" w:type="dxa"/>
            <w:vAlign w:val="center"/>
          </w:tcPr>
          <w:p w14:paraId="2ACF3ED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263" w:type="dxa"/>
            <w:vAlign w:val="center"/>
          </w:tcPr>
          <w:p w14:paraId="1E2DC89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广东华勤技术有限公司</w:t>
            </w:r>
          </w:p>
        </w:tc>
        <w:tc>
          <w:tcPr>
            <w:tcW w:w="6081" w:type="dxa"/>
            <w:vAlign w:val="top"/>
          </w:tcPr>
          <w:p w14:paraId="1A0386F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1.接纳学生实习实训：提供大数据技术相关实习岗位，安排学生参与数据采集、数据清洗、数据标注、大数据平台基础运维等实践工作；</w:t>
            </w:r>
          </w:p>
          <w:p w14:paraId="7A64282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2.实践指导：选派具备丰富大数据技术实操经验的企业导师担任实习指导教师，对学生进行一对一或一对多的专业指导；</w:t>
            </w:r>
          </w:p>
          <w:p w14:paraId="234BE54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3.教学观摩：允许学生观摩学习企业专业团队的项目开发流程、技术应用及团队协作经验；</w:t>
            </w:r>
          </w:p>
          <w:p w14:paraId="14F06062">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210B01AC">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230" w:type="dxa"/>
            <w:vAlign w:val="center"/>
          </w:tcPr>
          <w:p w14:paraId="23E75E4D">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120</w:t>
            </w:r>
          </w:p>
        </w:tc>
      </w:tr>
      <w:tr w14:paraId="5E1E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6A53A705">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1215" w:type="dxa"/>
            <w:vAlign w:val="center"/>
          </w:tcPr>
          <w:p w14:paraId="5E4E588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263" w:type="dxa"/>
            <w:vAlign w:val="center"/>
          </w:tcPr>
          <w:p w14:paraId="0A704995">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广东新能德科技有限公司</w:t>
            </w:r>
          </w:p>
        </w:tc>
        <w:tc>
          <w:tcPr>
            <w:tcW w:w="6081" w:type="dxa"/>
            <w:vAlign w:val="top"/>
          </w:tcPr>
          <w:p w14:paraId="0E5FDAF5">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1.接纳学生实习实训：提供大数据技术应用相关实习岗位，安排学生参与大数据存储管理、数据可视化分析、智能算法基础应用等实践工作；</w:t>
            </w:r>
          </w:p>
          <w:p w14:paraId="4A876F8E">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2.实践指导：选派经验丰富的大数据技术专业工程师担任实习指导教师，对学生进行专业技能与项目实操双轨指导；</w:t>
            </w:r>
          </w:p>
          <w:p w14:paraId="2FE2ABB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3.教学观摩：允许学生观摩学习专业技术方法和项目管理经验；</w:t>
            </w:r>
          </w:p>
          <w:p w14:paraId="4534D32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530DE03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230" w:type="dxa"/>
            <w:vAlign w:val="center"/>
          </w:tcPr>
          <w:p w14:paraId="46CF304F">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100</w:t>
            </w:r>
          </w:p>
        </w:tc>
      </w:tr>
      <w:tr w14:paraId="0EAC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2951B7B2">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3</w:t>
            </w:r>
          </w:p>
        </w:tc>
        <w:tc>
          <w:tcPr>
            <w:tcW w:w="1215" w:type="dxa"/>
            <w:vAlign w:val="center"/>
          </w:tcPr>
          <w:p w14:paraId="3CA3C216">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263" w:type="dxa"/>
            <w:vAlign w:val="center"/>
          </w:tcPr>
          <w:p w14:paraId="28A95D2F">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lang w:val="en-US" w:eastAsia="zh-CN"/>
              </w:rPr>
              <w:t>广西阳戈新能源投资有限公司</w:t>
            </w:r>
          </w:p>
        </w:tc>
        <w:tc>
          <w:tcPr>
            <w:tcW w:w="6081" w:type="dxa"/>
            <w:vAlign w:val="top"/>
          </w:tcPr>
          <w:p w14:paraId="2801081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1.接纳学生实习实训：提供新能源行业大数据分析相关实习岗位，安排学生参与行业数据采集、能耗数据分析、大数据预测建模等实践工作；</w:t>
            </w:r>
          </w:p>
          <w:p w14:paraId="7FE09CF1">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2.实践指导：选派兼具行业经验与技术能力的企业导师担任实习指导教师，对学生进行行业场景下的大数据技术实操指导；</w:t>
            </w:r>
          </w:p>
          <w:p w14:paraId="75D0F47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3.教学观摩：允许学生观摩学习行业大数据应用逻辑、分析方法及项目落地经验；</w:t>
            </w:r>
          </w:p>
          <w:p w14:paraId="66E6D1C5">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6DBBCF6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230" w:type="dxa"/>
            <w:vAlign w:val="center"/>
          </w:tcPr>
          <w:p w14:paraId="4178E1C6">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50</w:t>
            </w:r>
          </w:p>
        </w:tc>
      </w:tr>
      <w:tr w14:paraId="64B1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13D7A45">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4</w:t>
            </w:r>
          </w:p>
        </w:tc>
        <w:tc>
          <w:tcPr>
            <w:tcW w:w="1215" w:type="dxa"/>
            <w:vAlign w:val="center"/>
          </w:tcPr>
          <w:p w14:paraId="750D394E">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263" w:type="dxa"/>
            <w:vAlign w:val="center"/>
          </w:tcPr>
          <w:p w14:paraId="65AA1E50">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中国移动通信集团广西有限公司平果分公司</w:t>
            </w:r>
          </w:p>
        </w:tc>
        <w:tc>
          <w:tcPr>
            <w:tcW w:w="6081" w:type="dxa"/>
            <w:vAlign w:val="top"/>
          </w:tcPr>
          <w:p w14:paraId="2E47F58D">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1.接纳学生实习实训：提供通信行业大数据技术相关实习岗位，安排学生参与通信数据采集、用户行为分析、网络数据运维、大数据平台监控等实践工作；</w:t>
            </w:r>
          </w:p>
          <w:p w14:paraId="5C63277E">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2.实践指导：选派通信行业大数据技术骨干担任实习指导教师，对学生进行通信场景下大数据技术应用的专业指导；</w:t>
            </w:r>
          </w:p>
          <w:p w14:paraId="42B84900">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3.教学观摩：允许学生观摩学习专业技术方法和行业运营管理经验；</w:t>
            </w:r>
          </w:p>
          <w:p w14:paraId="3DA49140">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4.实践评价：参与学生实习成绩的评定，提供真实客观的实习评价意见；</w:t>
            </w:r>
          </w:p>
          <w:p w14:paraId="5C7C1F88">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rPr>
              <w:t>5.提供教师实践岗位。</w:t>
            </w:r>
          </w:p>
        </w:tc>
        <w:tc>
          <w:tcPr>
            <w:tcW w:w="1230" w:type="dxa"/>
            <w:vAlign w:val="center"/>
          </w:tcPr>
          <w:p w14:paraId="6C9C4D24">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50</w:t>
            </w:r>
          </w:p>
        </w:tc>
      </w:tr>
      <w:tr w14:paraId="6AED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1B7F514F">
            <w:pPr>
              <w:overflowPunct w:val="0"/>
              <w:adjustRightInd w:val="0"/>
              <w:spacing w:after="0" w:line="320" w:lineRule="exact"/>
              <w:jc w:val="center"/>
              <w:rPr>
                <w:rFonts w:hint="eastAsia"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5</w:t>
            </w:r>
          </w:p>
        </w:tc>
        <w:tc>
          <w:tcPr>
            <w:tcW w:w="1215" w:type="dxa"/>
            <w:vAlign w:val="center"/>
          </w:tcPr>
          <w:p w14:paraId="26490853">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263" w:type="dxa"/>
            <w:vAlign w:val="center"/>
          </w:tcPr>
          <w:p w14:paraId="38D4F629">
            <w:pPr>
              <w:overflowPunct w:val="0"/>
              <w:adjustRightInd w:val="0"/>
              <w:spacing w:after="0" w:line="320" w:lineRule="exact"/>
              <w:jc w:val="left"/>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中国电信股份有限公司平果分公司</w:t>
            </w:r>
          </w:p>
        </w:tc>
        <w:tc>
          <w:tcPr>
            <w:tcW w:w="6081" w:type="dxa"/>
            <w:vAlign w:val="top"/>
          </w:tcPr>
          <w:p w14:paraId="5825FC82">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1.接纳学生实习实训：提供电信行业大数据技术相关实习岗位，安排学生参与电信网络数据管理、业务数据分析、大数据平台搭建与运维等实践工作；</w:t>
            </w:r>
          </w:p>
          <w:p w14:paraId="6D3230A1">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2.实践指导：选派电信大数据技术领域资深工程师担任实习指导教师，对学生进行全流程专业实操指导；</w:t>
            </w:r>
          </w:p>
          <w:p w14:paraId="65ED24B3">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3.教学观摩：允许学生观摩学习专业技术体系和行业应用经验；</w:t>
            </w:r>
          </w:p>
          <w:p w14:paraId="09780508">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4B15AFB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230" w:type="dxa"/>
            <w:vAlign w:val="center"/>
          </w:tcPr>
          <w:p w14:paraId="7A8C035D">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100</w:t>
            </w:r>
          </w:p>
        </w:tc>
      </w:tr>
      <w:tr w14:paraId="317E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09AEB633">
            <w:pPr>
              <w:overflowPunct w:val="0"/>
              <w:adjustRightInd w:val="0"/>
              <w:spacing w:after="0" w:line="320" w:lineRule="exact"/>
              <w:jc w:val="center"/>
              <w:rPr>
                <w:rFonts w:hint="eastAsia"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6</w:t>
            </w:r>
          </w:p>
        </w:tc>
        <w:tc>
          <w:tcPr>
            <w:tcW w:w="1215" w:type="dxa"/>
            <w:vAlign w:val="center"/>
          </w:tcPr>
          <w:p w14:paraId="6F43935D">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广西工程职业学院大数据技术专业校外实习基地</w:t>
            </w:r>
          </w:p>
        </w:tc>
        <w:tc>
          <w:tcPr>
            <w:tcW w:w="1263" w:type="dxa"/>
            <w:vAlign w:val="center"/>
          </w:tcPr>
          <w:p w14:paraId="43432E27">
            <w:pPr>
              <w:overflowPunct w:val="0"/>
              <w:adjustRightInd w:val="0"/>
              <w:spacing w:after="0" w:line="320" w:lineRule="exact"/>
              <w:jc w:val="left"/>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中国联合网络通信有限公司平果市分公司</w:t>
            </w:r>
          </w:p>
        </w:tc>
        <w:tc>
          <w:tcPr>
            <w:tcW w:w="6081" w:type="dxa"/>
            <w:vAlign w:val="top"/>
          </w:tcPr>
          <w:p w14:paraId="5448DB9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1.接纳学生实习实训：提供联通行业大数据技术相关实习岗位，安排学生参与网络数据采集分析、大数据存储优化、通信业务数据挖掘等实践工作；</w:t>
            </w:r>
          </w:p>
          <w:p w14:paraId="6701767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2.实践指导：选派联通大数据技术专业人才担任实习指导教师，对学生进行行业场景下的大数据技术实操指导；</w:t>
            </w:r>
          </w:p>
          <w:p w14:paraId="02DC31B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3.教学观摩：允许学生观摩学习专业技术方法和行业运营经验；</w:t>
            </w:r>
          </w:p>
          <w:p w14:paraId="0ABB09D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73E1754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1230" w:type="dxa"/>
            <w:vAlign w:val="center"/>
          </w:tcPr>
          <w:p w14:paraId="3419ACA8">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50</w:t>
            </w:r>
          </w:p>
        </w:tc>
      </w:tr>
    </w:tbl>
    <w:p w14:paraId="008A7DDA">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r>
        <w:rPr>
          <w:rFonts w:hint="eastAsia" w:ascii="Times New Roman" w:hAnsi="Times New Roman" w:eastAsia="楷体" w:cs="楷体"/>
          <w:sz w:val="32"/>
          <w:szCs w:val="32"/>
          <w:highlight w:val="none"/>
        </w:rPr>
        <w:t>（二）教学资源</w:t>
      </w:r>
      <w:bookmarkEnd w:id="55"/>
    </w:p>
    <w:p w14:paraId="6ECD87DB">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教学资源主要包括能满足学生专业学习、教师专业教学研究和教学实施所需的教材、图书文献及数字教学资源等。</w:t>
      </w:r>
    </w:p>
    <w:p w14:paraId="1B522D9F">
      <w:pPr>
        <w:overflowPunct w:val="0"/>
        <w:adjustRightInd w:val="0"/>
        <w:spacing w:after="0" w:line="540" w:lineRule="exact"/>
        <w:ind w:firstLine="640" w:firstLineChars="200"/>
        <w:outlineLvl w:val="2"/>
        <w:rPr>
          <w:rFonts w:hint="eastAsia" w:ascii="Times New Roman" w:hAnsi="Times New Roman" w:eastAsia="仿宋_GB2312" w:cs="仿宋_GB2312"/>
          <w:sz w:val="32"/>
          <w:szCs w:val="32"/>
          <w:highlight w:val="none"/>
        </w:rPr>
      </w:pPr>
      <w:bookmarkStart w:id="56" w:name="_Toc23808"/>
      <w:r>
        <w:rPr>
          <w:rFonts w:hint="eastAsia" w:ascii="Times New Roman" w:hAnsi="Times New Roman" w:eastAsia="仿宋_GB2312" w:cs="仿宋_GB2312"/>
          <w:sz w:val="32"/>
          <w:szCs w:val="32"/>
          <w:highlight w:val="none"/>
        </w:rPr>
        <w:t>1.教材选用基本要求</w:t>
      </w:r>
      <w:bookmarkEnd w:id="56"/>
    </w:p>
    <w:p w14:paraId="78A3102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02535A5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67EA22FD">
      <w:pPr>
        <w:overflowPunct w:val="0"/>
        <w:adjustRightInd w:val="0"/>
        <w:spacing w:after="0" w:line="540" w:lineRule="exact"/>
        <w:ind w:firstLine="640" w:firstLineChars="200"/>
        <w:outlineLvl w:val="2"/>
        <w:rPr>
          <w:rFonts w:hint="eastAsia" w:ascii="Times New Roman" w:hAnsi="Times New Roman" w:eastAsia="仿宋_GB2312" w:cs="仿宋_GB2312"/>
          <w:sz w:val="32"/>
          <w:szCs w:val="32"/>
          <w:highlight w:val="none"/>
        </w:rPr>
      </w:pPr>
      <w:bookmarkStart w:id="57" w:name="_Toc10299"/>
      <w:r>
        <w:rPr>
          <w:rFonts w:hint="eastAsia" w:ascii="Times New Roman" w:hAnsi="Times New Roman" w:eastAsia="仿宋_GB2312" w:cs="仿宋_GB2312"/>
          <w:sz w:val="32"/>
          <w:szCs w:val="32"/>
          <w:highlight w:val="none"/>
        </w:rPr>
        <w:t>2.图书文献配备基本要求</w:t>
      </w:r>
      <w:bookmarkEnd w:id="57"/>
    </w:p>
    <w:p w14:paraId="3F9BBDA4">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图书文献配备能满足人才培养、专业建设、教科研等工作的需要，方便师生查询、借阅。专业类文献主要包括：</w:t>
      </w:r>
      <w:bookmarkStart w:id="58" w:name="OLE_LINK6"/>
      <w:r>
        <w:rPr>
          <w:rFonts w:hint="eastAsia" w:ascii="Times New Roman" w:hAnsi="Times New Roman" w:eastAsia="仿宋_GB2312" w:cs="仿宋_GB2312"/>
          <w:sz w:val="32"/>
          <w:szCs w:val="32"/>
          <w:highlight w:val="none"/>
        </w:rPr>
        <w:t>电子信息类相关行业政策法规、行业标准、技术规范以及</w:t>
      </w:r>
      <w:bookmarkEnd w:id="58"/>
      <w:r>
        <w:rPr>
          <w:rFonts w:hint="eastAsia" w:ascii="Times New Roman" w:hAnsi="Times New Roman" w:eastAsia="仿宋_GB2312" w:cs="仿宋_GB2312"/>
          <w:sz w:val="32"/>
          <w:szCs w:val="32"/>
          <w:highlight w:val="none"/>
        </w:rPr>
        <w:t>条例等与服务相关专业类图书和实务案例类图书。专业图书资料（含电子图书）不低于500册，5种以上电子信息类专业学术期刊，并能保持每年更新。</w:t>
      </w:r>
    </w:p>
    <w:p w14:paraId="788FC4A9">
      <w:pPr>
        <w:overflowPunct w:val="0"/>
        <w:adjustRightInd w:val="0"/>
        <w:spacing w:after="0" w:line="540" w:lineRule="exact"/>
        <w:ind w:firstLine="640" w:firstLineChars="200"/>
        <w:outlineLvl w:val="2"/>
        <w:rPr>
          <w:rFonts w:hint="eastAsia" w:ascii="Times New Roman" w:hAnsi="Times New Roman" w:eastAsia="仿宋_GB2312" w:cs="仿宋_GB2312"/>
          <w:sz w:val="32"/>
          <w:szCs w:val="32"/>
          <w:highlight w:val="none"/>
        </w:rPr>
      </w:pPr>
      <w:bookmarkStart w:id="59" w:name="_Toc24580"/>
      <w:r>
        <w:rPr>
          <w:rFonts w:hint="eastAsia" w:ascii="Times New Roman" w:hAnsi="Times New Roman" w:eastAsia="仿宋_GB2312" w:cs="仿宋_GB2312"/>
          <w:sz w:val="32"/>
          <w:szCs w:val="32"/>
          <w:highlight w:val="none"/>
        </w:rPr>
        <w:t>3.数字教学资源配置基本要求</w:t>
      </w:r>
      <w:bookmarkEnd w:id="59"/>
    </w:p>
    <w:p w14:paraId="1B89DDF9">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建设、配备与专业相关的音视频素材、教学课件、数字化教学案例库、虚拟仿真软件、数字教材等专业教学资源库，应种类丰富、形式多样、使用便捷、动态更新，能满足教学要求。</w:t>
      </w:r>
    </w:p>
    <w:p w14:paraId="4EAEA8A2">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60" w:name="_Toc30951"/>
      <w:r>
        <w:rPr>
          <w:rFonts w:hint="eastAsia" w:ascii="Times New Roman" w:hAnsi="Times New Roman" w:eastAsia="楷体" w:cs="楷体"/>
          <w:sz w:val="32"/>
          <w:szCs w:val="32"/>
          <w:highlight w:val="none"/>
        </w:rPr>
        <w:t>（三）教学方法</w:t>
      </w:r>
      <w:bookmarkEnd w:id="60"/>
    </w:p>
    <w:p w14:paraId="50388A43">
      <w:pPr>
        <w:overflowPunct w:val="0"/>
        <w:adjustRightInd w:val="0"/>
        <w:spacing w:after="0" w:line="540" w:lineRule="exact"/>
        <w:ind w:firstLine="640" w:firstLineChars="200"/>
        <w:rPr>
          <w:rFonts w:hint="eastAsia" w:ascii="Times New Roman" w:hAnsi="Times New Roman" w:eastAsia="楷体" w:cs="楷体"/>
          <w:sz w:val="32"/>
          <w:szCs w:val="32"/>
          <w:highlight w:val="none"/>
        </w:rPr>
      </w:pPr>
      <w:r>
        <w:rPr>
          <w:rFonts w:ascii="Times New Roman" w:hAnsi="Times New Roman" w:eastAsia="仿宋_GB2312" w:cs="仿宋_GB2312"/>
          <w:sz w:val="32"/>
          <w:szCs w:val="32"/>
          <w:highlight w:val="none"/>
        </w:rPr>
        <w:t>根据不同课程的性质</w:t>
      </w:r>
      <w:r>
        <w:rPr>
          <w:rFonts w:hint="eastAsia" w:ascii="Times New Roman" w:hAnsi="Times New Roman" w:eastAsia="仿宋_GB2312" w:cs="仿宋_GB2312"/>
          <w:sz w:val="32"/>
          <w:szCs w:val="32"/>
          <w:highlight w:val="none"/>
        </w:rPr>
        <w:t>特点</w:t>
      </w:r>
      <w:r>
        <w:rPr>
          <w:rFonts w:ascii="Times New Roman" w:hAnsi="Times New Roman" w:eastAsia="仿宋_GB2312" w:cs="仿宋_GB2312"/>
          <w:sz w:val="32"/>
          <w:szCs w:val="32"/>
          <w:highlight w:val="none"/>
        </w:rPr>
        <w:t>，在保留传统讲授法、演示法、讨论法、问答法、案例分析法等的基础上</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应充分利用信息化教学资源，尽量将项目驱动法、探究式教学、翻转课堂等新型教学模式及方法引入课堂，遵循“学生为主体，教师为主导”的原则，积极探索多种教学方法。</w:t>
      </w:r>
    </w:p>
    <w:p w14:paraId="22F0E262">
      <w:pPr>
        <w:overflowPunct w:val="0"/>
        <w:adjustRightInd w:val="0"/>
        <w:spacing w:after="0" w:line="520" w:lineRule="exact"/>
        <w:ind w:firstLine="640" w:firstLineChars="200"/>
        <w:outlineLvl w:val="1"/>
        <w:rPr>
          <w:rFonts w:hint="eastAsia" w:ascii="Times New Roman" w:hAnsi="Times New Roman" w:eastAsia="楷体" w:cs="楷体"/>
          <w:sz w:val="32"/>
          <w:szCs w:val="32"/>
          <w:highlight w:val="none"/>
        </w:rPr>
      </w:pPr>
      <w:bookmarkStart w:id="61" w:name="_Toc1910"/>
      <w:r>
        <w:rPr>
          <w:rFonts w:hint="eastAsia" w:ascii="Times New Roman" w:hAnsi="Times New Roman" w:eastAsia="楷体" w:cs="楷体"/>
          <w:sz w:val="32"/>
          <w:szCs w:val="32"/>
          <w:highlight w:val="none"/>
        </w:rPr>
        <w:t>（四）学习评价</w:t>
      </w:r>
      <w:bookmarkEnd w:id="61"/>
    </w:p>
    <w:p w14:paraId="1FB7F4CE">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62" w:name="_Toc16979"/>
      <w:r>
        <w:rPr>
          <w:rFonts w:hint="eastAsia" w:ascii="Times New Roman" w:hAnsi="Times New Roman" w:eastAsia="仿宋_GB2312" w:cs="仿宋_GB2312"/>
          <w:sz w:val="32"/>
          <w:szCs w:val="32"/>
          <w:highlight w:val="none"/>
        </w:rPr>
        <w:t>1.课程考核方法</w:t>
      </w:r>
      <w:bookmarkEnd w:id="62"/>
    </w:p>
    <w:p w14:paraId="68944AD3">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30A39D94">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课程成绩评定根据学生参与度、作业质量、实训效果与期末考核等项目确定不同比例进行综合评定，评定标准如下：</w:t>
      </w:r>
    </w:p>
    <w:p w14:paraId="78ABF170">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（1）A类课程成绩构成（纯理论）</w:t>
      </w:r>
    </w:p>
    <w:p w14:paraId="671E3866">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课程总成绩=期末卷面考试成绩（50%）+平时成绩（50%）</w:t>
      </w:r>
    </w:p>
    <w:p w14:paraId="35313A5D">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（2）B类课程成绩构成（理论+实践）</w:t>
      </w:r>
    </w:p>
    <w:p w14:paraId="3DC20A3F">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课程总成绩=</w:t>
      </w:r>
      <w:bookmarkStart w:id="68" w:name="_GoBack"/>
      <w:bookmarkEnd w:id="68"/>
      <w:r>
        <w:rPr>
          <w:rFonts w:hint="eastAsia" w:ascii="Times New Roman" w:hAnsi="Times New Roman" w:eastAsia="仿宋_GB2312" w:cs="仿宋_GB2312"/>
          <w:sz w:val="32"/>
          <w:szCs w:val="32"/>
          <w:highlight w:val="none"/>
        </w:rPr>
        <w:t>期末卷面考试成绩（40%）+技能成绩（30%）+平时成绩（30%）。</w:t>
      </w:r>
    </w:p>
    <w:p w14:paraId="423ACDC3">
      <w:pPr>
        <w:overflowPunct w:val="0"/>
        <w:adjustRightInd w:val="0"/>
        <w:spacing w:after="0" w:line="520" w:lineRule="exact"/>
        <w:ind w:firstLine="640" w:firstLineChars="200"/>
        <w:outlineLvl w:val="3"/>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（3）C类课程成绩构成（纯实践）</w:t>
      </w:r>
    </w:p>
    <w:p w14:paraId="4D4B84E6">
      <w:pPr>
        <w:overflowPunct w:val="0"/>
        <w:adjustRightInd w:val="0"/>
        <w:spacing w:after="0" w:line="52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课程总成绩=技能成绩（50%）+平时成绩（50%）</w:t>
      </w:r>
    </w:p>
    <w:p w14:paraId="5402B92C">
      <w:pPr>
        <w:overflowPunct w:val="0"/>
        <w:adjustRightInd w:val="0"/>
        <w:spacing w:after="0" w:line="520" w:lineRule="exact"/>
        <w:ind w:firstLine="640" w:firstLineChars="200"/>
        <w:outlineLvl w:val="2"/>
        <w:rPr>
          <w:rFonts w:hint="eastAsia" w:ascii="Times New Roman" w:hAnsi="Times New Roman" w:eastAsia="仿宋_GB2312" w:cs="仿宋_GB2312"/>
          <w:sz w:val="32"/>
          <w:szCs w:val="32"/>
          <w:highlight w:val="none"/>
        </w:rPr>
      </w:pPr>
      <w:bookmarkStart w:id="63" w:name="_Toc18314"/>
      <w:r>
        <w:rPr>
          <w:rFonts w:hint="eastAsia" w:ascii="Times New Roman" w:hAnsi="Times New Roman" w:eastAsia="仿宋_GB2312" w:cs="仿宋_GB2312"/>
          <w:sz w:val="32"/>
          <w:szCs w:val="32"/>
          <w:highlight w:val="none"/>
        </w:rPr>
        <w:t>2.教学评价方式</w:t>
      </w:r>
      <w:bookmarkEnd w:id="63"/>
    </w:p>
    <w:p w14:paraId="30B1764E">
      <w:pPr>
        <w:overflowPunct w:val="0"/>
        <w:adjustRightInd w:val="0"/>
        <w:spacing w:after="0" w:line="540" w:lineRule="exact"/>
        <w:ind w:firstLine="640" w:firstLineChars="200"/>
        <w:rPr>
          <w:rFonts w:hint="eastAsia" w:ascii="Times New Roman" w:hAnsi="Times New Roman" w:eastAsia="黑体" w:cs="黑体"/>
          <w:sz w:val="32"/>
          <w:szCs w:val="32"/>
          <w:highlight w:val="none"/>
        </w:rPr>
      </w:pPr>
      <w:r>
        <w:rPr>
          <w:rFonts w:hint="eastAsia" w:ascii="Times New Roman" w:hAnsi="Times New Roman" w:eastAsia="仿宋_GB2312" w:cs="仿宋_GB2312"/>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608FC9BD">
      <w:pPr>
        <w:numPr>
          <w:ilvl w:val="0"/>
          <w:numId w:val="2"/>
        </w:numPr>
        <w:overflowPunct w:val="0"/>
        <w:adjustRightInd w:val="0"/>
        <w:spacing w:after="0" w:line="520" w:lineRule="exact"/>
        <w:ind w:firstLine="640" w:firstLineChars="200"/>
        <w:outlineLvl w:val="0"/>
        <w:rPr>
          <w:rFonts w:hint="eastAsia" w:ascii="Times New Roman" w:hAnsi="Times New Roman" w:eastAsia="黑体" w:cs="黑体"/>
          <w:sz w:val="32"/>
          <w:szCs w:val="32"/>
          <w:highlight w:val="none"/>
        </w:rPr>
      </w:pPr>
      <w:bookmarkStart w:id="64" w:name="_Toc6703"/>
      <w:r>
        <w:rPr>
          <w:rFonts w:hint="eastAsia" w:ascii="Times New Roman" w:hAnsi="Times New Roman" w:eastAsia="黑体" w:cs="黑体"/>
          <w:sz w:val="32"/>
          <w:szCs w:val="32"/>
          <w:highlight w:val="none"/>
        </w:rPr>
        <w:t>质量保障</w:t>
      </w:r>
      <w:bookmarkEnd w:id="64"/>
    </w:p>
    <w:p w14:paraId="7A98E181">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58DE803A">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119D29C8">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3.专业教研</w:t>
      </w:r>
      <w:r>
        <w:rPr>
          <w:rFonts w:hint="eastAsia" w:ascii="Times New Roman" w:hAnsi="Times New Roman" w:eastAsia="仿宋_GB2312" w:cs="仿宋_GB2312"/>
          <w:sz w:val="32"/>
          <w:szCs w:val="32"/>
          <w:highlight w:val="none"/>
          <w:lang w:val="en-US" w:eastAsia="zh-CN"/>
        </w:rPr>
        <w:t>室</w:t>
      </w:r>
      <w:r>
        <w:rPr>
          <w:rFonts w:hint="eastAsia" w:ascii="Times New Roman" w:hAnsi="Times New Roman" w:eastAsia="仿宋_GB2312" w:cs="仿宋_GB2312"/>
          <w:sz w:val="32"/>
          <w:szCs w:val="32"/>
          <w:highlight w:val="none"/>
        </w:rPr>
        <w:t>建立线上线下相结合的集中备课制度，定期召开教学研讨会议，利用评价分析结果有效改进专业教学，持续提高人才培养质量。</w:t>
      </w:r>
    </w:p>
    <w:p w14:paraId="268414CB">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.建立毕业生跟踪反馈机制及社会评价机制，并对生源情况、在校生学业水平、毕业生就业情况等进行分析，定期评价人才培养质量和培养目标达成情况。</w:t>
      </w:r>
    </w:p>
    <w:p w14:paraId="7AC9BE2F">
      <w:pPr>
        <w:overflowPunct w:val="0"/>
        <w:adjustRightInd w:val="0"/>
        <w:spacing w:after="0" w:line="54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5</w:t>
      </w:r>
      <w:r>
        <w:rPr>
          <w:rFonts w:hint="eastAsia" w:ascii="Times New Roman" w:hAnsi="Times New Roman" w:eastAsia="仿宋_GB2312" w:cs="仿宋_GB2312"/>
          <w:sz w:val="32"/>
          <w:szCs w:val="32"/>
          <w:highlight w:val="none"/>
        </w:rPr>
        <w:t>.充分利用评价分析结果有效改进专业教学，持续提高人才培养质量。</w:t>
      </w:r>
    </w:p>
    <w:p w14:paraId="6F222A83">
      <w:pPr>
        <w:overflowPunct w:val="0"/>
        <w:adjustRightInd w:val="0"/>
        <w:spacing w:after="0" w:line="520" w:lineRule="exact"/>
        <w:ind w:firstLine="640" w:firstLineChars="200"/>
        <w:outlineLvl w:val="0"/>
        <w:rPr>
          <w:rFonts w:hint="eastAsia" w:ascii="Times New Roman" w:hAnsi="Times New Roman" w:eastAsia="黑体" w:cs="黑体"/>
          <w:color w:val="1D41D5"/>
          <w:sz w:val="32"/>
          <w:szCs w:val="32"/>
          <w:highlight w:val="none"/>
        </w:rPr>
      </w:pPr>
      <w:bookmarkStart w:id="65" w:name="_Toc12375"/>
      <w:r>
        <w:rPr>
          <w:rFonts w:hint="eastAsia" w:ascii="Times New Roman" w:hAnsi="Times New Roman" w:eastAsia="黑体" w:cs="黑体"/>
          <w:sz w:val="32"/>
          <w:szCs w:val="32"/>
          <w:highlight w:val="none"/>
        </w:rPr>
        <w:t>十二、毕业要求</w:t>
      </w:r>
      <w:bookmarkEnd w:id="65"/>
    </w:p>
    <w:p w14:paraId="39624C26">
      <w:pPr>
        <w:numPr>
          <w:ilvl w:val="0"/>
          <w:numId w:val="3"/>
        </w:numPr>
        <w:overflowPunct w:val="0"/>
        <w:adjustRightInd w:val="0"/>
        <w:spacing w:after="0" w:line="520" w:lineRule="exact"/>
        <w:ind w:left="640" w:leftChars="0" w:firstLine="0" w:firstLineChars="0"/>
        <w:outlineLvl w:val="1"/>
        <w:rPr>
          <w:rFonts w:hint="eastAsia" w:ascii="Times New Roman" w:hAnsi="Times New Roman" w:eastAsia="楷体" w:cs="楷体"/>
          <w:sz w:val="32"/>
          <w:szCs w:val="32"/>
          <w:highlight w:val="none"/>
        </w:rPr>
      </w:pPr>
      <w:bookmarkStart w:id="66" w:name="_Toc25801"/>
      <w:r>
        <w:rPr>
          <w:rFonts w:hint="eastAsia" w:ascii="Times New Roman" w:hAnsi="Times New Roman" w:eastAsia="楷体" w:cs="楷体"/>
          <w:sz w:val="32"/>
          <w:szCs w:val="32"/>
          <w:highlight w:val="none"/>
        </w:rPr>
        <w:t>学分要求</w:t>
      </w:r>
      <w:bookmarkEnd w:id="66"/>
    </w:p>
    <w:p w14:paraId="5A3B056F">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本专业要求学生根据人才培养方案确定的目标和培养规格，完成规定的实习实训，全部课程考核合格且修满至少14</w:t>
      </w: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rPr>
        <w:t>学分。其中，必修课12</w:t>
      </w:r>
      <w:r>
        <w:rPr>
          <w:rFonts w:hint="eastAsia" w:ascii="Times New Roman" w:hAnsi="Times New Roman" w:eastAsia="仿宋_GB2312" w:cs="仿宋_GB2312"/>
          <w:sz w:val="32"/>
          <w:szCs w:val="32"/>
          <w:highlight w:val="none"/>
          <w:lang w:val="en-US" w:eastAsia="zh-CN"/>
        </w:rPr>
        <w:t>5</w:t>
      </w:r>
      <w:r>
        <w:rPr>
          <w:rFonts w:hint="eastAsia" w:ascii="Times New Roman" w:hAnsi="Times New Roman" w:eastAsia="仿宋_GB2312" w:cs="仿宋_GB2312"/>
          <w:sz w:val="32"/>
          <w:szCs w:val="32"/>
          <w:highlight w:val="none"/>
        </w:rPr>
        <w:t>学分，选修课18学分。公共必修课4</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学分，公共选修课8学分。专业必修课81学分，专业选修课10学分。</w:t>
      </w:r>
    </w:p>
    <w:p w14:paraId="03ED3284">
      <w:pPr>
        <w:numPr>
          <w:ilvl w:val="0"/>
          <w:numId w:val="0"/>
        </w:numPr>
        <w:overflowPunct w:val="0"/>
        <w:adjustRightInd w:val="0"/>
        <w:spacing w:after="0" w:line="520" w:lineRule="exact"/>
        <w:ind w:left="640" w:leftChars="0"/>
        <w:outlineLvl w:val="1"/>
        <w:rPr>
          <w:rFonts w:hint="eastAsia" w:ascii="Times New Roman" w:hAnsi="Times New Roman" w:eastAsia="楷体" w:cs="楷体"/>
          <w:sz w:val="32"/>
          <w:szCs w:val="32"/>
          <w:highlight w:val="none"/>
          <w:lang w:val="en-US" w:eastAsia="zh-CN"/>
        </w:rPr>
      </w:pPr>
      <w:r>
        <w:rPr>
          <w:rFonts w:hint="eastAsia" w:ascii="Times New Roman" w:hAnsi="Times New Roman" w:eastAsia="楷体" w:cs="楷体"/>
          <w:sz w:val="32"/>
          <w:szCs w:val="32"/>
          <w:highlight w:val="none"/>
          <w:lang w:val="en-US" w:eastAsia="zh-CN"/>
        </w:rPr>
        <w:t>（二）职业类证书要求</w:t>
      </w:r>
    </w:p>
    <w:p w14:paraId="4583D07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将低压电工上岗证、电工证等职业证书纳入培养要求，鼓励学生考取相关证书。通过职业证书的考取，提高学生的专业技能和就业竞争力，使学生更好地适应社会和企业的需求。</w:t>
      </w:r>
    </w:p>
    <w:p w14:paraId="7F481A9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学生接受职业培训取得的职业技能等级证书、培训证书等学习成果，经学校认定，可以转化为相应的学历教育学分，以支撑学生未来在就业、创业、学业等方面持续发展。</w:t>
      </w:r>
    </w:p>
    <w:p w14:paraId="0101154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eastAsia" w:ascii="Times New Roman" w:hAnsi="Times New Roman" w:eastAsia="仿宋_GB2312" w:cs="仿宋_GB2312"/>
          <w:color w:val="auto"/>
          <w:sz w:val="32"/>
          <w:szCs w:val="32"/>
          <w:lang w:val="en-US" w:eastAsia="zh-CN"/>
        </w:rPr>
      </w:pPr>
    </w:p>
    <w:p w14:paraId="4C817DD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eastAsia" w:ascii="Times New Roman" w:hAnsi="Times New Roman" w:eastAsia="仿宋_GB2312" w:cs="仿宋_GB2312"/>
          <w:color w:val="auto"/>
          <w:sz w:val="32"/>
          <w:szCs w:val="32"/>
          <w:lang w:val="en-US" w:eastAsia="zh-CN"/>
        </w:rPr>
      </w:pPr>
    </w:p>
    <w:p w14:paraId="56F26A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   电子信息工程技术专业职业证书一览表</w:t>
      </w:r>
    </w:p>
    <w:tbl>
      <w:tblPr>
        <w:tblStyle w:val="11"/>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676"/>
        <w:gridCol w:w="4078"/>
        <w:gridCol w:w="914"/>
      </w:tblGrid>
      <w:tr w14:paraId="4E47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21135BC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序号</w:t>
            </w:r>
          </w:p>
        </w:tc>
        <w:tc>
          <w:tcPr>
            <w:tcW w:w="2676" w:type="dxa"/>
            <w:vAlign w:val="top"/>
          </w:tcPr>
          <w:p w14:paraId="79B484C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证书名称</w:t>
            </w:r>
          </w:p>
        </w:tc>
        <w:tc>
          <w:tcPr>
            <w:tcW w:w="4078" w:type="dxa"/>
            <w:vAlign w:val="top"/>
          </w:tcPr>
          <w:p w14:paraId="68FBCC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发证机构</w:t>
            </w:r>
          </w:p>
        </w:tc>
        <w:tc>
          <w:tcPr>
            <w:tcW w:w="914" w:type="dxa"/>
            <w:vAlign w:val="top"/>
          </w:tcPr>
          <w:p w14:paraId="46AE5F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53FB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1D31E8B">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1</w:t>
            </w:r>
          </w:p>
        </w:tc>
        <w:tc>
          <w:tcPr>
            <w:tcW w:w="2676" w:type="dxa"/>
            <w:vAlign w:val="top"/>
          </w:tcPr>
          <w:p w14:paraId="75C981A6">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低压电工上岗证</w:t>
            </w:r>
          </w:p>
        </w:tc>
        <w:tc>
          <w:tcPr>
            <w:tcW w:w="4078" w:type="dxa"/>
            <w:vAlign w:val="top"/>
          </w:tcPr>
          <w:p w14:paraId="6B4813C1">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百色市应急局</w:t>
            </w:r>
          </w:p>
        </w:tc>
        <w:tc>
          <w:tcPr>
            <w:tcW w:w="914" w:type="dxa"/>
            <w:vAlign w:val="top"/>
          </w:tcPr>
          <w:p w14:paraId="66A19DDB">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333C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0E2D6FFA">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2</w:t>
            </w:r>
          </w:p>
        </w:tc>
        <w:tc>
          <w:tcPr>
            <w:tcW w:w="2676" w:type="dxa"/>
            <w:vAlign w:val="top"/>
          </w:tcPr>
          <w:p w14:paraId="37B5C3DF">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eastAsia="zh-CN"/>
              </w:rPr>
            </w:pPr>
            <w:r>
              <w:rPr>
                <w:rFonts w:hint="eastAsia" w:ascii="Times New Roman" w:hAnsi="Times New Roman" w:eastAsia="仿宋_GB2312" w:cs="仿宋_GB2312"/>
                <w:lang w:val="en-US" w:eastAsia="zh-CN"/>
              </w:rPr>
              <w:t>电工（初级）</w:t>
            </w:r>
          </w:p>
        </w:tc>
        <w:tc>
          <w:tcPr>
            <w:tcW w:w="4078" w:type="dxa"/>
            <w:vAlign w:val="top"/>
          </w:tcPr>
          <w:p w14:paraId="7246263E">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914" w:type="dxa"/>
            <w:vAlign w:val="top"/>
          </w:tcPr>
          <w:p w14:paraId="3582F57B">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自愿</w:t>
            </w:r>
          </w:p>
        </w:tc>
      </w:tr>
      <w:tr w14:paraId="7D19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A8DD254">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3</w:t>
            </w:r>
          </w:p>
        </w:tc>
        <w:tc>
          <w:tcPr>
            <w:tcW w:w="2676" w:type="dxa"/>
            <w:vAlign w:val="top"/>
          </w:tcPr>
          <w:p w14:paraId="0236659E">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汽车维修工（初级）</w:t>
            </w:r>
          </w:p>
        </w:tc>
        <w:tc>
          <w:tcPr>
            <w:tcW w:w="4078" w:type="dxa"/>
            <w:vAlign w:val="top"/>
          </w:tcPr>
          <w:p w14:paraId="7E8F801E">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百色市职业技能鉴定中心</w:t>
            </w:r>
          </w:p>
        </w:tc>
        <w:tc>
          <w:tcPr>
            <w:tcW w:w="914" w:type="dxa"/>
            <w:vAlign w:val="top"/>
          </w:tcPr>
          <w:p w14:paraId="61651C1E">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02F5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D86F0EF">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rPr>
              <w:t>4</w:t>
            </w:r>
          </w:p>
        </w:tc>
        <w:tc>
          <w:tcPr>
            <w:tcW w:w="2676" w:type="dxa"/>
            <w:vAlign w:val="top"/>
          </w:tcPr>
          <w:p w14:paraId="6196F101">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计算机装配员（初级）</w:t>
            </w:r>
          </w:p>
        </w:tc>
        <w:tc>
          <w:tcPr>
            <w:tcW w:w="4078" w:type="dxa"/>
            <w:vAlign w:val="top"/>
          </w:tcPr>
          <w:p w14:paraId="27288037">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914" w:type="dxa"/>
            <w:vAlign w:val="top"/>
          </w:tcPr>
          <w:p w14:paraId="1721F71A">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624B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04DFC6A">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5</w:t>
            </w:r>
          </w:p>
        </w:tc>
        <w:tc>
          <w:tcPr>
            <w:tcW w:w="2676" w:type="dxa"/>
            <w:vAlign w:val="top"/>
          </w:tcPr>
          <w:p w14:paraId="45BAA6F1">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办公软件应用</w:t>
            </w:r>
          </w:p>
        </w:tc>
        <w:tc>
          <w:tcPr>
            <w:tcW w:w="4078" w:type="dxa"/>
            <w:vAlign w:val="top"/>
          </w:tcPr>
          <w:p w14:paraId="75984055">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百色市职业技能鉴定中心</w:t>
            </w:r>
          </w:p>
        </w:tc>
        <w:tc>
          <w:tcPr>
            <w:tcW w:w="914" w:type="dxa"/>
            <w:vAlign w:val="top"/>
          </w:tcPr>
          <w:p w14:paraId="49908076">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r w14:paraId="099C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640B6CA">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bookmarkStart w:id="67" w:name="_Toc16158"/>
            <w:r>
              <w:rPr>
                <w:rFonts w:hint="eastAsia" w:ascii="Times New Roman" w:hAnsi="Times New Roman" w:eastAsia="仿宋_GB2312" w:cs="仿宋_GB2312"/>
                <w:lang w:val="en-US" w:eastAsia="zh-CN"/>
              </w:rPr>
              <w:t>6</w:t>
            </w:r>
          </w:p>
        </w:tc>
        <w:tc>
          <w:tcPr>
            <w:tcW w:w="2676" w:type="dxa"/>
            <w:vAlign w:val="top"/>
          </w:tcPr>
          <w:p w14:paraId="55A71A5F">
            <w:pPr>
              <w:pStyle w:val="9"/>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lang w:val="en-US" w:eastAsia="zh-CN"/>
              </w:rPr>
              <w:t>叉车</w:t>
            </w:r>
          </w:p>
        </w:tc>
        <w:tc>
          <w:tcPr>
            <w:tcW w:w="4078" w:type="dxa"/>
            <w:vAlign w:val="top"/>
          </w:tcPr>
          <w:p w14:paraId="18E65CE6">
            <w:pPr>
              <w:pStyle w:val="9"/>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lang w:val="en-US" w:eastAsia="zh-CN"/>
              </w:rPr>
              <w:t>田阳区市场监督管理局</w:t>
            </w:r>
          </w:p>
        </w:tc>
        <w:tc>
          <w:tcPr>
            <w:tcW w:w="914" w:type="dxa"/>
            <w:vAlign w:val="top"/>
          </w:tcPr>
          <w:p w14:paraId="6AD3967D">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kern w:val="0"/>
                <w:sz w:val="24"/>
                <w:szCs w:val="24"/>
                <w:lang w:val="en-US" w:eastAsia="zh-CN" w:bidi="ar-SA"/>
              </w:rPr>
              <w:t>自愿</w:t>
            </w:r>
          </w:p>
        </w:tc>
      </w:tr>
    </w:tbl>
    <w:p w14:paraId="61653256">
      <w:pPr>
        <w:overflowPunct w:val="0"/>
        <w:adjustRightInd w:val="0"/>
        <w:spacing w:after="0" w:line="520" w:lineRule="exact"/>
        <w:ind w:firstLine="640" w:firstLineChars="200"/>
        <w:outlineLvl w:val="1"/>
        <w:rPr>
          <w:rFonts w:hint="eastAsia" w:ascii="Times New Roman" w:hAnsi="Times New Roman" w:eastAsia="仿宋_GB2312" w:cs="仿宋_GB2312"/>
          <w:sz w:val="32"/>
          <w:szCs w:val="32"/>
          <w:highlight w:val="none"/>
        </w:rPr>
      </w:pPr>
      <w:r>
        <w:rPr>
          <w:rFonts w:hint="eastAsia" w:ascii="Times New Roman" w:hAnsi="Times New Roman" w:eastAsia="楷体" w:cs="楷体"/>
          <w:sz w:val="32"/>
          <w:szCs w:val="32"/>
          <w:highlight w:val="none"/>
        </w:rPr>
        <w:t>（</w:t>
      </w:r>
      <w:r>
        <w:rPr>
          <w:rFonts w:hint="eastAsia" w:ascii="Times New Roman" w:hAnsi="Times New Roman" w:eastAsia="楷体" w:cs="楷体"/>
          <w:sz w:val="32"/>
          <w:szCs w:val="32"/>
          <w:highlight w:val="none"/>
          <w:lang w:val="en-US" w:eastAsia="zh-CN"/>
        </w:rPr>
        <w:t>三</w:t>
      </w:r>
      <w:r>
        <w:rPr>
          <w:rFonts w:hint="eastAsia" w:ascii="Times New Roman" w:hAnsi="Times New Roman" w:eastAsia="楷体" w:cs="楷体"/>
          <w:sz w:val="32"/>
          <w:szCs w:val="32"/>
          <w:highlight w:val="none"/>
        </w:rPr>
        <w:t>）综合素质要求</w:t>
      </w:r>
      <w:bookmarkEnd w:id="67"/>
    </w:p>
    <w:p w14:paraId="779FC6CD">
      <w:pPr>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w:t>
      </w:r>
      <w:r>
        <w:rPr>
          <w:rFonts w:ascii="Times New Roman" w:hAnsi="Times New Roman" w:eastAsia="仿宋_GB2312" w:cs="仿宋_GB2312"/>
          <w:sz w:val="32"/>
          <w:szCs w:val="32"/>
          <w:highlight w:val="none"/>
        </w:rPr>
        <w:t>拥护中国共产党的领导，践行社会主义核心价值观，具有坚定的理想信念和正确的世界观、人生观、价值观；具备强烈的社会责任感与家国情怀，能自觉将个人职业发展融入电子信息产业强国建设等国家战略需求，在技术研发、工程实践中坚守行业伦理与职业操守，杜绝技术滥用、信息泄露等违规行为。</w:t>
      </w:r>
    </w:p>
    <w:p w14:paraId="4F6BEFC5">
      <w:pPr>
        <w:tabs>
          <w:tab w:val="left" w:pos="720"/>
        </w:tabs>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w:t>
      </w:r>
      <w:r>
        <w:rPr>
          <w:rFonts w:ascii="Times New Roman" w:hAnsi="Times New Roman" w:eastAsia="仿宋_GB2312" w:cs="仿宋_GB2312"/>
          <w:sz w:val="32"/>
          <w:szCs w:val="32"/>
          <w:highlight w:val="none"/>
        </w:rPr>
        <w:t>恪守电子信息行业职业道德规范，具备严谨务实的工作态度，在电路设计、设备调试、数据处理等工作中严格遵循技术标准与操作规范，杜绝敷衍塞责、弄虚作假；具有良好的契约精神与团队协作意识，尊重同事的劳动成果，能主动沟通协调技术分歧，保障项目高效推进；树立终身廉洁从业意识，不利用职务之便谋取不正当利益，维护行业公平竞争环境。</w:t>
      </w:r>
    </w:p>
    <w:p w14:paraId="04994334">
      <w:pPr>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ascii="Times New Roman" w:hAnsi="Times New Roman" w:eastAsia="仿宋_GB2312" w:cs="仿宋_GB2312"/>
          <w:sz w:val="32"/>
          <w:szCs w:val="32"/>
          <w:highlight w:val="none"/>
        </w:rPr>
        <w:t>系统掌握电子信息工程技术领域的专业知识与技术技能，能够从事电子设备与系统的设计、开发、调试、维护，以及通信工程、嵌入式系统等相关技术服务工作。</w:t>
      </w:r>
    </w:p>
    <w:p w14:paraId="031FBC2F">
      <w:pPr>
        <w:tabs>
          <w:tab w:val="left" w:pos="720"/>
        </w:tabs>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w:t>
      </w:r>
      <w:r>
        <w:rPr>
          <w:rFonts w:ascii="Times New Roman" w:hAnsi="Times New Roman" w:eastAsia="仿宋_GB2312" w:cs="仿宋_GB2312"/>
          <w:sz w:val="32"/>
          <w:szCs w:val="32"/>
          <w:highlight w:val="none"/>
        </w:rPr>
        <w:t>具备较强的就业能力和可持续发展能力，能够适应电子信息、通信、智能硬件等行业的技术发展需求。</w:t>
      </w:r>
    </w:p>
    <w:p w14:paraId="7D6BCEAE">
      <w:pPr>
        <w:tabs>
          <w:tab w:val="left" w:pos="720"/>
        </w:tabs>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5.</w:t>
      </w:r>
      <w:r>
        <w:rPr>
          <w:rFonts w:ascii="Times New Roman" w:hAnsi="Times New Roman" w:eastAsia="仿宋_GB2312" w:cs="仿宋_GB2312"/>
          <w:sz w:val="32"/>
          <w:szCs w:val="32"/>
          <w:highlight w:val="none"/>
        </w:rPr>
        <w:t>能快速适应电子信息产业技术迭代快</w:t>
      </w:r>
      <w:r>
        <w:rPr>
          <w:rFonts w:hint="eastAsia" w:ascii="Times New Roman" w:hAnsi="Times New Roman" w:eastAsia="仿宋_GB2312" w:cs="仿宋_GB2312"/>
          <w:sz w:val="32"/>
          <w:szCs w:val="32"/>
          <w:highlight w:val="none"/>
        </w:rPr>
        <w:t>的</w:t>
      </w:r>
      <w:r>
        <w:rPr>
          <w:rFonts w:ascii="Times New Roman" w:hAnsi="Times New Roman" w:eastAsia="仿宋_GB2312" w:cs="仿宋_GB2312"/>
          <w:sz w:val="32"/>
          <w:szCs w:val="32"/>
          <w:highlight w:val="none"/>
        </w:rPr>
        <w:t>环境，面对技术更新能及时调整学习</w:t>
      </w:r>
      <w:r>
        <w:rPr>
          <w:rFonts w:hint="eastAsia" w:ascii="Times New Roman" w:hAnsi="Times New Roman" w:eastAsia="仿宋_GB2312" w:cs="仿宋_GB2312"/>
          <w:sz w:val="32"/>
          <w:szCs w:val="32"/>
          <w:highlight w:val="none"/>
        </w:rPr>
        <w:t>方法的能力</w:t>
      </w:r>
      <w:r>
        <w:rPr>
          <w:rFonts w:ascii="Times New Roman" w:hAnsi="Times New Roman" w:eastAsia="仿宋_GB2312" w:cs="仿宋_GB2312"/>
          <w:sz w:val="32"/>
          <w:szCs w:val="32"/>
          <w:highlight w:val="none"/>
        </w:rPr>
        <w:t>。</w:t>
      </w:r>
    </w:p>
    <w:p w14:paraId="73C90289">
      <w:pPr>
        <w:tabs>
          <w:tab w:val="left" w:pos="720"/>
        </w:tabs>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6.</w:t>
      </w:r>
      <w:r>
        <w:rPr>
          <w:rFonts w:ascii="Times New Roman" w:hAnsi="Times New Roman" w:eastAsia="仿宋_GB2312" w:cs="仿宋_GB2312"/>
          <w:sz w:val="32"/>
          <w:szCs w:val="32"/>
          <w:highlight w:val="none"/>
        </w:rPr>
        <w:t>具有健全的身心素质，尊重劳动、热爱劳动，具备较强的团队协作、沟通表达和工程实践能力。</w:t>
      </w:r>
    </w:p>
    <w:p w14:paraId="2356617D">
      <w:pPr>
        <w:overflowPunct w:val="0"/>
        <w:adjustRightInd w:val="0"/>
        <w:spacing w:after="0" w:line="54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7.</w:t>
      </w:r>
      <w:r>
        <w:rPr>
          <w:rFonts w:ascii="Times New Roman" w:hAnsi="Times New Roman" w:eastAsia="仿宋_GB2312" w:cs="仿宋_GB2312"/>
          <w:sz w:val="32"/>
          <w:szCs w:val="32"/>
          <w:highlight w:val="none"/>
        </w:rPr>
        <w:t>积极参加社会实践、创新创业活动及相关职业能力培训，具有较强的职业综合素质和行动能力。</w:t>
      </w:r>
    </w:p>
    <w:p w14:paraId="1AB39B18">
      <w:pPr>
        <w:rPr>
          <w:rFonts w:ascii="Times New Roman" w:hAnsi="Times New Roman"/>
          <w:highlight w:val="none"/>
        </w:rPr>
      </w:pPr>
    </w:p>
    <w:p w14:paraId="1948F43F">
      <w:pPr>
        <w:rPr>
          <w:rFonts w:ascii="Times New Roman" w:hAnsi="Times New Roman"/>
          <w:highlight w:val="none"/>
        </w:rPr>
      </w:pP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BA9BBA-A301-4103-A579-E05CB96B6C8F}"/>
  </w:font>
  <w:font w:name="Courier New">
    <w:panose1 w:val="02070309020205020404"/>
    <w:charset w:val="01"/>
    <w:family w:val="modern"/>
    <w:pitch w:val="default"/>
    <w:sig w:usb0="E0002EFF" w:usb1="C0007843" w:usb2="00000009" w:usb3="00000000" w:csb0="400001FF" w:csb1="FFFF0000"/>
    <w:embedRegular r:id="rId2" w:fontKey="{66F0E925-BD21-492B-BD08-58C19CCCB07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90DFBAE6-A4CE-45C7-BBB3-A44C092F42B6}"/>
  </w:font>
  <w:font w:name="仿宋">
    <w:panose1 w:val="02010609060101010101"/>
    <w:charset w:val="86"/>
    <w:family w:val="modern"/>
    <w:pitch w:val="default"/>
    <w:sig w:usb0="800002BF" w:usb1="38CF7CFA" w:usb2="00000016" w:usb3="00000000" w:csb0="00040001" w:csb1="00000000"/>
    <w:embedRegular r:id="rId4" w:fontKey="{2060BB68-F26B-4EB7-8C0E-619C48FE69D2}"/>
  </w:font>
  <w:font w:name="华文新魏">
    <w:panose1 w:val="02010800040101010101"/>
    <w:charset w:val="86"/>
    <w:family w:val="auto"/>
    <w:pitch w:val="default"/>
    <w:sig w:usb0="00000001" w:usb1="080F0000" w:usb2="00000000" w:usb3="00000000" w:csb0="00040000" w:csb1="00000000"/>
    <w:embedRegular r:id="rId5" w:fontKey="{3AD5C75C-F2D0-4B27-BCBE-2F8D9E8CD5E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6" w:fontKey="{78D841DB-4A1E-4B2E-B38A-3962683AFD74}"/>
  </w:font>
  <w:font w:name="仿宋GB2312">
    <w:altName w:val="仿宋"/>
    <w:panose1 w:val="00000000000000000000"/>
    <w:charset w:val="00"/>
    <w:family w:val="auto"/>
    <w:pitch w:val="default"/>
    <w:sig w:usb0="00000000" w:usb1="00000000" w:usb2="00000000" w:usb3="00000000" w:csb0="00040001" w:csb1="00000000"/>
    <w:embedRegular r:id="rId7" w:fontKey="{67701DA0-FB3B-43D0-AA3A-C9C2FFF7E6D6}"/>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6E469">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9FCE5">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719FCE5">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E84D5">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8EAF4"/>
    <w:multiLevelType w:val="singleLevel"/>
    <w:tmpl w:val="8768EAF4"/>
    <w:lvl w:ilvl="0" w:tentative="0">
      <w:start w:val="11"/>
      <w:numFmt w:val="chineseCounting"/>
      <w:suff w:val="nothing"/>
      <w:lvlText w:val="%1、"/>
      <w:lvlJc w:val="left"/>
      <w:rPr>
        <w:rFonts w:hint="eastAsia"/>
      </w:rPr>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6b778f59-880f-41e5-8dd1-d55c6efbe4d2"/>
  </w:docVars>
  <w:rsids>
    <w:rsidRoot w:val="00FA77F6"/>
    <w:rsid w:val="00002F30"/>
    <w:rsid w:val="00040AF3"/>
    <w:rsid w:val="000901D7"/>
    <w:rsid w:val="00090E00"/>
    <w:rsid w:val="000A7541"/>
    <w:rsid w:val="000D42B9"/>
    <w:rsid w:val="000F43C9"/>
    <w:rsid w:val="000F532C"/>
    <w:rsid w:val="00140E97"/>
    <w:rsid w:val="0014468E"/>
    <w:rsid w:val="0015300C"/>
    <w:rsid w:val="001560BF"/>
    <w:rsid w:val="00157289"/>
    <w:rsid w:val="00164167"/>
    <w:rsid w:val="001673E5"/>
    <w:rsid w:val="00167BB1"/>
    <w:rsid w:val="001739D4"/>
    <w:rsid w:val="001A7FBE"/>
    <w:rsid w:val="001B75D9"/>
    <w:rsid w:val="001D5317"/>
    <w:rsid w:val="00247603"/>
    <w:rsid w:val="00274B46"/>
    <w:rsid w:val="00281F61"/>
    <w:rsid w:val="00283E45"/>
    <w:rsid w:val="002967A3"/>
    <w:rsid w:val="002D15C0"/>
    <w:rsid w:val="002F6210"/>
    <w:rsid w:val="003154DB"/>
    <w:rsid w:val="003531B3"/>
    <w:rsid w:val="003626A9"/>
    <w:rsid w:val="00364139"/>
    <w:rsid w:val="003D3CE4"/>
    <w:rsid w:val="003D6F5C"/>
    <w:rsid w:val="00486C88"/>
    <w:rsid w:val="004B2783"/>
    <w:rsid w:val="004C7928"/>
    <w:rsid w:val="004E303E"/>
    <w:rsid w:val="0053033E"/>
    <w:rsid w:val="005537E4"/>
    <w:rsid w:val="00560B2B"/>
    <w:rsid w:val="005645D8"/>
    <w:rsid w:val="005A2BBB"/>
    <w:rsid w:val="005B07C5"/>
    <w:rsid w:val="005C48A6"/>
    <w:rsid w:val="005D4AE4"/>
    <w:rsid w:val="00670FFE"/>
    <w:rsid w:val="00693870"/>
    <w:rsid w:val="0069423A"/>
    <w:rsid w:val="006A1AE0"/>
    <w:rsid w:val="0070568C"/>
    <w:rsid w:val="00710A7D"/>
    <w:rsid w:val="0071110E"/>
    <w:rsid w:val="007327BD"/>
    <w:rsid w:val="00803529"/>
    <w:rsid w:val="008456F2"/>
    <w:rsid w:val="00854CA2"/>
    <w:rsid w:val="00935CCF"/>
    <w:rsid w:val="0094282D"/>
    <w:rsid w:val="00953779"/>
    <w:rsid w:val="00956BF1"/>
    <w:rsid w:val="009A4A8A"/>
    <w:rsid w:val="009D3B97"/>
    <w:rsid w:val="009E2610"/>
    <w:rsid w:val="009E69B8"/>
    <w:rsid w:val="00A12741"/>
    <w:rsid w:val="00A165B0"/>
    <w:rsid w:val="00A23811"/>
    <w:rsid w:val="00A37F09"/>
    <w:rsid w:val="00A6643F"/>
    <w:rsid w:val="00A94EA5"/>
    <w:rsid w:val="00AB71CC"/>
    <w:rsid w:val="00B14C0C"/>
    <w:rsid w:val="00B31565"/>
    <w:rsid w:val="00B33F3E"/>
    <w:rsid w:val="00B34A30"/>
    <w:rsid w:val="00B35CAC"/>
    <w:rsid w:val="00B46AB6"/>
    <w:rsid w:val="00B50B5F"/>
    <w:rsid w:val="00B82CF0"/>
    <w:rsid w:val="00B874F3"/>
    <w:rsid w:val="00B91791"/>
    <w:rsid w:val="00B970CD"/>
    <w:rsid w:val="00C3446C"/>
    <w:rsid w:val="00C4271B"/>
    <w:rsid w:val="00C8702A"/>
    <w:rsid w:val="00CB4E41"/>
    <w:rsid w:val="00CD6B5C"/>
    <w:rsid w:val="00CE0D4A"/>
    <w:rsid w:val="00CF225A"/>
    <w:rsid w:val="00D03D56"/>
    <w:rsid w:val="00D157C2"/>
    <w:rsid w:val="00D24E32"/>
    <w:rsid w:val="00DA56FE"/>
    <w:rsid w:val="00DE4E52"/>
    <w:rsid w:val="00DE7650"/>
    <w:rsid w:val="00E06358"/>
    <w:rsid w:val="00E147DA"/>
    <w:rsid w:val="00E2700A"/>
    <w:rsid w:val="00E35BB5"/>
    <w:rsid w:val="00E372DA"/>
    <w:rsid w:val="00E424FB"/>
    <w:rsid w:val="00E4687F"/>
    <w:rsid w:val="00E57DE6"/>
    <w:rsid w:val="00E641E9"/>
    <w:rsid w:val="00E66C91"/>
    <w:rsid w:val="00E90F67"/>
    <w:rsid w:val="00EB2C0A"/>
    <w:rsid w:val="00EC1190"/>
    <w:rsid w:val="00ED3BD8"/>
    <w:rsid w:val="00F143A8"/>
    <w:rsid w:val="00F502CB"/>
    <w:rsid w:val="00F52A8D"/>
    <w:rsid w:val="00F63617"/>
    <w:rsid w:val="00F65B93"/>
    <w:rsid w:val="00F82685"/>
    <w:rsid w:val="00F94BE9"/>
    <w:rsid w:val="00FA77F6"/>
    <w:rsid w:val="00FB052B"/>
    <w:rsid w:val="00FF66DF"/>
    <w:rsid w:val="01514167"/>
    <w:rsid w:val="01786F4B"/>
    <w:rsid w:val="019A0CC1"/>
    <w:rsid w:val="01AA3877"/>
    <w:rsid w:val="02661E94"/>
    <w:rsid w:val="028C28FC"/>
    <w:rsid w:val="02CD5374"/>
    <w:rsid w:val="03304250"/>
    <w:rsid w:val="033F3BC2"/>
    <w:rsid w:val="03A07894"/>
    <w:rsid w:val="048C3708"/>
    <w:rsid w:val="04BC3FEE"/>
    <w:rsid w:val="051223C4"/>
    <w:rsid w:val="05BB2B23"/>
    <w:rsid w:val="062E0F1B"/>
    <w:rsid w:val="06471FDD"/>
    <w:rsid w:val="06C11D68"/>
    <w:rsid w:val="06C90C44"/>
    <w:rsid w:val="070954E4"/>
    <w:rsid w:val="07322345"/>
    <w:rsid w:val="07575449"/>
    <w:rsid w:val="082F2519"/>
    <w:rsid w:val="084C7436"/>
    <w:rsid w:val="08AA4C96"/>
    <w:rsid w:val="08DA7138"/>
    <w:rsid w:val="08F70DAF"/>
    <w:rsid w:val="09075A53"/>
    <w:rsid w:val="094D790A"/>
    <w:rsid w:val="095347F5"/>
    <w:rsid w:val="09CB082F"/>
    <w:rsid w:val="09D45935"/>
    <w:rsid w:val="0A1E4E03"/>
    <w:rsid w:val="0A5B6475"/>
    <w:rsid w:val="0A634F0B"/>
    <w:rsid w:val="0A6F7242"/>
    <w:rsid w:val="0AB14000"/>
    <w:rsid w:val="0AC91212"/>
    <w:rsid w:val="0AF43DC1"/>
    <w:rsid w:val="0AFF69E2"/>
    <w:rsid w:val="0B64718D"/>
    <w:rsid w:val="0B9E269F"/>
    <w:rsid w:val="0BB80379"/>
    <w:rsid w:val="0BB93035"/>
    <w:rsid w:val="0C0A3BA0"/>
    <w:rsid w:val="0C1D1CAE"/>
    <w:rsid w:val="0CE642FD"/>
    <w:rsid w:val="0D3000CB"/>
    <w:rsid w:val="0D886CD1"/>
    <w:rsid w:val="0DE924A0"/>
    <w:rsid w:val="0E2350DD"/>
    <w:rsid w:val="0E4C48B2"/>
    <w:rsid w:val="0E5E6115"/>
    <w:rsid w:val="0ED4462A"/>
    <w:rsid w:val="0F386966"/>
    <w:rsid w:val="0FA47B58"/>
    <w:rsid w:val="0FA67D74"/>
    <w:rsid w:val="0FD20B69"/>
    <w:rsid w:val="0FE4089C"/>
    <w:rsid w:val="10093E5F"/>
    <w:rsid w:val="10152804"/>
    <w:rsid w:val="10234F21"/>
    <w:rsid w:val="102805D1"/>
    <w:rsid w:val="105C61C6"/>
    <w:rsid w:val="10914580"/>
    <w:rsid w:val="10EE36A0"/>
    <w:rsid w:val="116752E1"/>
    <w:rsid w:val="123600EA"/>
    <w:rsid w:val="12485112"/>
    <w:rsid w:val="127F665A"/>
    <w:rsid w:val="12DC3AAD"/>
    <w:rsid w:val="12F708E7"/>
    <w:rsid w:val="13203999"/>
    <w:rsid w:val="135C5E82"/>
    <w:rsid w:val="139B5716"/>
    <w:rsid w:val="13F454F6"/>
    <w:rsid w:val="14A800EA"/>
    <w:rsid w:val="14F21F80"/>
    <w:rsid w:val="15001CD4"/>
    <w:rsid w:val="150317C5"/>
    <w:rsid w:val="151E412A"/>
    <w:rsid w:val="15202377"/>
    <w:rsid w:val="15542020"/>
    <w:rsid w:val="162946FE"/>
    <w:rsid w:val="165F0C7D"/>
    <w:rsid w:val="1699418F"/>
    <w:rsid w:val="16995FBA"/>
    <w:rsid w:val="16A42B33"/>
    <w:rsid w:val="16DC051F"/>
    <w:rsid w:val="16E11CBB"/>
    <w:rsid w:val="16F14660"/>
    <w:rsid w:val="170B4961"/>
    <w:rsid w:val="1740285C"/>
    <w:rsid w:val="1749510D"/>
    <w:rsid w:val="17586CB5"/>
    <w:rsid w:val="17736D63"/>
    <w:rsid w:val="1796247C"/>
    <w:rsid w:val="17D66388"/>
    <w:rsid w:val="18CB084B"/>
    <w:rsid w:val="19481E9C"/>
    <w:rsid w:val="19AF3CC9"/>
    <w:rsid w:val="1AE45BF4"/>
    <w:rsid w:val="1B8F7123"/>
    <w:rsid w:val="1BAE7956"/>
    <w:rsid w:val="1BCC19A4"/>
    <w:rsid w:val="1BF411F4"/>
    <w:rsid w:val="1BF93A5C"/>
    <w:rsid w:val="1C1D1E98"/>
    <w:rsid w:val="1C27223D"/>
    <w:rsid w:val="1C6F14EE"/>
    <w:rsid w:val="1CB25FAA"/>
    <w:rsid w:val="1D0377EB"/>
    <w:rsid w:val="1D24677C"/>
    <w:rsid w:val="1DD51824"/>
    <w:rsid w:val="1E4B3DFE"/>
    <w:rsid w:val="1E91399D"/>
    <w:rsid w:val="1EA77665"/>
    <w:rsid w:val="1ECC6B87"/>
    <w:rsid w:val="1F3A7811"/>
    <w:rsid w:val="1F5350F7"/>
    <w:rsid w:val="1FB17C46"/>
    <w:rsid w:val="1FB21E1D"/>
    <w:rsid w:val="1FBC2C9C"/>
    <w:rsid w:val="207417C9"/>
    <w:rsid w:val="209328CC"/>
    <w:rsid w:val="20AA343C"/>
    <w:rsid w:val="20BE4D41"/>
    <w:rsid w:val="20E56222"/>
    <w:rsid w:val="210E0F0E"/>
    <w:rsid w:val="2170143C"/>
    <w:rsid w:val="21B4056C"/>
    <w:rsid w:val="21EA757A"/>
    <w:rsid w:val="21EB3D26"/>
    <w:rsid w:val="22123047"/>
    <w:rsid w:val="223461B5"/>
    <w:rsid w:val="225B3C20"/>
    <w:rsid w:val="22967FAA"/>
    <w:rsid w:val="22A00653"/>
    <w:rsid w:val="2338088B"/>
    <w:rsid w:val="236773C3"/>
    <w:rsid w:val="237D0994"/>
    <w:rsid w:val="23954DD6"/>
    <w:rsid w:val="23D42CAA"/>
    <w:rsid w:val="24247245"/>
    <w:rsid w:val="249D12EE"/>
    <w:rsid w:val="24B063C9"/>
    <w:rsid w:val="24E76143"/>
    <w:rsid w:val="24F353B2"/>
    <w:rsid w:val="267A11BB"/>
    <w:rsid w:val="26C903FA"/>
    <w:rsid w:val="26CD17E2"/>
    <w:rsid w:val="27075144"/>
    <w:rsid w:val="27441EF5"/>
    <w:rsid w:val="2766043B"/>
    <w:rsid w:val="27AE3812"/>
    <w:rsid w:val="27F5401D"/>
    <w:rsid w:val="28557849"/>
    <w:rsid w:val="285A12A4"/>
    <w:rsid w:val="289A5B44"/>
    <w:rsid w:val="28BD30CD"/>
    <w:rsid w:val="296E1A2F"/>
    <w:rsid w:val="29775174"/>
    <w:rsid w:val="29B449E4"/>
    <w:rsid w:val="29C72B81"/>
    <w:rsid w:val="29F55728"/>
    <w:rsid w:val="2B060790"/>
    <w:rsid w:val="2B0F281A"/>
    <w:rsid w:val="2B8D373E"/>
    <w:rsid w:val="2BF11F1F"/>
    <w:rsid w:val="2C802418"/>
    <w:rsid w:val="2CB341C7"/>
    <w:rsid w:val="2CC66F08"/>
    <w:rsid w:val="2CEB2E12"/>
    <w:rsid w:val="2D5704A8"/>
    <w:rsid w:val="2D8165B1"/>
    <w:rsid w:val="2D964B2C"/>
    <w:rsid w:val="2DA50EDA"/>
    <w:rsid w:val="2DAC4350"/>
    <w:rsid w:val="2DE47F8D"/>
    <w:rsid w:val="2DF113E9"/>
    <w:rsid w:val="2E7E3DE8"/>
    <w:rsid w:val="2E964A53"/>
    <w:rsid w:val="2F083808"/>
    <w:rsid w:val="2F34284F"/>
    <w:rsid w:val="2F436F36"/>
    <w:rsid w:val="2F581A64"/>
    <w:rsid w:val="2F6E19DD"/>
    <w:rsid w:val="2F7A2E0A"/>
    <w:rsid w:val="2F8D1F5F"/>
    <w:rsid w:val="2FA96B3D"/>
    <w:rsid w:val="2FD933F6"/>
    <w:rsid w:val="300A54AA"/>
    <w:rsid w:val="3027337A"/>
    <w:rsid w:val="30A6152A"/>
    <w:rsid w:val="30A77050"/>
    <w:rsid w:val="30DC27D6"/>
    <w:rsid w:val="3115220C"/>
    <w:rsid w:val="3118390C"/>
    <w:rsid w:val="31342FDA"/>
    <w:rsid w:val="318A49A8"/>
    <w:rsid w:val="31A83FF1"/>
    <w:rsid w:val="31AA329C"/>
    <w:rsid w:val="31D2634F"/>
    <w:rsid w:val="321D581C"/>
    <w:rsid w:val="32CC7DBB"/>
    <w:rsid w:val="32F32A21"/>
    <w:rsid w:val="32F92E4C"/>
    <w:rsid w:val="32FA3DAF"/>
    <w:rsid w:val="33260700"/>
    <w:rsid w:val="33266952"/>
    <w:rsid w:val="3344087C"/>
    <w:rsid w:val="3394400C"/>
    <w:rsid w:val="33AE06F6"/>
    <w:rsid w:val="33B93C14"/>
    <w:rsid w:val="348B3F97"/>
    <w:rsid w:val="34B65AB4"/>
    <w:rsid w:val="34C46423"/>
    <w:rsid w:val="34EA50C0"/>
    <w:rsid w:val="357449D1"/>
    <w:rsid w:val="35E93C67"/>
    <w:rsid w:val="364315C9"/>
    <w:rsid w:val="3664376E"/>
    <w:rsid w:val="36657792"/>
    <w:rsid w:val="36E36FE1"/>
    <w:rsid w:val="36EB3347"/>
    <w:rsid w:val="370E7E29"/>
    <w:rsid w:val="372143DF"/>
    <w:rsid w:val="375C4DCB"/>
    <w:rsid w:val="376B0DD8"/>
    <w:rsid w:val="3770165B"/>
    <w:rsid w:val="37960DB8"/>
    <w:rsid w:val="37AD2573"/>
    <w:rsid w:val="381153F4"/>
    <w:rsid w:val="38481119"/>
    <w:rsid w:val="38877EE4"/>
    <w:rsid w:val="38C22C79"/>
    <w:rsid w:val="391E00CA"/>
    <w:rsid w:val="39372651"/>
    <w:rsid w:val="399637AE"/>
    <w:rsid w:val="39A700C1"/>
    <w:rsid w:val="3A451367"/>
    <w:rsid w:val="3A60099C"/>
    <w:rsid w:val="3A7A7584"/>
    <w:rsid w:val="3AB37BA7"/>
    <w:rsid w:val="3AEA4709"/>
    <w:rsid w:val="3B4007CD"/>
    <w:rsid w:val="3C0F4E3B"/>
    <w:rsid w:val="3C17152E"/>
    <w:rsid w:val="3CBE19AA"/>
    <w:rsid w:val="3D0047E4"/>
    <w:rsid w:val="3D734D9A"/>
    <w:rsid w:val="3D766728"/>
    <w:rsid w:val="3D9F7A2D"/>
    <w:rsid w:val="3DD0599F"/>
    <w:rsid w:val="3E4D7489"/>
    <w:rsid w:val="3E725142"/>
    <w:rsid w:val="3E7C0B24"/>
    <w:rsid w:val="3EB92D70"/>
    <w:rsid w:val="3F6A4DBB"/>
    <w:rsid w:val="3F785DC7"/>
    <w:rsid w:val="3FF86C17"/>
    <w:rsid w:val="3FFC1167"/>
    <w:rsid w:val="40077B0C"/>
    <w:rsid w:val="404B55C6"/>
    <w:rsid w:val="404B5C4A"/>
    <w:rsid w:val="40664832"/>
    <w:rsid w:val="4084115C"/>
    <w:rsid w:val="4099592E"/>
    <w:rsid w:val="40B53BBC"/>
    <w:rsid w:val="40B557B9"/>
    <w:rsid w:val="40C8470D"/>
    <w:rsid w:val="413D6362"/>
    <w:rsid w:val="41540B2E"/>
    <w:rsid w:val="415648A7"/>
    <w:rsid w:val="41727207"/>
    <w:rsid w:val="41A42FA1"/>
    <w:rsid w:val="41BB6E00"/>
    <w:rsid w:val="41C8666B"/>
    <w:rsid w:val="41CF62FB"/>
    <w:rsid w:val="41DE5079"/>
    <w:rsid w:val="41E0092C"/>
    <w:rsid w:val="422A57D8"/>
    <w:rsid w:val="42817701"/>
    <w:rsid w:val="428611BC"/>
    <w:rsid w:val="42B86E9B"/>
    <w:rsid w:val="4306349B"/>
    <w:rsid w:val="43105F3B"/>
    <w:rsid w:val="436463B1"/>
    <w:rsid w:val="43713C1A"/>
    <w:rsid w:val="43792ACE"/>
    <w:rsid w:val="43A538C3"/>
    <w:rsid w:val="43C755E8"/>
    <w:rsid w:val="43E32EB4"/>
    <w:rsid w:val="43F21A4B"/>
    <w:rsid w:val="44380293"/>
    <w:rsid w:val="447D65EE"/>
    <w:rsid w:val="44A43B7B"/>
    <w:rsid w:val="44B71B00"/>
    <w:rsid w:val="44B862E9"/>
    <w:rsid w:val="455530C7"/>
    <w:rsid w:val="45567044"/>
    <w:rsid w:val="4602706C"/>
    <w:rsid w:val="461602F2"/>
    <w:rsid w:val="46733805"/>
    <w:rsid w:val="46B856BC"/>
    <w:rsid w:val="46EE10DD"/>
    <w:rsid w:val="46F661E4"/>
    <w:rsid w:val="47103740"/>
    <w:rsid w:val="47110F22"/>
    <w:rsid w:val="471C3E9C"/>
    <w:rsid w:val="47373A2A"/>
    <w:rsid w:val="47A36CDE"/>
    <w:rsid w:val="4803505C"/>
    <w:rsid w:val="480A0199"/>
    <w:rsid w:val="483A1001"/>
    <w:rsid w:val="48A57EC2"/>
    <w:rsid w:val="48AE4FC8"/>
    <w:rsid w:val="48BA396D"/>
    <w:rsid w:val="48BD16AF"/>
    <w:rsid w:val="48DF1625"/>
    <w:rsid w:val="48E56510"/>
    <w:rsid w:val="49395702"/>
    <w:rsid w:val="49843F7B"/>
    <w:rsid w:val="49A63EF1"/>
    <w:rsid w:val="49E83D4E"/>
    <w:rsid w:val="4A3C6604"/>
    <w:rsid w:val="4A555C61"/>
    <w:rsid w:val="4AA20B5D"/>
    <w:rsid w:val="4AD8632C"/>
    <w:rsid w:val="4AF15640"/>
    <w:rsid w:val="4AFA62A3"/>
    <w:rsid w:val="4B726781"/>
    <w:rsid w:val="4C0272E2"/>
    <w:rsid w:val="4C0C0983"/>
    <w:rsid w:val="4C1149B8"/>
    <w:rsid w:val="4C675BBA"/>
    <w:rsid w:val="4CD248F3"/>
    <w:rsid w:val="4D135D42"/>
    <w:rsid w:val="4D1473C4"/>
    <w:rsid w:val="4DFA7382"/>
    <w:rsid w:val="4E514358"/>
    <w:rsid w:val="4E5C7274"/>
    <w:rsid w:val="4F585C8E"/>
    <w:rsid w:val="4F6B3C13"/>
    <w:rsid w:val="4F7D56F4"/>
    <w:rsid w:val="5096468A"/>
    <w:rsid w:val="509C4C8B"/>
    <w:rsid w:val="5135219E"/>
    <w:rsid w:val="51C30881"/>
    <w:rsid w:val="51D535C6"/>
    <w:rsid w:val="51FE1E87"/>
    <w:rsid w:val="522105B9"/>
    <w:rsid w:val="5259656B"/>
    <w:rsid w:val="52F62605"/>
    <w:rsid w:val="53002595"/>
    <w:rsid w:val="535B634F"/>
    <w:rsid w:val="53807561"/>
    <w:rsid w:val="53840D8C"/>
    <w:rsid w:val="53BB2781"/>
    <w:rsid w:val="53C71634"/>
    <w:rsid w:val="542919A7"/>
    <w:rsid w:val="54383316"/>
    <w:rsid w:val="54DE4B45"/>
    <w:rsid w:val="553018BE"/>
    <w:rsid w:val="55D87B28"/>
    <w:rsid w:val="56397652"/>
    <w:rsid w:val="564B0C07"/>
    <w:rsid w:val="565C2507"/>
    <w:rsid w:val="566118CC"/>
    <w:rsid w:val="56A23A63"/>
    <w:rsid w:val="56F95FA8"/>
    <w:rsid w:val="572D5C52"/>
    <w:rsid w:val="57EA6643"/>
    <w:rsid w:val="581D39A7"/>
    <w:rsid w:val="58337298"/>
    <w:rsid w:val="5837393C"/>
    <w:rsid w:val="58554E43"/>
    <w:rsid w:val="58680DC2"/>
    <w:rsid w:val="588673C8"/>
    <w:rsid w:val="58E02A3F"/>
    <w:rsid w:val="5900361E"/>
    <w:rsid w:val="592F7A5F"/>
    <w:rsid w:val="59345076"/>
    <w:rsid w:val="59575208"/>
    <w:rsid w:val="595C12A3"/>
    <w:rsid w:val="5996188C"/>
    <w:rsid w:val="59C77C98"/>
    <w:rsid w:val="59DE1485"/>
    <w:rsid w:val="5A201853"/>
    <w:rsid w:val="5A53502F"/>
    <w:rsid w:val="5A9F0C15"/>
    <w:rsid w:val="5AD36B10"/>
    <w:rsid w:val="5AE64A95"/>
    <w:rsid w:val="5B137EF8"/>
    <w:rsid w:val="5B161F17"/>
    <w:rsid w:val="5B1F1DFE"/>
    <w:rsid w:val="5B322D65"/>
    <w:rsid w:val="5BBC75A4"/>
    <w:rsid w:val="5BCC4E68"/>
    <w:rsid w:val="5C0E6052"/>
    <w:rsid w:val="5C38700F"/>
    <w:rsid w:val="5C413F9A"/>
    <w:rsid w:val="5C4E644E"/>
    <w:rsid w:val="5C606182"/>
    <w:rsid w:val="5C8C341B"/>
    <w:rsid w:val="5C9B365E"/>
    <w:rsid w:val="5CD1707F"/>
    <w:rsid w:val="5D01298C"/>
    <w:rsid w:val="5D206DB4"/>
    <w:rsid w:val="5D292A17"/>
    <w:rsid w:val="5D7F213B"/>
    <w:rsid w:val="5D9A7191"/>
    <w:rsid w:val="5DE00290"/>
    <w:rsid w:val="5DE55603"/>
    <w:rsid w:val="5E043D85"/>
    <w:rsid w:val="5E510503"/>
    <w:rsid w:val="5E7540E3"/>
    <w:rsid w:val="5E8B1BDC"/>
    <w:rsid w:val="5E93321A"/>
    <w:rsid w:val="5E9B7945"/>
    <w:rsid w:val="5EBD5B0D"/>
    <w:rsid w:val="5F07293D"/>
    <w:rsid w:val="5F1B4F3C"/>
    <w:rsid w:val="5F2B6F1B"/>
    <w:rsid w:val="5F335DCF"/>
    <w:rsid w:val="5F355650"/>
    <w:rsid w:val="5F475456"/>
    <w:rsid w:val="5F4C0C3F"/>
    <w:rsid w:val="5FC058B5"/>
    <w:rsid w:val="5FE1582B"/>
    <w:rsid w:val="5FF23595"/>
    <w:rsid w:val="5FF437B1"/>
    <w:rsid w:val="601C4AB5"/>
    <w:rsid w:val="608D150F"/>
    <w:rsid w:val="609974BD"/>
    <w:rsid w:val="60B634D7"/>
    <w:rsid w:val="610A1E54"/>
    <w:rsid w:val="611D2893"/>
    <w:rsid w:val="613D1187"/>
    <w:rsid w:val="614442C4"/>
    <w:rsid w:val="61552588"/>
    <w:rsid w:val="61750921"/>
    <w:rsid w:val="617A5F38"/>
    <w:rsid w:val="61926DDD"/>
    <w:rsid w:val="62386256"/>
    <w:rsid w:val="62D11B87"/>
    <w:rsid w:val="62E80EC0"/>
    <w:rsid w:val="631D301E"/>
    <w:rsid w:val="631F49AF"/>
    <w:rsid w:val="632717A7"/>
    <w:rsid w:val="637844BC"/>
    <w:rsid w:val="6384309D"/>
    <w:rsid w:val="638D0589"/>
    <w:rsid w:val="63CE39A4"/>
    <w:rsid w:val="63D27965"/>
    <w:rsid w:val="63FB70A4"/>
    <w:rsid w:val="64025D70"/>
    <w:rsid w:val="642B6F83"/>
    <w:rsid w:val="643017E4"/>
    <w:rsid w:val="644840CB"/>
    <w:rsid w:val="64966BE4"/>
    <w:rsid w:val="65165F77"/>
    <w:rsid w:val="65615923"/>
    <w:rsid w:val="65B274C3"/>
    <w:rsid w:val="65FE0EE5"/>
    <w:rsid w:val="663F14FE"/>
    <w:rsid w:val="66707909"/>
    <w:rsid w:val="667E05A7"/>
    <w:rsid w:val="6692042D"/>
    <w:rsid w:val="66B141AA"/>
    <w:rsid w:val="67470A9D"/>
    <w:rsid w:val="6773145F"/>
    <w:rsid w:val="67732A12"/>
    <w:rsid w:val="67B90B06"/>
    <w:rsid w:val="67FA56DC"/>
    <w:rsid w:val="681A3FD0"/>
    <w:rsid w:val="686A24B5"/>
    <w:rsid w:val="68881BA1"/>
    <w:rsid w:val="6888718C"/>
    <w:rsid w:val="6889355D"/>
    <w:rsid w:val="68B25FB7"/>
    <w:rsid w:val="69164798"/>
    <w:rsid w:val="69D837FB"/>
    <w:rsid w:val="6A246A40"/>
    <w:rsid w:val="6A9C6F1F"/>
    <w:rsid w:val="6ABA1153"/>
    <w:rsid w:val="6AF44665"/>
    <w:rsid w:val="6BDB75D3"/>
    <w:rsid w:val="6BF80185"/>
    <w:rsid w:val="6C2B055A"/>
    <w:rsid w:val="6C423AF6"/>
    <w:rsid w:val="6C8A72E3"/>
    <w:rsid w:val="6C923EBF"/>
    <w:rsid w:val="6CF053AD"/>
    <w:rsid w:val="6D1D49F8"/>
    <w:rsid w:val="6D8F2D6B"/>
    <w:rsid w:val="6E0C43BB"/>
    <w:rsid w:val="6EF07839"/>
    <w:rsid w:val="6F2F65B3"/>
    <w:rsid w:val="6FC4358D"/>
    <w:rsid w:val="6FF128C8"/>
    <w:rsid w:val="6FF60E7F"/>
    <w:rsid w:val="713C6D66"/>
    <w:rsid w:val="71DD2CB4"/>
    <w:rsid w:val="71F556D6"/>
    <w:rsid w:val="72011973"/>
    <w:rsid w:val="72563E57"/>
    <w:rsid w:val="72BE34B2"/>
    <w:rsid w:val="72D45F35"/>
    <w:rsid w:val="72DA6836"/>
    <w:rsid w:val="72F21DD2"/>
    <w:rsid w:val="72FF629D"/>
    <w:rsid w:val="730022F6"/>
    <w:rsid w:val="732301DD"/>
    <w:rsid w:val="732950C8"/>
    <w:rsid w:val="735E76C4"/>
    <w:rsid w:val="73A405A9"/>
    <w:rsid w:val="73B312F9"/>
    <w:rsid w:val="73C60B68"/>
    <w:rsid w:val="73FD2CDB"/>
    <w:rsid w:val="74024296"/>
    <w:rsid w:val="74185868"/>
    <w:rsid w:val="741F53DF"/>
    <w:rsid w:val="742510D0"/>
    <w:rsid w:val="74257F85"/>
    <w:rsid w:val="744F0B5E"/>
    <w:rsid w:val="749A44CF"/>
    <w:rsid w:val="74F55BA9"/>
    <w:rsid w:val="74F6722B"/>
    <w:rsid w:val="74F73375"/>
    <w:rsid w:val="751A53DD"/>
    <w:rsid w:val="7542257A"/>
    <w:rsid w:val="75504B8E"/>
    <w:rsid w:val="76191423"/>
    <w:rsid w:val="76326989"/>
    <w:rsid w:val="76562678"/>
    <w:rsid w:val="76F35EB8"/>
    <w:rsid w:val="7718792D"/>
    <w:rsid w:val="779565EA"/>
    <w:rsid w:val="77D965A0"/>
    <w:rsid w:val="77FC484A"/>
    <w:rsid w:val="782C5979"/>
    <w:rsid w:val="7847671C"/>
    <w:rsid w:val="789254BD"/>
    <w:rsid w:val="79002D6F"/>
    <w:rsid w:val="791660EE"/>
    <w:rsid w:val="79751DE3"/>
    <w:rsid w:val="79D54648"/>
    <w:rsid w:val="7A1E674C"/>
    <w:rsid w:val="7A454580"/>
    <w:rsid w:val="7A63196F"/>
    <w:rsid w:val="7B165C5A"/>
    <w:rsid w:val="7B821819"/>
    <w:rsid w:val="7B971BC9"/>
    <w:rsid w:val="7BAC4AE8"/>
    <w:rsid w:val="7C2D487B"/>
    <w:rsid w:val="7C9C690A"/>
    <w:rsid w:val="7D1172F8"/>
    <w:rsid w:val="7D6B3AD4"/>
    <w:rsid w:val="7D7B6E68"/>
    <w:rsid w:val="7DAC0DCF"/>
    <w:rsid w:val="7DFA4230"/>
    <w:rsid w:val="7E32311F"/>
    <w:rsid w:val="7E372159"/>
    <w:rsid w:val="7EAF501B"/>
    <w:rsid w:val="7EB95CB1"/>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FollowedHyperlink"/>
    <w:basedOn w:val="12"/>
    <w:unhideWhenUsed/>
    <w:qFormat/>
    <w:uiPriority w:val="99"/>
    <w:rPr>
      <w:color w:val="800080"/>
      <w:u w:val="single"/>
    </w:rPr>
  </w:style>
  <w:style w:type="character" w:styleId="15">
    <w:name w:val="Hyperlink"/>
    <w:basedOn w:val="12"/>
    <w:qFormat/>
    <w:uiPriority w:val="99"/>
    <w:rPr>
      <w:color w:val="0000FF"/>
      <w:u w:val="single"/>
    </w:rPr>
  </w:style>
  <w:style w:type="paragraph" w:customStyle="1" w:styleId="16">
    <w:name w:val="Table Text"/>
    <w:basedOn w:val="1"/>
    <w:semiHidden/>
    <w:qFormat/>
    <w:uiPriority w:val="0"/>
    <w:rPr>
      <w:rFonts w:ascii="宋体" w:hAnsi="宋体" w:cs="宋体"/>
      <w:sz w:val="18"/>
      <w:szCs w:val="18"/>
      <w:lang w:eastAsia="en-US"/>
    </w:rPr>
  </w:style>
  <w:style w:type="table" w:customStyle="1" w:styleId="17">
    <w:name w:val="Table Normal"/>
    <w:semiHidden/>
    <w:unhideWhenUsed/>
    <w:qFormat/>
    <w:uiPriority w:val="0"/>
    <w:tblPr>
      <w:tblCellMar>
        <w:top w:w="0" w:type="dxa"/>
        <w:left w:w="0" w:type="dxa"/>
        <w:bottom w:w="0" w:type="dxa"/>
        <w:right w:w="0" w:type="dxa"/>
      </w:tblCellMar>
    </w:tblPr>
  </w:style>
  <w:style w:type="character" w:customStyle="1" w:styleId="18">
    <w:name w:val="font51"/>
    <w:basedOn w:val="12"/>
    <w:qFormat/>
    <w:uiPriority w:val="0"/>
    <w:rPr>
      <w:rFonts w:hint="eastAsia" w:ascii="宋体" w:hAnsi="宋体" w:eastAsia="宋体" w:cs="宋体"/>
      <w:color w:val="000000"/>
      <w:sz w:val="22"/>
      <w:szCs w:val="22"/>
      <w:u w:val="none"/>
    </w:rPr>
  </w:style>
  <w:style w:type="character" w:customStyle="1" w:styleId="19">
    <w:name w:val="font101"/>
    <w:basedOn w:val="12"/>
    <w:qFormat/>
    <w:uiPriority w:val="0"/>
    <w:rPr>
      <w:rFonts w:hint="eastAsia" w:ascii="仿宋_GB2312" w:eastAsia="仿宋_GB2312" w:cs="仿宋_GB2312"/>
      <w:color w:val="000000"/>
      <w:sz w:val="24"/>
      <w:szCs w:val="24"/>
      <w:u w:val="none"/>
    </w:rPr>
  </w:style>
  <w:style w:type="character" w:customStyle="1" w:styleId="20">
    <w:name w:val="font91"/>
    <w:basedOn w:val="12"/>
    <w:qFormat/>
    <w:uiPriority w:val="0"/>
    <w:rPr>
      <w:rFonts w:hint="default" w:ascii="Times New Roman" w:hAnsi="Times New Roman" w:cs="Times New Roman"/>
      <w:color w:val="000000"/>
      <w:sz w:val="24"/>
      <w:szCs w:val="24"/>
      <w:u w:val="none"/>
    </w:rPr>
  </w:style>
  <w:style w:type="character" w:customStyle="1" w:styleId="21">
    <w:name w:val="font01"/>
    <w:basedOn w:val="12"/>
    <w:qFormat/>
    <w:uiPriority w:val="0"/>
    <w:rPr>
      <w:rFonts w:hint="eastAsia" w:ascii="宋体" w:hAnsi="宋体" w:eastAsia="宋体" w:cs="宋体"/>
      <w:color w:val="000000"/>
      <w:sz w:val="22"/>
      <w:szCs w:val="22"/>
      <w:u w:val="none"/>
    </w:rPr>
  </w:style>
  <w:style w:type="character" w:customStyle="1" w:styleId="22">
    <w:name w:val="font21"/>
    <w:basedOn w:val="12"/>
    <w:qFormat/>
    <w:uiPriority w:val="0"/>
    <w:rPr>
      <w:rFonts w:hint="eastAsia" w:ascii="宋体" w:hAnsi="宋体" w:eastAsia="宋体" w:cs="宋体"/>
      <w:color w:val="000000"/>
      <w:sz w:val="18"/>
      <w:szCs w:val="18"/>
      <w:u w:val="none"/>
    </w:rPr>
  </w:style>
  <w:style w:type="character" w:customStyle="1" w:styleId="23">
    <w:name w:val="font11"/>
    <w:basedOn w:val="12"/>
    <w:qFormat/>
    <w:uiPriority w:val="0"/>
    <w:rPr>
      <w:rFonts w:hint="eastAsia" w:ascii="宋体" w:hAnsi="宋体" w:eastAsia="宋体" w:cs="宋体"/>
      <w:color w:val="000000"/>
      <w:sz w:val="18"/>
      <w:szCs w:val="18"/>
      <w:u w:val="none"/>
    </w:rPr>
  </w:style>
  <w:style w:type="paragraph" w:customStyle="1" w:styleId="2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25">
    <w:name w:val="font5"/>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6">
    <w:name w:val="xl65"/>
    <w:basedOn w:val="1"/>
    <w:qFormat/>
    <w:uiPriority w:val="0"/>
    <w:pPr>
      <w:widowControl/>
      <w:spacing w:before="100" w:beforeAutospacing="1" w:after="100" w:afterAutospacing="1"/>
      <w:jc w:val="left"/>
    </w:pPr>
    <w:rPr>
      <w:rFonts w:ascii="宋体" w:hAnsi="宋体" w:cs="宋体"/>
      <w:kern w:val="0"/>
      <w:sz w:val="24"/>
    </w:rPr>
  </w:style>
  <w:style w:type="paragraph" w:customStyle="1" w:styleId="2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2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2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32">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3">
    <w:name w:val="xl72"/>
    <w:basedOn w:val="1"/>
    <w:qFormat/>
    <w:uiPriority w:val="0"/>
    <w:pPr>
      <w:widowControl/>
      <w:pBdr>
        <w:top w:val="single" w:color="auto" w:sz="4" w:space="0"/>
        <w:left w:val="single" w:color="000000"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3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3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6"/>
      <w:szCs w:val="16"/>
    </w:rPr>
  </w:style>
  <w:style w:type="paragraph" w:customStyle="1" w:styleId="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Cs w:val="21"/>
    </w:rPr>
  </w:style>
  <w:style w:type="paragraph" w:customStyle="1" w:styleId="3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38">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39">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paragraph" w:customStyle="1" w:styleId="40">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6"/>
      <w:szCs w:val="16"/>
    </w:rPr>
  </w:style>
  <w:style w:type="paragraph" w:customStyle="1" w:styleId="41">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Cs w:val="21"/>
    </w:rPr>
  </w:style>
  <w:style w:type="paragraph" w:customStyle="1" w:styleId="4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4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44">
    <w:name w:val="xl83"/>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color w:val="000000"/>
      <w:kern w:val="0"/>
      <w:sz w:val="18"/>
      <w:szCs w:val="18"/>
    </w:rPr>
  </w:style>
  <w:style w:type="paragraph" w:customStyle="1" w:styleId="45">
    <w:name w:val="xl8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4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47">
    <w:name w:val="xl86"/>
    <w:basedOn w:val="1"/>
    <w:qFormat/>
    <w:uiPriority w:val="0"/>
    <w:pPr>
      <w:widowControl/>
      <w:pBdr>
        <w:bottom w:val="single" w:color="000000" w:sz="8" w:space="0"/>
      </w:pBdr>
      <w:spacing w:before="100" w:beforeAutospacing="1" w:after="100" w:afterAutospacing="1"/>
      <w:jc w:val="center"/>
    </w:pPr>
    <w:rPr>
      <w:color w:val="000000"/>
      <w:kern w:val="0"/>
      <w:sz w:val="18"/>
      <w:szCs w:val="18"/>
    </w:rPr>
  </w:style>
  <w:style w:type="paragraph" w:customStyle="1" w:styleId="48">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4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0">
    <w:name w:val="xl89"/>
    <w:basedOn w:val="1"/>
    <w:qFormat/>
    <w:uiPriority w:val="0"/>
    <w:pPr>
      <w:widowControl/>
      <w:pBdr>
        <w:bottom w:val="single" w:color="000000" w:sz="8" w:space="0"/>
        <w:right w:val="single" w:color="000000" w:sz="8" w:space="0"/>
      </w:pBdr>
      <w:spacing w:before="100" w:beforeAutospacing="1" w:after="100" w:afterAutospacing="1"/>
      <w:jc w:val="center"/>
    </w:pPr>
    <w:rPr>
      <w:color w:val="000000"/>
      <w:kern w:val="0"/>
      <w:sz w:val="18"/>
      <w:szCs w:val="18"/>
    </w:rPr>
  </w:style>
  <w:style w:type="paragraph" w:customStyle="1" w:styleId="51">
    <w:name w:val="xl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52">
    <w:name w:val="xl91"/>
    <w:basedOn w:val="1"/>
    <w:qFormat/>
    <w:uiPriority w:val="0"/>
    <w:pPr>
      <w:widowControl/>
      <w:pBdr>
        <w:bottom w:val="single" w:color="auto" w:sz="8" w:space="0"/>
      </w:pBdr>
      <w:spacing w:before="100" w:beforeAutospacing="1" w:after="100" w:afterAutospacing="1"/>
      <w:jc w:val="center"/>
    </w:pPr>
    <w:rPr>
      <w:rFonts w:ascii="宋体" w:hAnsi="宋体" w:cs="宋体"/>
      <w:color w:val="000000"/>
      <w:kern w:val="0"/>
      <w:sz w:val="18"/>
      <w:szCs w:val="18"/>
    </w:rPr>
  </w:style>
  <w:style w:type="paragraph" w:customStyle="1" w:styleId="5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18"/>
      <w:szCs w:val="18"/>
    </w:rPr>
  </w:style>
  <w:style w:type="paragraph" w:customStyle="1" w:styleId="54">
    <w:name w:val="xl93"/>
    <w:basedOn w:val="1"/>
    <w:qFormat/>
    <w:uiPriority w:val="0"/>
    <w:pPr>
      <w:widowControl/>
      <w:pBdr>
        <w:top w:val="single" w:color="000000" w:sz="8" w:space="0"/>
        <w:bottom w:val="single" w:color="000000" w:sz="8" w:space="0"/>
      </w:pBdr>
      <w:spacing w:before="100" w:beforeAutospacing="1" w:after="100" w:afterAutospacing="1"/>
      <w:jc w:val="center"/>
    </w:pPr>
    <w:rPr>
      <w:color w:val="000000"/>
      <w:kern w:val="0"/>
      <w:sz w:val="18"/>
      <w:szCs w:val="18"/>
    </w:rPr>
  </w:style>
  <w:style w:type="paragraph" w:customStyle="1" w:styleId="55">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56">
    <w:name w:val="xl95"/>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22"/>
      <w:szCs w:val="22"/>
    </w:rPr>
  </w:style>
  <w:style w:type="paragraph" w:customStyle="1" w:styleId="57">
    <w:name w:val="xl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58">
    <w:name w:val="xl97"/>
    <w:basedOn w:val="1"/>
    <w:qFormat/>
    <w:uiPriority w:val="0"/>
    <w:pPr>
      <w:widowControl/>
      <w:pBdr>
        <w:bottom w:val="single" w:color="000000" w:sz="8" w:space="0"/>
      </w:pBdr>
      <w:spacing w:before="100" w:beforeAutospacing="1" w:after="100" w:afterAutospacing="1"/>
      <w:jc w:val="center"/>
    </w:pPr>
    <w:rPr>
      <w:color w:val="000000"/>
      <w:kern w:val="0"/>
      <w:sz w:val="18"/>
      <w:szCs w:val="18"/>
    </w:rPr>
  </w:style>
  <w:style w:type="paragraph" w:customStyle="1" w:styleId="59">
    <w:name w:val="xl9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22"/>
      <w:szCs w:val="22"/>
    </w:rPr>
  </w:style>
  <w:style w:type="paragraph" w:customStyle="1" w:styleId="60">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1">
    <w:name w:val="xl100"/>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22"/>
      <w:szCs w:val="22"/>
    </w:rPr>
  </w:style>
  <w:style w:type="paragraph" w:customStyle="1" w:styleId="62">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3">
    <w:name w:val="xl10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4">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5">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Cs w:val="21"/>
    </w:rPr>
  </w:style>
  <w:style w:type="paragraph" w:customStyle="1" w:styleId="66">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7">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6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9">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70">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1">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7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73">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18"/>
      <w:szCs w:val="18"/>
    </w:rPr>
  </w:style>
  <w:style w:type="paragraph" w:customStyle="1" w:styleId="74">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75">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76">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77">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78">
    <w:name w:val="xl11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79">
    <w:name w:val="xl11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0">
    <w:name w:val="xl11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1">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2">
    <w:name w:val="xl12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3">
    <w:name w:val="xl12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4">
    <w:name w:val="xl1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5">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Cs w:val="21"/>
    </w:rPr>
  </w:style>
  <w:style w:type="paragraph" w:customStyle="1" w:styleId="86">
    <w:name w:val="xl1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7">
    <w:name w:val="xl12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8">
    <w:name w:val="xl1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89">
    <w:name w:val="xl12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90">
    <w:name w:val="xl129"/>
    <w:basedOn w:val="1"/>
    <w:qFormat/>
    <w:uiPriority w:val="0"/>
    <w:pPr>
      <w:widowControl/>
      <w:pBdr>
        <w:righ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91">
    <w:name w:val="xl13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92">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93">
    <w:name w:val="xl1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94">
    <w:name w:val="xl133"/>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95">
    <w:name w:val="xl134"/>
    <w:basedOn w:val="1"/>
    <w:qFormat/>
    <w:uiPriority w:val="0"/>
    <w:pPr>
      <w:widowControl/>
      <w:pBdr>
        <w:right w:val="single" w:color="000000" w:sz="4" w:space="0"/>
      </w:pBdr>
      <w:spacing w:before="100" w:beforeAutospacing="1" w:after="100" w:afterAutospacing="1"/>
      <w:jc w:val="center"/>
    </w:pPr>
    <w:rPr>
      <w:rFonts w:ascii="宋体" w:hAnsi="宋体" w:cs="宋体"/>
      <w:b/>
      <w:bCs/>
      <w:color w:val="000000"/>
      <w:kern w:val="0"/>
      <w:szCs w:val="21"/>
    </w:rPr>
  </w:style>
  <w:style w:type="paragraph" w:customStyle="1" w:styleId="96">
    <w:name w:val="xl135"/>
    <w:basedOn w:val="1"/>
    <w:qFormat/>
    <w:uiPriority w:val="0"/>
    <w:pPr>
      <w:widowControl/>
      <w:pBdr>
        <w:right w:val="single" w:color="000000" w:sz="4" w:space="0"/>
      </w:pBdr>
      <w:spacing w:before="100" w:beforeAutospacing="1" w:after="100" w:afterAutospacing="1"/>
      <w:jc w:val="center"/>
    </w:pPr>
    <w:rPr>
      <w:rFonts w:ascii="宋体" w:hAnsi="宋体" w:cs="宋体"/>
      <w:b/>
      <w:bCs/>
      <w:color w:val="000000"/>
      <w:kern w:val="0"/>
      <w:szCs w:val="21"/>
    </w:rPr>
  </w:style>
  <w:style w:type="paragraph" w:customStyle="1" w:styleId="97">
    <w:name w:val="xl13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98">
    <w:name w:val="xl137"/>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99">
    <w:name w:val="xl138"/>
    <w:basedOn w:val="1"/>
    <w:qFormat/>
    <w:uiPriority w:val="0"/>
    <w:pPr>
      <w:widowControl/>
      <w:pBdr>
        <w:lef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100">
    <w:name w:val="xl139"/>
    <w:basedOn w:val="1"/>
    <w:qFormat/>
    <w:uiPriority w:val="0"/>
    <w:pPr>
      <w:widowControl/>
      <w:pBdr>
        <w:righ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101">
    <w:name w:val="xl140"/>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102">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color w:val="000000"/>
      <w:kern w:val="0"/>
      <w:szCs w:val="21"/>
    </w:rPr>
  </w:style>
  <w:style w:type="paragraph" w:customStyle="1" w:styleId="103">
    <w:name w:val="xl142"/>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104">
    <w:name w:val="xl143"/>
    <w:basedOn w:val="1"/>
    <w:qFormat/>
    <w:uiPriority w:val="0"/>
    <w:pPr>
      <w:widowControl/>
      <w:pBdr>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105">
    <w:name w:val="xl144"/>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106">
    <w:name w:val="xl14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107">
    <w:name w:val="xl146"/>
    <w:basedOn w:val="1"/>
    <w:qFormat/>
    <w:uiPriority w:val="0"/>
    <w:pPr>
      <w:widowControl/>
      <w:pBdr>
        <w:left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108">
    <w:name w:val="xl147"/>
    <w:basedOn w:val="1"/>
    <w:qFormat/>
    <w:uiPriority w:val="0"/>
    <w:pPr>
      <w:widowControl/>
      <w:spacing w:before="100" w:beforeAutospacing="1" w:after="100" w:afterAutospacing="1"/>
      <w:jc w:val="center"/>
    </w:pPr>
    <w:rPr>
      <w:rFonts w:ascii="仿宋_GB2312" w:hAnsi="宋体" w:eastAsia="仿宋_GB2312" w:cs="宋体"/>
      <w:kern w:val="0"/>
      <w:szCs w:val="21"/>
    </w:rPr>
  </w:style>
  <w:style w:type="paragraph" w:customStyle="1" w:styleId="109">
    <w:name w:val="xl148"/>
    <w:basedOn w:val="1"/>
    <w:qFormat/>
    <w:uiPriority w:val="0"/>
    <w:pPr>
      <w:widowControl/>
      <w:pBdr>
        <w:right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110">
    <w:name w:val="xl149"/>
    <w:basedOn w:val="1"/>
    <w:qFormat/>
    <w:uiPriority w:val="0"/>
    <w:pPr>
      <w:widowControl/>
      <w:pBdr>
        <w:left w:val="single" w:color="auto" w:sz="4" w:space="0"/>
        <w:bottom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111">
    <w:name w:val="xl150"/>
    <w:basedOn w:val="1"/>
    <w:qFormat/>
    <w:uiPriority w:val="0"/>
    <w:pPr>
      <w:widowControl/>
      <w:pBdr>
        <w:bottom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112">
    <w:name w:val="xl151"/>
    <w:basedOn w:val="1"/>
    <w:qFormat/>
    <w:uiPriority w:val="0"/>
    <w:pPr>
      <w:widowControl/>
      <w:pBdr>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1"/>
    </w:rPr>
  </w:style>
  <w:style w:type="paragraph" w:customStyle="1" w:styleId="113">
    <w:name w:val="xl152"/>
    <w:basedOn w:val="1"/>
    <w:qFormat/>
    <w:uiPriority w:val="0"/>
    <w:pPr>
      <w:widowControl/>
      <w:pBdr>
        <w:top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114">
    <w:name w:val="xl153"/>
    <w:basedOn w:val="1"/>
    <w:qFormat/>
    <w:uiPriority w:val="0"/>
    <w:pPr>
      <w:widowControl/>
      <w:spacing w:before="100" w:beforeAutospacing="1" w:after="100" w:afterAutospacing="1"/>
      <w:jc w:val="center"/>
    </w:pPr>
    <w:rPr>
      <w:rFonts w:ascii="宋体" w:hAnsi="宋体" w:cs="宋体"/>
      <w:b/>
      <w:bCs/>
      <w:color w:val="000000"/>
      <w:kern w:val="0"/>
      <w:szCs w:val="21"/>
    </w:rPr>
  </w:style>
  <w:style w:type="paragraph" w:customStyle="1" w:styleId="115">
    <w:name w:val="xl154"/>
    <w:basedOn w:val="1"/>
    <w:qFormat/>
    <w:uiPriority w:val="0"/>
    <w:pPr>
      <w:widowControl/>
      <w:pBdr>
        <w:bottom w:val="single" w:color="auto" w:sz="4" w:space="0"/>
      </w:pBdr>
      <w:spacing w:before="100" w:beforeAutospacing="1" w:after="100" w:afterAutospacing="1"/>
      <w:jc w:val="center"/>
    </w:pPr>
    <w:rPr>
      <w:rFonts w:ascii="宋体" w:hAnsi="宋体" w:cs="宋体"/>
      <w:b/>
      <w:bCs/>
      <w:color w:val="000000"/>
      <w:kern w:val="0"/>
      <w:szCs w:val="21"/>
    </w:rPr>
  </w:style>
  <w:style w:type="character" w:customStyle="1" w:styleId="116">
    <w:name w:val="font191"/>
    <w:basedOn w:val="12"/>
    <w:qFormat/>
    <w:uiPriority w:val="0"/>
    <w:rPr>
      <w:rFonts w:hint="eastAsia" w:ascii="宋体" w:hAnsi="宋体" w:eastAsia="宋体" w:cs="宋体"/>
      <w:color w:val="000000"/>
      <w:sz w:val="18"/>
      <w:szCs w:val="18"/>
      <w:u w:val="none"/>
    </w:rPr>
  </w:style>
  <w:style w:type="character" w:customStyle="1" w:styleId="117">
    <w:name w:val="font61"/>
    <w:basedOn w:val="12"/>
    <w:qFormat/>
    <w:uiPriority w:val="0"/>
    <w:rPr>
      <w:rFonts w:hint="eastAsia" w:ascii="宋体" w:hAnsi="宋体" w:eastAsia="宋体" w:cs="宋体"/>
      <w:color w:val="000000"/>
      <w:sz w:val="18"/>
      <w:szCs w:val="18"/>
      <w:u w:val="none"/>
    </w:rPr>
  </w:style>
  <w:style w:type="paragraph" w:styleId="118">
    <w:name w:val="List Paragraph"/>
    <w:basedOn w:val="1"/>
    <w:unhideWhenUsed/>
    <w:qFormat/>
    <w:uiPriority w:val="99"/>
    <w:pPr>
      <w:ind w:firstLine="420" w:firstLineChars="200"/>
    </w:pPr>
  </w:style>
  <w:style w:type="paragraph" w:customStyle="1" w:styleId="119">
    <w:name w:val="font6"/>
    <w:basedOn w:val="1"/>
    <w:qFormat/>
    <w:uiPriority w:val="0"/>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120">
    <w:name w:val="font7"/>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121">
    <w:name w:val="font8"/>
    <w:basedOn w:val="1"/>
    <w:qFormat/>
    <w:uiPriority w:val="0"/>
    <w:pPr>
      <w:widowControl/>
      <w:spacing w:before="100" w:beforeAutospacing="1" w:after="100" w:afterAutospacing="1" w:line="240" w:lineRule="auto"/>
      <w:jc w:val="left"/>
    </w:pPr>
    <w:rPr>
      <w:rFonts w:ascii="Calibri" w:hAnsi="Calibri" w:cs="Calibri"/>
      <w:kern w:val="0"/>
      <w:szCs w:val="21"/>
    </w:rPr>
  </w:style>
  <w:style w:type="paragraph" w:customStyle="1" w:styleId="122">
    <w:name w:val="xl155"/>
    <w:basedOn w:val="1"/>
    <w:qFormat/>
    <w:uiPriority w:val="0"/>
    <w:pPr>
      <w:widowControl/>
      <w:pBdr>
        <w:top w:val="single" w:color="auto" w:sz="4" w:space="0"/>
        <w:bottom w:val="single" w:color="auto" w:sz="4" w:space="0"/>
      </w:pBdr>
      <w:spacing w:before="100" w:beforeAutospacing="1" w:after="100" w:afterAutospacing="1" w:line="240" w:lineRule="auto"/>
      <w:jc w:val="center"/>
    </w:pPr>
    <w:rPr>
      <w:rFonts w:ascii="宋体" w:hAnsi="宋体" w:cs="宋体"/>
      <w:b/>
      <w:bCs/>
      <w:color w:val="000000"/>
      <w:kern w:val="0"/>
      <w:szCs w:val="21"/>
    </w:rPr>
  </w:style>
  <w:style w:type="paragraph" w:customStyle="1" w:styleId="123">
    <w:name w:val="xl156"/>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000000"/>
      <w:kern w:val="0"/>
      <w:szCs w:val="21"/>
    </w:rPr>
  </w:style>
  <w:style w:type="character" w:customStyle="1" w:styleId="124">
    <w:name w:val="font211"/>
    <w:basedOn w:val="12"/>
    <w:qFormat/>
    <w:uiPriority w:val="0"/>
    <w:rPr>
      <w:rFonts w:hint="eastAsia" w:ascii="宋体" w:hAnsi="宋体" w:eastAsia="宋体" w:cs="宋体"/>
      <w:color w:val="000000"/>
      <w:sz w:val="18"/>
      <w:szCs w:val="18"/>
      <w:u w:val="none"/>
    </w:rPr>
  </w:style>
  <w:style w:type="character" w:customStyle="1" w:styleId="125">
    <w:name w:val="font141"/>
    <w:basedOn w:val="12"/>
    <w:qFormat/>
    <w:uiPriority w:val="0"/>
    <w:rPr>
      <w:rFonts w:ascii="Calibri" w:hAnsi="Calibri" w:cs="Calibri"/>
      <w:color w:val="000000"/>
      <w:sz w:val="21"/>
      <w:szCs w:val="21"/>
      <w:u w:val="none"/>
    </w:rPr>
  </w:style>
  <w:style w:type="character" w:customStyle="1" w:styleId="126">
    <w:name w:val="font241"/>
    <w:basedOn w:val="12"/>
    <w:qFormat/>
    <w:uiPriority w:val="0"/>
    <w:rPr>
      <w:rFonts w:hint="default" w:ascii="仿宋_GB2312" w:eastAsia="仿宋_GB2312" w:cs="仿宋_GB2312"/>
      <w:color w:val="000000"/>
      <w:sz w:val="21"/>
      <w:szCs w:val="21"/>
      <w:u w:val="none"/>
    </w:rPr>
  </w:style>
  <w:style w:type="character" w:customStyle="1" w:styleId="127">
    <w:name w:val="font31"/>
    <w:basedOn w:val="12"/>
    <w:qFormat/>
    <w:uiPriority w:val="0"/>
    <w:rPr>
      <w:rFonts w:hint="eastAsia" w:ascii="宋体" w:hAnsi="宋体" w:eastAsia="宋体" w:cs="宋体"/>
      <w:color w:val="000000"/>
      <w:sz w:val="18"/>
      <w:szCs w:val="18"/>
      <w:u w:val="none"/>
    </w:rPr>
  </w:style>
  <w:style w:type="character" w:customStyle="1" w:styleId="128">
    <w:name w:val="font281"/>
    <w:basedOn w:val="12"/>
    <w:qFormat/>
    <w:uiPriority w:val="0"/>
    <w:rPr>
      <w:rFonts w:ascii="Calibri" w:hAnsi="Calibri" w:cs="Calibri"/>
      <w:color w:val="000000"/>
      <w:sz w:val="21"/>
      <w:szCs w:val="21"/>
      <w:u w:val="none"/>
    </w:rPr>
  </w:style>
  <w:style w:type="character" w:customStyle="1" w:styleId="129">
    <w:name w:val="font221"/>
    <w:basedOn w:val="12"/>
    <w:qFormat/>
    <w:uiPriority w:val="0"/>
    <w:rPr>
      <w:rFonts w:hint="eastAsia" w:ascii="仿宋_GB2312" w:eastAsia="仿宋_GB2312" w:cs="仿宋_GB2312"/>
      <w:color w:val="000000"/>
      <w:sz w:val="21"/>
      <w:szCs w:val="21"/>
      <w:u w:val="none"/>
    </w:rPr>
  </w:style>
  <w:style w:type="character" w:customStyle="1" w:styleId="130">
    <w:name w:val="font41"/>
    <w:basedOn w:val="12"/>
    <w:qFormat/>
    <w:uiPriority w:val="0"/>
    <w:rPr>
      <w:rFonts w:hint="eastAsia" w:ascii="宋体" w:hAnsi="宋体" w:eastAsia="宋体" w:cs="宋体"/>
      <w:color w:val="000000"/>
      <w:sz w:val="22"/>
      <w:szCs w:val="22"/>
      <w:u w:val="none"/>
    </w:rPr>
  </w:style>
  <w:style w:type="paragraph" w:customStyle="1" w:styleId="131">
    <w:name w:val="xl63"/>
    <w:basedOn w:val="1"/>
    <w:qFormat/>
    <w:uiPriority w:val="0"/>
    <w:pPr>
      <w:widowControl/>
      <w:pBdr>
        <w:bottom w:val="single" w:color="auto" w:sz="8" w:space="0"/>
        <w:right w:val="single" w:color="auto" w:sz="8" w:space="0"/>
      </w:pBdr>
      <w:spacing w:before="100" w:beforeAutospacing="1" w:after="100" w:afterAutospacing="1" w:line="240" w:lineRule="auto"/>
      <w:jc w:val="center"/>
    </w:pPr>
    <w:rPr>
      <w:rFonts w:ascii="宋体" w:hAnsi="宋体" w:cs="宋体"/>
      <w:kern w:val="0"/>
      <w:sz w:val="24"/>
    </w:rPr>
  </w:style>
  <w:style w:type="paragraph" w:customStyle="1" w:styleId="132">
    <w:name w:val="xl64"/>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jc w:val="center"/>
    </w:pPr>
    <w:rPr>
      <w:rFonts w:ascii="宋体" w:hAnsi="宋体" w:cs="宋体"/>
      <w:kern w:val="0"/>
      <w:sz w:val="24"/>
    </w:rPr>
  </w:style>
  <w:style w:type="paragraph" w:customStyle="1" w:styleId="133">
    <w:name w:val="人培正文样式"/>
    <w:basedOn w:val="1"/>
    <w:qFormat/>
    <w:uiPriority w:val="0"/>
    <w:pPr>
      <w:spacing w:line="520" w:lineRule="exact"/>
      <w:ind w:firstLine="640" w:firstLineChars="200"/>
    </w:pPr>
    <w:rPr>
      <w:rFonts w:hint="eastAsia" w:eastAsia="仿宋_GB2312"/>
      <w:kern w:val="44"/>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20120</Words>
  <Characters>20299</Characters>
  <Lines>3897</Lines>
  <Paragraphs>2663</Paragraphs>
  <TotalTime>34</TotalTime>
  <ScaleCrop>false</ScaleCrop>
  <LinksUpToDate>false</LinksUpToDate>
  <CharactersWithSpaces>20580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2026-03-20T07:14:18Z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711E364EFA404F57ACF7B2777DFD68CF_13</vt:lpwstr>
  </property>
  <property fmtid="{D5CDD505-2E9C-101B-9397-08002B2CF9AE}" pid="4" name="KSOTemplateDocerSaveRecord">
    <vt:lpwstr>eyJoZGlkIjoiMWM2MmU0NTc4MjE4OGQyY2ZlOTQ3NTNiZTc4MmQ4NmEiLCJ1c2VySWQiOiIyNDU5MDMyNDUifQ==</vt:lpwstr>
  </property>
</Properties>
</file>