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CF29">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9"/>
                    <a:stretch>
                      <a:fillRect/>
                    </a:stretch>
                  </pic:blipFill>
                  <pic:spPr>
                    <a:xfrm>
                      <a:off x="0" y="0"/>
                      <a:ext cx="5684520" cy="1270635"/>
                    </a:xfrm>
                    <a:prstGeom prst="rect">
                      <a:avLst/>
                    </a:prstGeom>
                    <a:noFill/>
                    <a:ln>
                      <a:noFill/>
                    </a:ln>
                  </pic:spPr>
                </pic:pic>
              </a:graphicData>
            </a:graphic>
          </wp:anchor>
        </w:drawing>
      </w:r>
    </w:p>
    <w:p w14:paraId="321E6D53">
      <w:pPr>
        <w:overflowPunct w:val="0"/>
        <w:adjustRightInd w:val="0"/>
        <w:snapToGrid w:val="0"/>
        <w:jc w:val="center"/>
        <w:rPr>
          <w:rFonts w:hint="eastAsia" w:ascii="Times New Roman" w:hAnsi="Times New Roman" w:eastAsia="仿宋"/>
          <w:color w:val="auto"/>
          <w:szCs w:val="32"/>
        </w:rPr>
      </w:pPr>
    </w:p>
    <w:p w14:paraId="059CC7E1">
      <w:pPr>
        <w:overflowPunct w:val="0"/>
        <w:adjustRightInd w:val="0"/>
        <w:snapToGrid w:val="0"/>
        <w:jc w:val="center"/>
        <w:rPr>
          <w:rFonts w:hint="eastAsia" w:ascii="Times New Roman" w:hAnsi="Times New Roman" w:eastAsia="仿宋"/>
          <w:color w:val="auto"/>
          <w:szCs w:val="32"/>
        </w:rPr>
      </w:pPr>
    </w:p>
    <w:p w14:paraId="3B8A10FC">
      <w:pPr>
        <w:overflowPunct w:val="0"/>
        <w:adjustRightInd w:val="0"/>
        <w:snapToGrid w:val="0"/>
        <w:jc w:val="center"/>
        <w:rPr>
          <w:rFonts w:hint="eastAsia" w:ascii="Times New Roman" w:hAnsi="Times New Roman" w:eastAsia="仿宋"/>
          <w:color w:val="auto"/>
          <w:szCs w:val="32"/>
        </w:rPr>
      </w:pPr>
    </w:p>
    <w:p w14:paraId="0762A07B">
      <w:pPr>
        <w:overflowPunct w:val="0"/>
        <w:adjustRightInd w:val="0"/>
        <w:snapToGrid w:val="0"/>
        <w:jc w:val="center"/>
        <w:rPr>
          <w:rFonts w:hint="eastAsia" w:ascii="Times New Roman" w:hAnsi="Times New Roman" w:eastAsia="仿宋"/>
          <w:color w:val="auto"/>
          <w:szCs w:val="32"/>
        </w:rPr>
      </w:pPr>
    </w:p>
    <w:p w14:paraId="2C1F0B26">
      <w:pPr>
        <w:overflowPunct w:val="0"/>
        <w:adjustRightInd w:val="0"/>
        <w:snapToGrid w:val="0"/>
        <w:jc w:val="center"/>
        <w:rPr>
          <w:rFonts w:hint="eastAsia" w:ascii="Times New Roman" w:hAnsi="Times New Roman" w:eastAsia="仿宋"/>
          <w:color w:val="auto"/>
          <w:szCs w:val="32"/>
        </w:rPr>
      </w:pPr>
    </w:p>
    <w:p w14:paraId="3AA21584">
      <w:pPr>
        <w:overflowPunct w:val="0"/>
        <w:adjustRightInd w:val="0"/>
        <w:snapToGrid w:val="0"/>
        <w:jc w:val="center"/>
        <w:rPr>
          <w:rFonts w:hint="eastAsia" w:ascii="Times New Roman" w:hAnsi="Times New Roman" w:eastAsia="仿宋"/>
          <w:color w:val="auto"/>
          <w:szCs w:val="32"/>
        </w:rPr>
      </w:pPr>
    </w:p>
    <w:p w14:paraId="40D4F652">
      <w:pPr>
        <w:overflowPunct w:val="0"/>
        <w:adjustRightInd w:val="0"/>
        <w:snapToGrid w:val="0"/>
        <w:jc w:val="center"/>
        <w:rPr>
          <w:rFonts w:hint="eastAsia" w:ascii="Times New Roman" w:hAnsi="Times New Roman" w:eastAsia="仿宋"/>
          <w:color w:val="auto"/>
          <w:szCs w:val="32"/>
        </w:rPr>
      </w:pPr>
    </w:p>
    <w:p w14:paraId="6CD186F6">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298E4AA5">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3D79F6BB">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68C56C78">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电气自动化技术</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6C937402">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460306          </w:t>
      </w:r>
      <w:r>
        <w:rPr>
          <w:rFonts w:hint="eastAsia" w:ascii="Times New Roman" w:hAnsi="Times New Roman" w:eastAsia="仿宋_GB2312" w:cs="仿宋_GB2312"/>
          <w:color w:val="auto"/>
          <w:kern w:val="0"/>
          <w:sz w:val="32"/>
          <w:szCs w:val="32"/>
        </w:rPr>
        <w:t xml:space="preserve">            </w:t>
      </w:r>
    </w:p>
    <w:p w14:paraId="27A10114">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rPr>
        <w:t xml:space="preserve">                                       </w:t>
      </w:r>
    </w:p>
    <w:p w14:paraId="40A3FB94">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 xml:space="preserve">修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1E19F0B4">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5DFAFD35">
      <w:pPr>
        <w:rPr>
          <w:rFonts w:hint="eastAsia" w:ascii="Times New Roman" w:hAnsi="Times New Roman" w:eastAsia="仿宋_GB2312" w:cs="仿宋_GB2312"/>
          <w:color w:val="auto"/>
          <w:kern w:val="0"/>
          <w:sz w:val="32"/>
          <w:szCs w:val="32"/>
          <w:shd w:val="clear" w:color="auto" w:fill="FFFFFF"/>
        </w:rPr>
      </w:pPr>
    </w:p>
    <w:p w14:paraId="766197FC">
      <w:pPr>
        <w:rPr>
          <w:rFonts w:hint="eastAsia" w:ascii="Times New Roman" w:hAnsi="Times New Roman" w:eastAsia="仿宋_GB2312" w:cs="仿宋_GB2312"/>
          <w:color w:val="auto"/>
          <w:kern w:val="0"/>
          <w:sz w:val="32"/>
          <w:szCs w:val="32"/>
          <w:shd w:val="clear" w:color="auto" w:fill="FFFFFF"/>
        </w:rPr>
      </w:pPr>
    </w:p>
    <w:p w14:paraId="7BD9CB0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792C242D">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48AB197F">
      <w:pP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r>
        <w:rPr>
          <w:rFonts w:hint="eastAsia" w:ascii="Times New Roman" w:hAnsi="Times New Roman" w:eastAsia="仿宋_GB2312" w:cs="仿宋_GB2312"/>
          <w:color w:val="auto"/>
          <w:kern w:val="0"/>
          <w:sz w:val="32"/>
          <w:szCs w:val="32"/>
          <w:shd w:val="clear" w:color="auto" w:fill="FFFFFF"/>
          <w:lang w:val="en-US" w:eastAsia="zh-CN"/>
        </w:rPr>
        <w:br w:type="page"/>
      </w:r>
    </w:p>
    <w:p w14:paraId="4B24EB36">
      <w:pPr>
        <w:keepNext w:val="0"/>
        <w:keepLines w:val="0"/>
        <w:pageBreakBefore w:val="0"/>
        <w:widowControl w:val="0"/>
        <w:kinsoku/>
        <w:wordWrap/>
        <w:overflowPunct w:val="0"/>
        <w:topLinePunct w:val="0"/>
        <w:autoSpaceDE/>
        <w:autoSpaceDN/>
        <w:bidi w:val="0"/>
        <w:adjustRightInd w:val="0"/>
        <w:snapToGrid w:val="0"/>
        <w:spacing w:after="0" w:line="520" w:lineRule="exact"/>
        <w:jc w:val="both"/>
        <w:textAlignment w:val="auto"/>
        <w:rPr>
          <w:rFonts w:hint="eastAsia" w:ascii="Times New Roman" w:hAnsi="Times New Roman" w:eastAsia="方正小标宋简体" w:cs="方正小标宋简体"/>
          <w:bCs/>
          <w:color w:val="auto"/>
          <w:sz w:val="44"/>
          <w:szCs w:val="44"/>
        </w:rPr>
        <w:sectPr>
          <w:footerReference r:id="rId6" w:type="default"/>
          <w:pgSz w:w="11906" w:h="16838"/>
          <w:pgMar w:top="1417" w:right="1417" w:bottom="1417" w:left="1417" w:header="851" w:footer="992" w:gutter="0"/>
          <w:pgNumType w:start="1"/>
          <w:cols w:space="425" w:num="1"/>
          <w:docGrid w:type="lines" w:linePitch="312" w:charSpace="0"/>
        </w:sectPr>
      </w:pPr>
    </w:p>
    <w:p w14:paraId="29CF44A4">
      <w:pPr>
        <w:jc w:val="cente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t>编制说明</w:t>
      </w:r>
    </w:p>
    <w:p w14:paraId="3EC4F4B0">
      <w:pPr>
        <w:ind w:firstLine="880" w:firstLineChars="200"/>
        <w:rPr>
          <w:rFonts w:hint="eastAsia" w:ascii="Times New Roman" w:hAnsi="Times New Roman" w:eastAsia="黑体" w:cs="黑体"/>
          <w:b w:val="0"/>
          <w:bCs/>
          <w:color w:val="auto"/>
          <w:sz w:val="44"/>
          <w:szCs w:val="44"/>
        </w:rPr>
      </w:pPr>
    </w:p>
    <w:p w14:paraId="736E1B93">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本专业人才培养方案适于</w:t>
      </w:r>
      <w:r>
        <w:rPr>
          <w:rFonts w:hint="eastAsia" w:ascii="Times New Roman" w:hAnsi="Times New Roman" w:eastAsia="仿宋_GB2312" w:cs="仿宋_GB2312"/>
          <w:bCs/>
          <w:sz w:val="32"/>
          <w:szCs w:val="32"/>
          <w:lang w:val="en-US" w:eastAsia="zh-CN"/>
        </w:rPr>
        <w:t>我校</w:t>
      </w:r>
      <w:r>
        <w:rPr>
          <w:rFonts w:hint="eastAsia" w:ascii="Times New Roman" w:hAnsi="Times New Roman" w:eastAsia="仿宋_GB2312" w:cs="仿宋_GB2312"/>
          <w:bCs/>
          <w:sz w:val="32"/>
          <w:szCs w:val="32"/>
        </w:rPr>
        <w:t>三年全日制高职专科，由广西</w:t>
      </w:r>
      <w:r>
        <w:rPr>
          <w:rFonts w:hint="eastAsia" w:ascii="Times New Roman" w:hAnsi="Times New Roman" w:eastAsia="仿宋_GB2312" w:cs="仿宋_GB2312"/>
          <w:bCs/>
          <w:sz w:val="32"/>
          <w:szCs w:val="32"/>
          <w:lang w:val="en-US" w:eastAsia="zh-CN"/>
        </w:rPr>
        <w:t>工程职业学院电气自动化技术</w:t>
      </w:r>
      <w:r>
        <w:rPr>
          <w:rFonts w:hint="eastAsia" w:ascii="Times New Roman" w:hAnsi="Times New Roman" w:eastAsia="仿宋_GB2312" w:cs="仿宋_GB2312"/>
          <w:bCs/>
          <w:sz w:val="32"/>
          <w:szCs w:val="32"/>
        </w:rPr>
        <w:t>专业团队与</w:t>
      </w:r>
      <w:r>
        <w:rPr>
          <w:rFonts w:hint="eastAsia" w:ascii="Times New Roman" w:hAnsi="Times New Roman" w:eastAsia="仿宋_GB2312" w:cs="仿宋_GB2312"/>
          <w:bCs/>
          <w:sz w:val="32"/>
          <w:szCs w:val="32"/>
          <w:lang w:val="en-US" w:eastAsia="zh-CN"/>
        </w:rPr>
        <w:t>广西大生新能源科技有限</w:t>
      </w:r>
      <w:r>
        <w:rPr>
          <w:rFonts w:hint="eastAsia" w:ascii="Times New Roman" w:hAnsi="Times New Roman" w:eastAsia="仿宋_GB2312" w:cs="仿宋_GB2312"/>
          <w:bCs/>
          <w:sz w:val="32"/>
          <w:szCs w:val="32"/>
        </w:rPr>
        <w:t>公司</w:t>
      </w:r>
      <w:r>
        <w:rPr>
          <w:rFonts w:hint="eastAsia" w:ascii="Times New Roman" w:hAnsi="Times New Roman" w:eastAsia="仿宋_GB2312" w:cs="仿宋_GB2312"/>
          <w:bCs/>
          <w:sz w:val="32"/>
          <w:szCs w:val="32"/>
          <w:lang w:val="en-US" w:eastAsia="zh-CN"/>
        </w:rPr>
        <w:t>等</w:t>
      </w:r>
      <w:r>
        <w:rPr>
          <w:rFonts w:hint="eastAsia" w:ascii="Times New Roman" w:hAnsi="Times New Roman" w:eastAsia="仿宋_GB2312" w:cs="仿宋_GB2312"/>
          <w:bCs/>
          <w:sz w:val="32"/>
          <w:szCs w:val="32"/>
        </w:rPr>
        <w:t>共同制订，并经</w:t>
      </w:r>
      <w:r>
        <w:rPr>
          <w:rFonts w:hint="eastAsia" w:ascii="Times New Roman" w:hAnsi="Times New Roman" w:eastAsia="仿宋_GB2312" w:cs="仿宋_GB2312"/>
          <w:bCs/>
          <w:sz w:val="32"/>
          <w:szCs w:val="32"/>
          <w:lang w:val="en-US" w:eastAsia="zh-CN"/>
        </w:rPr>
        <w:t>二级学院党政联席会审定、</w:t>
      </w:r>
      <w:r>
        <w:rPr>
          <w:rFonts w:hint="eastAsia" w:ascii="Times New Roman" w:hAnsi="Times New Roman" w:eastAsia="仿宋_GB2312" w:cs="仿宋_GB2312"/>
          <w:bCs/>
          <w:sz w:val="32"/>
          <w:szCs w:val="32"/>
        </w:rPr>
        <w:t>学校</w:t>
      </w:r>
      <w:r>
        <w:rPr>
          <w:rFonts w:hint="eastAsia" w:ascii="Times New Roman" w:hAnsi="Times New Roman" w:eastAsia="仿宋_GB2312" w:cs="仿宋_GB2312"/>
          <w:bCs/>
          <w:sz w:val="32"/>
          <w:szCs w:val="32"/>
          <w:lang w:val="en-US" w:eastAsia="zh-CN"/>
        </w:rPr>
        <w:t>专业建设</w:t>
      </w:r>
      <w:r>
        <w:rPr>
          <w:rFonts w:hint="eastAsia" w:ascii="Times New Roman" w:hAnsi="Times New Roman" w:eastAsia="仿宋_GB2312" w:cs="仿宋_GB2312"/>
          <w:bCs/>
          <w:sz w:val="32"/>
          <w:szCs w:val="32"/>
        </w:rPr>
        <w:t>指导委员会</w:t>
      </w:r>
      <w:r>
        <w:rPr>
          <w:rFonts w:hint="eastAsia" w:ascii="Times New Roman" w:hAnsi="Times New Roman" w:eastAsia="仿宋_GB2312" w:cs="仿宋_GB2312"/>
          <w:bCs/>
          <w:sz w:val="32"/>
          <w:szCs w:val="32"/>
          <w:lang w:val="en-US" w:eastAsia="zh-CN"/>
        </w:rPr>
        <w:t>论证</w:t>
      </w:r>
      <w:r>
        <w:rPr>
          <w:rFonts w:hint="eastAsia" w:ascii="Times New Roman" w:hAnsi="Times New Roman" w:eastAsia="仿宋_GB2312" w:cs="仿宋_GB2312"/>
          <w:bCs/>
          <w:sz w:val="32"/>
          <w:szCs w:val="32"/>
        </w:rPr>
        <w:t>，</w:t>
      </w:r>
      <w:r>
        <w:rPr>
          <w:rFonts w:hint="eastAsia" w:ascii="Times New Roman" w:hAnsi="Times New Roman" w:eastAsia="仿宋_GB2312" w:cs="仿宋_GB2312"/>
          <w:bCs/>
          <w:sz w:val="32"/>
          <w:szCs w:val="32"/>
          <w:lang w:val="en-US" w:eastAsia="zh-CN"/>
        </w:rPr>
        <w:t>校长办公</w:t>
      </w:r>
      <w:r>
        <w:rPr>
          <w:rFonts w:hint="eastAsia" w:ascii="Times New Roman" w:hAnsi="Times New Roman" w:eastAsia="仿宋_GB2312" w:cs="仿宋_GB2312"/>
          <w:bCs/>
          <w:sz w:val="32"/>
          <w:szCs w:val="32"/>
        </w:rPr>
        <w:t>会</w:t>
      </w:r>
      <w:r>
        <w:rPr>
          <w:rFonts w:hint="eastAsia" w:ascii="Times New Roman" w:hAnsi="Times New Roman" w:eastAsia="仿宋_GB2312" w:cs="仿宋_GB2312"/>
          <w:bCs/>
          <w:sz w:val="32"/>
          <w:szCs w:val="32"/>
          <w:lang w:val="en-US" w:eastAsia="zh-CN"/>
        </w:rPr>
        <w:t>审议</w:t>
      </w:r>
      <w:r>
        <w:rPr>
          <w:rFonts w:hint="eastAsia" w:ascii="Times New Roman" w:hAnsi="Times New Roman" w:eastAsia="仿宋_GB2312" w:cs="仿宋_GB2312"/>
          <w:bCs/>
          <w:sz w:val="32"/>
          <w:szCs w:val="32"/>
        </w:rPr>
        <w:t>、</w:t>
      </w:r>
      <w:r>
        <w:rPr>
          <w:rFonts w:hint="eastAsia" w:ascii="Times New Roman" w:hAnsi="Times New Roman" w:eastAsia="仿宋_GB2312" w:cs="仿宋_GB2312"/>
          <w:bCs/>
          <w:sz w:val="32"/>
          <w:szCs w:val="32"/>
          <w:lang w:val="en-US" w:eastAsia="zh-CN"/>
        </w:rPr>
        <w:t>学校</w:t>
      </w:r>
      <w:r>
        <w:rPr>
          <w:rFonts w:hint="eastAsia" w:ascii="Times New Roman" w:hAnsi="Times New Roman" w:eastAsia="仿宋_GB2312" w:cs="仿宋_GB2312"/>
          <w:bCs/>
          <w:sz w:val="32"/>
          <w:szCs w:val="32"/>
        </w:rPr>
        <w:t>党委会审定，批准实施。</w:t>
      </w:r>
    </w:p>
    <w:p w14:paraId="16BF99F4">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Cs/>
          <w:sz w:val="32"/>
          <w:szCs w:val="32"/>
          <w:lang w:val="en-US" w:eastAsia="zh-CN"/>
        </w:rPr>
      </w:pPr>
      <w:r>
        <w:rPr>
          <w:rFonts w:hint="eastAsia" w:ascii="Times New Roman" w:hAnsi="Times New Roman" w:eastAsia="仿宋_GB2312" w:cs="仿宋_GB2312"/>
          <w:bCs/>
          <w:sz w:val="32"/>
          <w:szCs w:val="32"/>
          <w:lang w:val="en-US" w:eastAsia="zh-CN"/>
        </w:rPr>
        <w:t>主要编制人：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999"/>
        <w:gridCol w:w="2250"/>
        <w:gridCol w:w="1635"/>
      </w:tblGrid>
      <w:tr w14:paraId="5A10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10CD4BA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450" w:type="dxa"/>
            <w:vAlign w:val="center"/>
          </w:tcPr>
          <w:p w14:paraId="57B2539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2999" w:type="dxa"/>
            <w:vAlign w:val="center"/>
          </w:tcPr>
          <w:p w14:paraId="61225AA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250" w:type="dxa"/>
            <w:vAlign w:val="center"/>
          </w:tcPr>
          <w:p w14:paraId="413BE9F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635" w:type="dxa"/>
            <w:vAlign w:val="center"/>
          </w:tcPr>
          <w:p w14:paraId="704D5B0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2C46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31A3C6E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450" w:type="dxa"/>
            <w:vAlign w:val="center"/>
          </w:tcPr>
          <w:p w14:paraId="30AC0A8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陈建明</w:t>
            </w:r>
          </w:p>
        </w:tc>
        <w:tc>
          <w:tcPr>
            <w:tcW w:w="2999" w:type="dxa"/>
            <w:vAlign w:val="center"/>
          </w:tcPr>
          <w:p w14:paraId="5069837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广西大生新能源科技有限公司</w:t>
            </w:r>
          </w:p>
        </w:tc>
        <w:tc>
          <w:tcPr>
            <w:tcW w:w="2250" w:type="dxa"/>
            <w:vAlign w:val="center"/>
          </w:tcPr>
          <w:p w14:paraId="3042A85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总经理</w:t>
            </w:r>
          </w:p>
        </w:tc>
        <w:tc>
          <w:tcPr>
            <w:tcW w:w="1635" w:type="dxa"/>
            <w:vAlign w:val="center"/>
          </w:tcPr>
          <w:p w14:paraId="2414772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5DA5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trPr>
        <w:tc>
          <w:tcPr>
            <w:tcW w:w="908" w:type="dxa"/>
            <w:vAlign w:val="center"/>
          </w:tcPr>
          <w:p w14:paraId="4EAAD5A2">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2</w:t>
            </w:r>
          </w:p>
        </w:tc>
        <w:tc>
          <w:tcPr>
            <w:tcW w:w="1450" w:type="dxa"/>
            <w:vAlign w:val="center"/>
          </w:tcPr>
          <w:p w14:paraId="2F27690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杨竟</w:t>
            </w:r>
          </w:p>
        </w:tc>
        <w:tc>
          <w:tcPr>
            <w:tcW w:w="2999" w:type="dxa"/>
            <w:vAlign w:val="center"/>
          </w:tcPr>
          <w:p w14:paraId="319D323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012B970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635" w:type="dxa"/>
            <w:vAlign w:val="center"/>
          </w:tcPr>
          <w:p w14:paraId="7AEB25E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副教授</w:t>
            </w:r>
          </w:p>
        </w:tc>
      </w:tr>
      <w:tr w14:paraId="2B31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1F9DA28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3</w:t>
            </w:r>
          </w:p>
        </w:tc>
        <w:tc>
          <w:tcPr>
            <w:tcW w:w="1450" w:type="dxa"/>
            <w:vAlign w:val="center"/>
          </w:tcPr>
          <w:p w14:paraId="36A9BFD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李慧妹</w:t>
            </w:r>
          </w:p>
        </w:tc>
        <w:tc>
          <w:tcPr>
            <w:tcW w:w="2999" w:type="dxa"/>
            <w:vAlign w:val="center"/>
          </w:tcPr>
          <w:p w14:paraId="3AF034A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15A6A02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635" w:type="dxa"/>
            <w:vAlign w:val="center"/>
          </w:tcPr>
          <w:p w14:paraId="327F93A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11253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1A13F67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4</w:t>
            </w:r>
          </w:p>
        </w:tc>
        <w:tc>
          <w:tcPr>
            <w:tcW w:w="1450" w:type="dxa"/>
            <w:vAlign w:val="center"/>
          </w:tcPr>
          <w:p w14:paraId="3EF588A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卢燕梅</w:t>
            </w:r>
          </w:p>
        </w:tc>
        <w:tc>
          <w:tcPr>
            <w:tcW w:w="2999" w:type="dxa"/>
            <w:vAlign w:val="center"/>
          </w:tcPr>
          <w:p w14:paraId="7C254ADF">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0C1737FC">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635" w:type="dxa"/>
            <w:vAlign w:val="center"/>
          </w:tcPr>
          <w:p w14:paraId="5104736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52D1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61435B2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5</w:t>
            </w:r>
          </w:p>
        </w:tc>
        <w:tc>
          <w:tcPr>
            <w:tcW w:w="1450" w:type="dxa"/>
            <w:vAlign w:val="center"/>
          </w:tcPr>
          <w:p w14:paraId="6AD2C70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陆新锋</w:t>
            </w:r>
          </w:p>
        </w:tc>
        <w:tc>
          <w:tcPr>
            <w:tcW w:w="2999" w:type="dxa"/>
            <w:vAlign w:val="center"/>
          </w:tcPr>
          <w:p w14:paraId="25EE03C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73571D7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635" w:type="dxa"/>
            <w:vAlign w:val="center"/>
          </w:tcPr>
          <w:p w14:paraId="48447149">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563B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2363D714">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6</w:t>
            </w:r>
          </w:p>
        </w:tc>
        <w:tc>
          <w:tcPr>
            <w:tcW w:w="1450" w:type="dxa"/>
            <w:vAlign w:val="center"/>
          </w:tcPr>
          <w:p w14:paraId="043CD78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罗国王</w:t>
            </w:r>
          </w:p>
        </w:tc>
        <w:tc>
          <w:tcPr>
            <w:tcW w:w="2999" w:type="dxa"/>
            <w:vAlign w:val="center"/>
          </w:tcPr>
          <w:p w14:paraId="6322D06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3A9AA32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汽车与机电学院电子技术教研室副主任</w:t>
            </w:r>
          </w:p>
        </w:tc>
        <w:tc>
          <w:tcPr>
            <w:tcW w:w="1635" w:type="dxa"/>
            <w:vAlign w:val="center"/>
          </w:tcPr>
          <w:p w14:paraId="1C20A1C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助教</w:t>
            </w:r>
          </w:p>
        </w:tc>
      </w:tr>
      <w:tr w14:paraId="2160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2DFED563">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450" w:type="dxa"/>
            <w:vAlign w:val="center"/>
          </w:tcPr>
          <w:p w14:paraId="062106CB">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卢天生</w:t>
            </w:r>
          </w:p>
        </w:tc>
        <w:tc>
          <w:tcPr>
            <w:tcW w:w="2999" w:type="dxa"/>
            <w:vAlign w:val="center"/>
          </w:tcPr>
          <w:p w14:paraId="0BE7BD98">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4F24F05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汽车与机电学院电气自动化技术专业专任教师</w:t>
            </w:r>
          </w:p>
        </w:tc>
        <w:tc>
          <w:tcPr>
            <w:tcW w:w="1635" w:type="dxa"/>
            <w:vAlign w:val="center"/>
          </w:tcPr>
          <w:p w14:paraId="471620B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工程师</w:t>
            </w:r>
          </w:p>
        </w:tc>
      </w:tr>
      <w:tr w14:paraId="0B90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252E7506">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8</w:t>
            </w:r>
          </w:p>
        </w:tc>
        <w:tc>
          <w:tcPr>
            <w:tcW w:w="1450" w:type="dxa"/>
            <w:vAlign w:val="center"/>
          </w:tcPr>
          <w:p w14:paraId="555B2960">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李雨潼</w:t>
            </w:r>
          </w:p>
        </w:tc>
        <w:tc>
          <w:tcPr>
            <w:tcW w:w="2999" w:type="dxa"/>
            <w:vAlign w:val="center"/>
          </w:tcPr>
          <w:p w14:paraId="235518AD">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0" w:type="dxa"/>
            <w:vAlign w:val="center"/>
          </w:tcPr>
          <w:p w14:paraId="4B121A97">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汽车与机电学院电气自动化技术专业专任教师</w:t>
            </w:r>
          </w:p>
        </w:tc>
        <w:tc>
          <w:tcPr>
            <w:tcW w:w="1635" w:type="dxa"/>
            <w:vAlign w:val="center"/>
          </w:tcPr>
          <w:p w14:paraId="4595E7F1">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助理工程师</w:t>
            </w:r>
          </w:p>
        </w:tc>
      </w:tr>
    </w:tbl>
    <w:p w14:paraId="0D8221F8">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sectPr>
          <w:pgSz w:w="11906" w:h="16838"/>
          <w:pgMar w:top="1417" w:right="1417" w:bottom="1417" w:left="1417" w:header="851" w:footer="992" w:gutter="0"/>
          <w:pgNumType w:start="1"/>
          <w:cols w:space="425" w:num="1"/>
          <w:docGrid w:type="lines" w:linePitch="312" w:charSpace="0"/>
        </w:sectPr>
      </w:pPr>
    </w:p>
    <w:p w14:paraId="4008673F">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sectPr>
          <w:pgSz w:w="11906" w:h="16838"/>
          <w:pgMar w:top="1417" w:right="1417" w:bottom="1417" w:left="1417" w:header="851" w:footer="992" w:gutter="0"/>
          <w:pgNumType w:start="1"/>
          <w:cols w:space="425" w:num="1"/>
          <w:docGrid w:type="lines" w:linePitch="312" w:charSpace="0"/>
        </w:sectPr>
      </w:pPr>
    </w:p>
    <w:sdt>
      <w:sdtPr>
        <w:rPr>
          <w:rFonts w:hint="eastAsia" w:ascii="Times New Roman" w:hAnsi="Times New Roman" w:eastAsia="黑体" w:cs="黑体"/>
          <w:color w:val="auto"/>
          <w:kern w:val="2"/>
          <w:sz w:val="32"/>
          <w:szCs w:val="40"/>
          <w:lang w:val="en-US" w:eastAsia="zh-CN" w:bidi="ar-SA"/>
        </w:rPr>
        <w:id w:val="147460430"/>
        <w15:color w:val="DBDBDB"/>
        <w:docPartObj>
          <w:docPartGallery w:val="Table of Contents"/>
          <w:docPartUnique/>
        </w:docPartObj>
      </w:sdtPr>
      <w:sdtEndPr>
        <w:rPr>
          <w:rFonts w:hint="eastAsia" w:ascii="Times New Roman" w:hAnsi="Times New Roman" w:eastAsia="方正小标宋简体" w:cs="方正小标宋简体"/>
          <w:bCs/>
          <w:color w:val="auto"/>
          <w:kern w:val="2"/>
          <w:sz w:val="21"/>
          <w:szCs w:val="44"/>
          <w:lang w:val="en-US" w:eastAsia="zh-CN" w:bidi="ar-SA"/>
        </w:rPr>
      </w:sdtEndPr>
      <w:sdtContent>
        <w:p w14:paraId="71175CC5">
          <w:pPr>
            <w:keepNext w:val="0"/>
            <w:keepLines w:val="0"/>
            <w:pageBreakBefore w:val="0"/>
            <w:widowControl w:val="0"/>
            <w:kinsoku/>
            <w:wordWrap/>
            <w:topLinePunct w:val="0"/>
            <w:autoSpaceDE/>
            <w:autoSpaceDN/>
            <w:bidi w:val="0"/>
            <w:spacing w:after="0" w:line="520" w:lineRule="exact"/>
            <w:ind w:left="0" w:leftChars="0" w:right="0" w:rightChars="0" w:firstLine="0" w:firstLineChars="0"/>
            <w:jc w:val="center"/>
            <w:textAlignment w:val="auto"/>
            <w:rPr>
              <w:rFonts w:hint="eastAsia" w:ascii="Times New Roman" w:hAnsi="Times New Roman" w:eastAsia="黑体" w:cs="黑体"/>
              <w:color w:val="auto"/>
              <w:sz w:val="32"/>
              <w:szCs w:val="40"/>
            </w:rPr>
          </w:pPr>
          <w:r>
            <w:rPr>
              <w:rFonts w:hint="eastAsia" w:ascii="Times New Roman" w:hAnsi="Times New Roman" w:eastAsia="黑体" w:cs="黑体"/>
              <w:color w:val="auto"/>
              <w:sz w:val="32"/>
              <w:szCs w:val="40"/>
            </w:rPr>
            <w:t>目录</w:t>
          </w:r>
        </w:p>
        <w:p w14:paraId="6824EA8B">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 w:val="44"/>
              <w:szCs w:val="44"/>
            </w:rPr>
            <w:fldChar w:fldCharType="begin"/>
          </w:r>
          <w:r>
            <w:rPr>
              <w:rFonts w:hint="eastAsia" w:ascii="Times New Roman" w:hAnsi="Times New Roman" w:eastAsia="方正小标宋简体" w:cs="方正小标宋简体"/>
              <w:bCs/>
              <w:color w:val="auto"/>
              <w:sz w:val="44"/>
              <w:szCs w:val="44"/>
            </w:rPr>
            <w:instrText xml:space="preserve">TOC \o "1-3" \h \u </w:instrText>
          </w:r>
          <w:r>
            <w:rPr>
              <w:rFonts w:hint="eastAsia" w:ascii="Times New Roman" w:hAnsi="Times New Roman" w:eastAsia="方正小标宋简体" w:cs="方正小标宋简体"/>
              <w:bCs/>
              <w:color w:val="auto"/>
              <w:sz w:val="44"/>
              <w:szCs w:val="44"/>
            </w:rPr>
            <w:fldChar w:fldCharType="separate"/>
          </w: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_Toc31160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rPr>
            <w:t>一、专业名称及代码</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_Toc31160 </w:instrText>
          </w:r>
          <w:r>
            <w:rPr>
              <w:rFonts w:ascii="Times New Roman" w:hAnsi="Times New Roman"/>
              <w:color w:val="auto"/>
            </w:rPr>
            <w:fldChar w:fldCharType="separate"/>
          </w:r>
          <w:r>
            <w:rPr>
              <w:rFonts w:ascii="Times New Roman" w:hAnsi="Times New Roman"/>
              <w:color w:val="auto"/>
            </w:rPr>
            <w:t>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545C7D3A">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_Toc2014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rPr>
            <w:t>二、入学要求</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_Toc2014 </w:instrText>
          </w:r>
          <w:r>
            <w:rPr>
              <w:rFonts w:ascii="Times New Roman" w:hAnsi="Times New Roman"/>
              <w:color w:val="auto"/>
            </w:rPr>
            <w:fldChar w:fldCharType="separate"/>
          </w:r>
          <w:r>
            <w:rPr>
              <w:rFonts w:ascii="Times New Roman" w:hAnsi="Times New Roman"/>
              <w:color w:val="auto"/>
            </w:rPr>
            <w:t>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19B8D94D">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_Toc28400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highlight w:val="none"/>
            </w:rPr>
            <w:t>三、</w:t>
          </w:r>
          <w:r>
            <w:rPr>
              <w:rFonts w:hint="eastAsia" w:ascii="Times New Roman" w:hAnsi="Times New Roman" w:eastAsia="黑体" w:cs="黑体"/>
              <w:color w:val="auto"/>
              <w:szCs w:val="32"/>
              <w:highlight w:val="none"/>
              <w:lang w:val="en-US" w:eastAsia="zh-CN"/>
            </w:rPr>
            <w:t>基本</w:t>
          </w:r>
          <w:r>
            <w:rPr>
              <w:rFonts w:hint="eastAsia" w:ascii="Times New Roman" w:hAnsi="Times New Roman" w:eastAsia="黑体" w:cs="黑体"/>
              <w:color w:val="auto"/>
              <w:szCs w:val="32"/>
              <w:highlight w:val="none"/>
            </w:rPr>
            <w:t>修业年限</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_Toc28400 </w:instrText>
          </w:r>
          <w:r>
            <w:rPr>
              <w:rFonts w:ascii="Times New Roman" w:hAnsi="Times New Roman"/>
              <w:color w:val="auto"/>
            </w:rPr>
            <w:fldChar w:fldCharType="separate"/>
          </w:r>
          <w:r>
            <w:rPr>
              <w:rFonts w:ascii="Times New Roman" w:hAnsi="Times New Roman"/>
              <w:color w:val="auto"/>
            </w:rPr>
            <w:t>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13912F7B">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_Toc5407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rPr>
            <w:t>四、职业面向</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_Toc5407 </w:instrText>
          </w:r>
          <w:r>
            <w:rPr>
              <w:rFonts w:ascii="Times New Roman" w:hAnsi="Times New Roman"/>
              <w:color w:val="auto"/>
            </w:rPr>
            <w:fldChar w:fldCharType="separate"/>
          </w:r>
          <w:r>
            <w:rPr>
              <w:rFonts w:ascii="Times New Roman" w:hAnsi="Times New Roman"/>
              <w:color w:val="auto"/>
            </w:rPr>
            <w:t>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2DEAC0B">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_Toc8333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rPr>
            <w:t>五、培养目标</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_Toc8333 </w:instrText>
          </w:r>
          <w:r>
            <w:rPr>
              <w:rFonts w:ascii="Times New Roman" w:hAnsi="Times New Roman"/>
              <w:color w:val="auto"/>
            </w:rPr>
            <w:fldChar w:fldCharType="separate"/>
          </w:r>
          <w:r>
            <w:rPr>
              <w:rFonts w:ascii="Times New Roman" w:hAnsi="Times New Roman"/>
              <w:color w:val="auto"/>
            </w:rPr>
            <w:t>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6B419752">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_Toc5053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lang w:val="en-US" w:eastAsia="zh-CN"/>
            </w:rPr>
            <w:t>六</w:t>
          </w:r>
          <w:r>
            <w:rPr>
              <w:rFonts w:hint="eastAsia" w:ascii="Times New Roman" w:hAnsi="Times New Roman" w:eastAsia="黑体" w:cs="黑体"/>
              <w:color w:val="auto"/>
              <w:szCs w:val="32"/>
            </w:rPr>
            <w:t>、培养</w:t>
          </w:r>
          <w:r>
            <w:rPr>
              <w:rFonts w:hint="eastAsia" w:ascii="Times New Roman" w:hAnsi="Times New Roman" w:eastAsia="黑体" w:cs="黑体"/>
              <w:color w:val="auto"/>
              <w:szCs w:val="32"/>
              <w:lang w:val="en-US" w:eastAsia="zh-CN"/>
            </w:rPr>
            <w:t>规格</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_Toc5053 </w:instrText>
          </w:r>
          <w:r>
            <w:rPr>
              <w:rFonts w:ascii="Times New Roman" w:hAnsi="Times New Roman"/>
              <w:color w:val="auto"/>
            </w:rPr>
            <w:fldChar w:fldCharType="separate"/>
          </w:r>
          <w:r>
            <w:rPr>
              <w:rFonts w:ascii="Times New Roman" w:hAnsi="Times New Roman"/>
              <w:color w:val="auto"/>
            </w:rPr>
            <w:t>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3A9AA22">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_Toc2933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lang w:val="en-US" w:eastAsia="zh-CN"/>
            </w:rPr>
            <w:t>（一）</w:t>
          </w:r>
          <w:r>
            <w:rPr>
              <w:rFonts w:hint="eastAsia" w:ascii="Times New Roman" w:hAnsi="Times New Roman" w:eastAsia="楷体" w:cs="楷体"/>
              <w:color w:val="auto"/>
              <w:szCs w:val="32"/>
            </w:rPr>
            <w:t>知识</w:t>
          </w:r>
          <w:r>
            <w:rPr>
              <w:rFonts w:hint="eastAsia" w:ascii="Times New Roman" w:hAnsi="Times New Roman" w:eastAsia="楷体" w:cs="楷体"/>
              <w:color w:val="auto"/>
              <w:szCs w:val="32"/>
              <w:lang w:val="en-US" w:eastAsia="zh-CN"/>
            </w:rPr>
            <w:t>目标</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_Toc2933 </w:instrText>
          </w:r>
          <w:r>
            <w:rPr>
              <w:rFonts w:ascii="Times New Roman" w:hAnsi="Times New Roman"/>
              <w:color w:val="auto"/>
            </w:rPr>
            <w:fldChar w:fldCharType="separate"/>
          </w:r>
          <w:r>
            <w:rPr>
              <w:rFonts w:ascii="Times New Roman" w:hAnsi="Times New Roman"/>
              <w:color w:val="auto"/>
            </w:rPr>
            <w:t>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2B811CD2">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_Toc15210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lang w:eastAsia="zh-CN"/>
            </w:rPr>
            <w:t>（</w:t>
          </w:r>
          <w:r>
            <w:rPr>
              <w:rFonts w:hint="eastAsia" w:ascii="Times New Roman" w:hAnsi="Times New Roman" w:eastAsia="楷体" w:cs="楷体"/>
              <w:color w:val="auto"/>
              <w:szCs w:val="32"/>
              <w:lang w:val="en-US" w:eastAsia="zh-CN"/>
            </w:rPr>
            <w:t>二</w:t>
          </w:r>
          <w:r>
            <w:rPr>
              <w:rFonts w:hint="eastAsia" w:ascii="Times New Roman" w:hAnsi="Times New Roman" w:eastAsia="楷体" w:cs="楷体"/>
              <w:color w:val="auto"/>
              <w:szCs w:val="32"/>
              <w:lang w:eastAsia="zh-CN"/>
            </w:rPr>
            <w:t>）</w:t>
          </w:r>
          <w:r>
            <w:rPr>
              <w:rFonts w:hint="eastAsia" w:ascii="Times New Roman" w:hAnsi="Times New Roman" w:eastAsia="楷体" w:cs="楷体"/>
              <w:color w:val="auto"/>
              <w:szCs w:val="32"/>
            </w:rPr>
            <w:t>能力</w:t>
          </w:r>
          <w:r>
            <w:rPr>
              <w:rFonts w:hint="eastAsia" w:ascii="Times New Roman" w:hAnsi="Times New Roman" w:eastAsia="楷体" w:cs="楷体"/>
              <w:color w:val="auto"/>
              <w:szCs w:val="32"/>
              <w:lang w:val="en-US" w:eastAsia="zh-CN"/>
            </w:rPr>
            <w:t>目标</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_Toc15210 </w:instrText>
          </w:r>
          <w:r>
            <w:rPr>
              <w:rFonts w:ascii="Times New Roman" w:hAnsi="Times New Roman"/>
              <w:color w:val="auto"/>
            </w:rPr>
            <w:fldChar w:fldCharType="separate"/>
          </w:r>
          <w:r>
            <w:rPr>
              <w:rFonts w:ascii="Times New Roman" w:hAnsi="Times New Roman"/>
              <w:color w:val="auto"/>
            </w:rPr>
            <w:t>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5798453D">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_Toc1376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lang w:eastAsia="zh-CN"/>
            </w:rPr>
            <w:t>（</w:t>
          </w:r>
          <w:r>
            <w:rPr>
              <w:rFonts w:hint="eastAsia" w:ascii="Times New Roman" w:hAnsi="Times New Roman" w:eastAsia="楷体" w:cs="楷体"/>
              <w:color w:val="auto"/>
              <w:szCs w:val="32"/>
              <w:lang w:val="en-US" w:eastAsia="zh-CN"/>
            </w:rPr>
            <w:t>三</w:t>
          </w:r>
          <w:r>
            <w:rPr>
              <w:rFonts w:hint="eastAsia" w:ascii="Times New Roman" w:hAnsi="Times New Roman" w:eastAsia="楷体" w:cs="楷体"/>
              <w:color w:val="auto"/>
              <w:szCs w:val="32"/>
              <w:lang w:eastAsia="zh-CN"/>
            </w:rPr>
            <w:t>）</w:t>
          </w:r>
          <w:r>
            <w:rPr>
              <w:rFonts w:hint="eastAsia" w:ascii="Times New Roman" w:hAnsi="Times New Roman" w:eastAsia="楷体" w:cs="楷体"/>
              <w:color w:val="auto"/>
              <w:szCs w:val="32"/>
            </w:rPr>
            <w:t>素质</w:t>
          </w:r>
          <w:r>
            <w:rPr>
              <w:rFonts w:hint="eastAsia" w:ascii="Times New Roman" w:hAnsi="Times New Roman" w:eastAsia="楷体" w:cs="楷体"/>
              <w:color w:val="auto"/>
              <w:szCs w:val="32"/>
              <w:lang w:val="en-US" w:eastAsia="zh-CN"/>
            </w:rPr>
            <w:t>目标</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_Toc1376 </w:instrText>
          </w:r>
          <w:r>
            <w:rPr>
              <w:rFonts w:ascii="Times New Roman" w:hAnsi="Times New Roman"/>
              <w:color w:val="auto"/>
            </w:rPr>
            <w:fldChar w:fldCharType="separate"/>
          </w:r>
          <w:r>
            <w:rPr>
              <w:rFonts w:ascii="Times New Roman" w:hAnsi="Times New Roman"/>
              <w:color w:val="auto"/>
            </w:rPr>
            <w:t>3</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ED3FD45">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_Toc31853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lang w:val="en-US" w:eastAsia="zh-CN"/>
            </w:rPr>
            <w:t>七</w:t>
          </w:r>
          <w:r>
            <w:rPr>
              <w:rFonts w:hint="eastAsia" w:ascii="Times New Roman" w:hAnsi="Times New Roman" w:eastAsia="黑体" w:cs="黑体"/>
              <w:color w:val="auto"/>
              <w:szCs w:val="32"/>
            </w:rPr>
            <w:t>、课程设置</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_Toc31853 </w:instrText>
          </w:r>
          <w:r>
            <w:rPr>
              <w:rFonts w:ascii="Times New Roman" w:hAnsi="Times New Roman"/>
              <w:color w:val="auto"/>
            </w:rPr>
            <w:fldChar w:fldCharType="separate"/>
          </w:r>
          <w:r>
            <w:rPr>
              <w:rFonts w:ascii="Times New Roman" w:hAnsi="Times New Roman"/>
              <w:color w:val="auto"/>
            </w:rPr>
            <w:t>3</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CA470BE">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_Toc12586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rPr>
            <w:t>（一）公共基础课程</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_Toc12586 </w:instrText>
          </w:r>
          <w:r>
            <w:rPr>
              <w:rFonts w:ascii="Times New Roman" w:hAnsi="Times New Roman"/>
              <w:color w:val="auto"/>
            </w:rPr>
            <w:fldChar w:fldCharType="separate"/>
          </w:r>
          <w:r>
            <w:rPr>
              <w:rFonts w:ascii="Times New Roman" w:hAnsi="Times New Roman"/>
              <w:color w:val="auto"/>
            </w:rPr>
            <w:t>4</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6D87A6D1">
          <w:pPr>
            <w:pStyle w:val="5"/>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ind w:left="420" w:leftChars="200" w:firstLine="0" w:firstLineChars="0"/>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_Toc15158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（二）专业课程</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_Toc15158 </w:instrText>
          </w:r>
          <w:r>
            <w:rPr>
              <w:rFonts w:ascii="Times New Roman" w:hAnsi="Times New Roman"/>
              <w:color w:val="auto"/>
            </w:rPr>
            <w:fldChar w:fldCharType="separate"/>
          </w:r>
          <w:r>
            <w:rPr>
              <w:rFonts w:ascii="Times New Roman" w:hAnsi="Times New Roman"/>
              <w:color w:val="auto"/>
            </w:rPr>
            <w:t>20</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C7B0A5F">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_Toc637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（三）第二课堂素质教育课</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_Toc637 </w:instrText>
          </w:r>
          <w:r>
            <w:rPr>
              <w:rFonts w:ascii="Times New Roman" w:hAnsi="Times New Roman"/>
              <w:color w:val="auto"/>
            </w:rPr>
            <w:fldChar w:fldCharType="separate"/>
          </w:r>
          <w:r>
            <w:rPr>
              <w:rFonts w:ascii="Times New Roman" w:hAnsi="Times New Roman"/>
              <w:color w:val="auto"/>
            </w:rPr>
            <w:t>40</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5F42507B">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_Toc8663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olor w:val="auto"/>
              <w:szCs w:val="32"/>
              <w:highlight w:val="none"/>
            </w:rPr>
            <w:t>八</w:t>
          </w:r>
          <w:r>
            <w:rPr>
              <w:rFonts w:ascii="Times New Roman" w:hAnsi="Times New Roman" w:eastAsia="黑体"/>
              <w:color w:val="auto"/>
              <w:szCs w:val="32"/>
              <w:highlight w:val="none"/>
            </w:rPr>
            <w:t>、教学进程总体安排</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_Toc8663 </w:instrText>
          </w:r>
          <w:r>
            <w:rPr>
              <w:rFonts w:ascii="Times New Roman" w:hAnsi="Times New Roman"/>
              <w:color w:val="auto"/>
            </w:rPr>
            <w:fldChar w:fldCharType="separate"/>
          </w:r>
          <w:r>
            <w:rPr>
              <w:rFonts w:ascii="Times New Roman" w:hAnsi="Times New Roman"/>
              <w:color w:val="auto"/>
            </w:rPr>
            <w:t>40</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81FAD0A">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_Toc13288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（一）教学环节分配表</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_Toc13288 </w:instrText>
          </w:r>
          <w:r>
            <w:rPr>
              <w:rFonts w:ascii="Times New Roman" w:hAnsi="Times New Roman"/>
              <w:color w:val="auto"/>
            </w:rPr>
            <w:fldChar w:fldCharType="separate"/>
          </w:r>
          <w:r>
            <w:rPr>
              <w:rFonts w:ascii="Times New Roman" w:hAnsi="Times New Roman"/>
              <w:color w:val="auto"/>
            </w:rPr>
            <w:t>41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CABA840">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_Toc32327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（二）</w:t>
          </w:r>
          <w:r>
            <w:rPr>
              <w:rFonts w:hint="eastAsia" w:ascii="Times New Roman" w:hAnsi="Times New Roman" w:eastAsia="楷体" w:cs="楷体"/>
              <w:bCs/>
              <w:color w:val="auto"/>
              <w:szCs w:val="32"/>
              <w:highlight w:val="none"/>
            </w:rPr>
            <w:t>课程结构与学时、学分分配</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_Toc32327 </w:instrText>
          </w:r>
          <w:r>
            <w:rPr>
              <w:rFonts w:ascii="Times New Roman" w:hAnsi="Times New Roman"/>
              <w:color w:val="auto"/>
            </w:rPr>
            <w:fldChar w:fldCharType="separate"/>
          </w:r>
          <w:r>
            <w:rPr>
              <w:rFonts w:ascii="Times New Roman" w:hAnsi="Times New Roman"/>
              <w:color w:val="auto"/>
            </w:rPr>
            <w:t>42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21392A96">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_Toc27302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lang w:val="en-US" w:eastAsia="zh-CN"/>
            </w:rPr>
            <w:t>三</w:t>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rPr>
            <w:t>教学计划进程</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_Toc27302 </w:instrText>
          </w:r>
          <w:r>
            <w:rPr>
              <w:rFonts w:ascii="Times New Roman" w:hAnsi="Times New Roman"/>
              <w:color w:val="auto"/>
            </w:rPr>
            <w:fldChar w:fldCharType="separate"/>
          </w:r>
          <w:r>
            <w:rPr>
              <w:rFonts w:ascii="Times New Roman" w:hAnsi="Times New Roman"/>
              <w:color w:val="auto"/>
            </w:rPr>
            <w:t>42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BC28E9E">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_Toc7045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highlight w:val="none"/>
              <w:lang w:val="en-US" w:eastAsia="zh-CN"/>
            </w:rPr>
            <w:t>九</w:t>
          </w:r>
          <w:r>
            <w:rPr>
              <w:rFonts w:hint="eastAsia" w:ascii="Times New Roman" w:hAnsi="Times New Roman" w:eastAsia="黑体" w:cs="黑体"/>
              <w:color w:val="auto"/>
              <w:szCs w:val="32"/>
              <w:highlight w:val="none"/>
            </w:rPr>
            <w:t>、</w:t>
          </w:r>
          <w:r>
            <w:rPr>
              <w:rFonts w:hint="eastAsia" w:ascii="Times New Roman" w:hAnsi="Times New Roman" w:eastAsia="黑体" w:cs="黑体"/>
              <w:color w:val="auto"/>
              <w:szCs w:val="32"/>
              <w:highlight w:val="none"/>
              <w:lang w:val="en-US" w:eastAsia="zh-CN"/>
            </w:rPr>
            <w:t>师资队伍</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_Toc7045 </w:instrText>
          </w:r>
          <w:r>
            <w:rPr>
              <w:rFonts w:ascii="Times New Roman" w:hAnsi="Times New Roman"/>
              <w:color w:val="auto"/>
            </w:rPr>
            <w:fldChar w:fldCharType="separate"/>
          </w:r>
          <w:r>
            <w:rPr>
              <w:rFonts w:ascii="Times New Roman" w:hAnsi="Times New Roman"/>
              <w:color w:val="auto"/>
            </w:rPr>
            <w:t>42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19236FCA">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_Toc23967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bCs w:val="0"/>
              <w:color w:val="auto"/>
              <w:szCs w:val="32"/>
              <w:lang w:val="en-US" w:eastAsia="zh-CN"/>
            </w:rPr>
            <w:t>（一）</w:t>
          </w:r>
          <w:r>
            <w:rPr>
              <w:rFonts w:hint="eastAsia" w:ascii="Times New Roman" w:hAnsi="Times New Roman" w:eastAsia="楷体" w:cs="楷体"/>
              <w:bCs w:val="0"/>
              <w:color w:val="auto"/>
              <w:szCs w:val="32"/>
              <w:highlight w:val="none"/>
              <w:lang w:val="en-US" w:eastAsia="zh-CN"/>
            </w:rPr>
            <w:t>队伍结构</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_Toc23967 </w:instrText>
          </w:r>
          <w:r>
            <w:rPr>
              <w:rFonts w:ascii="Times New Roman" w:hAnsi="Times New Roman"/>
              <w:color w:val="auto"/>
            </w:rPr>
            <w:fldChar w:fldCharType="separate"/>
          </w:r>
          <w:r>
            <w:rPr>
              <w:rFonts w:ascii="Times New Roman" w:hAnsi="Times New Roman"/>
              <w:color w:val="auto"/>
            </w:rPr>
            <w:t>44</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5CEA4F2B">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_Toc13599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rPr>
            <w:t>（二）</w:t>
          </w:r>
          <w:r>
            <w:rPr>
              <w:rFonts w:hint="eastAsia" w:ascii="Times New Roman" w:hAnsi="Times New Roman" w:eastAsia="楷体" w:cs="楷体"/>
              <w:color w:val="auto"/>
              <w:szCs w:val="32"/>
              <w:highlight w:val="none"/>
            </w:rPr>
            <w:t>专业带头人</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_Toc13599 </w:instrText>
          </w:r>
          <w:r>
            <w:rPr>
              <w:rFonts w:ascii="Times New Roman" w:hAnsi="Times New Roman"/>
              <w:color w:val="auto"/>
            </w:rPr>
            <w:fldChar w:fldCharType="separate"/>
          </w:r>
          <w:r>
            <w:rPr>
              <w:rFonts w:ascii="Times New Roman" w:hAnsi="Times New Roman"/>
              <w:color w:val="auto"/>
            </w:rPr>
            <w:t>44</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250E79DB">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_Toc16742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lang w:val="en-US" w:eastAsia="zh-CN"/>
            </w:rPr>
            <w:t>三</w:t>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lang w:val="en-US" w:eastAsia="zh-CN"/>
            </w:rPr>
            <w:t>专任教师</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_Toc16742 </w:instrText>
          </w:r>
          <w:r>
            <w:rPr>
              <w:rFonts w:ascii="Times New Roman" w:hAnsi="Times New Roman"/>
              <w:color w:val="auto"/>
            </w:rPr>
            <w:fldChar w:fldCharType="separate"/>
          </w:r>
          <w:r>
            <w:rPr>
              <w:rFonts w:ascii="Times New Roman" w:hAnsi="Times New Roman"/>
              <w:color w:val="auto"/>
            </w:rPr>
            <w:t>45</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7D557F98">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_Toc24490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lang w:val="en-US" w:eastAsia="zh-CN"/>
            </w:rPr>
            <w:t>四</w:t>
          </w:r>
          <w:r>
            <w:rPr>
              <w:rFonts w:hint="eastAsia" w:ascii="Times New Roman" w:hAnsi="Times New Roman" w:eastAsia="楷体" w:cs="楷体"/>
              <w:color w:val="auto"/>
              <w:szCs w:val="32"/>
              <w:highlight w:val="none"/>
              <w:lang w:eastAsia="zh-CN"/>
            </w:rPr>
            <w:t>）</w:t>
          </w:r>
          <w:r>
            <w:rPr>
              <w:rFonts w:hint="eastAsia" w:ascii="Times New Roman" w:hAnsi="Times New Roman" w:eastAsia="楷体" w:cs="楷体"/>
              <w:color w:val="auto"/>
              <w:szCs w:val="32"/>
              <w:highlight w:val="none"/>
            </w:rPr>
            <w:t>兼职教师</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_Toc24490 </w:instrText>
          </w:r>
          <w:r>
            <w:rPr>
              <w:rFonts w:ascii="Times New Roman" w:hAnsi="Times New Roman"/>
              <w:color w:val="auto"/>
            </w:rPr>
            <w:fldChar w:fldCharType="separate"/>
          </w:r>
          <w:r>
            <w:rPr>
              <w:rFonts w:ascii="Times New Roman" w:hAnsi="Times New Roman"/>
              <w:color w:val="auto"/>
            </w:rPr>
            <w:t>45</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B085112">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_Toc2376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color w:val="auto"/>
              <w:szCs w:val="32"/>
              <w:highlight w:val="none"/>
              <w:lang w:val="en-US" w:eastAsia="zh-CN"/>
            </w:rPr>
            <w:t>十、教学条件</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_Toc2376 </w:instrText>
          </w:r>
          <w:r>
            <w:rPr>
              <w:rFonts w:ascii="Times New Roman" w:hAnsi="Times New Roman"/>
              <w:color w:val="auto"/>
            </w:rPr>
            <w:fldChar w:fldCharType="separate"/>
          </w:r>
          <w:r>
            <w:rPr>
              <w:rFonts w:ascii="Times New Roman" w:hAnsi="Times New Roman"/>
              <w:color w:val="auto"/>
            </w:rPr>
            <w:t>45</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9B5D698">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_Toc22051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w:t>
          </w:r>
          <w:r>
            <w:rPr>
              <w:rFonts w:hint="eastAsia" w:ascii="Times New Roman" w:hAnsi="Times New Roman" w:eastAsia="楷体" w:cs="楷体"/>
              <w:color w:val="auto"/>
              <w:szCs w:val="32"/>
              <w:highlight w:val="none"/>
              <w:lang w:val="en-US" w:eastAsia="zh-CN"/>
            </w:rPr>
            <w:t>一</w:t>
          </w:r>
          <w:r>
            <w:rPr>
              <w:rFonts w:hint="eastAsia" w:ascii="Times New Roman" w:hAnsi="Times New Roman" w:eastAsia="楷体" w:cs="楷体"/>
              <w:color w:val="auto"/>
              <w:szCs w:val="32"/>
              <w:highlight w:val="none"/>
            </w:rPr>
            <w:t>）教学设施</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_Toc22051 </w:instrText>
          </w:r>
          <w:r>
            <w:rPr>
              <w:rFonts w:ascii="Times New Roman" w:hAnsi="Times New Roman"/>
              <w:color w:val="auto"/>
            </w:rPr>
            <w:fldChar w:fldCharType="separate"/>
          </w:r>
          <w:r>
            <w:rPr>
              <w:rFonts w:ascii="Times New Roman" w:hAnsi="Times New Roman"/>
              <w:color w:val="auto"/>
            </w:rPr>
            <w:t>45</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16D0A5D7">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_Toc19874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w:t>
          </w:r>
          <w:r>
            <w:rPr>
              <w:rFonts w:hint="eastAsia" w:ascii="Times New Roman" w:hAnsi="Times New Roman" w:eastAsia="楷体" w:cs="楷体"/>
              <w:color w:val="auto"/>
              <w:szCs w:val="32"/>
              <w:highlight w:val="none"/>
              <w:lang w:val="en-US" w:eastAsia="zh-CN"/>
            </w:rPr>
            <w:t>二</w:t>
          </w:r>
          <w:r>
            <w:rPr>
              <w:rFonts w:hint="eastAsia" w:ascii="Times New Roman" w:hAnsi="Times New Roman" w:eastAsia="楷体" w:cs="楷体"/>
              <w:color w:val="auto"/>
              <w:szCs w:val="32"/>
              <w:highlight w:val="none"/>
            </w:rPr>
            <w:t>）教学资源</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_Toc19874 </w:instrText>
          </w:r>
          <w:r>
            <w:rPr>
              <w:rFonts w:ascii="Times New Roman" w:hAnsi="Times New Roman"/>
              <w:color w:val="auto"/>
            </w:rPr>
            <w:fldChar w:fldCharType="separate"/>
          </w:r>
          <w:r>
            <w:rPr>
              <w:rFonts w:ascii="Times New Roman" w:hAnsi="Times New Roman"/>
              <w:color w:val="auto"/>
            </w:rPr>
            <w:t>49</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9C879E3">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_Toc23394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rPr>
            <w:t>（三）</w:t>
          </w:r>
          <w:r>
            <w:rPr>
              <w:rFonts w:hint="eastAsia" w:ascii="Times New Roman" w:hAnsi="Times New Roman" w:eastAsia="楷体" w:cs="楷体"/>
              <w:color w:val="auto"/>
              <w:szCs w:val="32"/>
              <w:highlight w:val="none"/>
            </w:rPr>
            <w:t>教学方法</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_Toc23394 </w:instrText>
          </w:r>
          <w:r>
            <w:rPr>
              <w:rFonts w:ascii="Times New Roman" w:hAnsi="Times New Roman"/>
              <w:color w:val="auto"/>
            </w:rPr>
            <w:fldChar w:fldCharType="separate"/>
          </w:r>
          <w:r>
            <w:rPr>
              <w:rFonts w:ascii="Times New Roman" w:hAnsi="Times New Roman"/>
              <w:color w:val="auto"/>
            </w:rPr>
            <w:t>49</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4E55DF84">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_Toc27162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szCs w:val="32"/>
              <w:highlight w:val="none"/>
            </w:rPr>
            <w:t>（</w:t>
          </w:r>
          <w:r>
            <w:rPr>
              <w:rFonts w:hint="eastAsia" w:ascii="Times New Roman" w:hAnsi="Times New Roman" w:eastAsia="楷体" w:cs="楷体"/>
              <w:color w:val="auto"/>
              <w:szCs w:val="32"/>
              <w:highlight w:val="none"/>
              <w:lang w:val="en-US" w:eastAsia="zh-CN"/>
            </w:rPr>
            <w:t>四</w:t>
          </w:r>
          <w:r>
            <w:rPr>
              <w:rFonts w:hint="eastAsia" w:ascii="Times New Roman" w:hAnsi="Times New Roman" w:eastAsia="楷体" w:cs="楷体"/>
              <w:color w:val="auto"/>
              <w:szCs w:val="32"/>
              <w:highlight w:val="none"/>
            </w:rPr>
            <w:t>）学习评价</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_Toc27162 </w:instrText>
          </w:r>
          <w:r>
            <w:rPr>
              <w:rFonts w:ascii="Times New Roman" w:hAnsi="Times New Roman"/>
              <w:color w:val="auto"/>
            </w:rPr>
            <w:fldChar w:fldCharType="separate"/>
          </w:r>
          <w:r>
            <w:rPr>
              <w:rFonts w:ascii="Times New Roman" w:hAnsi="Times New Roman"/>
              <w:color w:val="auto"/>
            </w:rPr>
            <w:t>50</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765F18CE">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_Toc6138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bCs w:val="0"/>
              <w:color w:val="auto"/>
              <w:szCs w:val="32"/>
              <w:lang w:val="en-US" w:eastAsia="zh-CN"/>
            </w:rPr>
            <w:t xml:space="preserve">十一、 </w:t>
          </w:r>
          <w:r>
            <w:rPr>
              <w:rFonts w:hint="eastAsia" w:ascii="Times New Roman" w:hAnsi="Times New Roman" w:eastAsia="黑体" w:cs="黑体"/>
              <w:bCs w:val="0"/>
              <w:color w:val="auto"/>
              <w:szCs w:val="32"/>
              <w:highlight w:val="none"/>
            </w:rPr>
            <w:t>质量</w:t>
          </w:r>
          <w:r>
            <w:rPr>
              <w:rFonts w:hint="eastAsia" w:ascii="Times New Roman" w:hAnsi="Times New Roman" w:eastAsia="黑体" w:cs="黑体"/>
              <w:bCs w:val="0"/>
              <w:color w:val="auto"/>
              <w:szCs w:val="32"/>
              <w:highlight w:val="none"/>
              <w:lang w:val="en-US" w:eastAsia="zh-CN"/>
            </w:rPr>
            <w:t>保障</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_Toc6138 </w:instrText>
          </w:r>
          <w:r>
            <w:rPr>
              <w:rFonts w:ascii="Times New Roman" w:hAnsi="Times New Roman"/>
              <w:color w:val="auto"/>
            </w:rPr>
            <w:fldChar w:fldCharType="separate"/>
          </w:r>
          <w:r>
            <w:rPr>
              <w:rFonts w:ascii="Times New Roman" w:hAnsi="Times New Roman"/>
              <w:color w:val="auto"/>
            </w:rPr>
            <w:t>51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28F02B4">
          <w:pPr>
            <w:pStyle w:val="8"/>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_Toc14961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黑体" w:cs="黑体"/>
              <w:bCs w:val="0"/>
              <w:color w:val="auto"/>
              <w:szCs w:val="32"/>
              <w:highlight w:val="none"/>
              <w:lang w:val="en-US" w:eastAsia="zh-CN"/>
            </w:rPr>
            <w:t>十二、</w:t>
          </w:r>
          <w:r>
            <w:rPr>
              <w:rFonts w:hint="eastAsia" w:ascii="Times New Roman" w:hAnsi="Times New Roman" w:eastAsia="黑体" w:cs="黑体"/>
              <w:bCs w:val="0"/>
              <w:color w:val="auto"/>
              <w:szCs w:val="32"/>
              <w:highlight w:val="none"/>
            </w:rPr>
            <w:t>毕业要求</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_Toc14961 </w:instrText>
          </w:r>
          <w:r>
            <w:rPr>
              <w:rFonts w:ascii="Times New Roman" w:hAnsi="Times New Roman"/>
              <w:color w:val="auto"/>
            </w:rPr>
            <w:fldChar w:fldCharType="separate"/>
          </w:r>
          <w:r>
            <w:rPr>
              <w:rFonts w:ascii="Times New Roman" w:hAnsi="Times New Roman"/>
              <w:color w:val="auto"/>
            </w:rPr>
            <w:t>51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F4E354B">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_Toc24634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kern w:val="2"/>
              <w:szCs w:val="32"/>
              <w:highlight w:val="none"/>
              <w:lang w:val="en-US" w:eastAsia="zh-CN" w:bidi="ar-SA"/>
            </w:rPr>
            <w:t>（一）学分要求</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_Toc24634 </w:instrText>
          </w:r>
          <w:r>
            <w:rPr>
              <w:rFonts w:ascii="Times New Roman" w:hAnsi="Times New Roman"/>
              <w:color w:val="auto"/>
            </w:rPr>
            <w:fldChar w:fldCharType="separate"/>
          </w:r>
          <w:r>
            <w:rPr>
              <w:rFonts w:ascii="Times New Roman" w:hAnsi="Times New Roman"/>
              <w:color w:val="auto"/>
            </w:rPr>
            <w:t>51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18FBC091">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_Toc21249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kern w:val="2"/>
              <w:szCs w:val="32"/>
              <w:highlight w:val="none"/>
              <w:lang w:val="en-US" w:eastAsia="zh-CN" w:bidi="ar-SA"/>
            </w:rPr>
            <w:t>（二）职业类证书要求</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_Toc21249 </w:instrText>
          </w:r>
          <w:r>
            <w:rPr>
              <w:rFonts w:ascii="Times New Roman" w:hAnsi="Times New Roman"/>
              <w:color w:val="auto"/>
            </w:rPr>
            <w:fldChar w:fldCharType="separate"/>
          </w:r>
          <w:r>
            <w:rPr>
              <w:rFonts w:ascii="Times New Roman" w:hAnsi="Times New Roman"/>
              <w:color w:val="auto"/>
            </w:rPr>
            <w:t>51</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33F8F044">
          <w:pPr>
            <w:pStyle w:val="9"/>
            <w:keepNext w:val="0"/>
            <w:keepLines w:val="0"/>
            <w:pageBreakBefore w:val="0"/>
            <w:widowControl w:val="0"/>
            <w:tabs>
              <w:tab w:val="right" w:leader="dot" w:pos="9072"/>
            </w:tabs>
            <w:kinsoku/>
            <w:wordWrap/>
            <w:overflowPunct/>
            <w:topLinePunct w:val="0"/>
            <w:autoSpaceDE/>
            <w:autoSpaceDN/>
            <w:bidi w:val="0"/>
            <w:adjustRightInd/>
            <w:snapToGrid/>
            <w:spacing w:after="0" w:line="520" w:lineRule="exact"/>
            <w:textAlignment w:val="auto"/>
            <w:rPr>
              <w:rFonts w:ascii="Times New Roman" w:hAnsi="Times New Roman"/>
              <w:color w:val="auto"/>
            </w:rPr>
          </w:pPr>
          <w:r>
            <w:rPr>
              <w:rFonts w:hint="eastAsia" w:ascii="Times New Roman" w:hAnsi="Times New Roman" w:eastAsia="方正小标宋简体" w:cs="方正小标宋简体"/>
              <w:bCs/>
              <w:color w:val="auto"/>
              <w:szCs w:val="44"/>
            </w:rPr>
            <w:fldChar w:fldCharType="begin"/>
          </w:r>
          <w:r>
            <w:rPr>
              <w:rFonts w:hint="eastAsia" w:ascii="Times New Roman" w:hAnsi="Times New Roman" w:eastAsia="方正小标宋简体" w:cs="方正小标宋简体"/>
              <w:bCs/>
              <w:color w:val="auto"/>
              <w:szCs w:val="44"/>
            </w:rPr>
            <w:instrText xml:space="preserve"> HYPERLINK \l _Toc27446 </w:instrText>
          </w:r>
          <w:r>
            <w:rPr>
              <w:rFonts w:hint="eastAsia" w:ascii="Times New Roman" w:hAnsi="Times New Roman" w:eastAsia="方正小标宋简体" w:cs="方正小标宋简体"/>
              <w:bCs/>
              <w:color w:val="auto"/>
              <w:szCs w:val="44"/>
            </w:rPr>
            <w:fldChar w:fldCharType="separate"/>
          </w:r>
          <w:r>
            <w:rPr>
              <w:rFonts w:hint="eastAsia" w:ascii="Times New Roman" w:hAnsi="Times New Roman" w:eastAsia="楷体" w:cs="楷体"/>
              <w:color w:val="auto"/>
              <w:kern w:val="2"/>
              <w:szCs w:val="32"/>
              <w:highlight w:val="none"/>
              <w:lang w:val="en-US" w:eastAsia="zh-CN" w:bidi="ar-SA"/>
            </w:rPr>
            <w:t>（三）综合素质要求</w:t>
          </w:r>
          <w:r>
            <w:rPr>
              <w:rFonts w:ascii="Times New Roman" w:hAnsi="Times New Roman"/>
              <w:color w:val="auto"/>
            </w:rPr>
            <w:tab/>
          </w:r>
          <w:r>
            <w:rPr>
              <w:rFonts w:ascii="Times New Roman" w:hAnsi="Times New Roman"/>
              <w:color w:val="auto"/>
            </w:rPr>
            <w:fldChar w:fldCharType="begin"/>
          </w:r>
          <w:r>
            <w:rPr>
              <w:rFonts w:ascii="Times New Roman" w:hAnsi="Times New Roman"/>
              <w:color w:val="auto"/>
            </w:rPr>
            <w:instrText xml:space="preserve"> PAGEREF _Toc27446 </w:instrText>
          </w:r>
          <w:r>
            <w:rPr>
              <w:rFonts w:ascii="Times New Roman" w:hAnsi="Times New Roman"/>
              <w:color w:val="auto"/>
            </w:rPr>
            <w:fldChar w:fldCharType="separate"/>
          </w:r>
          <w:r>
            <w:rPr>
              <w:rFonts w:ascii="Times New Roman" w:hAnsi="Times New Roman"/>
              <w:color w:val="auto"/>
            </w:rPr>
            <w:t>52</w:t>
          </w:r>
          <w:r>
            <w:rPr>
              <w:rFonts w:ascii="Times New Roman" w:hAnsi="Times New Roman"/>
              <w:color w:val="auto"/>
            </w:rPr>
            <w:fldChar w:fldCharType="end"/>
          </w:r>
          <w:r>
            <w:rPr>
              <w:rFonts w:hint="eastAsia" w:ascii="Times New Roman" w:hAnsi="Times New Roman" w:eastAsia="方正小标宋简体" w:cs="方正小标宋简体"/>
              <w:bCs/>
              <w:color w:val="auto"/>
              <w:szCs w:val="44"/>
            </w:rPr>
            <w:fldChar w:fldCharType="end"/>
          </w:r>
        </w:p>
        <w:p w14:paraId="09024D98">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jc w:val="center"/>
            <w:textAlignment w:val="auto"/>
            <w:rPr>
              <w:rFonts w:hint="eastAsia" w:ascii="Times New Roman" w:hAnsi="Times New Roman" w:eastAsia="方正小标宋简体" w:cs="方正小标宋简体"/>
              <w:bCs/>
              <w:color w:val="auto"/>
              <w:kern w:val="2"/>
              <w:sz w:val="21"/>
              <w:szCs w:val="44"/>
              <w:lang w:val="en-US" w:eastAsia="zh-CN" w:bidi="ar-SA"/>
            </w:rPr>
          </w:pPr>
          <w:r>
            <w:rPr>
              <w:rFonts w:hint="eastAsia" w:ascii="Times New Roman" w:hAnsi="Times New Roman" w:eastAsia="方正小标宋简体" w:cs="方正小标宋简体"/>
              <w:bCs/>
              <w:color w:val="auto"/>
              <w:szCs w:val="44"/>
            </w:rPr>
            <w:fldChar w:fldCharType="end"/>
          </w:r>
        </w:p>
      </w:sdtContent>
    </w:sdt>
    <w:p w14:paraId="3006B24D">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kern w:val="2"/>
          <w:sz w:val="21"/>
          <w:szCs w:val="44"/>
          <w:lang w:val="en-US" w:eastAsia="zh-CN" w:bidi="ar-SA"/>
        </w:rPr>
        <w:sectPr>
          <w:pgSz w:w="11906" w:h="16838"/>
          <w:pgMar w:top="1417" w:right="1417" w:bottom="1417" w:left="1417" w:header="851" w:footer="992" w:gutter="0"/>
          <w:pgNumType w:start="1"/>
          <w:cols w:space="425" w:num="1"/>
          <w:docGrid w:type="lines" w:linePitch="312" w:charSpace="0"/>
        </w:sectPr>
      </w:pPr>
    </w:p>
    <w:p w14:paraId="7985DA01">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r>
        <w:rPr>
          <w:rFonts w:hint="eastAsia" w:ascii="Times New Roman" w:hAnsi="Times New Roman" w:eastAsia="方正小标宋简体" w:cs="方正小标宋简体"/>
          <w:bCs/>
          <w:color w:val="auto"/>
          <w:sz w:val="44"/>
          <w:szCs w:val="44"/>
        </w:rPr>
        <w:t>电气自动化技术专业人才培养方案</w:t>
      </w:r>
    </w:p>
    <w:p w14:paraId="49A49266">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p>
    <w:p w14:paraId="066E20F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0" w:name="_Toc31160"/>
      <w:r>
        <w:rPr>
          <w:rFonts w:hint="eastAsia" w:ascii="Times New Roman" w:hAnsi="Times New Roman" w:eastAsia="黑体" w:cs="黑体"/>
          <w:color w:val="auto"/>
          <w:sz w:val="32"/>
          <w:szCs w:val="32"/>
        </w:rPr>
        <w:t>一、专业名称及代码</w:t>
      </w:r>
      <w:bookmarkEnd w:id="0"/>
    </w:p>
    <w:p w14:paraId="23F372EA">
      <w:pPr>
        <w:pStyle w:val="18"/>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专业名称：</w:t>
      </w:r>
      <w:r>
        <w:rPr>
          <w:rFonts w:ascii="Times New Roman" w:hAnsi="Times New Roman"/>
          <w:color w:val="auto"/>
        </w:rPr>
        <w:t>电气自动化技术</w:t>
      </w:r>
    </w:p>
    <w:p w14:paraId="6BF7601D">
      <w:pPr>
        <w:pStyle w:val="18"/>
        <w:keepNext w:val="0"/>
        <w:keepLines w:val="0"/>
        <w:pageBreakBefore w:val="0"/>
        <w:widowControl w:val="0"/>
        <w:kinsoku/>
        <w:wordWrap/>
        <w:overflowPunct/>
        <w:topLinePunct w:val="0"/>
        <w:autoSpaceDE/>
        <w:autoSpaceDN/>
        <w:bidi w:val="0"/>
        <w:adjustRightInd/>
        <w:snapToGrid/>
        <w:spacing w:after="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w:t>
      </w:r>
      <w:r>
        <w:rPr>
          <w:rFonts w:ascii="Times New Roman" w:hAnsi="Times New Roman"/>
          <w:color w:val="auto"/>
        </w:rPr>
        <w:t>460306</w:t>
      </w:r>
      <w:r>
        <w:rPr>
          <w:rFonts w:hint="eastAsia" w:ascii="Times New Roman" w:hAnsi="Times New Roman" w:eastAsia="仿宋_GB2312" w:cs="仿宋_GB2312"/>
          <w:color w:val="auto"/>
          <w:sz w:val="32"/>
          <w:szCs w:val="32"/>
          <w:lang w:val="en-US" w:eastAsia="zh-CN"/>
        </w:rPr>
        <w:t xml:space="preserve"> </w:t>
      </w:r>
    </w:p>
    <w:p w14:paraId="2830E1BA">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1" w:name="_Toc2014"/>
      <w:r>
        <w:rPr>
          <w:rFonts w:hint="eastAsia" w:ascii="Times New Roman" w:hAnsi="Times New Roman" w:eastAsia="黑体" w:cs="黑体"/>
          <w:color w:val="auto"/>
          <w:sz w:val="32"/>
          <w:szCs w:val="32"/>
        </w:rPr>
        <w:t>二、入学要求</w:t>
      </w:r>
      <w:bookmarkEnd w:id="1"/>
    </w:p>
    <w:p w14:paraId="3BD6E8A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3649D05E">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highlight w:val="none"/>
        </w:rPr>
      </w:pPr>
      <w:bookmarkStart w:id="2" w:name="_Toc28400"/>
      <w:r>
        <w:rPr>
          <w:rFonts w:hint="eastAsia" w:ascii="Times New Roman" w:hAnsi="Times New Roman" w:eastAsia="黑体" w:cs="黑体"/>
          <w:color w:val="auto"/>
          <w:sz w:val="32"/>
          <w:szCs w:val="32"/>
          <w:highlight w:val="none"/>
        </w:rPr>
        <w:t>三、</w:t>
      </w:r>
      <w:r>
        <w:rPr>
          <w:rFonts w:hint="eastAsia" w:ascii="Times New Roman" w:hAnsi="Times New Roman" w:eastAsia="黑体" w:cs="黑体"/>
          <w:color w:val="auto"/>
          <w:sz w:val="32"/>
          <w:szCs w:val="32"/>
          <w:highlight w:val="none"/>
          <w:lang w:val="en-US" w:eastAsia="zh-CN"/>
        </w:rPr>
        <w:t>基本</w:t>
      </w:r>
      <w:r>
        <w:rPr>
          <w:rFonts w:hint="eastAsia" w:ascii="Times New Roman" w:hAnsi="Times New Roman" w:eastAsia="黑体" w:cs="黑体"/>
          <w:color w:val="auto"/>
          <w:sz w:val="32"/>
          <w:szCs w:val="32"/>
          <w:highlight w:val="none"/>
        </w:rPr>
        <w:t>修业年限</w:t>
      </w:r>
      <w:bookmarkEnd w:id="2"/>
    </w:p>
    <w:p w14:paraId="42FF9D01">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标准修业年限为3年，弹性学分有效修业年限为2</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rPr>
        <w:t>5年。</w:t>
      </w:r>
    </w:p>
    <w:p w14:paraId="7DC6666D">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3" w:name="_Toc5407"/>
      <w:r>
        <w:rPr>
          <w:rFonts w:hint="eastAsia" w:ascii="Times New Roman" w:hAnsi="Times New Roman" w:eastAsia="黑体" w:cs="黑体"/>
          <w:color w:val="auto"/>
          <w:sz w:val="32"/>
          <w:szCs w:val="32"/>
        </w:rPr>
        <w:t>四、职业面向</w:t>
      </w:r>
      <w:bookmarkEnd w:id="3"/>
    </w:p>
    <w:p w14:paraId="554CA822">
      <w:pPr>
        <w:pStyle w:val="19"/>
        <w:pageBreakBefore w:val="0"/>
        <w:kinsoku/>
        <w:wordWrap/>
        <w:topLinePunct w:val="0"/>
        <w:autoSpaceDE/>
        <w:autoSpaceDN/>
        <w:bidi w:val="0"/>
        <w:spacing w:after="0"/>
        <w:textAlignment w:val="auto"/>
        <w:rPr>
          <w:rFonts w:hint="default" w:ascii="Times New Roman" w:hAnsi="Times New Roman" w:eastAsia="仿宋_GB2312" w:cs="仿宋_GB2312"/>
          <w:color w:val="auto"/>
        </w:rPr>
      </w:pPr>
      <w:r>
        <w:rPr>
          <w:rFonts w:ascii="Times New Roman" w:hAnsi="Times New Roman" w:eastAsia="仿宋_GB2312" w:cs="仿宋_GB2312"/>
          <w:color w:val="auto"/>
        </w:rPr>
        <w:t>表1电气自动化技术专业职业岗位分析表</w:t>
      </w:r>
    </w:p>
    <w:tbl>
      <w:tblPr>
        <w:tblStyle w:val="12"/>
        <w:tblW w:w="9947"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1500"/>
        <w:gridCol w:w="1668"/>
        <w:gridCol w:w="1824"/>
        <w:gridCol w:w="1848"/>
        <w:gridCol w:w="2004"/>
      </w:tblGrid>
      <w:tr w14:paraId="4BF6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103" w:type="dxa"/>
            <w:vAlign w:val="center"/>
          </w:tcPr>
          <w:p w14:paraId="49B4EED6">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所属专业大类（代码）</w:t>
            </w:r>
          </w:p>
        </w:tc>
        <w:tc>
          <w:tcPr>
            <w:tcW w:w="1500" w:type="dxa"/>
            <w:vAlign w:val="center"/>
          </w:tcPr>
          <w:p w14:paraId="72EE421F">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所属专业类（代码）</w:t>
            </w:r>
          </w:p>
        </w:tc>
        <w:tc>
          <w:tcPr>
            <w:tcW w:w="1668" w:type="dxa"/>
            <w:vAlign w:val="center"/>
          </w:tcPr>
          <w:p w14:paraId="023F6382">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对应行业</w:t>
            </w:r>
          </w:p>
          <w:p w14:paraId="12ECF950">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（代码）</w:t>
            </w:r>
          </w:p>
        </w:tc>
        <w:tc>
          <w:tcPr>
            <w:tcW w:w="1824" w:type="dxa"/>
            <w:vAlign w:val="center"/>
          </w:tcPr>
          <w:p w14:paraId="59F603EA">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主要职业类别（代码）</w:t>
            </w:r>
          </w:p>
        </w:tc>
        <w:tc>
          <w:tcPr>
            <w:tcW w:w="1848" w:type="dxa"/>
            <w:vAlign w:val="center"/>
          </w:tcPr>
          <w:p w14:paraId="5068A15C">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 xml:space="preserve">主要岗位（群）或技术领域 </w:t>
            </w:r>
          </w:p>
        </w:tc>
        <w:tc>
          <w:tcPr>
            <w:tcW w:w="2004" w:type="dxa"/>
            <w:vAlign w:val="center"/>
          </w:tcPr>
          <w:p w14:paraId="18E31F36">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职业类证书</w:t>
            </w:r>
          </w:p>
        </w:tc>
      </w:tr>
      <w:tr w14:paraId="16A8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1103" w:type="dxa"/>
            <w:vAlign w:val="center"/>
          </w:tcPr>
          <w:p w14:paraId="460E947F">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装备制造大类（46）</w:t>
            </w:r>
          </w:p>
        </w:tc>
        <w:tc>
          <w:tcPr>
            <w:tcW w:w="1500" w:type="dxa"/>
            <w:vAlign w:val="center"/>
          </w:tcPr>
          <w:p w14:paraId="740CB81F">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自动化类（4603）</w:t>
            </w:r>
          </w:p>
        </w:tc>
        <w:tc>
          <w:tcPr>
            <w:tcW w:w="1668" w:type="dxa"/>
            <w:vAlign w:val="center"/>
          </w:tcPr>
          <w:p w14:paraId="3A05F602">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通用设备制造业（34）、专用设备制造业（36）、电气机械和器</w:t>
            </w:r>
          </w:p>
          <w:p w14:paraId="5D208F5B">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材制造业（38）</w:t>
            </w:r>
          </w:p>
          <w:p w14:paraId="12A36C84">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p>
        </w:tc>
        <w:tc>
          <w:tcPr>
            <w:tcW w:w="1824" w:type="dxa"/>
            <w:vAlign w:val="center"/>
          </w:tcPr>
          <w:p w14:paraId="594FF96C">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电气工程技术人员（2-02-11）</w:t>
            </w:r>
            <w:r>
              <w:rPr>
                <w:rFonts w:hint="eastAsia" w:ascii="Times New Roman" w:hAnsi="Times New Roman"/>
                <w:color w:val="auto"/>
                <w:sz w:val="24"/>
                <w:szCs w:val="24"/>
                <w:lang w:eastAsia="zh-CN"/>
              </w:rPr>
              <w:t>；</w:t>
            </w:r>
          </w:p>
          <w:p w14:paraId="568A8D0C">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r>
              <w:rPr>
                <w:rFonts w:ascii="Times New Roman" w:hAnsi="Times New Roman"/>
                <w:color w:val="auto"/>
                <w:sz w:val="24"/>
                <w:szCs w:val="24"/>
              </w:rPr>
              <w:t>自动控制工程技术人员S（2-02-07-07）</w:t>
            </w:r>
          </w:p>
          <w:p w14:paraId="616A846B">
            <w:pPr>
              <w:pStyle w:val="20"/>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color w:val="auto"/>
                <w:sz w:val="24"/>
                <w:szCs w:val="24"/>
              </w:rPr>
            </w:pPr>
          </w:p>
        </w:tc>
        <w:tc>
          <w:tcPr>
            <w:tcW w:w="1848" w:type="dxa"/>
            <w:vAlign w:val="center"/>
          </w:tcPr>
          <w:p w14:paraId="0BA7F5CA">
            <w:pPr>
              <w:pStyle w:val="20"/>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Times New Roman" w:hAnsi="Times New Roman"/>
                <w:color w:val="auto"/>
                <w:sz w:val="24"/>
                <w:szCs w:val="24"/>
              </w:rPr>
            </w:pPr>
            <w:r>
              <w:rPr>
                <w:rFonts w:ascii="Times New Roman" w:hAnsi="Times New Roman"/>
                <w:color w:val="auto"/>
                <w:sz w:val="24"/>
                <w:szCs w:val="24"/>
              </w:rPr>
              <w:t>电气系统的安装与调试、电气及自动化设备的调试与运维、小型控制系统的设计与改造、供配电系统的调试与运维</w:t>
            </w:r>
          </w:p>
        </w:tc>
        <w:tc>
          <w:tcPr>
            <w:tcW w:w="2004" w:type="dxa"/>
            <w:vAlign w:val="center"/>
          </w:tcPr>
          <w:p w14:paraId="3D382A51">
            <w:pPr>
              <w:pStyle w:val="20"/>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Times New Roman" w:hAnsi="Times New Roman"/>
                <w:color w:val="auto"/>
                <w:sz w:val="24"/>
                <w:szCs w:val="24"/>
              </w:rPr>
            </w:pPr>
            <w:r>
              <w:rPr>
                <w:rFonts w:ascii="Times New Roman" w:hAnsi="Times New Roman"/>
                <w:color w:val="auto"/>
                <w:sz w:val="24"/>
                <w:szCs w:val="24"/>
              </w:rPr>
              <w:t>可编程控制器系统应用编程、运动控制系统开发与应用、变配电运维…</w:t>
            </w:r>
          </w:p>
        </w:tc>
      </w:tr>
    </w:tbl>
    <w:p w14:paraId="7EFFF3A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color w:val="auto"/>
          <w:sz w:val="32"/>
          <w:szCs w:val="32"/>
        </w:rPr>
      </w:pPr>
      <w:bookmarkStart w:id="4" w:name="_Toc8333"/>
      <w:r>
        <w:rPr>
          <w:rFonts w:hint="eastAsia" w:ascii="Times New Roman" w:hAnsi="Times New Roman" w:eastAsia="黑体" w:cs="黑体"/>
          <w:color w:val="auto"/>
          <w:sz w:val="32"/>
          <w:szCs w:val="32"/>
        </w:rPr>
        <w:t>五、培养目标</w:t>
      </w:r>
      <w:bookmarkEnd w:id="4"/>
    </w:p>
    <w:p w14:paraId="189A9146">
      <w:pPr>
        <w:pStyle w:val="18"/>
        <w:keepNext w:val="0"/>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color w:val="auto"/>
        </w:rPr>
      </w:pPr>
      <w:r>
        <w:rPr>
          <w:rFonts w:ascii="Times New Roman" w:hAnsi="Times New Roman"/>
          <w:color w:val="auto"/>
        </w:rPr>
        <w:t>本专业培养理想信念坚定，德、智、体、美、劳全面发展，具有一定的科学文化水平，良好的人文素养、职业道德和创新意识，精益求精的工匠精神，较强的就业能力和可持续发展的能力，掌握本专业知识和技术技能，面向通用设备制造业、电气机械和器材制造业的电气工程技术人员、自动控制工程技术人员等职业群，能够从事电气设备生产、安装、调试与维护</w:t>
      </w:r>
      <w:r>
        <w:rPr>
          <w:rFonts w:hint="eastAsia" w:ascii="Times New Roman" w:hAnsi="Times New Roman"/>
          <w:color w:val="auto"/>
          <w:lang w:eastAsia="zh-CN"/>
        </w:rPr>
        <w:t>，</w:t>
      </w:r>
      <w:r>
        <w:rPr>
          <w:rFonts w:ascii="Times New Roman" w:hAnsi="Times New Roman"/>
          <w:color w:val="auto"/>
        </w:rPr>
        <w:t>自动控制系统生产、安装及技术改造，电气设备、自动化产品营销及技术服务等工作的高素质技术技能人才。</w:t>
      </w:r>
    </w:p>
    <w:p w14:paraId="331C6F4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color w:val="auto"/>
          <w:sz w:val="32"/>
          <w:szCs w:val="32"/>
          <w:lang w:eastAsia="zh-CN"/>
        </w:rPr>
      </w:pPr>
      <w:bookmarkStart w:id="5" w:name="_Toc5053"/>
      <w:r>
        <w:rPr>
          <w:rFonts w:hint="eastAsia" w:ascii="Times New Roman" w:hAnsi="Times New Roman" w:eastAsia="黑体" w:cs="黑体"/>
          <w:color w:val="auto"/>
          <w:sz w:val="32"/>
          <w:szCs w:val="32"/>
          <w:lang w:val="en-US" w:eastAsia="zh-CN"/>
        </w:rPr>
        <w:t>六</w:t>
      </w:r>
      <w:r>
        <w:rPr>
          <w:rFonts w:hint="eastAsia" w:ascii="Times New Roman" w:hAnsi="Times New Roman" w:eastAsia="黑体" w:cs="黑体"/>
          <w:color w:val="auto"/>
          <w:sz w:val="32"/>
          <w:szCs w:val="32"/>
        </w:rPr>
        <w:t>、培养</w:t>
      </w:r>
      <w:r>
        <w:rPr>
          <w:rFonts w:hint="eastAsia" w:ascii="Times New Roman" w:hAnsi="Times New Roman" w:eastAsia="黑体" w:cs="黑体"/>
          <w:color w:val="auto"/>
          <w:sz w:val="32"/>
          <w:szCs w:val="32"/>
          <w:lang w:val="en-US" w:eastAsia="zh-CN"/>
        </w:rPr>
        <w:t>规格</w:t>
      </w:r>
      <w:bookmarkEnd w:id="5"/>
    </w:p>
    <w:p w14:paraId="78915443">
      <w:pPr>
        <w:pStyle w:val="4"/>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本专业</w:t>
      </w:r>
      <w:r>
        <w:rPr>
          <w:rFonts w:hint="eastAsia" w:ascii="Times New Roman" w:hAnsi="Times New Roman" w:eastAsia="仿宋_GB2312" w:cs="仿宋_GB2312"/>
          <w:color w:val="auto"/>
          <w:sz w:val="32"/>
          <w:szCs w:val="32"/>
          <w:lang w:val="en-US" w:eastAsia="zh-CN"/>
        </w:rPr>
        <w:t>学</w:t>
      </w:r>
      <w:r>
        <w:rPr>
          <w:rFonts w:hint="eastAsia" w:ascii="Times New Roman" w:hAnsi="Times New Roman" w:eastAsia="仿宋_GB2312" w:cs="仿宋_GB2312"/>
          <w:color w:val="auto"/>
          <w:sz w:val="32"/>
          <w:szCs w:val="32"/>
          <w:lang w:eastAsia="zh-CN"/>
        </w:rPr>
        <w:t>生</w:t>
      </w:r>
      <w:r>
        <w:rPr>
          <w:rFonts w:hint="eastAsia" w:ascii="Times New Roman" w:hAnsi="Times New Roman" w:eastAsia="仿宋_GB2312" w:cs="仿宋_GB2312"/>
          <w:color w:val="auto"/>
          <w:sz w:val="32"/>
          <w:szCs w:val="32"/>
          <w:lang w:val="en-US" w:eastAsia="zh-CN"/>
        </w:rPr>
        <w:t>培养规格主要涵盖知识目标、能力目标和素质目标三个维度，确保学生能掌握专业相关知识，培养学生学以致用的实践操作能力，提升素质修养。</w:t>
      </w:r>
      <w:r>
        <w:rPr>
          <w:rFonts w:hint="eastAsia" w:ascii="Times New Roman" w:hAnsi="Times New Roman" w:eastAsia="仿宋_GB2312" w:cs="仿宋_GB2312"/>
          <w:color w:val="auto"/>
          <w:sz w:val="32"/>
          <w:szCs w:val="32"/>
          <w:lang w:eastAsia="zh-CN"/>
        </w:rPr>
        <w:t>总体上须达到以下要求：</w:t>
      </w:r>
    </w:p>
    <w:p w14:paraId="60612219">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Times New Roman" w:hAnsi="Times New Roman" w:eastAsia="楷体" w:cs="楷体"/>
          <w:color w:val="auto"/>
          <w:sz w:val="32"/>
          <w:szCs w:val="32"/>
          <w:lang w:val="en-US" w:eastAsia="zh-CN"/>
        </w:rPr>
      </w:pPr>
      <w:bookmarkStart w:id="6" w:name="_Toc2933"/>
      <w:r>
        <w:rPr>
          <w:rFonts w:hint="eastAsia" w:ascii="Times New Roman" w:hAnsi="Times New Roman" w:eastAsia="楷体" w:cs="楷体"/>
          <w:color w:val="auto"/>
          <w:sz w:val="32"/>
          <w:szCs w:val="32"/>
        </w:rPr>
        <w:t>知识</w:t>
      </w:r>
      <w:r>
        <w:rPr>
          <w:rFonts w:hint="eastAsia" w:ascii="Times New Roman" w:hAnsi="Times New Roman" w:eastAsia="楷体" w:cs="楷体"/>
          <w:color w:val="auto"/>
          <w:sz w:val="32"/>
          <w:szCs w:val="32"/>
          <w:lang w:val="en-US" w:eastAsia="zh-CN"/>
        </w:rPr>
        <w:t>目标</w:t>
      </w:r>
      <w:bookmarkEnd w:id="6"/>
    </w:p>
    <w:p w14:paraId="0E9CE4AF">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1.</w:t>
      </w:r>
      <w:r>
        <w:rPr>
          <w:rFonts w:hint="eastAsia" w:ascii="Times New Roman" w:hAnsi="Times New Roman"/>
          <w:color w:val="auto"/>
        </w:rPr>
        <w:t xml:space="preserve">掌握电气识图、工程制图、电气制图、计算机绘图等专业基础理论知识，具有识读和绘制电气图、工程图的能力； </w:t>
      </w:r>
    </w:p>
    <w:p w14:paraId="6D124A4D">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2.</w:t>
      </w:r>
      <w:r>
        <w:rPr>
          <w:rFonts w:hint="eastAsia" w:ascii="Times New Roman" w:hAnsi="Times New Roman"/>
          <w:color w:val="auto"/>
        </w:rPr>
        <w:t xml:space="preserve">掌握电工基础、电子技术、C语言、传感器与检测技术、电力电子技术等专业基础理论知识，具有使用电工工具和仪器仪表进行电路故障检测与排除的能力； </w:t>
      </w:r>
    </w:p>
    <w:p w14:paraId="5B5D6523">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3.</w:t>
      </w:r>
      <w:r>
        <w:rPr>
          <w:rFonts w:hint="eastAsia" w:ascii="Times New Roman" w:hAnsi="Times New Roman"/>
          <w:color w:val="auto"/>
        </w:rPr>
        <w:t xml:space="preserve">掌握电机与电气控制技术、电机调速技术、PLC等技术技能，具有低压电气控制系统、调速系统、PLC系统分析、设计、安装与调试的能力； </w:t>
      </w:r>
    </w:p>
    <w:p w14:paraId="20B20773">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4.</w:t>
      </w:r>
      <w:r>
        <w:rPr>
          <w:rFonts w:hint="eastAsia" w:ascii="Times New Roman" w:hAnsi="Times New Roman"/>
          <w:color w:val="auto"/>
        </w:rPr>
        <w:t>掌握电力网络的构成、工厂变配电所及供配电设备的功能和使用等技术技能，具有 对供配电系统进行升级改造及运行维护的能力；</w:t>
      </w:r>
    </w:p>
    <w:p w14:paraId="42C78BE7">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5.</w:t>
      </w:r>
      <w:r>
        <w:rPr>
          <w:rFonts w:hint="eastAsia" w:ascii="Times New Roman" w:hAnsi="Times New Roman"/>
          <w:color w:val="auto"/>
        </w:rPr>
        <w:t xml:space="preserve">掌握自动控制系统的构成、原理和分析方法等技术技能，具有对自动控制系统进行 分析、设计、运维及升级改造的能力； </w:t>
      </w:r>
    </w:p>
    <w:p w14:paraId="3BCA18C8">
      <w:pPr>
        <w:pStyle w:val="18"/>
        <w:pageBreakBefore w:val="0"/>
        <w:kinsoku/>
        <w:wordWrap/>
        <w:topLinePunct w:val="0"/>
        <w:autoSpaceDE/>
        <w:autoSpaceDN/>
        <w:bidi w:val="0"/>
        <w:spacing w:after="0"/>
        <w:textAlignment w:val="auto"/>
        <w:rPr>
          <w:rFonts w:hint="eastAsia" w:ascii="Times New Roman" w:hAnsi="Times New Roman"/>
          <w:color w:val="auto"/>
        </w:rPr>
      </w:pPr>
      <w:r>
        <w:rPr>
          <w:rFonts w:hint="eastAsia" w:ascii="Times New Roman" w:hAnsi="Times New Roman"/>
          <w:color w:val="auto"/>
          <w:lang w:val="en-US" w:eastAsia="zh-CN"/>
        </w:rPr>
        <w:t>6.</w:t>
      </w:r>
      <w:r>
        <w:rPr>
          <w:rFonts w:hint="eastAsia" w:ascii="Times New Roman" w:hAnsi="Times New Roman"/>
          <w:color w:val="auto"/>
        </w:rPr>
        <w:t xml:space="preserve">掌握工业网络、工业组态技术和工业机器人等技术技能，具有能够根据控制系统的性能要求，建立PLC与上位机、工业机器人等智能设备的通信，进行控制系统的集成与改造的能力； </w:t>
      </w:r>
    </w:p>
    <w:p w14:paraId="1224BB00">
      <w:pPr>
        <w:pStyle w:val="18"/>
        <w:pageBreakBefore w:val="0"/>
        <w:kinsoku/>
        <w:wordWrap/>
        <w:topLinePunct w:val="0"/>
        <w:autoSpaceDE/>
        <w:autoSpaceDN/>
        <w:bidi w:val="0"/>
        <w:spacing w:after="0"/>
        <w:textAlignment w:val="auto"/>
        <w:rPr>
          <w:rFonts w:hint="eastAsia" w:ascii="Times New Roman" w:hAnsi="Times New Roman"/>
          <w:color w:val="auto"/>
          <w:lang w:val="en-US" w:eastAsia="zh-CN"/>
        </w:rPr>
      </w:pPr>
      <w:r>
        <w:rPr>
          <w:rFonts w:hint="eastAsia" w:ascii="Times New Roman" w:hAnsi="Times New Roman"/>
          <w:color w:val="auto"/>
          <w:lang w:val="en-US" w:eastAsia="zh-CN"/>
        </w:rPr>
        <w:t>7.</w:t>
      </w:r>
      <w:r>
        <w:rPr>
          <w:rFonts w:hint="eastAsia" w:ascii="Times New Roman" w:hAnsi="Times New Roman"/>
          <w:color w:val="auto"/>
        </w:rPr>
        <w:t>掌握信息技术基础知识，具有适应本行业数字化和智能化发展需求的数字技能。</w:t>
      </w:r>
    </w:p>
    <w:p w14:paraId="4665F6C1">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Times New Roman" w:hAnsi="Times New Roman" w:eastAsia="楷体" w:cs="楷体"/>
          <w:color w:val="auto"/>
          <w:sz w:val="32"/>
          <w:szCs w:val="32"/>
          <w:lang w:val="en-US" w:eastAsia="zh-CN"/>
        </w:rPr>
      </w:pPr>
      <w:bookmarkStart w:id="7" w:name="_Toc15210"/>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二</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能力</w:t>
      </w:r>
      <w:r>
        <w:rPr>
          <w:rFonts w:hint="eastAsia" w:ascii="Times New Roman" w:hAnsi="Times New Roman" w:eastAsia="楷体" w:cs="楷体"/>
          <w:color w:val="auto"/>
          <w:sz w:val="32"/>
          <w:szCs w:val="32"/>
          <w:lang w:val="en-US" w:eastAsia="zh-CN"/>
        </w:rPr>
        <w:t>目标</w:t>
      </w:r>
      <w:bookmarkEnd w:id="7"/>
    </w:p>
    <w:p w14:paraId="5E12B521">
      <w:pPr>
        <w:pStyle w:val="18"/>
        <w:pageBreakBefore w:val="0"/>
        <w:kinsoku/>
        <w:wordWrap/>
        <w:topLinePunct w:val="0"/>
        <w:autoSpaceDE/>
        <w:autoSpaceDN/>
        <w:bidi w:val="0"/>
        <w:spacing w:after="0"/>
        <w:jc w:val="both"/>
        <w:textAlignment w:val="auto"/>
        <w:rPr>
          <w:rFonts w:hint="default" w:ascii="Times New Roman" w:hAnsi="Times New Roman"/>
          <w:color w:val="auto"/>
        </w:rPr>
      </w:pPr>
      <w:r>
        <w:rPr>
          <w:rFonts w:hint="eastAsia" w:ascii="Times New Roman" w:hAnsi="Times New Roman"/>
          <w:color w:val="auto"/>
          <w:lang w:val="en-US" w:eastAsia="zh-CN"/>
        </w:rPr>
        <w:t>1.</w:t>
      </w:r>
      <w:r>
        <w:rPr>
          <w:rFonts w:ascii="Times New Roman" w:hAnsi="Times New Roman"/>
          <w:color w:val="auto"/>
        </w:rPr>
        <w:t>具有探究学习、终身学习和可持续发展的能力，具有整合知识和综合运用知识分析问题和解决问题的能力；</w:t>
      </w:r>
    </w:p>
    <w:p w14:paraId="0B622342">
      <w:pPr>
        <w:pStyle w:val="18"/>
        <w:pageBreakBefore w:val="0"/>
        <w:kinsoku/>
        <w:wordWrap/>
        <w:topLinePunct w:val="0"/>
        <w:autoSpaceDE/>
        <w:autoSpaceDN/>
        <w:bidi w:val="0"/>
        <w:spacing w:after="0"/>
        <w:jc w:val="both"/>
        <w:textAlignment w:val="auto"/>
        <w:rPr>
          <w:rFonts w:hint="default" w:ascii="Times New Roman" w:hAnsi="Times New Roman"/>
          <w:color w:val="auto"/>
        </w:rPr>
      </w:pPr>
      <w:r>
        <w:rPr>
          <w:rFonts w:hint="eastAsia" w:ascii="Times New Roman" w:hAnsi="Times New Roman"/>
          <w:color w:val="auto"/>
          <w:lang w:val="en-US" w:eastAsia="zh-CN"/>
        </w:rPr>
        <w:t>2.</w:t>
      </w:r>
      <w:r>
        <w:rPr>
          <w:rFonts w:ascii="Times New Roman" w:hAnsi="Times New Roman"/>
          <w:color w:val="auto"/>
        </w:rPr>
        <w:t xml:space="preserve">掌握身体运动的基本知识和至少1项体育运动技能，达到国家大学生体质健康测试 合格标准，养成良好的运动习惯、卫生习惯和行为习惯；具备一定的心理调适能力； </w:t>
      </w:r>
    </w:p>
    <w:p w14:paraId="18B3E9C9">
      <w:pPr>
        <w:pStyle w:val="18"/>
        <w:pageBreakBefore w:val="0"/>
        <w:kinsoku/>
        <w:wordWrap/>
        <w:topLinePunct w:val="0"/>
        <w:autoSpaceDE/>
        <w:autoSpaceDN/>
        <w:bidi w:val="0"/>
        <w:spacing w:after="0"/>
        <w:jc w:val="both"/>
        <w:textAlignment w:val="auto"/>
        <w:rPr>
          <w:rFonts w:hint="default" w:ascii="Times New Roman" w:hAnsi="Times New Roman"/>
          <w:color w:val="auto"/>
        </w:rPr>
      </w:pPr>
      <w:r>
        <w:rPr>
          <w:rFonts w:hint="eastAsia" w:ascii="Times New Roman" w:hAnsi="Times New Roman"/>
          <w:color w:val="auto"/>
          <w:lang w:val="en-US" w:eastAsia="zh-CN"/>
        </w:rPr>
        <w:t>3.</w:t>
      </w:r>
      <w:r>
        <w:rPr>
          <w:rFonts w:ascii="Times New Roman" w:hAnsi="Times New Roman"/>
          <w:color w:val="auto"/>
        </w:rPr>
        <w:t>掌握必备的美育知识，具有一定的文化修养、审美能力，形成至少1项艺术特长或爱好；</w:t>
      </w:r>
    </w:p>
    <w:p w14:paraId="4028512F">
      <w:pPr>
        <w:pStyle w:val="18"/>
        <w:pageBreakBefore w:val="0"/>
        <w:kinsoku/>
        <w:wordWrap/>
        <w:topLinePunct w:val="0"/>
        <w:autoSpaceDE/>
        <w:autoSpaceDN/>
        <w:bidi w:val="0"/>
        <w:spacing w:after="0"/>
        <w:textAlignment w:val="auto"/>
        <w:rPr>
          <w:rFonts w:hint="eastAsia" w:ascii="Times New Roman" w:hAnsi="Times New Roman" w:eastAsia="楷体" w:cs="楷体"/>
          <w:color w:val="auto"/>
          <w:sz w:val="32"/>
          <w:szCs w:val="32"/>
          <w:lang w:val="en-US" w:eastAsia="zh-CN"/>
        </w:rPr>
      </w:pPr>
      <w:r>
        <w:rPr>
          <w:rFonts w:hint="eastAsia" w:ascii="Times New Roman" w:hAnsi="Times New Roman"/>
          <w:color w:val="auto"/>
          <w:lang w:val="en-US" w:eastAsia="zh-CN"/>
        </w:rPr>
        <w:t>4.</w:t>
      </w:r>
      <w:r>
        <w:rPr>
          <w:rFonts w:ascii="Times New Roman" w:hAnsi="Times New Roman"/>
          <w:color w:val="auto"/>
        </w:rPr>
        <w:t>树立正确的劳动观，尊重劳动，热爱劳动，具备与本专业职业发展相适应的劳动素养，弘扬劳模精神、劳动精神、工匠精神，弘扬劳动光荣、技能宝贵、创造伟大的时代风尚。</w:t>
      </w:r>
      <w:r>
        <w:rPr>
          <w:rFonts w:ascii="Times New Roman" w:hAnsi="Times New Roman" w:eastAsia="宋体" w:cs="宋体"/>
          <w:color w:val="auto"/>
          <w:sz w:val="24"/>
        </w:rPr>
        <w:t xml:space="preserve"> </w:t>
      </w:r>
    </w:p>
    <w:p w14:paraId="79DDDEB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lang w:val="en-US" w:eastAsia="zh-CN"/>
        </w:rPr>
      </w:pPr>
      <w:bookmarkStart w:id="8" w:name="_Toc1376"/>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lang w:val="en-US" w:eastAsia="zh-CN"/>
        </w:rPr>
        <w:t>三</w:t>
      </w:r>
      <w:r>
        <w:rPr>
          <w:rFonts w:hint="eastAsia" w:ascii="Times New Roman" w:hAnsi="Times New Roman" w:eastAsia="楷体" w:cs="楷体"/>
          <w:color w:val="auto"/>
          <w:sz w:val="32"/>
          <w:szCs w:val="32"/>
          <w:lang w:eastAsia="zh-CN"/>
        </w:rPr>
        <w:t>）</w:t>
      </w:r>
      <w:r>
        <w:rPr>
          <w:rFonts w:hint="eastAsia" w:ascii="Times New Roman" w:hAnsi="Times New Roman" w:eastAsia="楷体" w:cs="楷体"/>
          <w:color w:val="auto"/>
          <w:sz w:val="32"/>
          <w:szCs w:val="32"/>
        </w:rPr>
        <w:t>素质</w:t>
      </w:r>
      <w:r>
        <w:rPr>
          <w:rFonts w:hint="eastAsia" w:ascii="Times New Roman" w:hAnsi="Times New Roman" w:eastAsia="楷体" w:cs="楷体"/>
          <w:color w:val="auto"/>
          <w:sz w:val="32"/>
          <w:szCs w:val="32"/>
          <w:lang w:val="en-US" w:eastAsia="zh-CN"/>
        </w:rPr>
        <w:t>目标</w:t>
      </w:r>
      <w:bookmarkEnd w:id="8"/>
    </w:p>
    <w:p w14:paraId="55103D04">
      <w:pPr>
        <w:pStyle w:val="18"/>
        <w:pageBreakBefore w:val="0"/>
        <w:kinsoku/>
        <w:wordWrap/>
        <w:topLinePunct w:val="0"/>
        <w:autoSpaceDE/>
        <w:autoSpaceDN/>
        <w:bidi w:val="0"/>
        <w:spacing w:after="0"/>
        <w:textAlignment w:val="auto"/>
        <w:rPr>
          <w:rFonts w:hint="default" w:ascii="Times New Roman" w:hAnsi="Times New Roman"/>
          <w:color w:val="auto"/>
        </w:rPr>
      </w:pPr>
      <w:r>
        <w:rPr>
          <w:rFonts w:hint="eastAsia" w:ascii="Times New Roman" w:hAnsi="Times New Roman"/>
          <w:color w:val="auto"/>
          <w:lang w:val="en-US" w:eastAsia="zh-CN"/>
        </w:rPr>
        <w:t>1.</w:t>
      </w:r>
      <w:r>
        <w:rPr>
          <w:rFonts w:ascii="Times New Roman" w:hAnsi="Times New Roman"/>
          <w:color w:val="auto"/>
        </w:rPr>
        <w:t>坚定拥护中国共产党领导和中国特色社会主义制度，以习近平新时代</w:t>
      </w:r>
      <w:r>
        <w:rPr>
          <w:rFonts w:hint="eastAsia" w:ascii="Times New Roman" w:hAnsi="Times New Roman"/>
          <w:color w:val="auto"/>
          <w:lang w:eastAsia="zh-CN"/>
        </w:rPr>
        <w:t>中国特色社会主义思想</w:t>
      </w:r>
      <w:r>
        <w:rPr>
          <w:rFonts w:ascii="Times New Roman" w:hAnsi="Times New Roman"/>
          <w:color w:val="auto"/>
        </w:rPr>
        <w:t>为指导，践行社会主义核心价值观，具有坚定的理想信念、深厚的爱国情感和中华民族自豪感；</w:t>
      </w:r>
    </w:p>
    <w:p w14:paraId="514D6874">
      <w:pPr>
        <w:pStyle w:val="18"/>
        <w:pageBreakBefore w:val="0"/>
        <w:kinsoku/>
        <w:wordWrap/>
        <w:topLinePunct w:val="0"/>
        <w:autoSpaceDE/>
        <w:autoSpaceDN/>
        <w:bidi w:val="0"/>
        <w:spacing w:after="0"/>
        <w:textAlignment w:val="auto"/>
        <w:rPr>
          <w:rFonts w:ascii="Times New Roman" w:hAnsi="Times New Roman"/>
          <w:color w:val="auto"/>
        </w:rPr>
      </w:pPr>
      <w:r>
        <w:rPr>
          <w:rFonts w:hint="eastAsia" w:ascii="Times New Roman" w:hAnsi="Times New Roman"/>
          <w:color w:val="auto"/>
          <w:lang w:val="en-US" w:eastAsia="zh-CN"/>
        </w:rPr>
        <w:t>2.</w:t>
      </w:r>
      <w:r>
        <w:rPr>
          <w:rFonts w:ascii="Times New Roman" w:hAnsi="Times New Roman"/>
          <w:color w:val="auto"/>
        </w:rPr>
        <w:t>掌握与本专业对应职业活动相关的国家法律、行业规定，掌握绿色生产、环境保护、 安全防护、质量管理等相关知识与技能，了解相关行业文化，具有爱岗敬业的职业精神，遵守职业道德准则和行为规范，具备社会责任感和担当精神；</w:t>
      </w:r>
    </w:p>
    <w:p w14:paraId="03932DB7">
      <w:pPr>
        <w:pStyle w:val="18"/>
        <w:pageBreakBefore w:val="0"/>
        <w:kinsoku/>
        <w:wordWrap/>
        <w:topLinePunct w:val="0"/>
        <w:autoSpaceDE/>
        <w:autoSpaceDN/>
        <w:bidi w:val="0"/>
        <w:spacing w:after="0"/>
        <w:textAlignment w:val="auto"/>
        <w:rPr>
          <w:rFonts w:hint="default" w:ascii="Times New Roman" w:hAnsi="Times New Roman"/>
          <w:color w:val="auto"/>
        </w:rPr>
      </w:pPr>
      <w:r>
        <w:rPr>
          <w:rFonts w:hint="eastAsia" w:ascii="Times New Roman" w:hAnsi="Times New Roman"/>
          <w:color w:val="auto"/>
          <w:lang w:val="en-US" w:eastAsia="zh-CN"/>
        </w:rPr>
        <w:t>3.</w:t>
      </w:r>
      <w:r>
        <w:rPr>
          <w:rFonts w:ascii="Times New Roman" w:hAnsi="Times New Roman"/>
          <w:color w:val="auto"/>
        </w:rPr>
        <w:t>掌握支撑本专业学习和可持续发展必备的</w:t>
      </w:r>
      <w:r>
        <w:rPr>
          <w:rFonts w:hint="eastAsia" w:ascii="Times New Roman" w:hAnsi="Times New Roman"/>
          <w:color w:val="auto"/>
          <w:lang w:val="en-US" w:eastAsia="zh-CN"/>
        </w:rPr>
        <w:t>思政、英语，高数</w:t>
      </w:r>
      <w:r>
        <w:rPr>
          <w:rFonts w:ascii="Times New Roman" w:hAnsi="Times New Roman"/>
          <w:color w:val="auto"/>
        </w:rPr>
        <w:t>等文化基础知识，具有良好的人文素养与科学素养，具备职业生涯规划能力；</w:t>
      </w:r>
    </w:p>
    <w:p w14:paraId="08643524">
      <w:pPr>
        <w:pStyle w:val="18"/>
        <w:pageBreakBefore w:val="0"/>
        <w:kinsoku/>
        <w:wordWrap/>
        <w:topLinePunct w:val="0"/>
        <w:autoSpaceDE/>
        <w:autoSpaceDN/>
        <w:bidi w:val="0"/>
        <w:spacing w:after="0"/>
        <w:textAlignment w:val="auto"/>
        <w:rPr>
          <w:rFonts w:hint="eastAsia" w:ascii="Times New Roman" w:hAnsi="Times New Roman" w:eastAsia="楷体" w:cs="楷体"/>
          <w:color w:val="auto"/>
          <w:sz w:val="32"/>
          <w:szCs w:val="32"/>
          <w:lang w:val="en-US" w:eastAsia="zh-CN"/>
        </w:rPr>
      </w:pPr>
      <w:r>
        <w:rPr>
          <w:rFonts w:hint="eastAsia" w:ascii="Times New Roman" w:hAnsi="Times New Roman"/>
          <w:color w:val="auto"/>
          <w:lang w:val="en-US" w:eastAsia="zh-CN"/>
        </w:rPr>
        <w:t>4.</w:t>
      </w:r>
      <w:r>
        <w:rPr>
          <w:rFonts w:ascii="Times New Roman" w:hAnsi="Times New Roman"/>
          <w:color w:val="auto"/>
        </w:rPr>
        <w:t>具有良好的语言表达能力、文字表达能力、沟通合作能力，具有较强的集体意识和团队合作意识，学习1门外语并结合本专业加以运用</w:t>
      </w:r>
      <w:r>
        <w:rPr>
          <w:rFonts w:hint="eastAsia" w:ascii="Times New Roman" w:hAnsi="Times New Roman"/>
          <w:color w:val="auto"/>
          <w:lang w:eastAsia="zh-CN"/>
        </w:rPr>
        <w:t>。</w:t>
      </w:r>
    </w:p>
    <w:p w14:paraId="42445D42">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Times New Roman" w:hAnsi="Times New Roman" w:eastAsia="黑体" w:cs="黑体"/>
          <w:color w:val="auto"/>
          <w:sz w:val="32"/>
          <w:szCs w:val="32"/>
          <w:lang w:val="en-US" w:eastAsia="zh-CN"/>
        </w:rPr>
      </w:pPr>
      <w:bookmarkStart w:id="9" w:name="_Toc31853"/>
      <w:r>
        <w:rPr>
          <w:rFonts w:hint="eastAsia" w:ascii="Times New Roman" w:hAnsi="Times New Roman" w:eastAsia="黑体" w:cs="黑体"/>
          <w:color w:val="auto"/>
          <w:sz w:val="32"/>
          <w:szCs w:val="32"/>
          <w:lang w:val="en-US" w:eastAsia="zh-CN"/>
        </w:rPr>
        <w:t>七</w:t>
      </w:r>
      <w:r>
        <w:rPr>
          <w:rFonts w:hint="eastAsia" w:ascii="Times New Roman" w:hAnsi="Times New Roman" w:eastAsia="黑体" w:cs="黑体"/>
          <w:color w:val="auto"/>
          <w:sz w:val="32"/>
          <w:szCs w:val="32"/>
        </w:rPr>
        <w:t>、课程设置</w:t>
      </w:r>
      <w:bookmarkEnd w:id="9"/>
    </w:p>
    <w:p w14:paraId="113B495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主要包括公共基础课程和专业课程。</w:t>
      </w:r>
    </w:p>
    <w:p w14:paraId="08A5209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楷体" w:cs="楷体"/>
          <w:color w:val="auto"/>
          <w:sz w:val="32"/>
          <w:szCs w:val="32"/>
        </w:rPr>
      </w:pPr>
    </w:p>
    <w:p w14:paraId="33C5FAF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rPr>
      </w:pPr>
      <w:bookmarkStart w:id="10" w:name="_Toc12586"/>
      <w:r>
        <w:rPr>
          <w:rFonts w:hint="eastAsia" w:ascii="Times New Roman" w:hAnsi="Times New Roman" w:eastAsia="楷体" w:cs="楷体"/>
          <w:color w:val="auto"/>
          <w:sz w:val="32"/>
          <w:szCs w:val="32"/>
        </w:rPr>
        <w:t>（一）公共基础课程</w:t>
      </w:r>
      <w:bookmarkEnd w:id="10"/>
    </w:p>
    <w:p w14:paraId="303E01E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bookmarkStart w:id="11" w:name="_Toc90734974"/>
      <w:r>
        <w:rPr>
          <w:rFonts w:hint="eastAsia" w:ascii="Times New Roman" w:hAnsi="Times New Roman" w:eastAsia="仿宋_GB2312" w:cs="仿宋_GB2312"/>
          <w:b w:val="0"/>
          <w:bCs w:val="0"/>
          <w:color w:val="auto"/>
          <w:sz w:val="32"/>
          <w:szCs w:val="32"/>
          <w:highlight w:val="none"/>
          <w:lang w:eastAsia="zh-CN"/>
        </w:rPr>
        <w:t>分为公共必修课和公共选修课。</w:t>
      </w:r>
    </w:p>
    <w:p w14:paraId="0F337AF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eastAsia="zh-CN"/>
        </w:rPr>
        <w:t>必修</w:t>
      </w:r>
      <w:r>
        <w:rPr>
          <w:rFonts w:hint="eastAsia" w:ascii="Times New Roman" w:hAnsi="Times New Roman" w:eastAsia="仿宋_GB2312" w:cs="仿宋_GB2312"/>
          <w:b w:val="0"/>
          <w:bCs w:val="0"/>
          <w:color w:val="auto"/>
          <w:sz w:val="32"/>
          <w:szCs w:val="32"/>
          <w:highlight w:val="none"/>
        </w:rPr>
        <w:t>课程包括</w:t>
      </w:r>
      <w:bookmarkEnd w:id="11"/>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思想道德与法治</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形势与政策</w:t>
      </w:r>
      <w:r>
        <w:rPr>
          <w:rFonts w:hint="eastAsia" w:ascii="Times New Roman" w:hAnsi="Times New Roman" w:eastAsia="仿宋_GB2312" w:cs="仿宋_GB2312"/>
          <w:b w:val="0"/>
          <w:bCs w:val="0"/>
          <w:color w:val="auto"/>
          <w:sz w:val="32"/>
          <w:szCs w:val="32"/>
          <w:highlight w:val="none"/>
          <w:lang w:eastAsia="zh-CN"/>
        </w:rPr>
        <w:t>、国家安全教育、</w:t>
      </w:r>
      <w:r>
        <w:rPr>
          <w:rFonts w:hint="eastAsia" w:ascii="Times New Roman" w:hAnsi="Times New Roman" w:eastAsia="仿宋_GB2312" w:cs="仿宋_GB2312"/>
          <w:b w:val="0"/>
          <w:bCs w:val="0"/>
          <w:color w:val="auto"/>
          <w:sz w:val="32"/>
          <w:szCs w:val="32"/>
          <w:highlight w:val="none"/>
        </w:rPr>
        <w:t>军事理论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军训</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计算机基础</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高等数学</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大学英语</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lang w:val="en-US" w:eastAsia="zh-CN"/>
        </w:rPr>
        <w:t>大学</w:t>
      </w:r>
      <w:r>
        <w:rPr>
          <w:rFonts w:hint="eastAsia" w:ascii="Times New Roman" w:hAnsi="Times New Roman" w:eastAsia="仿宋_GB2312" w:cs="仿宋_GB2312"/>
          <w:b w:val="0"/>
          <w:bCs w:val="0"/>
          <w:color w:val="auto"/>
          <w:sz w:val="32"/>
          <w:szCs w:val="32"/>
          <w:highlight w:val="none"/>
        </w:rPr>
        <w:t>体育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大学生职业发展与就业指导</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大学生心理健康教育</w:t>
      </w:r>
      <w:r>
        <w:rPr>
          <w:rFonts w:hint="eastAsia" w:ascii="Times New Roman" w:hAnsi="Times New Roman" w:eastAsia="仿宋_GB2312" w:cs="仿宋_GB2312"/>
          <w:b w:val="0"/>
          <w:bCs w:val="0"/>
          <w:color w:val="auto"/>
          <w:sz w:val="32"/>
          <w:szCs w:val="32"/>
          <w:highlight w:val="none"/>
          <w:lang w:eastAsia="zh-CN"/>
        </w:rPr>
        <w:t>、劳动教育、</w:t>
      </w:r>
      <w:r>
        <w:rPr>
          <w:rFonts w:hint="eastAsia" w:ascii="Times New Roman" w:hAnsi="Times New Roman" w:eastAsia="仿宋_GB2312" w:cs="仿宋_GB2312"/>
          <w:b w:val="0"/>
          <w:bCs w:val="0"/>
          <w:color w:val="auto"/>
          <w:sz w:val="32"/>
          <w:szCs w:val="32"/>
          <w:highlight w:val="none"/>
        </w:rPr>
        <w:t>毛泽东思想和中国特色社会主义理论体系概论</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创新创业教育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习近平新时代中国特色社会主义思想概论</w:t>
      </w:r>
      <w:r>
        <w:rPr>
          <w:rFonts w:hint="eastAsia" w:ascii="Times New Roman" w:hAnsi="Times New Roman" w:eastAsia="仿宋_GB2312" w:cs="仿宋_GB2312"/>
          <w:b w:val="0"/>
          <w:bCs w:val="0"/>
          <w:color w:val="auto"/>
          <w:sz w:val="32"/>
          <w:szCs w:val="32"/>
          <w:highlight w:val="none"/>
          <w:lang w:eastAsia="zh-CN"/>
        </w:rPr>
        <w:t>。</w:t>
      </w:r>
    </w:p>
    <w:p w14:paraId="1317B83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lang w:eastAsia="zh-CN"/>
        </w:rPr>
      </w:pPr>
      <w:r>
        <w:rPr>
          <w:rFonts w:hint="eastAsia" w:ascii="Times New Roman" w:hAnsi="Times New Roman" w:eastAsia="仿宋_GB2312" w:cs="仿宋_GB2312"/>
          <w:b w:val="0"/>
          <w:bCs w:val="0"/>
          <w:color w:val="auto"/>
          <w:sz w:val="32"/>
          <w:szCs w:val="32"/>
          <w:highlight w:val="none"/>
          <w:lang w:eastAsia="zh-CN"/>
        </w:rPr>
        <w:t>选修课程包括：</w:t>
      </w:r>
      <w:r>
        <w:rPr>
          <w:rFonts w:hint="eastAsia" w:ascii="Times New Roman" w:hAnsi="Times New Roman" w:eastAsia="仿宋_GB2312" w:cs="仿宋_GB2312"/>
          <w:b w:val="0"/>
          <w:bCs w:val="0"/>
          <w:color w:val="auto"/>
          <w:sz w:val="32"/>
          <w:szCs w:val="32"/>
          <w:highlight w:val="none"/>
        </w:rPr>
        <w:t>中国民俗剪纸技法</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影视与鉴赏</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中国共产党简史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中华人民共和国简史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改革开放简史</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社会主义发展简史</w:t>
      </w:r>
      <w:r>
        <w:rPr>
          <w:rFonts w:hint="eastAsia" w:ascii="Times New Roman" w:hAnsi="Times New Roman" w:eastAsia="仿宋_GB2312" w:cs="仿宋_GB2312"/>
          <w:b w:val="0"/>
          <w:bCs w:val="0"/>
          <w:color w:val="auto"/>
          <w:sz w:val="32"/>
          <w:szCs w:val="32"/>
          <w:highlight w:val="none"/>
          <w:lang w:eastAsia="zh-CN"/>
        </w:rPr>
        <w:t>、中华优秀传统文化、中华民族共同体概论、</w:t>
      </w:r>
      <w:r>
        <w:rPr>
          <w:rFonts w:hint="eastAsia" w:ascii="Times New Roman" w:hAnsi="Times New Roman" w:eastAsia="仿宋_GB2312" w:cs="仿宋_GB2312"/>
          <w:b w:val="0"/>
          <w:bCs w:val="0"/>
          <w:color w:val="auto"/>
          <w:sz w:val="32"/>
          <w:szCs w:val="32"/>
          <w:highlight w:val="none"/>
          <w:lang w:val="en-US" w:eastAsia="zh-CN"/>
        </w:rPr>
        <w:t>语文、物理、化学</w:t>
      </w:r>
      <w:r>
        <w:rPr>
          <w:rFonts w:hint="eastAsia" w:ascii="Times New Roman" w:hAnsi="Times New Roman" w:eastAsia="仿宋_GB2312" w:cs="仿宋_GB2312"/>
          <w:b w:val="0"/>
          <w:bCs w:val="0"/>
          <w:color w:val="auto"/>
          <w:sz w:val="32"/>
          <w:szCs w:val="32"/>
          <w:highlight w:val="none"/>
          <w:lang w:eastAsia="zh-CN"/>
        </w:rPr>
        <w:t>。</w:t>
      </w:r>
    </w:p>
    <w:p w14:paraId="27F5A918">
      <w:pPr>
        <w:pageBreakBefore w:val="0"/>
        <w:kinsoku/>
        <w:wordWrap/>
        <w:overflowPunct w:val="0"/>
        <w:topLinePunct w:val="0"/>
        <w:autoSpaceDE/>
        <w:autoSpaceDN/>
        <w:bidi w:val="0"/>
        <w:adjustRightInd w:val="0"/>
        <w:spacing w:after="0" w:line="520" w:lineRule="exact"/>
        <w:ind w:firstLine="640" w:firstLineChars="200"/>
        <w:jc w:val="center"/>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highlight w:val="none"/>
        </w:rPr>
        <w:t>2</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公共基础课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011"/>
        <w:gridCol w:w="2877"/>
        <w:gridCol w:w="2626"/>
      </w:tblGrid>
      <w:tr w14:paraId="5A8F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C2F3D69">
            <w:pPr>
              <w:spacing w:line="360" w:lineRule="exact"/>
              <w:jc w:val="center"/>
              <w:rPr>
                <w:rFonts w:hint="eastAsia" w:ascii="Times New Roman" w:hAnsi="Times New Roman" w:eastAsia="仿宋_GB2312" w:cs="仿宋_GB2312"/>
                <w:color w:val="auto"/>
                <w:sz w:val="24"/>
                <w:szCs w:val="24"/>
                <w:highlight w:val="none"/>
              </w:rPr>
            </w:pPr>
            <w:bookmarkStart w:id="12" w:name="_Toc2022"/>
            <w:bookmarkStart w:id="13" w:name="_Toc90734979"/>
            <w:r>
              <w:rPr>
                <w:rFonts w:hint="eastAsia" w:ascii="Times New Roman" w:hAnsi="Times New Roman" w:eastAsia="仿宋_GB2312" w:cs="仿宋_GB2312"/>
                <w:color w:val="auto"/>
                <w:sz w:val="24"/>
                <w:szCs w:val="24"/>
                <w:highlight w:val="none"/>
              </w:rPr>
              <w:t>序号</w:t>
            </w:r>
            <w:bookmarkEnd w:id="12"/>
            <w:bookmarkEnd w:id="13"/>
          </w:p>
        </w:tc>
        <w:tc>
          <w:tcPr>
            <w:tcW w:w="752" w:type="dxa"/>
            <w:vAlign w:val="center"/>
          </w:tcPr>
          <w:p w14:paraId="0849257D">
            <w:pPr>
              <w:spacing w:line="360" w:lineRule="exact"/>
              <w:jc w:val="center"/>
              <w:rPr>
                <w:rFonts w:hint="eastAsia" w:ascii="Times New Roman" w:hAnsi="Times New Roman" w:eastAsia="仿宋_GB2312" w:cs="仿宋_GB2312"/>
                <w:color w:val="auto"/>
                <w:sz w:val="24"/>
                <w:szCs w:val="24"/>
                <w:highlight w:val="none"/>
              </w:rPr>
            </w:pPr>
            <w:bookmarkStart w:id="14" w:name="_Toc2635"/>
            <w:bookmarkStart w:id="15" w:name="_Toc90734980"/>
            <w:r>
              <w:rPr>
                <w:rFonts w:hint="eastAsia" w:ascii="Times New Roman" w:hAnsi="Times New Roman" w:eastAsia="仿宋_GB2312" w:cs="仿宋_GB2312"/>
                <w:color w:val="auto"/>
                <w:sz w:val="24"/>
                <w:szCs w:val="24"/>
                <w:highlight w:val="none"/>
              </w:rPr>
              <w:t>课程名称</w:t>
            </w:r>
            <w:bookmarkEnd w:id="14"/>
            <w:bookmarkEnd w:id="15"/>
          </w:p>
        </w:tc>
        <w:tc>
          <w:tcPr>
            <w:tcW w:w="4011" w:type="dxa"/>
            <w:vAlign w:val="center"/>
          </w:tcPr>
          <w:p w14:paraId="6C8C7462">
            <w:pPr>
              <w:spacing w:line="360" w:lineRule="exact"/>
              <w:jc w:val="center"/>
              <w:rPr>
                <w:rFonts w:hint="eastAsia" w:ascii="Times New Roman" w:hAnsi="Times New Roman" w:eastAsia="仿宋_GB2312" w:cs="仿宋_GB2312"/>
                <w:color w:val="auto"/>
                <w:sz w:val="24"/>
                <w:szCs w:val="24"/>
                <w:highlight w:val="none"/>
              </w:rPr>
            </w:pPr>
            <w:bookmarkStart w:id="16" w:name="_Toc24608"/>
            <w:bookmarkStart w:id="17" w:name="_Toc90734981"/>
            <w:r>
              <w:rPr>
                <w:rFonts w:hint="eastAsia" w:ascii="Times New Roman" w:hAnsi="Times New Roman" w:eastAsia="仿宋_GB2312" w:cs="仿宋_GB2312"/>
                <w:color w:val="auto"/>
                <w:sz w:val="24"/>
                <w:szCs w:val="24"/>
                <w:highlight w:val="none"/>
                <w:lang w:val="en-US" w:eastAsia="zh-CN"/>
              </w:rPr>
              <w:t>课程</w:t>
            </w:r>
            <w:r>
              <w:rPr>
                <w:rFonts w:hint="eastAsia" w:ascii="Times New Roman" w:hAnsi="Times New Roman" w:eastAsia="仿宋_GB2312" w:cs="仿宋_GB2312"/>
                <w:color w:val="auto"/>
                <w:sz w:val="24"/>
                <w:szCs w:val="24"/>
                <w:highlight w:val="none"/>
              </w:rPr>
              <w:t>目标</w:t>
            </w:r>
            <w:bookmarkEnd w:id="16"/>
            <w:bookmarkEnd w:id="17"/>
          </w:p>
        </w:tc>
        <w:tc>
          <w:tcPr>
            <w:tcW w:w="2877" w:type="dxa"/>
            <w:vAlign w:val="center"/>
          </w:tcPr>
          <w:p w14:paraId="3D9A5167">
            <w:pPr>
              <w:spacing w:line="360" w:lineRule="exact"/>
              <w:jc w:val="center"/>
              <w:rPr>
                <w:rFonts w:hint="eastAsia" w:ascii="Times New Roman" w:hAnsi="Times New Roman" w:eastAsia="仿宋_GB2312" w:cs="仿宋_GB2312"/>
                <w:color w:val="auto"/>
                <w:sz w:val="24"/>
                <w:szCs w:val="24"/>
                <w:highlight w:val="none"/>
              </w:rPr>
            </w:pPr>
            <w:bookmarkStart w:id="18" w:name="_Toc23051"/>
            <w:bookmarkStart w:id="19" w:name="_Toc90734982"/>
            <w:r>
              <w:rPr>
                <w:rFonts w:hint="eastAsia" w:ascii="Times New Roman" w:hAnsi="Times New Roman" w:eastAsia="仿宋_GB2312" w:cs="仿宋_GB2312"/>
                <w:color w:val="auto"/>
                <w:sz w:val="24"/>
                <w:szCs w:val="24"/>
                <w:highlight w:val="none"/>
                <w:lang w:val="en-US" w:eastAsia="zh-CN"/>
              </w:rPr>
              <w:t>主要</w:t>
            </w:r>
            <w:r>
              <w:rPr>
                <w:rFonts w:hint="eastAsia" w:ascii="Times New Roman" w:hAnsi="Times New Roman" w:eastAsia="仿宋_GB2312" w:cs="仿宋_GB2312"/>
                <w:color w:val="auto"/>
                <w:sz w:val="24"/>
                <w:szCs w:val="24"/>
                <w:highlight w:val="none"/>
              </w:rPr>
              <w:t>教学内容</w:t>
            </w:r>
            <w:bookmarkEnd w:id="18"/>
            <w:bookmarkEnd w:id="19"/>
          </w:p>
        </w:tc>
        <w:tc>
          <w:tcPr>
            <w:tcW w:w="2626" w:type="dxa"/>
            <w:vAlign w:val="center"/>
          </w:tcPr>
          <w:p w14:paraId="06E66216">
            <w:pPr>
              <w:spacing w:line="360" w:lineRule="exact"/>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教学要求</w:t>
            </w:r>
          </w:p>
        </w:tc>
      </w:tr>
      <w:tr w14:paraId="70B6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5" w:hRule="atLeast"/>
          <w:jc w:val="center"/>
        </w:trPr>
        <w:tc>
          <w:tcPr>
            <w:tcW w:w="507" w:type="dxa"/>
            <w:vAlign w:val="center"/>
          </w:tcPr>
          <w:p w14:paraId="2BCEC3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752" w:type="dxa"/>
            <w:vAlign w:val="center"/>
          </w:tcPr>
          <w:p w14:paraId="485A42A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思想道德与法治</w:t>
            </w:r>
          </w:p>
        </w:tc>
        <w:tc>
          <w:tcPr>
            <w:tcW w:w="4011" w:type="dxa"/>
            <w:vAlign w:val="top"/>
          </w:tcPr>
          <w:p w14:paraId="0D1A1F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09B64E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w:t>
            </w:r>
            <w:r>
              <w:rPr>
                <w:rFonts w:hint="eastAsia" w:ascii="Times New Roman" w:hAnsi="Times New Roman"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147938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877" w:type="dxa"/>
            <w:vAlign w:val="top"/>
          </w:tcPr>
          <w:p w14:paraId="1B2FDC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auto"/>
                <w:sz w:val="24"/>
                <w:szCs w:val="24"/>
                <w:highlight w:val="none"/>
                <w:lang w:val="en-US" w:eastAsia="zh-CN"/>
              </w:rPr>
              <w:t>和</w:t>
            </w:r>
            <w:r>
              <w:rPr>
                <w:rFonts w:hint="eastAsia" w:ascii="Times New Roman" w:hAnsi="Times New Roman"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49A727E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shd w:val="clear" w:color="auto" w:fill="FFFFFF"/>
              </w:rPr>
            </w:pPr>
            <w:r>
              <w:rPr>
                <w:rFonts w:hint="eastAsia" w:ascii="Times New Roman" w:hAnsi="Times New Roman"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76E6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B09EC6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752" w:type="dxa"/>
            <w:shd w:val="clear" w:color="auto" w:fill="auto"/>
            <w:vAlign w:val="center"/>
          </w:tcPr>
          <w:p w14:paraId="2D26474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rPr>
              <w:t>形势与政策</w:t>
            </w:r>
          </w:p>
        </w:tc>
        <w:tc>
          <w:tcPr>
            <w:tcW w:w="4011" w:type="dxa"/>
            <w:shd w:val="clear" w:color="auto" w:fill="auto"/>
            <w:vAlign w:val="top"/>
          </w:tcPr>
          <w:p w14:paraId="75BFEC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难点问题，紧跟时代脉搏，融入变革潮流；重点是了解</w:t>
            </w:r>
            <w:r>
              <w:rPr>
                <w:rFonts w:hint="eastAsia" w:ascii="Times New Roman" w:hAnsi="Times New Roman" w:eastAsia="仿宋_GB2312" w:cs="仿宋_GB2312"/>
                <w:b w:val="0"/>
                <w:bCs w:val="0"/>
                <w:color w:val="auto"/>
                <w:sz w:val="24"/>
                <w:szCs w:val="24"/>
                <w:highlight w:val="none"/>
                <w:lang w:val="en-US" w:eastAsia="zh-CN"/>
              </w:rPr>
              <w:t>党的二十</w:t>
            </w:r>
            <w:r>
              <w:rPr>
                <w:rFonts w:hint="eastAsia" w:ascii="Times New Roman" w:hAnsi="Times New Roman" w:eastAsia="仿宋_GB2312" w:cs="仿宋_GB2312"/>
                <w:b w:val="0"/>
                <w:bCs w:val="0"/>
                <w:color w:val="auto"/>
                <w:sz w:val="24"/>
                <w:szCs w:val="24"/>
                <w:highlight w:val="none"/>
              </w:rPr>
              <w:t>大以来形成的一系列政策体系，理解党的路线、方针、政策的正确性。</w:t>
            </w:r>
          </w:p>
          <w:p w14:paraId="09F9A5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3D8990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lang w:val="en-US" w:eastAsia="zh-CN"/>
              </w:rPr>
              <w:t>帮助</w:t>
            </w:r>
            <w:r>
              <w:rPr>
                <w:rFonts w:hint="eastAsia" w:ascii="Times New Roman" w:hAnsi="Times New Roman" w:eastAsia="仿宋_GB2312" w:cs="仿宋_GB2312"/>
                <w:b w:val="0"/>
                <w:bCs w:val="0"/>
                <w:color w:val="auto"/>
                <w:sz w:val="24"/>
                <w:szCs w:val="24"/>
                <w:highlight w:val="none"/>
              </w:rPr>
              <w:t>学生感知国情民意，</w:t>
            </w:r>
            <w:r>
              <w:rPr>
                <w:rFonts w:hint="eastAsia" w:ascii="Times New Roman" w:hAnsi="Times New Roman" w:eastAsia="仿宋_GB2312" w:cs="仿宋_GB2312"/>
                <w:b w:val="0"/>
                <w:bCs w:val="0"/>
                <w:color w:val="auto"/>
                <w:sz w:val="24"/>
                <w:szCs w:val="24"/>
                <w:highlight w:val="none"/>
                <w:lang w:val="en-US" w:eastAsia="zh-CN"/>
              </w:rPr>
              <w:t>认可</w:t>
            </w:r>
            <w:r>
              <w:rPr>
                <w:rFonts w:hint="eastAsia" w:ascii="Times New Roman" w:hAnsi="Times New Roman"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Times New Roman" w:hAnsi="Times New Roman" w:eastAsia="仿宋_GB2312" w:cs="仿宋_GB2312"/>
                <w:b w:val="0"/>
                <w:bCs w:val="0"/>
                <w:color w:val="auto"/>
                <w:sz w:val="24"/>
                <w:szCs w:val="24"/>
                <w:highlight w:val="none"/>
                <w:lang w:val="en-US" w:eastAsia="zh-CN"/>
              </w:rPr>
              <w:t>不断增强</w:t>
            </w:r>
            <w:r>
              <w:rPr>
                <w:rFonts w:hint="eastAsia" w:ascii="Times New Roman" w:hAnsi="Times New Roman" w:eastAsia="仿宋_GB2312" w:cs="仿宋_GB2312"/>
                <w:b w:val="0"/>
                <w:bCs w:val="0"/>
                <w:color w:val="auto"/>
                <w:sz w:val="24"/>
                <w:szCs w:val="24"/>
                <w:highlight w:val="none"/>
              </w:rPr>
              <w:t>“四个意识”</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坚定“四个自信”</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做到“两个维护”，为实现中华民族伟大复兴而发奋学习。</w:t>
            </w:r>
          </w:p>
          <w:p w14:paraId="3C8AC3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877" w:type="dxa"/>
            <w:shd w:val="clear" w:color="auto" w:fill="auto"/>
            <w:vAlign w:val="top"/>
          </w:tcPr>
          <w:p w14:paraId="62D1DC3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根据</w:t>
            </w:r>
            <w:r>
              <w:rPr>
                <w:rFonts w:hint="eastAsia" w:ascii="Times New Roman" w:hAnsi="Times New Roman" w:eastAsia="仿宋_GB2312" w:cs="仿宋_GB2312"/>
                <w:color w:val="auto"/>
                <w:sz w:val="24"/>
                <w:szCs w:val="24"/>
                <w:highlight w:val="none"/>
                <w:lang w:eastAsia="zh-CN"/>
              </w:rPr>
              <w:t>新时代面临的新情况新问题，针对学生关注的热点问题和思想特点，</w:t>
            </w:r>
            <w:r>
              <w:rPr>
                <w:rFonts w:hint="eastAsia" w:ascii="Times New Roman" w:hAnsi="Times New Roman" w:eastAsia="仿宋_GB2312" w:cs="仿宋_GB2312"/>
                <w:color w:val="auto"/>
                <w:sz w:val="24"/>
                <w:szCs w:val="24"/>
                <w:highlight w:val="none"/>
              </w:rPr>
              <w:t>涵盖国际形势、国内形势、社会热点、国家政策等</w:t>
            </w:r>
            <w:r>
              <w:rPr>
                <w:rFonts w:hint="eastAsia" w:ascii="Times New Roman" w:hAnsi="Times New Roman" w:eastAsia="仿宋_GB2312" w:cs="仿宋_GB2312"/>
                <w:color w:val="auto"/>
                <w:sz w:val="24"/>
                <w:szCs w:val="24"/>
                <w:highlight w:val="none"/>
                <w:lang w:val="en-US" w:eastAsia="zh-CN"/>
              </w:rPr>
              <w:t>内容</w:t>
            </w:r>
            <w:r>
              <w:rPr>
                <w:rFonts w:hint="eastAsia" w:ascii="Times New Roman" w:hAnsi="Times New Roman"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04169F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Times New Roman" w:hAnsi="Times New Roman" w:eastAsia="仿宋_GB2312" w:cs="仿宋_GB2312"/>
                <w:color w:val="auto"/>
                <w:sz w:val="24"/>
                <w:szCs w:val="24"/>
                <w:highlight w:val="none"/>
              </w:rPr>
              <w:t>教师</w:t>
            </w:r>
            <w:r>
              <w:rPr>
                <w:rFonts w:hint="eastAsia" w:ascii="Times New Roman" w:hAnsi="Times New Roman" w:eastAsia="仿宋_GB2312" w:cs="仿宋_GB2312"/>
                <w:color w:val="auto"/>
                <w:sz w:val="24"/>
                <w:szCs w:val="24"/>
                <w:highlight w:val="none"/>
                <w:lang w:val="en-US" w:eastAsia="zh-CN"/>
              </w:rPr>
              <w:t>应</w:t>
            </w:r>
            <w:r>
              <w:rPr>
                <w:rFonts w:hint="eastAsia" w:ascii="Times New Roman" w:hAnsi="Times New Roman"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2C5D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0" w:hRule="atLeast"/>
          <w:jc w:val="center"/>
        </w:trPr>
        <w:tc>
          <w:tcPr>
            <w:tcW w:w="507" w:type="dxa"/>
            <w:vAlign w:val="center"/>
          </w:tcPr>
          <w:p w14:paraId="3B06175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752" w:type="dxa"/>
            <w:shd w:val="clear" w:color="auto" w:fill="auto"/>
            <w:vAlign w:val="center"/>
          </w:tcPr>
          <w:p w14:paraId="20F878C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国家安全教育</w:t>
            </w:r>
          </w:p>
        </w:tc>
        <w:tc>
          <w:tcPr>
            <w:tcW w:w="4011" w:type="dxa"/>
            <w:shd w:val="clear" w:color="auto" w:fill="auto"/>
            <w:vAlign w:val="top"/>
          </w:tcPr>
          <w:p w14:paraId="1AACDF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7B779D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lang w:val="en-US" w:eastAsia="zh-CN"/>
              </w:rPr>
              <w:t>能</w:t>
            </w:r>
            <w:r>
              <w:rPr>
                <w:rFonts w:hint="eastAsia" w:ascii="Times New Roman" w:hAnsi="Times New Roman" w:eastAsia="仿宋_GB2312" w:cs="仿宋_GB2312"/>
                <w:b/>
                <w:bCs/>
                <w:color w:val="auto"/>
                <w:sz w:val="24"/>
                <w:szCs w:val="24"/>
                <w:highlight w:val="none"/>
              </w:rPr>
              <w:t>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583F9D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p>
          <w:p w14:paraId="247CBE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877" w:type="dxa"/>
            <w:shd w:val="clear" w:color="auto" w:fill="auto"/>
            <w:vAlign w:val="top"/>
          </w:tcPr>
          <w:p w14:paraId="6802A6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777776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auto"/>
                <w:sz w:val="24"/>
                <w:szCs w:val="24"/>
                <w:highlight w:val="none"/>
                <w:lang w:val="en-US" w:eastAsia="zh-CN"/>
              </w:rPr>
              <w:t>论文</w:t>
            </w:r>
            <w:r>
              <w:rPr>
                <w:rFonts w:hint="eastAsia" w:ascii="Times New Roman" w:hAnsi="Times New Roman" w:eastAsia="仿宋_GB2312" w:cs="仿宋_GB2312"/>
                <w:color w:val="auto"/>
                <w:sz w:val="24"/>
                <w:szCs w:val="24"/>
                <w:highlight w:val="none"/>
              </w:rPr>
              <w:t>考</w:t>
            </w:r>
            <w:r>
              <w:rPr>
                <w:rFonts w:hint="eastAsia" w:ascii="Times New Roman" w:hAnsi="Times New Roman" w:eastAsia="仿宋_GB2312" w:cs="仿宋_GB2312"/>
                <w:color w:val="auto"/>
                <w:sz w:val="24"/>
                <w:szCs w:val="24"/>
                <w:highlight w:val="none"/>
                <w:lang w:val="en-US" w:eastAsia="zh-CN"/>
              </w:rPr>
              <w:t>查</w:t>
            </w:r>
            <w:r>
              <w:rPr>
                <w:rFonts w:hint="eastAsia" w:ascii="Times New Roman" w:hAnsi="Times New Roman"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22A0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0" w:hRule="atLeast"/>
          <w:jc w:val="center"/>
        </w:trPr>
        <w:tc>
          <w:tcPr>
            <w:tcW w:w="507" w:type="dxa"/>
            <w:vAlign w:val="center"/>
          </w:tcPr>
          <w:p w14:paraId="0D3911C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752" w:type="dxa"/>
            <w:shd w:val="clear" w:color="auto" w:fill="auto"/>
            <w:vAlign w:val="center"/>
          </w:tcPr>
          <w:p w14:paraId="37D5B9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军事理论</w:t>
            </w:r>
          </w:p>
        </w:tc>
        <w:tc>
          <w:tcPr>
            <w:tcW w:w="4011" w:type="dxa"/>
            <w:shd w:val="clear" w:color="auto" w:fill="auto"/>
            <w:vAlign w:val="top"/>
          </w:tcPr>
          <w:p w14:paraId="348CD7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7D0F0A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98A75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6E614C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877" w:type="dxa"/>
            <w:shd w:val="clear" w:color="auto" w:fill="auto"/>
            <w:vAlign w:val="top"/>
          </w:tcPr>
          <w:p w14:paraId="041AB8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38C3E1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14:paraId="19F2983A">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1DF0923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r>
      <w:tr w14:paraId="3A26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5" w:hRule="atLeast"/>
          <w:jc w:val="center"/>
        </w:trPr>
        <w:tc>
          <w:tcPr>
            <w:tcW w:w="507" w:type="dxa"/>
            <w:vAlign w:val="center"/>
          </w:tcPr>
          <w:p w14:paraId="5E89F2C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752" w:type="dxa"/>
            <w:shd w:val="clear" w:color="auto" w:fill="auto"/>
            <w:vAlign w:val="center"/>
          </w:tcPr>
          <w:p w14:paraId="0B7A826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军训</w:t>
            </w:r>
          </w:p>
        </w:tc>
        <w:tc>
          <w:tcPr>
            <w:tcW w:w="4011" w:type="dxa"/>
            <w:shd w:val="clear" w:color="auto" w:fill="auto"/>
            <w:vAlign w:val="top"/>
          </w:tcPr>
          <w:p w14:paraId="4E7BA6D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2AA96E6F">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0E5C22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229994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877" w:type="dxa"/>
            <w:shd w:val="clear" w:color="auto" w:fill="auto"/>
            <w:vAlign w:val="top"/>
          </w:tcPr>
          <w:p w14:paraId="0B7ED6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58334D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top"/>
          </w:tcPr>
          <w:p w14:paraId="14442F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3769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4E081C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69111A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011" w:type="dxa"/>
            <w:shd w:val="clear" w:color="auto" w:fill="auto"/>
            <w:vAlign w:val="top"/>
          </w:tcPr>
          <w:p w14:paraId="792467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50ECA6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44BA46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35EE4BF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877" w:type="dxa"/>
            <w:shd w:val="clear" w:color="auto" w:fill="auto"/>
            <w:vAlign w:val="top"/>
          </w:tcPr>
          <w:p w14:paraId="4895D10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757DCC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530E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2E2AE98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752" w:type="dxa"/>
            <w:shd w:val="clear" w:color="auto" w:fill="auto"/>
            <w:vAlign w:val="center"/>
          </w:tcPr>
          <w:p w14:paraId="55C184A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011" w:type="dxa"/>
            <w:shd w:val="clear" w:color="auto" w:fill="auto"/>
            <w:vAlign w:val="top"/>
          </w:tcPr>
          <w:p w14:paraId="5C80BB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5329CE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1F8D89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43F2E9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877" w:type="dxa"/>
            <w:shd w:val="clear" w:color="auto" w:fill="auto"/>
            <w:vAlign w:val="top"/>
          </w:tcPr>
          <w:p w14:paraId="797F72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299D16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275A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14:paraId="5D88367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8</w:t>
            </w:r>
          </w:p>
        </w:tc>
        <w:tc>
          <w:tcPr>
            <w:tcW w:w="752" w:type="dxa"/>
            <w:shd w:val="clear" w:color="auto" w:fill="auto"/>
            <w:vAlign w:val="center"/>
          </w:tcPr>
          <w:p w14:paraId="770DE8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011" w:type="dxa"/>
            <w:shd w:val="clear" w:color="auto" w:fill="auto"/>
            <w:vAlign w:val="top"/>
          </w:tcPr>
          <w:p w14:paraId="37ABAA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0301E9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56CE52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177537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877" w:type="dxa"/>
            <w:shd w:val="clear" w:color="auto" w:fill="auto"/>
            <w:vAlign w:val="top"/>
          </w:tcPr>
          <w:p w14:paraId="56DC07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27A98C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对教师的要求：采用情景教学法，设计职场情境任务。结合信息化手段，注重实践能力培养。</w:t>
            </w:r>
          </w:p>
          <w:p w14:paraId="7620B3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color w:val="auto"/>
                <w:sz w:val="24"/>
                <w:szCs w:val="24"/>
                <w:highlight w:val="none"/>
              </w:rPr>
              <w:t>对学生的要求：参与课堂活动，完成实践任务。利用网络资源自主学习，提升应用能力。</w:t>
            </w:r>
          </w:p>
        </w:tc>
      </w:tr>
      <w:tr w14:paraId="2E5E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57CDA6E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9</w:t>
            </w:r>
          </w:p>
        </w:tc>
        <w:tc>
          <w:tcPr>
            <w:tcW w:w="752" w:type="dxa"/>
            <w:shd w:val="clear" w:color="auto" w:fill="auto"/>
            <w:vAlign w:val="center"/>
          </w:tcPr>
          <w:p w14:paraId="2F713DD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大学体育</w:t>
            </w:r>
          </w:p>
        </w:tc>
        <w:tc>
          <w:tcPr>
            <w:tcW w:w="4011" w:type="dxa"/>
            <w:shd w:val="clear" w:color="auto" w:fill="auto"/>
            <w:vAlign w:val="top"/>
          </w:tcPr>
          <w:p w14:paraId="0BC05F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3D0982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发展学生基础运动技能，提升速度、力量、耐力等身体素质。培养1-2项运动特长，</w:t>
            </w:r>
            <w:r>
              <w:rPr>
                <w:rFonts w:hint="eastAsia" w:ascii="Times New Roman" w:hAnsi="Times New Roman" w:eastAsia="仿宋_GB2312" w:cs="仿宋_GB2312"/>
                <w:b w:val="0"/>
                <w:bCs w:val="0"/>
                <w:color w:val="auto"/>
                <w:sz w:val="24"/>
                <w:szCs w:val="24"/>
                <w:highlight w:val="none"/>
              </w:rPr>
              <w:t>提升体育运动能力，提高职业体能水平。</w:t>
            </w:r>
            <w:r>
              <w:rPr>
                <w:rFonts w:hint="eastAsia" w:ascii="Times New Roman" w:hAnsi="Times New Roman" w:eastAsia="仿宋_GB2312" w:cs="仿宋_GB2312"/>
                <w:color w:val="auto"/>
                <w:sz w:val="24"/>
                <w:szCs w:val="24"/>
                <w:highlight w:val="none"/>
              </w:rPr>
              <w:t>增强团队协作能力和体育竞赛组织能力。</w:t>
            </w:r>
          </w:p>
          <w:p w14:paraId="65C091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auto"/>
                <w:sz w:val="24"/>
                <w:szCs w:val="24"/>
                <w:highlight w:val="none"/>
                <w:lang w:eastAsia="zh-CN"/>
              </w:rPr>
              <w:t>。</w:t>
            </w:r>
          </w:p>
          <w:p w14:paraId="202526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p w14:paraId="125C88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p>
        </w:tc>
        <w:tc>
          <w:tcPr>
            <w:tcW w:w="2877" w:type="dxa"/>
            <w:shd w:val="clear" w:color="auto" w:fill="auto"/>
            <w:vAlign w:val="top"/>
          </w:tcPr>
          <w:p w14:paraId="1E91954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基础体能训练提升身体素质；球类、田径等专项技能教学；特色项目如</w:t>
            </w:r>
            <w:r>
              <w:rPr>
                <w:rFonts w:hint="eastAsia" w:ascii="Times New Roman" w:hAnsi="Times New Roman" w:eastAsia="仿宋_GB2312" w:cs="仿宋_GB2312"/>
                <w:color w:val="auto"/>
                <w:sz w:val="24"/>
                <w:szCs w:val="24"/>
                <w:highlight w:val="none"/>
                <w:lang w:val="en-US" w:eastAsia="zh-CN"/>
              </w:rPr>
              <w:t>武术</w:t>
            </w:r>
            <w:r>
              <w:rPr>
                <w:rFonts w:hint="eastAsia" w:ascii="Times New Roman" w:hAnsi="Times New Roman"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14:paraId="5C371FB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lang w:val="en-US" w:eastAsia="zh-CN"/>
              </w:rPr>
              <w:t>教师需</w:t>
            </w:r>
            <w:r>
              <w:rPr>
                <w:rFonts w:hint="eastAsia" w:ascii="Times New Roman" w:hAnsi="Times New Roman"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79D6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8B45BA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10</w:t>
            </w:r>
          </w:p>
        </w:tc>
        <w:tc>
          <w:tcPr>
            <w:tcW w:w="752" w:type="dxa"/>
            <w:shd w:val="clear" w:color="auto" w:fill="auto"/>
            <w:vAlign w:val="center"/>
          </w:tcPr>
          <w:p w14:paraId="1FD825B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大学生职业发展与就业指导</w:t>
            </w:r>
          </w:p>
        </w:tc>
        <w:tc>
          <w:tcPr>
            <w:tcW w:w="4011" w:type="dxa"/>
            <w:shd w:val="clear" w:color="auto" w:fill="auto"/>
            <w:vAlign w:val="top"/>
          </w:tcPr>
          <w:p w14:paraId="1CBDC7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掌握职业生涯规划基本理论，了解就业政策与劳动法规。学习求职材料制作规范，熟悉职场礼仪与职业素养要求。</w:t>
            </w:r>
          </w:p>
          <w:p w14:paraId="49F90D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培养职业规划与决策能力，提升简历制作与面试技巧</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提高学生求职应职技巧，</w:t>
            </w:r>
            <w:r>
              <w:rPr>
                <w:rFonts w:hint="eastAsia" w:ascii="Times New Roman" w:hAnsi="Times New Roman" w:eastAsia="仿宋_GB2312" w:cs="仿宋_GB2312"/>
                <w:color w:val="auto"/>
                <w:sz w:val="24"/>
                <w:szCs w:val="24"/>
                <w:highlight w:val="none"/>
              </w:rPr>
              <w:t>增强就业信息获取能力，掌握职场适应与职业发展方法。</w:t>
            </w:r>
          </w:p>
          <w:p w14:paraId="56CE9D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653AB12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rPr>
              <w:t>通过加强就业形势和政策的宣传教育，</w:t>
            </w:r>
            <w:r>
              <w:rPr>
                <w:rFonts w:hint="eastAsia" w:ascii="Times New Roman" w:hAnsi="Times New Roman"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877" w:type="dxa"/>
            <w:shd w:val="clear" w:color="auto" w:fill="auto"/>
            <w:vAlign w:val="top"/>
          </w:tcPr>
          <w:p w14:paraId="0A84D33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067C60E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33F0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5" w:hRule="atLeast"/>
          <w:jc w:val="center"/>
        </w:trPr>
        <w:tc>
          <w:tcPr>
            <w:tcW w:w="507" w:type="dxa"/>
            <w:vAlign w:val="center"/>
          </w:tcPr>
          <w:p w14:paraId="39FE44F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w:t>
            </w:r>
          </w:p>
        </w:tc>
        <w:tc>
          <w:tcPr>
            <w:tcW w:w="752" w:type="dxa"/>
            <w:shd w:val="clear" w:color="auto" w:fill="auto"/>
            <w:vAlign w:val="center"/>
          </w:tcPr>
          <w:p w14:paraId="7BF2EF6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大学生心理健康教育</w:t>
            </w:r>
          </w:p>
        </w:tc>
        <w:tc>
          <w:tcPr>
            <w:tcW w:w="4011" w:type="dxa"/>
            <w:shd w:val="clear" w:color="auto" w:fill="auto"/>
            <w:vAlign w:val="top"/>
          </w:tcPr>
          <w:p w14:paraId="485384A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掌握心理健康基本概念和标准，了解常见心理问题表现及成因。</w:t>
            </w:r>
            <w:r>
              <w:rPr>
                <w:rFonts w:hint="eastAsia" w:ascii="Times New Roman" w:hAnsi="Times New Roman" w:eastAsia="仿宋_GB2312" w:cs="仿宋_GB2312"/>
                <w:color w:val="auto"/>
                <w:sz w:val="24"/>
                <w:szCs w:val="24"/>
                <w:highlight w:val="none"/>
                <w:lang w:val="en-US" w:eastAsia="zh-CN"/>
              </w:rPr>
              <w:t>掌握</w:t>
            </w:r>
            <w:r>
              <w:rPr>
                <w:rFonts w:hint="eastAsia" w:ascii="Times New Roman" w:hAnsi="Times New Roman" w:eastAsia="仿宋_GB2312" w:cs="仿宋_GB2312"/>
                <w:color w:val="auto"/>
                <w:sz w:val="24"/>
                <w:szCs w:val="24"/>
                <w:highlight w:val="none"/>
              </w:rPr>
              <w:t>情绪管理、压力应对等心理调适方法，增强自我认知能力。</w:t>
            </w:r>
          </w:p>
          <w:p w14:paraId="5750B8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w:t>
            </w:r>
            <w:r>
              <w:rPr>
                <w:rFonts w:hint="eastAsia" w:ascii="Times New Roman" w:hAnsi="Times New Roman" w:eastAsia="仿宋_GB2312" w:cs="仿宋_GB2312"/>
                <w:color w:val="auto"/>
                <w:sz w:val="24"/>
                <w:szCs w:val="24"/>
                <w:highlight w:val="none"/>
                <w:lang w:val="en-US" w:eastAsia="zh-CN"/>
              </w:rPr>
              <w:t>学生</w:t>
            </w:r>
            <w:r>
              <w:rPr>
                <w:rFonts w:hint="eastAsia" w:ascii="Times New Roman" w:hAnsi="Times New Roman" w:eastAsia="仿宋_GB2312" w:cs="仿宋_GB2312"/>
                <w:color w:val="auto"/>
                <w:sz w:val="24"/>
                <w:szCs w:val="24"/>
                <w:highlight w:val="none"/>
              </w:rPr>
              <w:t>情绪调节与压力管理能力，提升人际沟通与冲突解决水平。使学生掌握心理自助技巧，具备初步心理问题识别与求助能力。</w:t>
            </w:r>
          </w:p>
          <w:p w14:paraId="21AD62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color w:val="auto"/>
                <w:sz w:val="24"/>
                <w:szCs w:val="24"/>
                <w:highlight w:val="none"/>
              </w:rPr>
              <w:t>培养</w:t>
            </w:r>
            <w:r>
              <w:rPr>
                <w:rFonts w:hint="eastAsia" w:ascii="Times New Roman" w:hAnsi="Times New Roman" w:eastAsia="仿宋_GB2312" w:cs="仿宋_GB2312"/>
                <w:color w:val="auto"/>
                <w:sz w:val="24"/>
                <w:szCs w:val="24"/>
                <w:highlight w:val="none"/>
                <w:lang w:val="en-US" w:eastAsia="zh-CN"/>
              </w:rPr>
              <w:t>学生</w:t>
            </w:r>
            <w:r>
              <w:rPr>
                <w:rFonts w:hint="eastAsia" w:ascii="Times New Roman" w:hAnsi="Times New Roman" w:eastAsia="仿宋_GB2312" w:cs="仿宋_GB2312"/>
                <w:color w:val="auto"/>
                <w:sz w:val="24"/>
                <w:szCs w:val="24"/>
                <w:highlight w:val="none"/>
              </w:rPr>
              <w:t>积极乐观的人生态度，增强心理韧性和适应能力。树立正确的自我认知，形成健康的生活方式与行为习惯。</w:t>
            </w:r>
          </w:p>
          <w:p w14:paraId="6C1194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877" w:type="dxa"/>
            <w:shd w:val="clear" w:color="auto" w:fill="auto"/>
            <w:vAlign w:val="top"/>
          </w:tcPr>
          <w:p w14:paraId="7C2E781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4782665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shd w:val="clear" w:color="auto" w:fill="FFFFFF"/>
                <w:lang w:val="en-US" w:eastAsia="zh-CN" w:bidi="ar-SA"/>
              </w:rPr>
            </w:pPr>
            <w:r>
              <w:rPr>
                <w:rFonts w:hint="eastAsia" w:ascii="Times New Roman" w:hAnsi="Times New Roman"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573A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0" w:hRule="atLeast"/>
          <w:jc w:val="center"/>
        </w:trPr>
        <w:tc>
          <w:tcPr>
            <w:tcW w:w="507" w:type="dxa"/>
            <w:vAlign w:val="center"/>
          </w:tcPr>
          <w:p w14:paraId="6F9B19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752" w:type="dxa"/>
            <w:shd w:val="clear" w:color="auto" w:fill="auto"/>
            <w:vAlign w:val="center"/>
          </w:tcPr>
          <w:p w14:paraId="40CAF68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劳动教育</w:t>
            </w:r>
          </w:p>
        </w:tc>
        <w:tc>
          <w:tcPr>
            <w:tcW w:w="4011" w:type="dxa"/>
            <w:shd w:val="clear" w:color="auto" w:fill="auto"/>
            <w:vAlign w:val="top"/>
          </w:tcPr>
          <w:p w14:paraId="6732FB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w:t>
            </w:r>
            <w:r>
              <w:rPr>
                <w:rFonts w:hint="eastAsia" w:ascii="Times New Roman" w:hAnsi="Times New Roman"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53F657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74D921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137EA8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弘扬劳模精神与工匠精神，强化劳动育人功能。</w:t>
            </w:r>
            <w:r>
              <w:rPr>
                <w:rFonts w:hint="eastAsia" w:ascii="Times New Roman" w:hAnsi="Times New Roman"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877" w:type="dxa"/>
            <w:shd w:val="clear" w:color="auto" w:fill="auto"/>
            <w:vAlign w:val="top"/>
          </w:tcPr>
          <w:p w14:paraId="502F6CB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7BAC6F2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3EEF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5" w:hRule="atLeast"/>
          <w:jc w:val="center"/>
        </w:trPr>
        <w:tc>
          <w:tcPr>
            <w:tcW w:w="507" w:type="dxa"/>
            <w:vAlign w:val="center"/>
          </w:tcPr>
          <w:p w14:paraId="43FABA1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13</w:t>
            </w:r>
          </w:p>
        </w:tc>
        <w:tc>
          <w:tcPr>
            <w:tcW w:w="752" w:type="dxa"/>
            <w:shd w:val="clear" w:color="auto" w:fill="auto"/>
            <w:vAlign w:val="center"/>
          </w:tcPr>
          <w:p w14:paraId="7916DC9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毛泽东思想和中国特色社会主义理论体系概论</w:t>
            </w:r>
          </w:p>
        </w:tc>
        <w:tc>
          <w:tcPr>
            <w:tcW w:w="4011" w:type="dxa"/>
            <w:shd w:val="clear" w:color="auto" w:fill="auto"/>
            <w:vAlign w:val="top"/>
          </w:tcPr>
          <w:p w14:paraId="4D9F68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全面理解马克思主义中国化理论成果的科学内涵、理论体系、思想精髓、精神实质</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Times New Roman" w:hAnsi="Times New Roman" w:eastAsia="仿宋_GB2312" w:cs="仿宋_GB2312"/>
                <w:b w:val="0"/>
                <w:bCs w:val="0"/>
                <w:color w:val="auto"/>
                <w:sz w:val="24"/>
                <w:szCs w:val="24"/>
                <w:highlight w:val="none"/>
                <w:lang w:val="en-US" w:eastAsia="zh-CN"/>
              </w:rPr>
              <w:t xml:space="preserve">  </w:t>
            </w:r>
          </w:p>
          <w:p w14:paraId="5843AD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32694A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w:t>
            </w:r>
            <w:r>
              <w:rPr>
                <w:rFonts w:hint="eastAsia" w:ascii="Times New Roman" w:hAnsi="Times New Roman" w:eastAsia="仿宋_GB2312" w:cs="仿宋_GB2312"/>
                <w:b/>
                <w:bCs/>
                <w:color w:val="auto"/>
                <w:sz w:val="24"/>
                <w:szCs w:val="24"/>
                <w:highlight w:val="none"/>
              </w:rPr>
              <w:t>目标</w:t>
            </w:r>
            <w:r>
              <w:rPr>
                <w:rFonts w:hint="eastAsia" w:ascii="Times New Roman" w:hAnsi="Times New Roman"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auto"/>
                <w:sz w:val="24"/>
                <w:szCs w:val="24"/>
                <w:highlight w:val="none"/>
                <w:lang w:val="en-US" w:eastAsia="zh-CN"/>
              </w:rPr>
              <w:t>自觉</w:t>
            </w:r>
            <w:r>
              <w:rPr>
                <w:rFonts w:hint="eastAsia" w:ascii="Times New Roman" w:hAnsi="Times New Roman" w:eastAsia="仿宋_GB2312" w:cs="仿宋_GB2312"/>
                <w:b w:val="0"/>
                <w:bCs w:val="0"/>
                <w:color w:val="auto"/>
                <w:sz w:val="24"/>
                <w:szCs w:val="24"/>
                <w:highlight w:val="none"/>
                <w:lang w:eastAsia="zh-CN"/>
              </w:rPr>
              <w:t>增强“四个意识”、坚定“四个自信”、</w:t>
            </w:r>
            <w:r>
              <w:rPr>
                <w:rFonts w:hint="eastAsia" w:ascii="Times New Roman" w:hAnsi="Times New Roman" w:eastAsia="仿宋_GB2312" w:cs="仿宋_GB2312"/>
                <w:b w:val="0"/>
                <w:bCs w:val="0"/>
                <w:color w:val="auto"/>
                <w:sz w:val="24"/>
                <w:szCs w:val="24"/>
                <w:highlight w:val="none"/>
              </w:rPr>
              <w:t>做到“两个维护”，</w:t>
            </w:r>
            <w:r>
              <w:rPr>
                <w:rFonts w:hint="eastAsia" w:ascii="Times New Roman" w:hAnsi="Times New Roman" w:eastAsia="仿宋_GB2312" w:cs="仿宋_GB2312"/>
                <w:b w:val="0"/>
                <w:bCs w:val="0"/>
                <w:color w:val="auto"/>
                <w:sz w:val="24"/>
                <w:szCs w:val="24"/>
                <w:highlight w:val="none"/>
                <w:lang w:val="en-US" w:eastAsia="zh-CN"/>
              </w:rPr>
              <w:t>努力学习</w:t>
            </w:r>
            <w:r>
              <w:rPr>
                <w:rFonts w:hint="eastAsia" w:ascii="Times New Roman" w:hAnsi="Times New Roman" w:eastAsia="仿宋_GB2312" w:cs="仿宋_GB2312"/>
                <w:i w:val="0"/>
                <w:iCs w:val="0"/>
                <w:caps w:val="0"/>
                <w:color w:val="auto"/>
                <w:spacing w:val="0"/>
                <w:sz w:val="24"/>
                <w:szCs w:val="24"/>
                <w:highlight w:val="none"/>
                <w:shd w:val="clear" w:fill="FFFFFF"/>
              </w:rPr>
              <w:t>文化知识，增强自己的本领</w:t>
            </w:r>
            <w:r>
              <w:rPr>
                <w:rFonts w:hint="eastAsia" w:ascii="Times New Roman" w:hAnsi="Times New Roman" w:eastAsia="仿宋_GB2312" w:cs="仿宋_GB2312"/>
                <w:i w:val="0"/>
                <w:iCs w:val="0"/>
                <w:caps w:val="0"/>
                <w:color w:val="auto"/>
                <w:spacing w:val="0"/>
                <w:sz w:val="24"/>
                <w:szCs w:val="24"/>
                <w:highlight w:val="none"/>
                <w:shd w:val="clear" w:fill="FFFFFF"/>
                <w:lang w:eastAsia="zh-CN"/>
              </w:rPr>
              <w:t>，</w:t>
            </w:r>
            <w:r>
              <w:rPr>
                <w:rFonts w:hint="eastAsia" w:ascii="Times New Roman" w:hAnsi="Times New Roman" w:eastAsia="仿宋_GB2312" w:cs="仿宋_GB2312"/>
                <w:b w:val="0"/>
                <w:bCs w:val="0"/>
                <w:color w:val="auto"/>
                <w:sz w:val="24"/>
                <w:szCs w:val="24"/>
                <w:highlight w:val="none"/>
              </w:rPr>
              <w:t>为实现中华民族伟大复兴中国梦而努力。</w:t>
            </w:r>
          </w:p>
        </w:tc>
        <w:tc>
          <w:tcPr>
            <w:tcW w:w="2877" w:type="dxa"/>
            <w:shd w:val="clear" w:color="auto" w:fill="auto"/>
            <w:vAlign w:val="top"/>
          </w:tcPr>
          <w:p w14:paraId="45523A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lang w:val="en-US" w:eastAsia="zh-CN"/>
              </w:rPr>
              <w:t>课程</w:t>
            </w:r>
            <w:r>
              <w:rPr>
                <w:rFonts w:hint="eastAsia" w:ascii="Times New Roman" w:hAnsi="Times New Roman"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67A4B89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62D46E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p>
        </w:tc>
        <w:tc>
          <w:tcPr>
            <w:tcW w:w="2626" w:type="dxa"/>
            <w:shd w:val="clear" w:color="auto" w:fill="auto"/>
            <w:vAlign w:val="top"/>
          </w:tcPr>
          <w:p w14:paraId="28123339">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auto"/>
                <w:kern w:val="2"/>
                <w:sz w:val="24"/>
                <w:szCs w:val="24"/>
                <w:highlight w:val="none"/>
                <w:lang w:val="en-US" w:eastAsia="zh-CN" w:bidi="ar-SA"/>
              </w:rPr>
            </w:pPr>
            <w:r>
              <w:rPr>
                <w:rFonts w:hint="eastAsia" w:ascii="Times New Roman" w:hAnsi="Times New Roman"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auto"/>
                <w:kern w:val="2"/>
                <w:sz w:val="24"/>
                <w:szCs w:val="24"/>
                <w:highlight w:val="none"/>
                <w:lang w:val="en-US" w:eastAsia="zh-CN" w:bidi="ar-SA"/>
              </w:rPr>
              <w:t>党话、跟党走，争做社会主义合格建设者和可靠接班人。</w:t>
            </w:r>
          </w:p>
          <w:p w14:paraId="3687EC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val="0"/>
                <w:bCs w:val="0"/>
                <w:color w:val="auto"/>
                <w:kern w:val="2"/>
                <w:sz w:val="24"/>
                <w:szCs w:val="24"/>
                <w:highlight w:val="none"/>
                <w:lang w:val="en-US" w:eastAsia="zh-CN" w:bidi="ar-SA"/>
              </w:rPr>
              <w:t>教学以马</w:t>
            </w:r>
            <w:r>
              <w:rPr>
                <w:rFonts w:hint="eastAsia" w:ascii="Times New Roman" w:hAnsi="Times New Roman"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3B69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3" w:hRule="atLeast"/>
          <w:jc w:val="center"/>
        </w:trPr>
        <w:tc>
          <w:tcPr>
            <w:tcW w:w="507" w:type="dxa"/>
            <w:vAlign w:val="center"/>
          </w:tcPr>
          <w:p w14:paraId="65D0B8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14</w:t>
            </w:r>
          </w:p>
        </w:tc>
        <w:tc>
          <w:tcPr>
            <w:tcW w:w="752" w:type="dxa"/>
            <w:shd w:val="clear" w:color="auto" w:fill="auto"/>
            <w:vAlign w:val="center"/>
          </w:tcPr>
          <w:p w14:paraId="46A1648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创新创业教育</w:t>
            </w:r>
          </w:p>
        </w:tc>
        <w:tc>
          <w:tcPr>
            <w:tcW w:w="4011" w:type="dxa"/>
            <w:shd w:val="clear" w:color="auto" w:fill="auto"/>
            <w:vAlign w:val="top"/>
          </w:tcPr>
          <w:p w14:paraId="7BCE0C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rPr>
              <w:t>熟悉创新思维的内涵及其基本训练方法；</w:t>
            </w:r>
            <w:r>
              <w:rPr>
                <w:rFonts w:hint="eastAsia" w:ascii="Times New Roman" w:hAnsi="Times New Roman" w:eastAsia="仿宋_GB2312" w:cs="仿宋_GB2312"/>
                <w:color w:val="auto"/>
                <w:sz w:val="24"/>
                <w:szCs w:val="24"/>
                <w:highlight w:val="none"/>
                <w:lang w:val="en-US" w:eastAsia="zh-CN"/>
              </w:rPr>
              <w:t>了解商业模式设计要点，</w:t>
            </w:r>
            <w:r>
              <w:rPr>
                <w:rFonts w:hint="eastAsia" w:ascii="Times New Roman" w:hAnsi="Times New Roman" w:eastAsia="仿宋_GB2312" w:cs="仿宋_GB2312"/>
                <w:b w:val="0"/>
                <w:bCs w:val="0"/>
                <w:color w:val="auto"/>
                <w:sz w:val="24"/>
                <w:szCs w:val="24"/>
                <w:highlight w:val="none"/>
              </w:rPr>
              <w:t>掌握常用的创新方法；掌握保护创新成果的方法</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了解创新创业政策法规。</w:t>
            </w:r>
          </w:p>
          <w:p w14:paraId="1DDCB9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val="0"/>
                <w:bCs w:val="0"/>
                <w:color w:val="auto"/>
                <w:sz w:val="24"/>
                <w:szCs w:val="24"/>
                <w:highlight w:val="none"/>
              </w:rPr>
              <w:t xml:space="preserve"> </w:t>
            </w:r>
            <w:r>
              <w:rPr>
                <w:rFonts w:hint="eastAsia" w:ascii="Times New Roman" w:hAnsi="Times New Roman"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42657C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5FC576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auto"/>
                <w:sz w:val="24"/>
                <w:szCs w:val="24"/>
                <w:highlight w:val="none"/>
                <w:lang w:val="en-US" w:eastAsia="zh-CN"/>
              </w:rPr>
              <w:t>发展</w:t>
            </w:r>
            <w:r>
              <w:rPr>
                <w:rFonts w:hint="eastAsia" w:ascii="Times New Roman" w:hAnsi="Times New Roman" w:eastAsia="仿宋_GB2312" w:cs="仿宋_GB2312"/>
                <w:b w:val="0"/>
                <w:bCs w:val="0"/>
                <w:color w:val="auto"/>
                <w:sz w:val="24"/>
                <w:szCs w:val="24"/>
                <w:highlight w:val="none"/>
              </w:rPr>
              <w:t>战略。</w:t>
            </w:r>
          </w:p>
        </w:tc>
        <w:tc>
          <w:tcPr>
            <w:tcW w:w="2877" w:type="dxa"/>
            <w:shd w:val="clear" w:color="auto" w:fill="auto"/>
            <w:vAlign w:val="top"/>
          </w:tcPr>
          <w:p w14:paraId="7941089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6824B61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1FB1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643EFC5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15</w:t>
            </w:r>
          </w:p>
        </w:tc>
        <w:tc>
          <w:tcPr>
            <w:tcW w:w="752" w:type="dxa"/>
            <w:vAlign w:val="center"/>
          </w:tcPr>
          <w:p w14:paraId="3F0D672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习近平新时代中国特色社会主义思想概论</w:t>
            </w:r>
          </w:p>
        </w:tc>
        <w:tc>
          <w:tcPr>
            <w:tcW w:w="4011" w:type="dxa"/>
            <w:vAlign w:val="top"/>
          </w:tcPr>
          <w:p w14:paraId="2F0879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4ACF26D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165AE219">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72D8940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学生能够深刻领会党和国家在经济、政治、文化、社会、生态文明等各个领域的方针政策和重大战略部署。</w:t>
            </w:r>
          </w:p>
          <w:p w14:paraId="6B5B22D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41FCA73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57AD4DBD">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0044579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635073C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7AD3F3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260B4D3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增强学生全面贯彻党的基本理论、基本路线和基本方略的自觉性和主动性。</w:t>
            </w:r>
          </w:p>
          <w:p w14:paraId="5A3C5653">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7C41D4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877" w:type="dxa"/>
            <w:vAlign w:val="top"/>
          </w:tcPr>
          <w:p w14:paraId="23A91C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课程主要的知识模块</w:t>
            </w:r>
            <w:r>
              <w:rPr>
                <w:rFonts w:hint="eastAsia" w:ascii="Times New Roman" w:hAnsi="Times New Roman" w:eastAsia="仿宋_GB2312" w:cs="仿宋_GB2312"/>
                <w:color w:val="auto"/>
                <w:sz w:val="24"/>
                <w:szCs w:val="24"/>
                <w:highlight w:val="none"/>
                <w:lang w:val="en-US" w:eastAsia="zh-CN"/>
              </w:rPr>
              <w:t>包括</w:t>
            </w:r>
            <w:r>
              <w:rPr>
                <w:rFonts w:hint="eastAsia" w:ascii="Times New Roman" w:hAnsi="Times New Roman" w:eastAsia="仿宋_GB2312" w:cs="仿宋_GB2312"/>
                <w:color w:val="auto"/>
                <w:sz w:val="24"/>
                <w:szCs w:val="24"/>
                <w:highlight w:val="none"/>
              </w:rPr>
              <w:t>：习近平新时代中国特色社会主义思想及其历史地位、坚持和发展中国特色社会主义的总任务、</w:t>
            </w:r>
            <w:r>
              <w:rPr>
                <w:rFonts w:hint="eastAsia" w:ascii="Times New Roman" w:hAnsi="Times New Roman" w:eastAsia="仿宋_GB2312" w:cs="仿宋_GB2312"/>
                <w:color w:val="auto"/>
                <w:sz w:val="24"/>
                <w:szCs w:val="24"/>
                <w:highlight w:val="none"/>
                <w:lang w:val="en-US" w:eastAsia="zh-CN"/>
              </w:rPr>
              <w:t xml:space="preserve"> </w:t>
            </w:r>
            <w:r>
              <w:rPr>
                <w:rFonts w:hint="eastAsia" w:ascii="Times New Roman" w:hAnsi="Times New Roman"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auto"/>
                <w:sz w:val="24"/>
                <w:szCs w:val="24"/>
                <w:highlight w:val="none"/>
                <w:lang w:val="en-US" w:eastAsia="zh-CN"/>
              </w:rPr>
              <w:t>等内容。</w:t>
            </w:r>
          </w:p>
        </w:tc>
        <w:tc>
          <w:tcPr>
            <w:tcW w:w="2626" w:type="dxa"/>
            <w:vAlign w:val="top"/>
          </w:tcPr>
          <w:p w14:paraId="502BCB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EFB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B46E69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16</w:t>
            </w:r>
          </w:p>
        </w:tc>
        <w:tc>
          <w:tcPr>
            <w:tcW w:w="752" w:type="dxa"/>
            <w:shd w:val="clear" w:color="auto" w:fill="auto"/>
            <w:vAlign w:val="center"/>
          </w:tcPr>
          <w:p w14:paraId="4C475F0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中国民俗剪纸技法</w:t>
            </w:r>
          </w:p>
        </w:tc>
        <w:tc>
          <w:tcPr>
            <w:tcW w:w="4011" w:type="dxa"/>
            <w:shd w:val="clear" w:color="auto" w:fill="auto"/>
            <w:vAlign w:val="top"/>
          </w:tcPr>
          <w:p w14:paraId="207CCF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Times New Roman" w:hAnsi="Times New Roman"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786E599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color w:val="auto"/>
                <w:sz w:val="24"/>
                <w:szCs w:val="24"/>
                <w:highlight w:val="none"/>
                <w:lang w:val="en-US" w:eastAsia="zh-CN"/>
              </w:rPr>
              <w:t>能力目标：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Times New Roman" w:hAnsi="Times New Roman" w:eastAsia="仿宋_GB2312" w:cs="仿宋_GB2312"/>
                <w:color w:val="auto"/>
                <w:sz w:val="24"/>
                <w:szCs w:val="24"/>
                <w:highlight w:val="none"/>
                <w:lang w:val="en-US" w:eastAsia="zh-CN"/>
              </w:rPr>
              <w:t>培养图案设计与剪刀运用能力，掌握对称、连续等基础剪纸技法。</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46FB36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7271AB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p w14:paraId="4C2E1B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p>
        </w:tc>
        <w:tc>
          <w:tcPr>
            <w:tcW w:w="2877" w:type="dxa"/>
            <w:shd w:val="clear" w:color="auto" w:fill="auto"/>
            <w:vAlign w:val="top"/>
          </w:tcPr>
          <w:p w14:paraId="3FD777D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0494D5F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1384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79249B0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17</w:t>
            </w:r>
          </w:p>
        </w:tc>
        <w:tc>
          <w:tcPr>
            <w:tcW w:w="752" w:type="dxa"/>
            <w:shd w:val="clear" w:color="auto" w:fill="auto"/>
            <w:vAlign w:val="center"/>
          </w:tcPr>
          <w:p w14:paraId="6E3B954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影视与鉴赏</w:t>
            </w:r>
          </w:p>
        </w:tc>
        <w:tc>
          <w:tcPr>
            <w:tcW w:w="4011" w:type="dxa"/>
            <w:shd w:val="clear" w:color="auto" w:fill="auto"/>
            <w:vAlign w:val="top"/>
          </w:tcPr>
          <w:p w14:paraId="2579C5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auto"/>
                <w:sz w:val="24"/>
                <w:szCs w:val="24"/>
                <w:highlight w:val="none"/>
                <w:lang w:val="en-US" w:eastAsia="zh-CN"/>
              </w:rPr>
              <w:t>掌握影视创作基本流程。</w:t>
            </w:r>
          </w:p>
          <w:p w14:paraId="26A3EA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4E6D82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培育艺术审美情趣，提高文化修养水平。增强创新思维能力，树立正确的价值观和艺术观。</w:t>
            </w:r>
          </w:p>
          <w:p w14:paraId="677E3B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877" w:type="dxa"/>
            <w:shd w:val="clear" w:color="auto" w:fill="auto"/>
            <w:vAlign w:val="top"/>
          </w:tcPr>
          <w:p w14:paraId="1B60261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00F7F93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2D9C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6F8D50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18</w:t>
            </w:r>
          </w:p>
        </w:tc>
        <w:tc>
          <w:tcPr>
            <w:tcW w:w="752" w:type="dxa"/>
            <w:shd w:val="clear" w:color="auto" w:fill="auto"/>
            <w:vAlign w:val="center"/>
          </w:tcPr>
          <w:p w14:paraId="4655171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中国共产党简史</w:t>
            </w:r>
          </w:p>
        </w:tc>
        <w:tc>
          <w:tcPr>
            <w:tcW w:w="4011" w:type="dxa"/>
            <w:shd w:val="clear" w:color="auto" w:fill="auto"/>
            <w:vAlign w:val="top"/>
          </w:tcPr>
          <w:p w14:paraId="6F95459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rPr>
              <w:t>把握中国共产党历史发展脉络，了解中国共产党百年奋</w:t>
            </w:r>
            <w:r>
              <w:rPr>
                <w:rFonts w:hint="eastAsia" w:ascii="Times New Roman" w:hAnsi="Times New Roman" w:eastAsia="仿宋_GB2312" w:cs="仿宋_GB2312"/>
                <w:color w:val="auto"/>
                <w:sz w:val="24"/>
                <w:szCs w:val="24"/>
                <w:highlight w:val="none"/>
                <w:lang w:eastAsia="zh-CN"/>
              </w:rPr>
              <w:t>斗的</w:t>
            </w:r>
            <w:r>
              <w:rPr>
                <w:rFonts w:hint="eastAsia" w:ascii="Times New Roman" w:hAnsi="Times New Roman"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6A0CF1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0851A7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877" w:type="dxa"/>
            <w:shd w:val="clear" w:color="auto" w:fill="auto"/>
            <w:vAlign w:val="top"/>
          </w:tcPr>
          <w:p w14:paraId="79E040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63FC34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2E3D50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0428E9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5C05CE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4528DE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2F5499A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课程内容包括中国共产党的创建和投身大革命</w:t>
            </w:r>
            <w:r>
              <w:rPr>
                <w:rFonts w:hint="eastAsia" w:ascii="Times New Roman" w:hAnsi="Times New Roman" w:eastAsia="仿宋_GB2312" w:cs="仿宋_GB2312"/>
                <w:color w:val="auto"/>
                <w:sz w:val="24"/>
                <w:szCs w:val="24"/>
                <w:highlight w:val="none"/>
                <w:lang w:val="en-US" w:eastAsia="zh-CN"/>
              </w:rPr>
              <w:t>的洪流</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掀起土地革命</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风暴</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全民族抗日战争的中流砥柱</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夺取新民主主义革命的全国性胜利</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中华人民共和国的成立和社会主义制度的建立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社会主义建设的探索和曲折发展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伟大</w:t>
            </w:r>
            <w:r>
              <w:rPr>
                <w:rFonts w:hint="eastAsia" w:ascii="Times New Roman" w:hAnsi="Times New Roman" w:eastAsia="仿宋_GB2312" w:cs="仿宋_GB2312"/>
                <w:color w:val="auto"/>
                <w:sz w:val="24"/>
                <w:szCs w:val="24"/>
                <w:highlight w:val="none"/>
                <w:lang w:val="en-US" w:eastAsia="zh-CN"/>
              </w:rPr>
              <w:t>历史</w:t>
            </w:r>
            <w:r>
              <w:rPr>
                <w:rFonts w:hint="eastAsia" w:ascii="Times New Roman" w:hAnsi="Times New Roman" w:eastAsia="仿宋_GB2312" w:cs="仿宋_GB2312"/>
                <w:color w:val="auto"/>
                <w:sz w:val="24"/>
                <w:szCs w:val="24"/>
                <w:highlight w:val="none"/>
              </w:rPr>
              <w:t>转折和中国特色社会主义的开创</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把中国特色社会主义全面推向21世纪</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在新</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形势下坚持和发展中国特色社会主义</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中国特色社会主义进入新时代</w:t>
            </w:r>
            <w:r>
              <w:rPr>
                <w:rFonts w:hint="eastAsia" w:ascii="Times New Roman" w:hAnsi="Times New Roman" w:eastAsia="仿宋_GB2312" w:cs="仿宋_GB2312"/>
                <w:color w:val="auto"/>
                <w:sz w:val="24"/>
                <w:szCs w:val="24"/>
                <w:highlight w:val="none"/>
                <w:lang w:val="en-US" w:eastAsia="zh-CN"/>
              </w:rPr>
              <w:t>等</w:t>
            </w:r>
            <w:r>
              <w:rPr>
                <w:rFonts w:hint="eastAsia" w:ascii="Times New Roman" w:hAnsi="Times New Roman"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74594E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1467D4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276E2AC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14C4ED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788F9F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38D18F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p w14:paraId="37BC7C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Times New Roman" w:hAnsi="Times New Roman" w:eastAsia="仿宋_GB2312" w:cs="仿宋_GB2312"/>
                <w:color w:val="auto"/>
                <w:sz w:val="24"/>
                <w:szCs w:val="24"/>
                <w:highlight w:val="none"/>
                <w:lang w:eastAsia="zh-CN"/>
              </w:rPr>
              <w:t>学史明理、学史增信、学史崇德、学史力行</w:t>
            </w:r>
            <w:r>
              <w:rPr>
                <w:rFonts w:hint="eastAsia" w:ascii="Times New Roman" w:hAnsi="Times New Roman" w:eastAsia="仿宋_GB2312" w:cs="仿宋_GB2312"/>
                <w:color w:val="auto"/>
                <w:sz w:val="24"/>
                <w:szCs w:val="24"/>
                <w:highlight w:val="none"/>
              </w:rPr>
              <w:t>”，感悟党的伟大，做“青春心向党</w:t>
            </w:r>
            <w:r>
              <w:rPr>
                <w:rFonts w:hint="eastAsia" w:ascii="Times New Roman" w:hAnsi="Times New Roman" w:eastAsia="仿宋_GB2312" w:cs="仿宋_GB2312"/>
                <w:color w:val="auto"/>
                <w:sz w:val="24"/>
                <w:szCs w:val="24"/>
                <w:highlight w:val="none"/>
                <w:lang w:val="en-US" w:eastAsia="zh-CN"/>
              </w:rPr>
              <w:t xml:space="preserve"> </w:t>
            </w:r>
            <w:r>
              <w:rPr>
                <w:rFonts w:hint="eastAsia" w:ascii="Times New Roman" w:hAnsi="Times New Roman" w:eastAsia="仿宋_GB2312" w:cs="仿宋_GB2312"/>
                <w:color w:val="auto"/>
                <w:sz w:val="24"/>
                <w:szCs w:val="24"/>
                <w:highlight w:val="none"/>
              </w:rPr>
              <w:t>踔厉奋发建新功”的新时代青年。</w:t>
            </w:r>
          </w:p>
        </w:tc>
      </w:tr>
      <w:tr w14:paraId="7754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7" w:hRule="atLeast"/>
          <w:jc w:val="center"/>
        </w:trPr>
        <w:tc>
          <w:tcPr>
            <w:tcW w:w="507" w:type="dxa"/>
            <w:shd w:val="clear" w:color="auto" w:fill="auto"/>
            <w:vAlign w:val="center"/>
          </w:tcPr>
          <w:p w14:paraId="341E7F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19</w:t>
            </w:r>
          </w:p>
        </w:tc>
        <w:tc>
          <w:tcPr>
            <w:tcW w:w="752" w:type="dxa"/>
            <w:shd w:val="clear" w:color="auto" w:fill="auto"/>
            <w:vAlign w:val="center"/>
          </w:tcPr>
          <w:p w14:paraId="4D9688B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中华人民共和国简史</w:t>
            </w:r>
          </w:p>
        </w:tc>
        <w:tc>
          <w:tcPr>
            <w:tcW w:w="4011" w:type="dxa"/>
            <w:shd w:val="clear" w:color="auto" w:fill="auto"/>
            <w:vAlign w:val="top"/>
          </w:tcPr>
          <w:p w14:paraId="41B83E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4A19DE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auto"/>
                <w:spacing w:val="0"/>
                <w:sz w:val="24"/>
                <w:szCs w:val="24"/>
                <w:highlight w:val="none"/>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439531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i w:val="0"/>
                <w:iCs w:val="0"/>
                <w:caps w:val="0"/>
                <w:color w:val="auto"/>
                <w:spacing w:val="0"/>
                <w:sz w:val="24"/>
                <w:szCs w:val="24"/>
                <w:highlight w:val="none"/>
                <w:lang w:val="en-US" w:eastAsia="zh-CN"/>
              </w:rPr>
              <w:t>素质目标：</w:t>
            </w:r>
            <w:r>
              <w:rPr>
                <w:rFonts w:hint="eastAsia" w:ascii="Times New Roman" w:hAnsi="Times New Roman" w:eastAsia="仿宋_GB2312" w:cs="仿宋_GB2312"/>
                <w:i w:val="0"/>
                <w:iCs w:val="0"/>
                <w:caps w:val="0"/>
                <w:color w:val="auto"/>
                <w:spacing w:val="0"/>
                <w:sz w:val="24"/>
                <w:szCs w:val="24"/>
                <w:highlight w:val="none"/>
                <w:lang w:val="en-US" w:eastAsia="zh-CN"/>
              </w:rPr>
              <w:t>引导学生</w:t>
            </w:r>
            <w:r>
              <w:rPr>
                <w:rFonts w:hint="eastAsia" w:ascii="Times New Roman" w:hAnsi="Times New Roman"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877" w:type="dxa"/>
            <w:shd w:val="clear" w:color="auto" w:fill="auto"/>
            <w:vAlign w:val="top"/>
          </w:tcPr>
          <w:p w14:paraId="68790E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课程主要包括：</w:t>
            </w:r>
            <w:r>
              <w:rPr>
                <w:rFonts w:hint="eastAsia" w:ascii="Times New Roman" w:hAnsi="Times New Roman" w:eastAsia="仿宋_GB2312" w:cs="仿宋_GB2312"/>
                <w:color w:val="auto"/>
                <w:sz w:val="24"/>
                <w:szCs w:val="24"/>
                <w:highlight w:val="none"/>
              </w:rPr>
              <w:t>新中国成立和社会主义基本制度的确立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社会主义建设的艰辛探索和曲折发展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改革开放与中国特色社会主义的开创</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建立社会主义市场经济体制和把中国特色社会主义全面推向21世纪</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全面建设</w:t>
            </w:r>
            <w:r>
              <w:rPr>
                <w:rFonts w:hint="eastAsia" w:ascii="Times New Roman" w:hAnsi="Times New Roman" w:eastAsia="仿宋_GB2312" w:cs="仿宋_GB2312"/>
                <w:color w:val="auto"/>
                <w:sz w:val="24"/>
                <w:szCs w:val="24"/>
                <w:highlight w:val="none"/>
              </w:rPr>
              <w:t>小康社会与新的形势下坚持和发展中国特色社会主义</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中国特色社会主义进入新时代和实现中华民族伟大复兴的中国梦</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决胜全面建成小康社会和开启全面建成社会主义现代化强国新征程</w:t>
            </w:r>
          </w:p>
          <w:p w14:paraId="6C4F1C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2376D3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通过课堂讲解、案例分析、小组讨论、模拟实践等方式，促进学生进一步增强民族自尊心、自信心和自豪感</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 xml:space="preserve"> 坚定对马克思主义的信仰、对中国共产党的信任、对社会主义的信心。</w:t>
            </w:r>
          </w:p>
        </w:tc>
      </w:tr>
      <w:tr w14:paraId="09E3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38A2B64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20</w:t>
            </w:r>
          </w:p>
        </w:tc>
        <w:tc>
          <w:tcPr>
            <w:tcW w:w="752" w:type="dxa"/>
            <w:shd w:val="clear" w:color="auto" w:fill="auto"/>
            <w:vAlign w:val="center"/>
          </w:tcPr>
          <w:p w14:paraId="7E9559F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改革开放简史</w:t>
            </w:r>
          </w:p>
        </w:tc>
        <w:tc>
          <w:tcPr>
            <w:tcW w:w="4011" w:type="dxa"/>
            <w:shd w:val="clear" w:color="auto" w:fill="auto"/>
            <w:vAlign w:val="top"/>
          </w:tcPr>
          <w:p w14:paraId="349759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知识目标</w:t>
            </w:r>
            <w:r>
              <w:rPr>
                <w:rFonts w:hint="eastAsia" w:ascii="Times New Roman" w:hAnsi="Times New Roman"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185B4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能力目标：</w:t>
            </w:r>
            <w:r>
              <w:rPr>
                <w:rFonts w:hint="eastAsia" w:ascii="Times New Roman" w:hAnsi="Times New Roman"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58CABE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kern w:val="2"/>
                <w:sz w:val="24"/>
                <w:szCs w:val="24"/>
                <w:highlight w:val="none"/>
                <w:lang w:val="en-US" w:eastAsia="zh-CN" w:bidi="ar-SA"/>
              </w:rPr>
              <w:t>素质目标：</w:t>
            </w:r>
            <w:r>
              <w:rPr>
                <w:rFonts w:hint="eastAsia" w:ascii="Times New Roman" w:hAnsi="Times New Roman"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877" w:type="dxa"/>
            <w:shd w:val="clear" w:color="auto" w:fill="auto"/>
            <w:vAlign w:val="top"/>
          </w:tcPr>
          <w:p w14:paraId="72B01E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课程内容涵盖</w:t>
            </w:r>
            <w:r>
              <w:rPr>
                <w:rFonts w:hint="eastAsia" w:ascii="Times New Roman" w:hAnsi="Times New Roman" w:eastAsia="仿宋_GB2312" w:cs="仿宋_GB2312"/>
                <w:color w:val="auto"/>
                <w:sz w:val="24"/>
                <w:szCs w:val="24"/>
                <w:highlight w:val="none"/>
              </w:rPr>
              <w:t>改革开放拉开大幕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改革开放全面展开</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改革开放开创新局面</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改革开放在科学发展中深化</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改革开放进入新时代</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坚定不移推进全面深化改革</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坚定不移扩大高水平对外开放</w:t>
            </w:r>
            <w:r>
              <w:rPr>
                <w:rFonts w:hint="eastAsia" w:ascii="Times New Roman" w:hAnsi="Times New Roman" w:eastAsia="仿宋_GB2312" w:cs="仿宋_GB2312"/>
                <w:color w:val="auto"/>
                <w:sz w:val="24"/>
                <w:szCs w:val="24"/>
                <w:highlight w:val="none"/>
                <w:lang w:val="en-US" w:eastAsia="zh-CN"/>
              </w:rPr>
              <w:t>等。</w:t>
            </w:r>
            <w:r>
              <w:rPr>
                <w:rFonts w:hint="eastAsia" w:ascii="Times New Roman" w:hAnsi="Times New Roman"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05D6E9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通过专题讲授法、情境通过专题讲授法、情境教学法</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lang w:val="en-US" w:eastAsia="zh-CN"/>
              </w:rPr>
              <w:t>案例教学法等</w:t>
            </w:r>
            <w:r>
              <w:rPr>
                <w:rFonts w:hint="eastAsia" w:ascii="Times New Roman" w:hAnsi="Times New Roman" w:eastAsia="仿宋_GB2312" w:cs="仿宋_GB2312"/>
                <w:color w:val="auto"/>
                <w:sz w:val="24"/>
                <w:szCs w:val="24"/>
                <w:highlight w:val="none"/>
              </w:rPr>
              <w:t>，让学生能够系统把握中国改革开放事业的辉煌成就、重大贡献、重要经验和深刻启示。</w:t>
            </w:r>
            <w:r>
              <w:rPr>
                <w:rFonts w:hint="eastAsia" w:ascii="Times New Roman" w:hAnsi="Times New Roman"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7702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BB4E76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21</w:t>
            </w:r>
          </w:p>
        </w:tc>
        <w:tc>
          <w:tcPr>
            <w:tcW w:w="752" w:type="dxa"/>
            <w:shd w:val="clear" w:color="auto" w:fill="auto"/>
            <w:vAlign w:val="center"/>
          </w:tcPr>
          <w:p w14:paraId="78152A9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社会主义发展简史</w:t>
            </w:r>
          </w:p>
        </w:tc>
        <w:tc>
          <w:tcPr>
            <w:tcW w:w="4011" w:type="dxa"/>
            <w:shd w:val="clear" w:color="auto" w:fill="auto"/>
            <w:vAlign w:val="top"/>
          </w:tcPr>
          <w:p w14:paraId="39F396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从而增强对社会主义制度的认识与信心。</w:t>
            </w:r>
          </w:p>
          <w:p w14:paraId="3C7D16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4F1D32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877" w:type="dxa"/>
            <w:shd w:val="clear" w:color="auto" w:fill="auto"/>
            <w:vAlign w:val="top"/>
          </w:tcPr>
          <w:p w14:paraId="1F5CFD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740E5A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auto"/>
                <w:sz w:val="24"/>
                <w:szCs w:val="24"/>
                <w:highlight w:val="none"/>
                <w:lang w:val="en-US" w:eastAsia="zh-CN"/>
              </w:rPr>
              <w:t>能激发学生的学习情趣</w:t>
            </w:r>
            <w:r>
              <w:rPr>
                <w:rFonts w:hint="eastAsia" w:ascii="Times New Roman" w:hAnsi="Times New Roman" w:eastAsia="仿宋_GB2312" w:cs="仿宋_GB2312"/>
                <w:color w:val="auto"/>
                <w:sz w:val="24"/>
                <w:szCs w:val="24"/>
                <w:highlight w:val="none"/>
              </w:rPr>
              <w:t>，又有利于提高学生的认知、动手和研究能力，进而</w:t>
            </w:r>
            <w:r>
              <w:rPr>
                <w:rFonts w:hint="eastAsia" w:ascii="Times New Roman" w:hAnsi="Times New Roman" w:eastAsia="仿宋_GB2312" w:cs="仿宋_GB2312"/>
                <w:color w:val="auto"/>
                <w:sz w:val="24"/>
                <w:szCs w:val="24"/>
                <w:highlight w:val="none"/>
                <w:lang w:eastAsia="zh-CN"/>
              </w:rPr>
              <w:t>增强</w:t>
            </w:r>
            <w:r>
              <w:rPr>
                <w:rFonts w:hint="eastAsia" w:ascii="Times New Roman" w:hAnsi="Times New Roman" w:eastAsia="仿宋_GB2312" w:cs="仿宋_GB2312"/>
                <w:color w:val="auto"/>
                <w:sz w:val="24"/>
                <w:szCs w:val="24"/>
                <w:highlight w:val="none"/>
                <w:lang w:val="en-US" w:eastAsia="zh-CN"/>
              </w:rPr>
              <w:t>学生的爱国情怀</w:t>
            </w:r>
            <w:r>
              <w:rPr>
                <w:rFonts w:hint="eastAsia" w:ascii="Times New Roman" w:hAnsi="Times New Roman"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5CBD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17F36E3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p>
          <w:p w14:paraId="17082F2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p>
          <w:p w14:paraId="4E1BD4B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22</w:t>
            </w:r>
          </w:p>
        </w:tc>
        <w:tc>
          <w:tcPr>
            <w:tcW w:w="752" w:type="dxa"/>
            <w:shd w:val="clear" w:color="auto" w:fill="auto"/>
            <w:vAlign w:val="center"/>
          </w:tcPr>
          <w:p w14:paraId="75487A8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p>
          <w:p w14:paraId="4B44822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p>
          <w:p w14:paraId="5C5D3C7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中华优秀传统文化</w:t>
            </w:r>
          </w:p>
        </w:tc>
        <w:tc>
          <w:tcPr>
            <w:tcW w:w="4011" w:type="dxa"/>
            <w:shd w:val="clear" w:color="auto" w:fill="auto"/>
            <w:vAlign w:val="top"/>
          </w:tcPr>
          <w:p w14:paraId="3C98589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掌握并传承中</w:t>
            </w:r>
            <w:r>
              <w:rPr>
                <w:rFonts w:hint="eastAsia" w:ascii="Times New Roman" w:hAnsi="Times New Roman" w:eastAsia="仿宋_GB2312" w:cs="仿宋_GB2312"/>
                <w:b w:val="0"/>
                <w:bCs w:val="0"/>
                <w:color w:val="auto"/>
                <w:sz w:val="24"/>
                <w:szCs w:val="24"/>
                <w:highlight w:val="none"/>
                <w:lang w:val="en-US" w:eastAsia="zh-CN"/>
              </w:rPr>
              <w:t>华优秀</w:t>
            </w:r>
            <w:r>
              <w:rPr>
                <w:rFonts w:hint="eastAsia" w:ascii="Times New Roman" w:hAnsi="Times New Roman" w:eastAsia="仿宋_GB2312" w:cs="仿宋_GB2312"/>
                <w:b w:val="0"/>
                <w:bCs w:val="0"/>
                <w:color w:val="auto"/>
                <w:sz w:val="24"/>
                <w:szCs w:val="24"/>
                <w:highlight w:val="none"/>
              </w:rPr>
              <w:t>传统文化的基本内涵</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主要内容</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基本精神，了解了中国传统哲学、文学、</w:t>
            </w:r>
            <w:r>
              <w:rPr>
                <w:rFonts w:hint="eastAsia" w:ascii="Times New Roman" w:hAnsi="Times New Roman" w:eastAsia="仿宋_GB2312" w:cs="仿宋_GB2312"/>
                <w:b w:val="0"/>
                <w:bCs w:val="0"/>
                <w:color w:val="auto"/>
                <w:sz w:val="24"/>
                <w:szCs w:val="24"/>
                <w:highlight w:val="none"/>
                <w:lang w:val="en-US" w:eastAsia="zh-CN"/>
              </w:rPr>
              <w:t>仪式</w:t>
            </w:r>
            <w:r>
              <w:rPr>
                <w:rFonts w:hint="eastAsia" w:ascii="Times New Roman" w:hAnsi="Times New Roman"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16B06C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3A311E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b/>
                <w:bCs/>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Times New Roman" w:hAnsi="Times New Roman" w:eastAsia="仿宋_GB2312" w:cs="仿宋_GB2312"/>
                <w:b w:val="0"/>
                <w:bCs w:val="0"/>
                <w:color w:val="auto"/>
                <w:sz w:val="24"/>
                <w:szCs w:val="24"/>
                <w:highlight w:val="none"/>
              </w:rPr>
              <w:t>弘扬中华优秀传统文化</w:t>
            </w:r>
            <w:r>
              <w:rPr>
                <w:rFonts w:hint="eastAsia" w:ascii="Times New Roman" w:hAnsi="Times New Roman" w:eastAsia="仿宋_GB2312" w:cs="仿宋_GB2312"/>
                <w:b w:val="0"/>
                <w:bCs w:val="0"/>
                <w:color w:val="auto"/>
                <w:sz w:val="24"/>
                <w:szCs w:val="24"/>
                <w:highlight w:val="none"/>
                <w:lang w:eastAsia="zh-CN"/>
              </w:rPr>
              <w:t>，</w:t>
            </w:r>
            <w:r>
              <w:rPr>
                <w:rFonts w:hint="eastAsia" w:ascii="Times New Roman" w:hAnsi="Times New Roman"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Times New Roman" w:hAnsi="Times New Roman" w:eastAsia="仿宋_GB2312" w:cs="仿宋_GB2312"/>
                <w:b w:val="0"/>
                <w:bCs w:val="0"/>
                <w:color w:val="auto"/>
                <w:sz w:val="24"/>
                <w:szCs w:val="24"/>
                <w:highlight w:val="none"/>
                <w:lang w:val="en-US" w:eastAsia="zh-CN"/>
              </w:rPr>
              <w:t>具有较好的审美情趣和审美能力，</w:t>
            </w:r>
            <w:r>
              <w:rPr>
                <w:rFonts w:hint="eastAsia" w:ascii="Times New Roman" w:hAnsi="Times New Roman" w:eastAsia="仿宋_GB2312" w:cs="仿宋_GB2312"/>
                <w:b w:val="0"/>
                <w:bCs w:val="0"/>
                <w:color w:val="auto"/>
                <w:sz w:val="24"/>
                <w:szCs w:val="24"/>
                <w:highlight w:val="none"/>
              </w:rPr>
              <w:t>具备一定的优秀传统文化素养。</w:t>
            </w:r>
          </w:p>
        </w:tc>
        <w:tc>
          <w:tcPr>
            <w:tcW w:w="2877" w:type="dxa"/>
            <w:shd w:val="clear" w:color="auto" w:fill="auto"/>
            <w:vAlign w:val="top"/>
          </w:tcPr>
          <w:p w14:paraId="3DCD3E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3A920C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p>
        </w:tc>
        <w:tc>
          <w:tcPr>
            <w:tcW w:w="2626" w:type="dxa"/>
            <w:shd w:val="clear" w:color="auto" w:fill="auto"/>
            <w:vAlign w:val="top"/>
          </w:tcPr>
          <w:p w14:paraId="1F4612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48D6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3" w:hRule="atLeast"/>
          <w:jc w:val="center"/>
        </w:trPr>
        <w:tc>
          <w:tcPr>
            <w:tcW w:w="507" w:type="dxa"/>
            <w:vAlign w:val="center"/>
          </w:tcPr>
          <w:p w14:paraId="2F7767E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23</w:t>
            </w:r>
          </w:p>
        </w:tc>
        <w:tc>
          <w:tcPr>
            <w:tcW w:w="752" w:type="dxa"/>
            <w:vAlign w:val="center"/>
          </w:tcPr>
          <w:p w14:paraId="161F846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中华民族共同体概论</w:t>
            </w:r>
          </w:p>
        </w:tc>
        <w:tc>
          <w:tcPr>
            <w:tcW w:w="4011" w:type="dxa"/>
            <w:vAlign w:val="top"/>
          </w:tcPr>
          <w:p w14:paraId="666136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b w:val="0"/>
                <w:bCs w:val="0"/>
                <w:color w:val="auto"/>
                <w:sz w:val="24"/>
                <w:szCs w:val="24"/>
                <w:highlight w:val="none"/>
                <w:lang w:eastAsia="zh-CN"/>
              </w:rPr>
              <w:t>：</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383ADD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w:t>
            </w:r>
            <w:r>
              <w:rPr>
                <w:rStyle w:val="14"/>
                <w:rFonts w:hint="eastAsia" w:ascii="Times New Roman" w:hAnsi="Times New Roman"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auto"/>
                <w:sz w:val="24"/>
                <w:szCs w:val="24"/>
                <w:highlight w:val="none"/>
                <w:lang w:val="en-US" w:eastAsia="zh-CN"/>
              </w:rPr>
              <w:t>紧扣铸牢中华民族共同体意识的基本任务，自觉推动中华民族共同体建设。</w:t>
            </w:r>
          </w:p>
          <w:p w14:paraId="43F14B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877" w:type="dxa"/>
            <w:vAlign w:val="top"/>
          </w:tcPr>
          <w:p w14:paraId="0D8687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66655C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0BF5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CE13E5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24</w:t>
            </w:r>
          </w:p>
        </w:tc>
        <w:tc>
          <w:tcPr>
            <w:tcW w:w="752" w:type="dxa"/>
            <w:shd w:val="clear" w:color="auto" w:fill="auto"/>
            <w:vAlign w:val="center"/>
          </w:tcPr>
          <w:p w14:paraId="0E60E0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语文</w:t>
            </w:r>
          </w:p>
        </w:tc>
        <w:tc>
          <w:tcPr>
            <w:tcW w:w="4011" w:type="dxa"/>
            <w:shd w:val="clear" w:color="auto" w:fill="auto"/>
            <w:vAlign w:val="top"/>
          </w:tcPr>
          <w:p w14:paraId="6009BC2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1D6E32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326618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培育人文精神与审美情趣，提高文化修养。增强逻辑思维与创新意识，树立终身学习理念。</w:t>
            </w:r>
          </w:p>
          <w:p w14:paraId="5A7B94D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877" w:type="dxa"/>
            <w:shd w:val="clear" w:color="auto" w:fill="auto"/>
            <w:vAlign w:val="top"/>
          </w:tcPr>
          <w:p w14:paraId="45C601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7C457C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2DFC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9FB71A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25</w:t>
            </w:r>
          </w:p>
        </w:tc>
        <w:tc>
          <w:tcPr>
            <w:tcW w:w="752" w:type="dxa"/>
            <w:shd w:val="clear" w:color="auto" w:fill="auto"/>
            <w:vAlign w:val="center"/>
          </w:tcPr>
          <w:p w14:paraId="33E6A13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物理</w:t>
            </w:r>
          </w:p>
        </w:tc>
        <w:tc>
          <w:tcPr>
            <w:tcW w:w="4011" w:type="dxa"/>
            <w:shd w:val="clear" w:color="auto" w:fill="auto"/>
            <w:vAlign w:val="top"/>
          </w:tcPr>
          <w:p w14:paraId="339BEE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14:paraId="17F434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14:paraId="5F4775C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培养严谨求实的科学态度、精益求精的工匠精神和探索未知的好奇心，为未来职业发展和终身学习奠定坚实基础。</w:t>
            </w:r>
          </w:p>
          <w:p w14:paraId="7D92DC4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通过物理学史和科学家故事，弘扬科学精神和爱国情怀，培养职业道德、团队协作意识与社会责任感。</w:t>
            </w:r>
          </w:p>
        </w:tc>
        <w:tc>
          <w:tcPr>
            <w:tcW w:w="2877" w:type="dxa"/>
            <w:shd w:val="clear" w:color="auto" w:fill="auto"/>
            <w:vAlign w:val="top"/>
          </w:tcPr>
          <w:p w14:paraId="60C2E70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343598E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15F3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A2AA7B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26</w:t>
            </w:r>
          </w:p>
        </w:tc>
        <w:tc>
          <w:tcPr>
            <w:tcW w:w="752" w:type="dxa"/>
            <w:shd w:val="clear" w:color="auto" w:fill="auto"/>
            <w:vAlign w:val="center"/>
          </w:tcPr>
          <w:p w14:paraId="55E296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化学</w:t>
            </w:r>
          </w:p>
        </w:tc>
        <w:tc>
          <w:tcPr>
            <w:tcW w:w="4011" w:type="dxa"/>
            <w:shd w:val="clear" w:color="auto" w:fill="auto"/>
            <w:vAlign w:val="top"/>
          </w:tcPr>
          <w:p w14:paraId="50572B3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掌握物质结构、溶液化学、反应速率、电解质溶液等基本化学原理，熟悉常见元素及其化合物的性质与重要反应律。</w:t>
            </w:r>
          </w:p>
          <w:p w14:paraId="21731A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14:paraId="19826B0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培养严谨细致、实事求是的科学作风，树立环保、安全、节约的意识，为未来从事相关技术工作奠定良好的职业素养基础。</w:t>
            </w:r>
          </w:p>
          <w:p w14:paraId="3D7E360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通过我国古代化工成就与现代科技发展案例，增强民族自豪感，培养绿色化学理念、社会责任感和职业道德。</w:t>
            </w:r>
          </w:p>
        </w:tc>
        <w:tc>
          <w:tcPr>
            <w:tcW w:w="2877" w:type="dxa"/>
            <w:shd w:val="clear" w:color="auto" w:fill="auto"/>
            <w:vAlign w:val="top"/>
          </w:tcPr>
          <w:p w14:paraId="194C35C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562750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23E59474">
      <w:pPr>
        <w:pStyle w:val="3"/>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Times New Roman" w:hAnsi="Times New Roman" w:eastAsia="楷体" w:cs="楷体"/>
          <w:color w:val="auto"/>
          <w:sz w:val="32"/>
          <w:szCs w:val="32"/>
          <w:highlight w:val="none"/>
        </w:rPr>
      </w:pPr>
      <w:bookmarkStart w:id="20" w:name="_Toc15158"/>
      <w:r>
        <w:rPr>
          <w:rFonts w:hint="eastAsia" w:ascii="Times New Roman" w:hAnsi="Times New Roman" w:eastAsia="楷体" w:cs="楷体"/>
          <w:color w:val="auto"/>
          <w:sz w:val="32"/>
          <w:szCs w:val="32"/>
          <w:highlight w:val="none"/>
        </w:rPr>
        <w:t>（二）专业课程</w:t>
      </w:r>
      <w:bookmarkEnd w:id="20"/>
    </w:p>
    <w:p w14:paraId="2019EFB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一般包括专业基础课程、专业核心课程和专业拓展课程</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2D11AA1E">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9"/>
        <w:rPr>
          <w:rFonts w:hint="eastAsia" w:ascii="Times New Roman" w:hAnsi="Times New Roman" w:eastAsia="仿宋_GB2312" w:cs="仿宋_GB2312"/>
          <w:b w:val="0"/>
          <w:bCs w:val="0"/>
          <w:color w:val="auto"/>
          <w:sz w:val="32"/>
          <w:szCs w:val="32"/>
          <w:highlight w:val="none"/>
        </w:rPr>
      </w:pPr>
      <w:bookmarkStart w:id="21" w:name="_Toc90734975"/>
      <w:r>
        <w:rPr>
          <w:rFonts w:hint="eastAsia" w:ascii="Times New Roman" w:hAnsi="Times New Roman" w:eastAsia="仿宋_GB2312" w:cs="仿宋_GB2312"/>
          <w:b w:val="0"/>
          <w:bCs w:val="0"/>
          <w:color w:val="auto"/>
          <w:sz w:val="32"/>
          <w:szCs w:val="32"/>
          <w:highlight w:val="none"/>
        </w:rPr>
        <w:t>1.专业基础课程</w:t>
      </w:r>
      <w:bookmarkEnd w:id="21"/>
    </w:p>
    <w:p w14:paraId="0FED1793">
      <w:pPr>
        <w:pStyle w:val="18"/>
        <w:keepNext w:val="0"/>
        <w:keepLines w:val="0"/>
        <w:pageBreakBefore w:val="0"/>
        <w:widowControl w:val="0"/>
        <w:kinsoku/>
        <w:wordWrap/>
        <w:overflowPunct/>
        <w:topLinePunct w:val="0"/>
        <w:autoSpaceDE/>
        <w:autoSpaceDN/>
        <w:bidi w:val="0"/>
        <w:adjustRightInd/>
        <w:snapToGrid/>
        <w:spacing w:after="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highlight w:val="none"/>
        </w:rPr>
        <w:t>专业基础课是为后续专业课程学习打基础的课程。包括：</w:t>
      </w:r>
      <w:r>
        <w:rPr>
          <w:rFonts w:hint="eastAsia" w:ascii="Times New Roman" w:hAnsi="Times New Roman" w:cs="仿宋_GB2312"/>
          <w:color w:val="auto"/>
          <w:highlight w:val="none"/>
          <w:lang w:val="en-US" w:eastAsia="zh-CN"/>
        </w:rPr>
        <w:t>工程制图</w:t>
      </w:r>
      <w:r>
        <w:rPr>
          <w:rFonts w:hint="eastAsia" w:ascii="Times New Roman" w:hAnsi="Times New Roman" w:eastAsia="仿宋_GB2312" w:cs="仿宋_GB2312"/>
          <w:color w:val="auto"/>
          <w:highlight w:val="none"/>
        </w:rPr>
        <w:t>、C语言、</w:t>
      </w:r>
      <w:r>
        <w:rPr>
          <w:rFonts w:hint="eastAsia" w:ascii="Times New Roman" w:hAnsi="Times New Roman" w:cs="仿宋_GB2312"/>
          <w:color w:val="auto"/>
          <w:highlight w:val="none"/>
          <w:lang w:val="en-US" w:eastAsia="zh-CN"/>
        </w:rPr>
        <w:t>电工基础</w:t>
      </w:r>
      <w:r>
        <w:rPr>
          <w:rFonts w:hint="eastAsia" w:ascii="Times New Roman" w:hAnsi="Times New Roman" w:eastAsia="仿宋_GB2312" w:cs="仿宋_GB2312"/>
          <w:color w:val="auto"/>
          <w:highlight w:val="none"/>
        </w:rPr>
        <w:t>、</w:t>
      </w:r>
      <w:r>
        <w:rPr>
          <w:rFonts w:hint="eastAsia" w:ascii="Times New Roman" w:hAnsi="Times New Roman" w:cs="仿宋_GB2312"/>
          <w:color w:val="auto"/>
          <w:highlight w:val="none"/>
          <w:lang w:val="en-US" w:eastAsia="zh-CN"/>
        </w:rPr>
        <w:t>电气制图</w:t>
      </w:r>
      <w:r>
        <w:rPr>
          <w:rFonts w:hint="eastAsia" w:ascii="Times New Roman" w:hAnsi="Times New Roman" w:eastAsia="仿宋_GB2312" w:cs="仿宋_GB2312"/>
          <w:color w:val="auto"/>
          <w:highlight w:val="none"/>
        </w:rPr>
        <w:t>、人工智能导论、电子技术、传感器与检测技术、电力电子技术、嵌入式技术与应用等课程。</w:t>
      </w:r>
    </w:p>
    <w:p w14:paraId="34B6DE19">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表3</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专业基础课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2"/>
        <w:tblW w:w="10800" w:type="dxa"/>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1238"/>
        <w:gridCol w:w="3631"/>
        <w:gridCol w:w="2331"/>
        <w:gridCol w:w="2831"/>
      </w:tblGrid>
      <w:tr w14:paraId="5892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9" w:type="dxa"/>
            <w:vAlign w:val="center"/>
          </w:tcPr>
          <w:p w14:paraId="6DB0884A">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序号</w:t>
            </w:r>
          </w:p>
        </w:tc>
        <w:tc>
          <w:tcPr>
            <w:tcW w:w="1238" w:type="dxa"/>
            <w:vAlign w:val="center"/>
          </w:tcPr>
          <w:p w14:paraId="2BA3B752">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课程名称</w:t>
            </w:r>
          </w:p>
        </w:tc>
        <w:tc>
          <w:tcPr>
            <w:tcW w:w="3631" w:type="dxa"/>
            <w:vAlign w:val="center"/>
          </w:tcPr>
          <w:p w14:paraId="7EF9F787">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课程教学目标</w:t>
            </w:r>
          </w:p>
        </w:tc>
        <w:tc>
          <w:tcPr>
            <w:tcW w:w="2331" w:type="dxa"/>
            <w:vAlign w:val="center"/>
          </w:tcPr>
          <w:p w14:paraId="3A1D4B84">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课程教学内容</w:t>
            </w:r>
          </w:p>
        </w:tc>
        <w:tc>
          <w:tcPr>
            <w:tcW w:w="2831" w:type="dxa"/>
            <w:vAlign w:val="center"/>
          </w:tcPr>
          <w:p w14:paraId="61604AAC">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课程教学要求</w:t>
            </w:r>
          </w:p>
        </w:tc>
      </w:tr>
      <w:tr w14:paraId="482E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63555A9F">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1238" w:type="dxa"/>
            <w:vAlign w:val="center"/>
          </w:tcPr>
          <w:p w14:paraId="66825140">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工程制图</w:t>
            </w:r>
          </w:p>
        </w:tc>
        <w:tc>
          <w:tcPr>
            <w:tcW w:w="3631" w:type="dxa"/>
            <w:vAlign w:val="top"/>
          </w:tcPr>
          <w:p w14:paraId="53206160">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掌握机械制图国家标准、投影原理、三视图绘制规则，理解零件图、装配图的构成要素及标注方法。</w:t>
            </w:r>
          </w:p>
          <w:p w14:paraId="0C177B35">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能使用绘图工具或 CAD 软件绘制简单零件的三视图和装配图，能读懂典型电子设备的机械结构图。</w:t>
            </w:r>
          </w:p>
          <w:p w14:paraId="3E51ADA2">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培养空间想象能力和绘图规范性，养成细致严谨的工作态度。</w:t>
            </w:r>
          </w:p>
          <w:p w14:paraId="09BDAFFB">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Segoe UI" w:cs="Segoe UI"/>
                <w:i w:val="0"/>
                <w:iCs w:val="0"/>
                <w:caps w:val="0"/>
                <w:color w:val="auto"/>
                <w:spacing w:val="0"/>
                <w:sz w:val="19"/>
                <w:szCs w:val="19"/>
                <w:highlight w:val="none"/>
                <w:shd w:val="clear" w:fill="FFFFFF"/>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通过工程图纸在工业生产中的 “通用性”，强调标准意识与责任担当；结合我国工程建设成就，增强民族自豪感</w:t>
            </w:r>
            <w:r>
              <w:rPr>
                <w:rFonts w:ascii="Times New Roman" w:hAnsi="Times New Roman" w:eastAsia="Segoe UI" w:cs="Segoe UI"/>
                <w:i w:val="0"/>
                <w:iCs w:val="0"/>
                <w:caps w:val="0"/>
                <w:color w:val="auto"/>
                <w:spacing w:val="0"/>
                <w:sz w:val="19"/>
                <w:szCs w:val="19"/>
                <w:highlight w:val="none"/>
                <w:shd w:val="clear" w:fill="FFFFFF"/>
              </w:rPr>
              <w:t>。</w:t>
            </w:r>
          </w:p>
        </w:tc>
        <w:tc>
          <w:tcPr>
            <w:tcW w:w="2331" w:type="dxa"/>
            <w:vAlign w:val="top"/>
          </w:tcPr>
          <w:p w14:paraId="623C6D6C">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机械设计与制造中的图形表达与绘制技巧，包括基本绘图工具使用、视图与投影原理、零件与装配图绘制，以及尺寸标注与公差配合等内容。</w:t>
            </w:r>
          </w:p>
        </w:tc>
        <w:tc>
          <w:tcPr>
            <w:tcW w:w="2831" w:type="dxa"/>
            <w:vAlign w:val="top"/>
          </w:tcPr>
          <w:p w14:paraId="2BA33684">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培养学生的绘图与识图能力，通过大量练习提高手工绘图和计算机绘图技能。</w:t>
            </w:r>
          </w:p>
          <w:p w14:paraId="0FE17693">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学生需熟练掌握正投影法、绘图工具使用、基本制图标准等基础知识。通过三维模型、轴测图等教学手段，增强学生的空间想象和思维能力。</w:t>
            </w:r>
          </w:p>
          <w:p w14:paraId="1408F004">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要求学生熟悉并严格执行机械制图国家标准，确保图纸的规范性和准确性。</w:t>
            </w:r>
          </w:p>
        </w:tc>
      </w:tr>
      <w:tr w14:paraId="2B02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22F254C0">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1238" w:type="dxa"/>
            <w:vAlign w:val="center"/>
          </w:tcPr>
          <w:p w14:paraId="1F656895">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C语言</w:t>
            </w:r>
          </w:p>
        </w:tc>
        <w:tc>
          <w:tcPr>
            <w:tcW w:w="3631" w:type="dxa"/>
            <w:vAlign w:val="top"/>
          </w:tcPr>
          <w:p w14:paraId="5A6F6B57">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掌握C语言的基本语法，理解程序设计的基本思想和模块化编程方法。</w:t>
            </w:r>
          </w:p>
          <w:p w14:paraId="4F4CF9B7">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能独立编写、调试简单的 C 语言程序，实现数据处理、逻辑控制等功能；能阅读和分析中等复杂度的 C 语言代码。</w:t>
            </w:r>
          </w:p>
          <w:p w14:paraId="7CAF18C2">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eastAsia="宋体"/>
                <w:lang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扎实的编程逻辑思维与严谨的代码规范性，在持续实践中深化对计算机科学原理的理解与应用，同时着力提升独立自主的学习能力与面对复杂问题时高效、系统的拆解分析能力，从而构建起坚实而灵活的技术素养基础。</w:t>
            </w:r>
          </w:p>
          <w:p w14:paraId="0A43F52D">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通过编程中 “算法优化” 的实践，引导学生树立精益求精的工匠精神；结合信息技术领域的国产化案例，增强科技自立自强的责任感。</w:t>
            </w:r>
          </w:p>
          <w:p w14:paraId="6A075A01">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p>
        </w:tc>
        <w:tc>
          <w:tcPr>
            <w:tcW w:w="2331" w:type="dxa"/>
            <w:vAlign w:val="top"/>
          </w:tcPr>
          <w:p w14:paraId="112E8887">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C语言的基本语法、数据类型、运算符、控制结构、函数与模块化编程、数组与指针等核心概念，以及文件操作、内存管理等进阶知识。</w:t>
            </w:r>
          </w:p>
        </w:tc>
        <w:tc>
          <w:tcPr>
            <w:tcW w:w="2831" w:type="dxa"/>
            <w:vAlign w:val="top"/>
          </w:tcPr>
          <w:p w14:paraId="49BAD94F">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掌握C语言基本语法，包括数据类型、运算符、控制结构等；能编写简单的程序解决实际问题；理解函数、数组、指针等核心概念；熟悉文件操作与内存管理；通过实践项目提升编程能力，培养逻辑思维与问题解决能力；注重代码规范与调试技巧，为后续高级编程打下基础。</w:t>
            </w:r>
          </w:p>
        </w:tc>
      </w:tr>
      <w:tr w14:paraId="2B71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5" w:hRule="atLeast"/>
        </w:trPr>
        <w:tc>
          <w:tcPr>
            <w:tcW w:w="769" w:type="dxa"/>
            <w:vAlign w:val="center"/>
          </w:tcPr>
          <w:p w14:paraId="47836C8D">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3</w:t>
            </w:r>
          </w:p>
        </w:tc>
        <w:tc>
          <w:tcPr>
            <w:tcW w:w="1238" w:type="dxa"/>
            <w:vAlign w:val="center"/>
          </w:tcPr>
          <w:p w14:paraId="502F76FA">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电工基础</w:t>
            </w:r>
          </w:p>
        </w:tc>
        <w:tc>
          <w:tcPr>
            <w:tcW w:w="3631" w:type="dxa"/>
            <w:vAlign w:val="top"/>
          </w:tcPr>
          <w:p w14:paraId="7C578818">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掌握电路基本定律、直流电路与交流电路分析方法，理解常用电工元器件的工作原理及参数特性。</w:t>
            </w:r>
          </w:p>
          <w:p w14:paraId="6F642F43">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能正确使用万用表、示波器等电工仪器，完成简单电路的连接、测试与故障排查；能计算电路中的电压、电流、功率等参数。</w:t>
            </w:r>
          </w:p>
          <w:p w14:paraId="7F807806">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培养严谨的操作规范意识和安全用电习惯，提升逻辑分析与问题解决能力。</w:t>
            </w:r>
          </w:p>
          <w:p w14:paraId="2C4411BF">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通过电工技术发展史中科学家的探索故事，培养学生追求真理、勇于创新的科学精神；强调电路系统中 “协同工作” 的特性，渗透团队协作与系统思维。</w:t>
            </w:r>
          </w:p>
          <w:p w14:paraId="70AA6C3F">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p>
        </w:tc>
        <w:tc>
          <w:tcPr>
            <w:tcW w:w="2331" w:type="dxa"/>
            <w:vAlign w:val="top"/>
          </w:tcPr>
          <w:p w14:paraId="62C63EDA">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工基础课程的教学内容涵盖直流电路、电磁和电磁感应、单相正弦交流电路、三相正弦交流电路和电路的过渡过程等基础理论知识。课程还包括实验环节，如验证基尔霍夫定律、电磁感应实验、日光灯电路及功率因数的提高等，以增强学生的实践操作能力。</w:t>
            </w:r>
          </w:p>
        </w:tc>
        <w:tc>
          <w:tcPr>
            <w:tcW w:w="2831" w:type="dxa"/>
            <w:vAlign w:val="top"/>
          </w:tcPr>
          <w:p w14:paraId="7EE964E5">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学生需熟练掌握电路的基本概念和定律，如电流、电压、电阻、电容、电感等基本物理量及其关系，以及欧姆定律、基尔霍夫定律等重 要定理。同时，要求学生能够进行电路图的阅读和简单的电路分析与计算，掌握常用电工仪器仪表的正确使用方法，具备电路测量、调试及故障排查的能力。此外，教学还强调培养学生的实践能力和创新思维，通过实验和项目活动提升学生的综合素质。</w:t>
            </w:r>
          </w:p>
        </w:tc>
      </w:tr>
      <w:tr w14:paraId="2D8E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7" w:hRule="atLeast"/>
        </w:trPr>
        <w:tc>
          <w:tcPr>
            <w:tcW w:w="769" w:type="dxa"/>
            <w:vAlign w:val="center"/>
          </w:tcPr>
          <w:p w14:paraId="2E542382">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1238" w:type="dxa"/>
            <w:vAlign w:val="center"/>
          </w:tcPr>
          <w:p w14:paraId="5730A519">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电气制图</w:t>
            </w:r>
          </w:p>
        </w:tc>
        <w:tc>
          <w:tcPr>
            <w:tcW w:w="3631" w:type="dxa"/>
            <w:vAlign w:val="top"/>
          </w:tcPr>
          <w:p w14:paraId="7D8B0D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atLeast"/>
              <w:ind w:left="0" w:right="0" w:firstLine="0"/>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eastAsia="zh-CN"/>
              </w:rPr>
              <w:t>知识目标：</w:t>
            </w:r>
            <w:r>
              <w:rPr>
                <w:rFonts w:hint="eastAsia" w:ascii="Times New Roman" w:hAnsi="Times New Roman" w:eastAsia="仿宋_GB2312" w:cs="仿宋_GB2312"/>
                <w:color w:val="auto"/>
                <w:sz w:val="24"/>
                <w:szCs w:val="24"/>
                <w:highlight w:val="none"/>
                <w:lang w:eastAsia="zh-CN"/>
              </w:rPr>
              <w:t>掌握电气制图的方法和基本技巧，能够独自绘制</w:t>
            </w:r>
            <w:r>
              <w:rPr>
                <w:rFonts w:hint="eastAsia" w:ascii="Times New Roman" w:hAnsi="Times New Roman" w:eastAsia="仿宋_GB2312" w:cs="仿宋_GB2312"/>
                <w:color w:val="auto"/>
                <w:sz w:val="24"/>
                <w:szCs w:val="24"/>
                <w:highlight w:val="none"/>
                <w:lang w:val="en-US" w:eastAsia="zh-CN"/>
              </w:rPr>
              <w:t>PCB板。</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掌握电气制图基本原理，了解电气符号表示方法，熟悉绘制方法和步骤，</w:t>
            </w:r>
            <w:r>
              <w:rPr>
                <w:rFonts w:hint="eastAsia" w:ascii="Times New Roman" w:hAnsi="Times New Roman" w:eastAsia="仿宋_GB2312" w:cs="仿宋_GB2312"/>
                <w:color w:val="auto"/>
                <w:sz w:val="24"/>
                <w:szCs w:val="24"/>
                <w:highlight w:val="none"/>
              </w:rPr>
              <w:t>使学生全面了解和掌握电子CAD的基本概念、原理和应用，培养他们具备电子CAD设计与开发的能力</w:t>
            </w:r>
            <w:r>
              <w:rPr>
                <w:rFonts w:hint="eastAsia" w:ascii="Times New Roman" w:hAnsi="Times New Roman" w:eastAsia="仿宋_GB2312" w:cs="仿宋_GB2312"/>
                <w:color w:val="auto"/>
                <w:sz w:val="24"/>
                <w:szCs w:val="24"/>
                <w:highlight w:val="none"/>
                <w:lang w:eastAsia="zh-CN"/>
              </w:rPr>
              <w:t>。</w:t>
            </w:r>
          </w:p>
          <w:p w14:paraId="5B7CCE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atLeast"/>
              <w:ind w:left="0" w:right="0" w:firstLine="0"/>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eastAsia="zh-CN"/>
              </w:rPr>
              <w:t>能力目标：</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熟练使用电气制图工具，独立完成电气图纸绘制，如何提升绘图速度和准确度。</w:t>
            </w:r>
            <w:r>
              <w:rPr>
                <w:rFonts w:hint="eastAsia" w:ascii="Times New Roman" w:hAnsi="Times New Roman" w:eastAsia="仿宋_GB2312" w:cs="仿宋_GB2312"/>
                <w:color w:val="auto"/>
                <w:sz w:val="24"/>
                <w:szCs w:val="24"/>
                <w:highlight w:val="none"/>
              </w:rPr>
              <w:t>能够胜任电子CAD绘图员、电路设计技术员、电子产品研发员、PCB设计工程师等岗位的工作。</w:t>
            </w:r>
          </w:p>
          <w:p w14:paraId="116AF6C2">
            <w:pPr>
              <w:keepNext w:val="0"/>
              <w:keepLines w:val="0"/>
              <w:pageBreakBefore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lang w:eastAsia="zh-CN"/>
              </w:rPr>
              <w:t>素质目标：</w:t>
            </w:r>
            <w:r>
              <w:rPr>
                <w:rFonts w:hint="eastAsia" w:ascii="Times New Roman" w:hAnsi="Times New Roman" w:eastAsia="仿宋_GB2312" w:cs="仿宋_GB2312"/>
                <w:color w:val="auto"/>
                <w:sz w:val="24"/>
                <w:szCs w:val="24"/>
                <w:highlight w:val="none"/>
                <w:lang w:eastAsia="zh-CN"/>
              </w:rPr>
              <w:t>创新能力培养，鼓励学生在制图过程中探索创新方案。培养学生沟通协调能力，强化团队合作意识。强调制图规范与工程伦理，使学生养成严谨细致的工作态度和职业责任感。</w:t>
            </w:r>
          </w:p>
          <w:p w14:paraId="0B3E580C">
            <w:pPr>
              <w:keepNext w:val="0"/>
              <w:keepLines w:val="0"/>
              <w:pageBreakBefore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lang w:val="en-US" w:eastAsia="zh-CN"/>
              </w:rPr>
              <w:t>课程</w:t>
            </w:r>
            <w:r>
              <w:rPr>
                <w:rFonts w:hint="eastAsia" w:ascii="Times New Roman" w:hAnsi="Times New Roman" w:eastAsia="仿宋_GB2312" w:cs="仿宋_GB2312"/>
                <w:b/>
                <w:bCs/>
                <w:color w:val="auto"/>
                <w:sz w:val="24"/>
                <w:szCs w:val="24"/>
                <w:highlight w:val="none"/>
                <w:lang w:eastAsia="zh-CN"/>
              </w:rPr>
              <w:t>思政育人目标：</w:t>
            </w:r>
            <w:r>
              <w:rPr>
                <w:rFonts w:hint="eastAsia" w:ascii="Times New Roman" w:hAnsi="Times New Roman" w:eastAsia="仿宋_GB2312" w:cs="仿宋_GB2312"/>
                <w:color w:val="auto"/>
                <w:sz w:val="24"/>
                <w:szCs w:val="24"/>
                <w:highlight w:val="none"/>
                <w:lang w:eastAsia="zh-CN"/>
              </w:rPr>
              <w:t>通过严格执行国家标准和规范制图流程，培养学生追求卓越、精益求精的工匠精神，以及严谨细致的工作作风。课程强调工程伦理和职业道德，引导学生树立质量意识和社会责任感。</w:t>
            </w:r>
          </w:p>
        </w:tc>
        <w:tc>
          <w:tcPr>
            <w:tcW w:w="2331" w:type="dxa"/>
            <w:vAlign w:val="top"/>
          </w:tcPr>
          <w:p w14:paraId="175D13B3">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电路原理图识图、绘图能力，元器件符号和封装绘制能力，电子产品原理图设计能力，电子产品印制电路板图设计能力，整机电路单、双面板分析和初步设计能力，以及软件使用能力。</w:t>
            </w:r>
          </w:p>
        </w:tc>
        <w:tc>
          <w:tcPr>
            <w:tcW w:w="2831" w:type="dxa"/>
            <w:vAlign w:val="top"/>
          </w:tcPr>
          <w:p w14:paraId="085F6FE9">
            <w:pPr>
              <w:pStyle w:val="10"/>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color w:val="auto"/>
                <w:kern w:val="2"/>
                <w:sz w:val="24"/>
                <w:szCs w:val="24"/>
                <w:highlight w:val="none"/>
              </w:rPr>
            </w:pPr>
            <w:r>
              <w:rPr>
                <w:rFonts w:hint="eastAsia" w:ascii="Times New Roman" w:hAnsi="Times New Roman" w:eastAsia="仿宋_GB2312" w:cs="仿宋_GB2312"/>
                <w:color w:val="auto"/>
                <w:kern w:val="2"/>
                <w:sz w:val="24"/>
                <w:szCs w:val="24"/>
                <w:highlight w:val="none"/>
              </w:rPr>
              <w:t>学生需熟练掌握CAD软件的基本操作，如界面导航、工具栏使用、绘图与修改命令等。通过项目教学，使学生能在实践中学习电气制图和印制电路板的设计方法，理解并应用相关理论知识。培养学生电子产品设计的基本职业能力，包括电路图绘图、原理图设计、PCB设计和制作等能力。注重培养学生的职业素养，如团队协作能力、职业道德、持续学习能力等，以满足职业生涯发展的需要。紧跟行业发展趋势，引导学生了解并学习CAD软件的新技术和新工艺，如三维建模、参数化设计等。</w:t>
            </w:r>
          </w:p>
        </w:tc>
      </w:tr>
      <w:tr w14:paraId="67A9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3B5F3F4D">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5</w:t>
            </w:r>
          </w:p>
        </w:tc>
        <w:tc>
          <w:tcPr>
            <w:tcW w:w="1238" w:type="dxa"/>
            <w:vAlign w:val="center"/>
          </w:tcPr>
          <w:p w14:paraId="42566231">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人工智能导论</w:t>
            </w:r>
          </w:p>
        </w:tc>
        <w:tc>
          <w:tcPr>
            <w:tcW w:w="3631" w:type="dxa"/>
            <w:vAlign w:val="top"/>
          </w:tcPr>
          <w:p w14:paraId="5374F97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lang w:val="en-US" w:eastAsia="zh-CN"/>
              </w:rPr>
              <w:t>知识目标：</w:t>
            </w:r>
            <w:r>
              <w:rPr>
                <w:rFonts w:ascii="Times New Roman" w:hAnsi="Times New Roman" w:eastAsia="仿宋_GB2312" w:cs="仿宋_GB2312"/>
                <w:color w:val="auto"/>
                <w:sz w:val="24"/>
                <w:highlight w:val="none"/>
              </w:rPr>
              <w:t>理解智能系统概念、架构及发展历程，掌握人工智能基础算法、传感器技术原理，了解边缘计算、脑机接口等前沿方向。</w:t>
            </w:r>
            <w:r>
              <w:rPr>
                <w:rFonts w:ascii="Times New Roman" w:hAnsi="Times New Roman" w:eastAsia="仿宋_GB2312" w:cs="仿宋_GB2312"/>
                <w:color w:val="auto"/>
                <w:sz w:val="24"/>
                <w:highlight w:val="none"/>
              </w:rPr>
              <w:br w:type="textWrapping"/>
            </w: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b w:val="0"/>
                <w:bCs w:val="0"/>
                <w:color w:val="auto"/>
                <w:sz w:val="24"/>
                <w:szCs w:val="24"/>
                <w:highlight w:val="none"/>
                <w:lang w:val="en-US" w:eastAsia="zh-CN"/>
              </w:rPr>
              <w:t>能够应用</w:t>
            </w:r>
            <w:r>
              <w:rPr>
                <w:rFonts w:ascii="Times New Roman" w:hAnsi="Times New Roman" w:eastAsia="仿宋_GB2312" w:cs="仿宋_GB2312"/>
                <w:color w:val="auto"/>
                <w:sz w:val="24"/>
                <w:highlight w:val="none"/>
              </w:rPr>
              <w:t>Python 实现基础机器学习算法，借助树莓派 / Arduino 搭建智能系统并完成调试，具备智能系统设计与应用基础能力。</w:t>
            </w:r>
            <w:r>
              <w:rPr>
                <w:rFonts w:ascii="Times New Roman" w:hAnsi="Times New Roman" w:eastAsia="仿宋_GB2312" w:cs="仿宋_GB2312"/>
                <w:color w:val="auto"/>
                <w:sz w:val="24"/>
                <w:highlight w:val="none"/>
              </w:rPr>
              <w:br w:type="textWrapping"/>
            </w:r>
            <w:r>
              <w:rPr>
                <w:rFonts w:hint="eastAsia" w:ascii="Times New Roman" w:hAnsi="Times New Roman" w:eastAsia="仿宋_GB2312" w:cs="仿宋_GB2312"/>
                <w:b/>
                <w:bCs/>
                <w:color w:val="auto"/>
                <w:sz w:val="24"/>
                <w:szCs w:val="24"/>
                <w:highlight w:val="none"/>
                <w:lang w:val="en-US" w:eastAsia="zh-CN"/>
              </w:rPr>
              <w:t>素质目标：</w:t>
            </w:r>
            <w:r>
              <w:rPr>
                <w:rFonts w:ascii="Times New Roman" w:hAnsi="Times New Roman" w:eastAsia="仿宋_GB2312" w:cs="仿宋_GB2312"/>
                <w:color w:val="auto"/>
                <w:sz w:val="24"/>
                <w:highlight w:val="none"/>
              </w:rPr>
              <w:t>培养跨学科融合思维与创新实践素养，提升技术整合与问题解决能力，养成严谨的科学实验与系统优化习惯。</w:t>
            </w:r>
            <w:r>
              <w:rPr>
                <w:rFonts w:ascii="Times New Roman" w:hAnsi="Times New Roman" w:eastAsia="仿宋_GB2312" w:cs="仿宋_GB2312"/>
                <w:color w:val="auto"/>
                <w:sz w:val="24"/>
                <w:highlight w:val="none"/>
              </w:rPr>
              <w:br w:type="textWrapping"/>
            </w:r>
            <w:r>
              <w:rPr>
                <w:rFonts w:ascii="Times New Roman" w:hAnsi="Times New Roman" w:eastAsia="仿宋_GB2312" w:cs="仿宋_GB2312"/>
                <w:b/>
                <w:bCs/>
                <w:color w:val="auto"/>
                <w:sz w:val="24"/>
                <w:highlight w:val="none"/>
              </w:rPr>
              <w:t>课程思政育人目标：</w:t>
            </w:r>
            <w:r>
              <w:rPr>
                <w:rFonts w:ascii="Times New Roman" w:hAnsi="Times New Roman" w:eastAsia="仿宋_GB2312" w:cs="仿宋_GB2312"/>
                <w:color w:val="auto"/>
                <w:sz w:val="24"/>
                <w:highlight w:val="none"/>
              </w:rPr>
              <w:t>结合我国智能系统在工业自动化、医疗辅助等领域的应用案例，强调技术伦理与社会责任，激发学生用智能技术服务社会的使命感。</w:t>
            </w:r>
          </w:p>
        </w:tc>
        <w:tc>
          <w:tcPr>
            <w:tcW w:w="2331" w:type="dxa"/>
            <w:vAlign w:val="top"/>
          </w:tcPr>
          <w:p w14:paraId="6B23BF2E">
            <w:pPr>
              <w:keepNext w:val="0"/>
              <w:keepLines w:val="0"/>
              <w:pageBreakBefore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eastAsia="zh-CN"/>
              </w:rPr>
              <w:t>人工智能的定义和它试图达成的目标，Prolog语言的语句特点、程序结构和运行机理，Python语言的特点和使用方法，状态图的基本概念、状态图搜索基本技术和状态图问题求解的一般方法，穷举式搜索、启发式搜索、加权状态图搜索和A算法、A*算法。</w:t>
            </w:r>
          </w:p>
        </w:tc>
        <w:tc>
          <w:tcPr>
            <w:tcW w:w="2831" w:type="dxa"/>
            <w:vAlign w:val="top"/>
          </w:tcPr>
          <w:p w14:paraId="4A2217FC">
            <w:pPr>
              <w:keepNext w:val="0"/>
              <w:keepLines w:val="0"/>
              <w:pageBreakBefore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eastAsia="zh-CN"/>
              </w:rPr>
              <w:t>明确人工智能的定义和它试图达成的目标，例如模拟人类智能、实现机器自主学习，掌握Prolog语言的语句特点、程序结构和运行机理，能够编写简单的Prolog程序，并读懂一般的Prolog程序，了解Python语言的特点和使用方法，掌握状态图的基本概念、状态图搜索基本技术和状态图问题求解的一般方法，包括穷举式搜索、启发式搜索、加权状态图搜索和A算法、A*算法等。</w:t>
            </w:r>
          </w:p>
        </w:tc>
      </w:tr>
      <w:tr w14:paraId="52D0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E57D30D">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6</w:t>
            </w:r>
          </w:p>
        </w:tc>
        <w:tc>
          <w:tcPr>
            <w:tcW w:w="1238" w:type="dxa"/>
            <w:vAlign w:val="center"/>
          </w:tcPr>
          <w:p w14:paraId="7022A179">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电子技术</w:t>
            </w:r>
          </w:p>
        </w:tc>
        <w:tc>
          <w:tcPr>
            <w:tcW w:w="3631" w:type="dxa"/>
            <w:vAlign w:val="top"/>
          </w:tcPr>
          <w:p w14:paraId="63F604B5">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逻辑代数基本定律、组合逻辑电路与时序逻辑电路的分析方法，理解触发器、计数器、编码器等数字电路的工作原理。掌握二极管、三极管、场效应管等半导体器件的工作原理，理解放大电路、滤波电路、稳压电路、振荡电路的组成及工作特性。</w:t>
            </w:r>
          </w:p>
          <w:p w14:paraId="58ECA237">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能设计简单的数字逻辑电路，使用仿真软件或实验板验证电路功能，完成数字系统的基本调试。能分析典型模拟电路的工作状态，设计简单的放大或稳压电路，使用仪器完成电路调试与性能参数测量。</w:t>
            </w:r>
          </w:p>
          <w:p w14:paraId="000A80D4">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培养抽象逻辑思维和系统设计能力，养成严谨的电路测试习惯，提升工程实践能力。</w:t>
            </w:r>
          </w:p>
          <w:p w14:paraId="5C7204A1">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结合数字技术在信息安全、人工智能中的应用，强调技术伦理与社会责任；通过数字电路的 “模块化” 设计，渗透分工协作的团。通过模拟电路在精密仪器、医疗设备中的应用案例，引导学生认识技术的社会价值，树立科技服务民生的理念。</w:t>
            </w:r>
          </w:p>
        </w:tc>
        <w:tc>
          <w:tcPr>
            <w:tcW w:w="2331" w:type="dxa"/>
            <w:vAlign w:val="top"/>
          </w:tcPr>
          <w:p w14:paraId="26D894E9">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模拟电子技术基础知识，包括半导体器件、放大电路、频率响应、运算放大电路、反馈电路等，旨在培养学生掌握模拟信号处理与电路设计的技能。数字电路基础、逻辑代数、门电路、组合逻辑电路、时序逻辑电路、数字系统设计等方面的知识，旨在培养学生掌握数字电路分析与设计的技能。</w:t>
            </w:r>
          </w:p>
        </w:tc>
        <w:tc>
          <w:tcPr>
            <w:tcW w:w="2831" w:type="dxa"/>
            <w:vAlign w:val="top"/>
          </w:tcPr>
          <w:p w14:paraId="6B95A663">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掌握半导体器件基础，理解放大器工作原理及分析方法，熟悉负反馈、运算放大器、直流电源等电路；培养电路分析与设计能力；掌握数字电子技术的基本原理、基本理论及基本知识，熟悉常用数字电路的逻辑功能及分析方法；通过实验教学，培养学生实验技能、逻辑思维能力和初步的数字电路设计能力；注重理论与实践相结合，为后续专业课程学习及从事相关工作奠定坚实基础。同时，强调学生应具备分析问题、解决问题的能力，以及良好的职业道德和创新意识。</w:t>
            </w:r>
          </w:p>
        </w:tc>
      </w:tr>
      <w:tr w14:paraId="07BF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59167D8C">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1238" w:type="dxa"/>
            <w:vAlign w:val="center"/>
          </w:tcPr>
          <w:p w14:paraId="4B72A547">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传感器与检测技术</w:t>
            </w:r>
          </w:p>
        </w:tc>
        <w:tc>
          <w:tcPr>
            <w:tcW w:w="3631" w:type="dxa"/>
            <w:vAlign w:val="top"/>
          </w:tcPr>
          <w:p w14:paraId="4B2717A6">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掌握常用传感器的工作原理、特性参数及选型方法，理解传感数据采集与处理的基本原理。</w:t>
            </w:r>
          </w:p>
          <w:p w14:paraId="7E4F5E95">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能搭建简单的传感检测系统，完成传感器的校准与数据采集，分析检测结果并解决实际问题。</w:t>
            </w:r>
          </w:p>
          <w:p w14:paraId="62E4A89F">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培养跨学科思维和创新应用能力，提升对智能系统的认知水平。</w:t>
            </w:r>
          </w:p>
          <w:p w14:paraId="7F2AFABE">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通过传感器技术在工业自动化、智慧城市中的应用，展现科技对社会进步的推动作用；结合我国传感器产业的发展现状，激发学生自主创新、突破技术壁垒的责任感。</w:t>
            </w:r>
          </w:p>
        </w:tc>
        <w:tc>
          <w:tcPr>
            <w:tcW w:w="2331" w:type="dxa"/>
            <w:vAlign w:val="top"/>
          </w:tcPr>
          <w:p w14:paraId="36C8A1FA">
            <w:pPr>
              <w:keepNext w:val="0"/>
              <w:keepLines/>
              <w:pageBreakBefore w:val="0"/>
              <w:widowControl w:val="0"/>
              <w:kinsoku w:val="0"/>
              <w:wordWrap/>
              <w:overflowPunct w:val="0"/>
              <w:topLinePunct w:val="0"/>
              <w:autoSpaceDE w:val="0"/>
              <w:autoSpaceDN w:val="0"/>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传感与检测技术基础：阐释传感器定义、结构、分类方式及特性参数，通过实例与实验助学生理解工作原理并掌握特性参数测量分析方法；介绍检测系统组成架构，结合案例分析其工作流程。</w:t>
            </w:r>
          </w:p>
          <w:p w14:paraId="7FE53CE2">
            <w:pPr>
              <w:keepNext w:val="0"/>
              <w:keepLines/>
              <w:pageBreakBefore w:val="0"/>
              <w:widowControl w:val="0"/>
              <w:kinsoku w:val="0"/>
              <w:wordWrap/>
              <w:overflowPunct w:val="0"/>
              <w:topLinePunct w:val="0"/>
              <w:autoSpaceDE w:val="0"/>
              <w:autoSpaceDN w:val="0"/>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智能传感器技术：说明智能传感器的概念、特点，对比传统传感器凸显优势，讲解其结构与实现方式；介绍纳米、量子传感器等新型智能传感器，阐述其原理、性能特点及应用前景。</w:t>
            </w:r>
          </w:p>
          <w:p w14:paraId="6D555230">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智能检测系统构建：讲解信号调理技术，包括放大、滤波、调制解调原理；介绍数据采集与处理知识，涵盖A/D转换原理、数据采集系统设计要点及常见数据处理算法；介绍数据传输技术，包括有线与无线传输原理及特点。</w:t>
            </w:r>
          </w:p>
        </w:tc>
        <w:tc>
          <w:tcPr>
            <w:tcW w:w="2831" w:type="dxa"/>
            <w:vAlign w:val="top"/>
          </w:tcPr>
          <w:p w14:paraId="10F196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掌握传感器基本原理、类型及特性，熟悉信号检测与处理方法，通过实践学习传感器选型、安装、调试与校准，培养学生解决工程检测问题的能力，并鼓励创新思维与技术应用。</w:t>
            </w:r>
            <w:r>
              <w:rPr>
                <w:rFonts w:hint="eastAsia" w:ascii="Times New Roman" w:hAnsi="Times New Roman" w:eastAsia="仿宋_GB2312" w:cs="仿宋_GB2312"/>
                <w:color w:val="auto"/>
                <w:sz w:val="24"/>
                <w:szCs w:val="24"/>
                <w:highlight w:val="none"/>
                <w:lang w:val="en-US" w:eastAsia="zh-CN"/>
              </w:rPr>
              <w:t>实验紧密结合理论，涵盖传感器参数测量、信号调理电路设计、检测系统搭建等项目。实验前教师充分指导，学生做好预习；实验中规范操作，教师巡视纠错；实验后学生认真撰写报告总结。此外，组织课程设计，以小组形式完成综合性项目，培养学生多方面能力。</w:t>
            </w:r>
          </w:p>
        </w:tc>
      </w:tr>
      <w:tr w14:paraId="0FAC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7F6B50D7">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8</w:t>
            </w:r>
          </w:p>
        </w:tc>
        <w:tc>
          <w:tcPr>
            <w:tcW w:w="1238" w:type="dxa"/>
            <w:vAlign w:val="center"/>
          </w:tcPr>
          <w:p w14:paraId="0B45C5B1">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电力电子技术</w:t>
            </w:r>
          </w:p>
        </w:tc>
        <w:tc>
          <w:tcPr>
            <w:tcW w:w="3631" w:type="dxa"/>
            <w:vAlign w:val="top"/>
          </w:tcPr>
          <w:p w14:paraId="2170E0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i w:val="0"/>
                <w:caps w:val="0"/>
                <w:color w:val="auto"/>
                <w:spacing w:val="0"/>
                <w:kern w:val="0"/>
                <w:sz w:val="24"/>
                <w:szCs w:val="24"/>
                <w:highlight w:val="none"/>
                <w:shd w:val="clear" w:fill="FFFFFF"/>
                <w:lang w:val="en-US" w:eastAsia="zh-CN" w:bidi="ar"/>
              </w:rPr>
              <w:t>知识目标：</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掌握电力电子技术的基本概念，理解电力电子器件的工作原理，熟悉常见的电力电子电路类型，了解电力电子技术的应用领域。</w:t>
            </w:r>
          </w:p>
          <w:p w14:paraId="3FCC4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i w:val="0"/>
                <w:caps w:val="0"/>
                <w:color w:val="auto"/>
                <w:spacing w:val="0"/>
                <w:kern w:val="0"/>
                <w:sz w:val="24"/>
                <w:szCs w:val="24"/>
                <w:highlight w:val="none"/>
                <w:shd w:val="clear" w:fill="FFFFFF"/>
                <w:lang w:val="en-US" w:eastAsia="zh-CN" w:bidi="ar"/>
              </w:rPr>
              <w:t>能力目标：</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能够设计简单的电力电子电路，能够分析电力电子电路的工作状态，能够解决电力电子技术中的常见问题，具备电力电子系统的调试与维护能力。</w:t>
            </w:r>
          </w:p>
          <w:p w14:paraId="5CB2C0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i w:val="0"/>
                <w:caps w:val="0"/>
                <w:color w:val="auto"/>
                <w:spacing w:val="0"/>
                <w:kern w:val="0"/>
                <w:sz w:val="24"/>
                <w:szCs w:val="24"/>
                <w:highlight w:val="none"/>
                <w:shd w:val="clear" w:fill="FFFFFF"/>
                <w:lang w:val="en-US" w:eastAsia="zh-CN" w:bidi="ar"/>
              </w:rPr>
              <w:t>素质目标：</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培养严谨的科学态度，增强团队合作与沟通能力，提高安全意识与规范操作能力，激发创新思维与解决问题的能力。</w:t>
            </w:r>
          </w:p>
          <w:p w14:paraId="59F66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r>
              <w:rPr>
                <w:rFonts w:hint="eastAsia" w:ascii="Times New Roman" w:hAnsi="Times New Roman" w:eastAsia="仿宋_GB2312" w:cs="仿宋_GB2312"/>
                <w:b/>
                <w:bCs/>
                <w:i w:val="0"/>
                <w:caps w:val="0"/>
                <w:color w:val="auto"/>
                <w:spacing w:val="0"/>
                <w:sz w:val="24"/>
                <w:szCs w:val="24"/>
                <w:highlight w:val="none"/>
                <w:shd w:val="clear" w:fill="FFFFFF"/>
                <w:lang w:eastAsia="zh-CN"/>
              </w:rPr>
              <w:t>思政育人目标：</w:t>
            </w:r>
            <w:r>
              <w:rPr>
                <w:rFonts w:hint="eastAsia" w:ascii="Times New Roman" w:hAnsi="Times New Roman" w:eastAsia="仿宋_GB2312" w:cs="仿宋_GB2312"/>
                <w:i w:val="0"/>
                <w:caps w:val="0"/>
                <w:color w:val="auto"/>
                <w:spacing w:val="0"/>
                <w:sz w:val="24"/>
                <w:szCs w:val="24"/>
                <w:highlight w:val="none"/>
                <w:shd w:val="clear" w:fill="FFFFFF"/>
              </w:rPr>
              <w:t>教学过程中按照“挖掘</w:t>
            </w:r>
            <w:r>
              <w:rPr>
                <w:rFonts w:hint="eastAsia" w:ascii="Times New Roman" w:hAnsi="Times New Roman" w:eastAsia="仿宋_GB2312" w:cs="仿宋_GB2312"/>
                <w:i w:val="0"/>
                <w:caps w:val="0"/>
                <w:color w:val="auto"/>
                <w:spacing w:val="0"/>
                <w:sz w:val="24"/>
                <w:szCs w:val="24"/>
                <w:highlight w:val="none"/>
                <w:shd w:val="clear" w:fill="FFFFFF"/>
                <w:lang w:eastAsia="zh-CN"/>
              </w:rPr>
              <w:t>－</w:t>
            </w:r>
            <w:r>
              <w:rPr>
                <w:rFonts w:hint="eastAsia" w:ascii="Times New Roman" w:hAnsi="Times New Roman" w:eastAsia="仿宋_GB2312" w:cs="仿宋_GB2312"/>
                <w:i w:val="0"/>
                <w:caps w:val="0"/>
                <w:color w:val="auto"/>
                <w:spacing w:val="0"/>
                <w:sz w:val="24"/>
                <w:szCs w:val="24"/>
                <w:highlight w:val="none"/>
                <w:shd w:val="clear" w:fill="FFFFFF"/>
              </w:rPr>
              <w:t>融入</w:t>
            </w:r>
            <w:r>
              <w:rPr>
                <w:rFonts w:hint="eastAsia" w:ascii="Times New Roman" w:hAnsi="Times New Roman" w:eastAsia="仿宋_GB2312" w:cs="仿宋_GB2312"/>
                <w:i w:val="0"/>
                <w:caps w:val="0"/>
                <w:color w:val="auto"/>
                <w:spacing w:val="0"/>
                <w:sz w:val="24"/>
                <w:szCs w:val="24"/>
                <w:highlight w:val="none"/>
                <w:shd w:val="clear" w:fill="FFFFFF"/>
                <w:lang w:eastAsia="zh-CN"/>
              </w:rPr>
              <w:t>－</w:t>
            </w:r>
            <w:r>
              <w:rPr>
                <w:rFonts w:hint="eastAsia" w:ascii="Times New Roman" w:hAnsi="Times New Roman" w:eastAsia="仿宋_GB2312" w:cs="仿宋_GB2312"/>
                <w:i w:val="0"/>
                <w:caps w:val="0"/>
                <w:color w:val="auto"/>
                <w:spacing w:val="0"/>
                <w:sz w:val="24"/>
                <w:szCs w:val="24"/>
                <w:highlight w:val="none"/>
                <w:shd w:val="clear" w:fill="FFFFFF"/>
              </w:rPr>
              <w:t>实施</w:t>
            </w:r>
            <w:r>
              <w:rPr>
                <w:rFonts w:hint="eastAsia" w:ascii="Times New Roman" w:hAnsi="Times New Roman" w:eastAsia="仿宋_GB2312" w:cs="仿宋_GB2312"/>
                <w:i w:val="0"/>
                <w:caps w:val="0"/>
                <w:color w:val="auto"/>
                <w:spacing w:val="0"/>
                <w:sz w:val="24"/>
                <w:szCs w:val="24"/>
                <w:highlight w:val="none"/>
                <w:shd w:val="clear" w:fill="FFFFFF"/>
                <w:lang w:eastAsia="zh-CN"/>
              </w:rPr>
              <w:t>－</w:t>
            </w:r>
            <w:r>
              <w:rPr>
                <w:rFonts w:hint="eastAsia" w:ascii="Times New Roman" w:hAnsi="Times New Roman" w:eastAsia="仿宋_GB2312" w:cs="仿宋_GB2312"/>
                <w:i w:val="0"/>
                <w:caps w:val="0"/>
                <w:color w:val="auto"/>
                <w:spacing w:val="0"/>
                <w:sz w:val="24"/>
                <w:szCs w:val="24"/>
                <w:highlight w:val="none"/>
                <w:shd w:val="clear" w:fill="FFFFFF"/>
              </w:rPr>
              <w:t>评价”的思路</w:t>
            </w:r>
            <w:r>
              <w:rPr>
                <w:rFonts w:hint="eastAsia" w:ascii="Times New Roman" w:hAnsi="Times New Roman" w:eastAsia="仿宋_GB2312" w:cs="仿宋_GB2312"/>
                <w:i w:val="0"/>
                <w:caps w:val="0"/>
                <w:color w:val="auto"/>
                <w:spacing w:val="0"/>
                <w:sz w:val="24"/>
                <w:szCs w:val="24"/>
                <w:highlight w:val="none"/>
                <w:shd w:val="clear" w:fill="FFFFFF"/>
                <w:lang w:eastAsia="zh-CN"/>
              </w:rPr>
              <w:t>，</w:t>
            </w:r>
            <w:r>
              <w:rPr>
                <w:rFonts w:hint="eastAsia" w:ascii="Times New Roman" w:hAnsi="Times New Roman" w:eastAsia="仿宋_GB2312" w:cs="仿宋_GB2312"/>
                <w:i w:val="0"/>
                <w:caps w:val="0"/>
                <w:color w:val="auto"/>
                <w:spacing w:val="0"/>
                <w:sz w:val="24"/>
                <w:szCs w:val="24"/>
                <w:highlight w:val="none"/>
                <w:shd w:val="clear" w:fill="FFFFFF"/>
              </w:rPr>
              <w:t>梳理六个项目的教学内容，提炼</w:t>
            </w:r>
            <w:r>
              <w:rPr>
                <w:rStyle w:val="15"/>
                <w:rFonts w:hint="eastAsia" w:ascii="Times New Roman" w:hAnsi="Times New Roman" w:eastAsia="仿宋_GB2312" w:cs="仿宋_GB2312"/>
                <w:i w:val="0"/>
                <w:caps w:val="0"/>
                <w:color w:val="auto"/>
                <w:spacing w:val="0"/>
                <w:sz w:val="24"/>
                <w:szCs w:val="24"/>
                <w:highlight w:val="none"/>
                <w:shd w:val="clear" w:fill="FFFFFF"/>
              </w:rPr>
              <w:t>思政</w:t>
            </w:r>
            <w:r>
              <w:rPr>
                <w:rFonts w:hint="eastAsia" w:ascii="Times New Roman" w:hAnsi="Times New Roman" w:eastAsia="仿宋_GB2312" w:cs="仿宋_GB2312"/>
                <w:i w:val="0"/>
                <w:caps w:val="0"/>
                <w:color w:val="auto"/>
                <w:spacing w:val="0"/>
                <w:sz w:val="24"/>
                <w:szCs w:val="24"/>
                <w:highlight w:val="none"/>
                <w:shd w:val="clear" w:fill="FFFFFF"/>
              </w:rPr>
              <w:t>教育元素，设计精益求精的工匠精</w:t>
            </w:r>
            <w:r>
              <w:rPr>
                <w:rFonts w:hint="eastAsia" w:ascii="Times New Roman" w:hAnsi="Times New Roman" w:eastAsia="仿宋_GB2312" w:cs="仿宋_GB2312"/>
                <w:i w:val="0"/>
                <w:caps w:val="0"/>
                <w:color w:val="auto"/>
                <w:spacing w:val="0"/>
                <w:sz w:val="24"/>
                <w:szCs w:val="24"/>
                <w:highlight w:val="none"/>
                <w:shd w:val="clear" w:fill="FFFFFF"/>
                <w:lang w:eastAsia="zh-CN"/>
              </w:rPr>
              <w:t>神。</w:t>
            </w:r>
            <w:r>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t>服务国家能源战略，对接行业转型升级，实现知行合一的教育目标。</w:t>
            </w:r>
          </w:p>
          <w:p w14:paraId="3827B6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p>
          <w:p w14:paraId="29869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imes New Roman" w:hAnsi="Times New Roman" w:eastAsia="仿宋_GB2312" w:cs="仿宋_GB2312"/>
                <w:i w:val="0"/>
                <w:caps w:val="0"/>
                <w:color w:val="auto"/>
                <w:spacing w:val="0"/>
                <w:kern w:val="0"/>
                <w:sz w:val="24"/>
                <w:szCs w:val="24"/>
                <w:highlight w:val="none"/>
                <w:shd w:val="clear" w:fill="FFFFFF"/>
                <w:lang w:val="en-US" w:eastAsia="zh-CN" w:bidi="ar"/>
              </w:rPr>
            </w:pPr>
          </w:p>
        </w:tc>
        <w:tc>
          <w:tcPr>
            <w:tcW w:w="2331" w:type="dxa"/>
            <w:vAlign w:val="top"/>
          </w:tcPr>
          <w:p w14:paraId="09F0BA26">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电工基本概念与电路基础，涉及电流、电压、电阻、功率等基本概念及其单位，以及电源、负载、导线等电路基本组成元素及其作用。</w:t>
            </w:r>
          </w:p>
        </w:tc>
        <w:tc>
          <w:tcPr>
            <w:tcW w:w="2831" w:type="dxa"/>
            <w:vAlign w:val="top"/>
          </w:tcPr>
          <w:p w14:paraId="221AB3A6">
            <w:pPr>
              <w:keepNext w:val="0"/>
              <w:keepLines w:val="0"/>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学生需掌握电工电子技术的基本理论和基础知识，同时注重实践操作，通过实验和实训提升技能水平。课程内容应系统全面，涵盖电路分析、电磁场理论、电子器件、模拟电子技术、数字电子技术等多个模块，确保学生构建完整的知识体系。重点培养学生的电路分析、设计、调试和故障排除能力，以及使用常用电工电子工具和设备的能力。鼓励学生参与创新项目，培养创新思维和解决问题的能力，以适应电子工程领域快速发展的需求。注重培养学生的职业道德、团队协作能力和持续学习能力，为未来的职业生涯奠定坚实基础。</w:t>
            </w:r>
          </w:p>
        </w:tc>
      </w:tr>
      <w:tr w14:paraId="1E67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vAlign w:val="center"/>
          </w:tcPr>
          <w:p w14:paraId="65414E4E">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9</w:t>
            </w:r>
          </w:p>
        </w:tc>
        <w:tc>
          <w:tcPr>
            <w:tcW w:w="1238" w:type="dxa"/>
            <w:vAlign w:val="center"/>
          </w:tcPr>
          <w:p w14:paraId="0445FF06">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嵌入式技术与应用</w:t>
            </w:r>
          </w:p>
        </w:tc>
        <w:tc>
          <w:tcPr>
            <w:tcW w:w="3631" w:type="dxa"/>
            <w:vAlign w:val="top"/>
          </w:tcPr>
          <w:p w14:paraId="15E54E04">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知识目标：</w:t>
            </w:r>
            <w:r>
              <w:rPr>
                <w:rFonts w:hint="eastAsia" w:ascii="Times New Roman" w:hAnsi="Times New Roman" w:eastAsia="仿宋_GB2312" w:cs="仿宋_GB2312"/>
                <w:color w:val="auto"/>
                <w:sz w:val="24"/>
                <w:szCs w:val="24"/>
                <w:highlight w:val="none"/>
                <w:lang w:val="en-US" w:eastAsia="zh-CN"/>
              </w:rPr>
              <w:t>掌握嵌入式系统的基本架构、操作系统的原理及应用，熟悉嵌入式处理器的编程接口和外围设备驱动开发方法，了解嵌入式系统在智能终端、工业控制等领域的应用。</w:t>
            </w:r>
          </w:p>
          <w:p w14:paraId="1A9ECFD7">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能力目标：</w:t>
            </w:r>
            <w:r>
              <w:rPr>
                <w:rFonts w:hint="eastAsia" w:ascii="Times New Roman" w:hAnsi="Times New Roman" w:eastAsia="仿宋_GB2312" w:cs="仿宋_GB2312"/>
                <w:color w:val="auto"/>
                <w:sz w:val="24"/>
                <w:szCs w:val="24"/>
                <w:highlight w:val="none"/>
                <w:lang w:val="en-US" w:eastAsia="zh-CN"/>
              </w:rPr>
              <w:t>能搭建嵌入式系统开发环境，编写简单的嵌入式应用程序和设备驱动程序，进行嵌入式系统的调试与性能优化，具备设计简单嵌入式应用系统的能力。</w:t>
            </w:r>
          </w:p>
          <w:p w14:paraId="6C92B555">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lang w:val="en-US" w:eastAsia="zh-CN"/>
              </w:rPr>
              <w:t>素质目标：</w:t>
            </w:r>
            <w:r>
              <w:rPr>
                <w:rFonts w:hint="eastAsia" w:ascii="Times New Roman" w:hAnsi="Times New Roman" w:eastAsia="仿宋_GB2312" w:cs="仿宋_GB2312"/>
                <w:color w:val="auto"/>
                <w:sz w:val="24"/>
                <w:szCs w:val="24"/>
                <w:highlight w:val="none"/>
                <w:lang w:val="en-US" w:eastAsia="zh-CN"/>
              </w:rPr>
              <w:t>培养嵌入式系统设计的全局思维和创新意识，提升跨平台开发能力和团队协作中的技术沟通能力。</w:t>
            </w:r>
          </w:p>
          <w:p w14:paraId="5E1CBDA0">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lang w:val="en-US" w:eastAsia="zh-CN"/>
              </w:rPr>
              <w:t>课程思政育人目标：</w:t>
            </w:r>
            <w:r>
              <w:rPr>
                <w:rFonts w:hint="eastAsia" w:ascii="Times New Roman" w:hAnsi="Times New Roman" w:eastAsia="仿宋_GB2312" w:cs="仿宋_GB2312"/>
                <w:color w:val="auto"/>
                <w:sz w:val="24"/>
                <w:szCs w:val="24"/>
                <w:highlight w:val="none"/>
                <w:lang w:val="en-US" w:eastAsia="zh-CN"/>
              </w:rPr>
              <w:t>结合嵌入式技术在航空航天、智能制造等国家重点领域的应用，激发学生的家国情怀和为国家科技发展贡献力量的使命感；在项目开发中强调团队协作，培养学生的集体荣誉感和合作精神。</w:t>
            </w:r>
          </w:p>
        </w:tc>
        <w:tc>
          <w:tcPr>
            <w:tcW w:w="2331" w:type="dxa"/>
            <w:vAlign w:val="top"/>
          </w:tcPr>
          <w:p w14:paraId="141323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以嵌入式系统为核心的应用电路的硬件电路设计；嵌入式系统软件设计与编程；典型应用项目系统构建与调试。</w:t>
            </w:r>
          </w:p>
          <w:p w14:paraId="65F574F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p>
        </w:tc>
        <w:tc>
          <w:tcPr>
            <w:tcW w:w="2831" w:type="dxa"/>
            <w:vAlign w:val="top"/>
          </w:tcPr>
          <w:p w14:paraId="2A67EDB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val="en-US" w:eastAsia="zh-CN"/>
              </w:rPr>
              <w:t>通过“功能实现”项目（如智能手环、工业网关）引导学生完成硬件选型、驱动开发、系统集成。强调“需求分析→硬件设计→软件编程→测试验证”全流程，培养工程思维。结合实际案例（如内存泄漏、中断冲突），教授问题定位方法（如逻辑分析仪、静态代码分析）。</w:t>
            </w:r>
          </w:p>
        </w:tc>
      </w:tr>
    </w:tbl>
    <w:p w14:paraId="6B8E4BC4">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rPr>
      </w:pPr>
      <w:bookmarkStart w:id="22" w:name="_Toc90734977"/>
      <w:r>
        <w:rPr>
          <w:rFonts w:hint="eastAsia" w:ascii="Times New Roman" w:hAnsi="Times New Roman" w:eastAsia="仿宋_GB2312" w:cs="仿宋_GB2312"/>
          <w:b w:val="0"/>
          <w:bCs w:val="0"/>
          <w:color w:val="auto"/>
          <w:sz w:val="32"/>
          <w:szCs w:val="32"/>
          <w:highlight w:val="none"/>
        </w:rPr>
        <w:t>2.专业核心课程</w:t>
      </w:r>
      <w:bookmarkEnd w:id="22"/>
    </w:p>
    <w:p w14:paraId="385A0071">
      <w:pPr>
        <w:pStyle w:val="18"/>
        <w:keepNext w:val="0"/>
        <w:keepLines w:val="0"/>
        <w:pageBreakBefore w:val="0"/>
        <w:widowControl w:val="0"/>
        <w:kinsoku/>
        <w:wordWrap/>
        <w:overflowPunct/>
        <w:topLinePunct w:val="0"/>
        <w:autoSpaceDE/>
        <w:autoSpaceDN/>
        <w:bidi w:val="0"/>
        <w:adjustRightInd/>
        <w:snapToGrid/>
        <w:spacing w:after="0"/>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专业核心课是面向电力系统、建筑自动化、电厂等岗位（群），结合电气设备生产、电力系统运行、发电厂的就业岗位，建立电气自动化技术专业核心课程，培养学生掌握电气设备生产基本技能、熟悉电力系统运行过程、电力生产与传输等方面的能力。包括工业网络与组态技术、工业机器人操作与编程、自动控制系统、电机调速技术、PLC技术与应用、电机与电气控制</w:t>
      </w:r>
      <w:r>
        <w:rPr>
          <w:rFonts w:hint="eastAsia" w:ascii="Times New Roman" w:hAnsi="Times New Roman" w:eastAsia="仿宋_GB2312" w:cs="仿宋_GB2312"/>
          <w:color w:val="auto"/>
          <w:highlight w:val="none"/>
          <w:lang w:eastAsia="zh-CN"/>
        </w:rPr>
        <w:t>、工厂供配电、电气测量</w:t>
      </w:r>
      <w:r>
        <w:rPr>
          <w:rFonts w:hint="eastAsia" w:ascii="Times New Roman" w:hAnsi="Times New Roman" w:eastAsia="仿宋_GB2312" w:cs="仿宋_GB2312"/>
          <w:color w:val="auto"/>
          <w:highlight w:val="none"/>
        </w:rPr>
        <w:t>等课程。</w:t>
      </w:r>
    </w:p>
    <w:p w14:paraId="5E540975">
      <w:pPr>
        <w:pageBreakBefore w:val="0"/>
        <w:kinsoku/>
        <w:wordWrap/>
        <w:overflowPunct w:val="0"/>
        <w:topLinePunct w:val="0"/>
        <w:autoSpaceDE/>
        <w:autoSpaceDN/>
        <w:bidi w:val="0"/>
        <w:adjustRightInd w:val="0"/>
        <w:spacing w:after="0" w:line="520" w:lineRule="exact"/>
        <w:jc w:val="center"/>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表4专业核心课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2"/>
        <w:tblW w:w="10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198"/>
        <w:gridCol w:w="4733"/>
        <w:gridCol w:w="1880"/>
        <w:gridCol w:w="2113"/>
      </w:tblGrid>
      <w:tr w14:paraId="5D1A3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458A8103">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序号</w:t>
            </w:r>
          </w:p>
        </w:tc>
        <w:tc>
          <w:tcPr>
            <w:tcW w:w="1198" w:type="dxa"/>
            <w:vAlign w:val="center"/>
          </w:tcPr>
          <w:p w14:paraId="282B037B">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课程名称</w:t>
            </w:r>
          </w:p>
        </w:tc>
        <w:tc>
          <w:tcPr>
            <w:tcW w:w="4733" w:type="dxa"/>
            <w:vAlign w:val="center"/>
          </w:tcPr>
          <w:p w14:paraId="66FF3F89">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课程教学目标</w:t>
            </w:r>
          </w:p>
        </w:tc>
        <w:tc>
          <w:tcPr>
            <w:tcW w:w="1880" w:type="dxa"/>
            <w:vAlign w:val="center"/>
          </w:tcPr>
          <w:p w14:paraId="7F2F91DC">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课程教学内容</w:t>
            </w:r>
          </w:p>
        </w:tc>
        <w:tc>
          <w:tcPr>
            <w:tcW w:w="2113" w:type="dxa"/>
            <w:vAlign w:val="center"/>
          </w:tcPr>
          <w:p w14:paraId="6770998B">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课程教学要求</w:t>
            </w:r>
          </w:p>
        </w:tc>
      </w:tr>
      <w:tr w14:paraId="157C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6D1BAC8E">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1</w:t>
            </w:r>
          </w:p>
        </w:tc>
        <w:tc>
          <w:tcPr>
            <w:tcW w:w="1198" w:type="dxa"/>
            <w:vAlign w:val="center"/>
          </w:tcPr>
          <w:p w14:paraId="06E6A4BD">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工业网络与组态技术</w:t>
            </w:r>
          </w:p>
        </w:tc>
        <w:tc>
          <w:tcPr>
            <w:tcW w:w="4733" w:type="dxa"/>
            <w:vAlign w:val="top"/>
          </w:tcPr>
          <w:p w14:paraId="252D5EF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理解工业网络的基本概念、分类及在工业自动化中的作用。掌握主流组态软件的基本原理、界面组成及功能模块</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工业网络通信协议的工作机制、数据格式及配置方法。</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组态控制系统开发流程</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了解工业网络与组态技术的行业应用案例及发展趋势。</w:t>
            </w:r>
          </w:p>
          <w:p w14:paraId="0E18EA6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能熟练安装、配置主流组态软件，完成基本监控界面设计。能建立组态软件与工业设备的通信连接，实现数据采集与实时监控。能完成组态系统的动画组态、报警设置及报表生成</w:t>
            </w:r>
            <w:r>
              <w:rPr>
                <w:rFonts w:hint="eastAsia" w:ascii="Times New Roman" w:hAnsi="Times New Roman" w:eastAsia="仿宋_GB2312" w:cs="仿宋_GB2312"/>
                <w:color w:val="auto"/>
                <w:sz w:val="24"/>
                <w:szCs w:val="24"/>
                <w:highlight w:val="none"/>
                <w:lang w:eastAsia="zh-CN"/>
              </w:rPr>
              <w:t>及</w:t>
            </w:r>
            <w:r>
              <w:rPr>
                <w:rFonts w:hint="eastAsia" w:ascii="Times New Roman" w:hAnsi="Times New Roman" w:eastAsia="仿宋_GB2312" w:cs="仿宋_GB2312"/>
                <w:color w:val="auto"/>
                <w:sz w:val="24"/>
                <w:szCs w:val="24"/>
                <w:highlight w:val="none"/>
              </w:rPr>
              <w:t>分析工业网络与组态系统的常见故障并提出解决方案。</w:t>
            </w:r>
          </w:p>
          <w:p w14:paraId="31B8D46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模块化设计、标准化配置”的工作习惯，严格遵循工业自动化系统开发流程与行业规范。培养结合工业场景需求，设计实用组态监控系统的工程思维与创新意识。提升在工业项目中与设备调试、软件开发人员协同工作的沟通与协作能力。</w:t>
            </w:r>
          </w:p>
          <w:p w14:paraId="7624B85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工业网络稳定性设计与组态系统可靠性实训，培养学生“保障工业生产连续运行”的责任意识与严谨态度。结合国产工业网络设备、组态软件的应用案例，增强学生对本土工业技术的自信与产业报国使命感。强调工业网络安全规范，树立“工业安全无小事”的职业操守。</w:t>
            </w:r>
          </w:p>
        </w:tc>
        <w:tc>
          <w:tcPr>
            <w:tcW w:w="1880" w:type="dxa"/>
            <w:vAlign w:val="top"/>
          </w:tcPr>
          <w:p w14:paraId="53319A7A">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组态软件的基本概念、界面设计、数据处理、设备通信及控制系统开发等方面，旨在培养学员的自动化控制实践能力。</w:t>
            </w:r>
          </w:p>
        </w:tc>
        <w:tc>
          <w:tcPr>
            <w:tcW w:w="2113" w:type="dxa"/>
            <w:vAlign w:val="top"/>
          </w:tcPr>
          <w:p w14:paraId="4A01C075">
            <w:pPr>
              <w:pStyle w:val="10"/>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2"/>
                <w:sz w:val="24"/>
                <w:szCs w:val="24"/>
                <w:highlight w:val="none"/>
              </w:rPr>
              <w:t>掌握组态软件的基本原理、发展历程、系统构成及发展趋势，熟悉其在工业自动化中的应用。通过实践，学生能够熟练操作组态软件，包括安装配置、界面设计、变量建立、动画组态、数据通讯、报警处理、报表处理等关键环节。注重培养学生的实际应用能力，通过工程实例学习，使学生能够独立设计并实施组态控制系统，解决实际工程问题。鼓励学生探索新技术，培养创新思维，能够依据实际需求开发新的软件功能或优化现有系统。</w:t>
            </w:r>
          </w:p>
        </w:tc>
      </w:tr>
      <w:tr w14:paraId="339D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64041E2F">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2</w:t>
            </w:r>
          </w:p>
        </w:tc>
        <w:tc>
          <w:tcPr>
            <w:tcW w:w="1198" w:type="dxa"/>
            <w:vAlign w:val="center"/>
          </w:tcPr>
          <w:p w14:paraId="378C5ECA">
            <w:pPr>
              <w:keepNext w:val="0"/>
              <w:keepLines w:val="0"/>
              <w:pageBreakBefore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工业机器人操作与编程</w:t>
            </w:r>
          </w:p>
        </w:tc>
        <w:tc>
          <w:tcPr>
            <w:tcW w:w="4733" w:type="dxa"/>
            <w:vAlign w:val="top"/>
          </w:tcPr>
          <w:p w14:paraId="1B87E78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理解工业机器人的基本概念、分类及在工业领域的应用场景。掌握工业机器人的结构组成、工作原理</w:t>
            </w:r>
            <w:r>
              <w:rPr>
                <w:rFonts w:hint="eastAsia" w:ascii="Times New Roman" w:hAnsi="Times New Roman" w:eastAsia="仿宋_GB2312" w:cs="仿宋_GB2312"/>
                <w:color w:val="auto"/>
                <w:sz w:val="24"/>
                <w:szCs w:val="24"/>
                <w:highlight w:val="none"/>
                <w:lang w:eastAsia="zh-CN"/>
              </w:rPr>
              <w:t>以及</w:t>
            </w:r>
            <w:r>
              <w:rPr>
                <w:rFonts w:hint="eastAsia" w:ascii="Times New Roman" w:hAnsi="Times New Roman" w:eastAsia="仿宋_GB2312" w:cs="仿宋_GB2312"/>
                <w:color w:val="auto"/>
                <w:sz w:val="24"/>
                <w:szCs w:val="24"/>
                <w:highlight w:val="none"/>
              </w:rPr>
              <w:t>工业机器人编程语言及核心指令。了解工业机器人与周边设备的集成原理及行业发展趋势。</w:t>
            </w:r>
          </w:p>
          <w:p w14:paraId="34C91EA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熟练操作工业机器人示教器，完成开机、原点回归、坐标系设定等基础操作。能运用示教器编写简单程序，实现机器人基本动作。能使用离线编程软件进行简单场景建模、路径规划与程序仿真，验证程序可行性。能完成工业机器人与周边设备的简单集成调试，解决操作与编程中的常见问题。</w:t>
            </w:r>
          </w:p>
          <w:p w14:paraId="1F41479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养成“安全第一、规范操作”的工作习惯，严格遵守工业机器人安全操作规程。培养结合工业生产需求设计机器人作业流程的工程思维与创新意识</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提升在机器人集成项目中与工艺、设备人员协同工作的沟通能力与团队协作精神。</w:t>
            </w:r>
          </w:p>
          <w:p w14:paraId="6095E5A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工业机器人高精度操作与编程实训，培养学生“精益求精、追求精准”的严谨工程态度，理解“工业自动化提质增效”的重要价值。结合国产工业机器人的技术突破与应用案例，激发学生对本土机器人产业的自信与科技报国的责任感。强调工业生产中的安全规范与责任担当，树立“安全操作、守护生产”的职业操守。</w:t>
            </w:r>
          </w:p>
        </w:tc>
        <w:tc>
          <w:tcPr>
            <w:tcW w:w="1880" w:type="dxa"/>
            <w:vAlign w:val="top"/>
          </w:tcPr>
          <w:p w14:paraId="2261C932">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机器人结构设计、运动控制原理、编程与调试技术，以及实际应用场景的集成与优化，旨在培养具备机器人技术应用能力的专业人才。</w:t>
            </w:r>
          </w:p>
        </w:tc>
        <w:tc>
          <w:tcPr>
            <w:tcW w:w="2113" w:type="dxa"/>
            <w:vAlign w:val="top"/>
          </w:tcPr>
          <w:p w14:paraId="5887B1CE">
            <w:pPr>
              <w:pStyle w:val="10"/>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kern w:val="2"/>
                <w:sz w:val="24"/>
                <w:szCs w:val="24"/>
                <w:highlight w:val="none"/>
              </w:rPr>
              <w:t>了解工业机器人的基本结构、工作原理、控制系统及编程语言，掌握机器人运动学、动力学等基础理论。通过实验教学，学生能够熟练操作工业机器人，进行编程、调试与故障排查，熟悉机器人与周边设备的集成与应用。课程注重培养学生的实际应用能力。强调安全操作规程，培养学生的安全意识、团队合作精神及创新思维，为未来的职业发展打下坚实基础。</w:t>
            </w:r>
          </w:p>
        </w:tc>
      </w:tr>
      <w:tr w14:paraId="5BC4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6885FA13">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1198" w:type="dxa"/>
            <w:vAlign w:val="center"/>
          </w:tcPr>
          <w:p w14:paraId="3017BE4A">
            <w:pPr>
              <w:keepNext w:val="0"/>
              <w:keepLines w:val="0"/>
              <w:pageBreakBefore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自动控制系统</w:t>
            </w:r>
          </w:p>
        </w:tc>
        <w:tc>
          <w:tcPr>
            <w:tcW w:w="4733" w:type="dxa"/>
            <w:vAlign w:val="top"/>
          </w:tcPr>
          <w:p w14:paraId="146F76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自动控制系统的基本概念、分类及在工业中的应用。掌握自动控制系统的数学模型建立方法，理解拉普拉斯变换在系统建模中的应用。掌握自动控制系统的性能分析方法：时域分析法、根轨迹分析法、频域分析法。了解自动控制系统的行业应用案例及发展趋势。</w:t>
            </w:r>
          </w:p>
          <w:p w14:paraId="7D3441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能根据被控对象建立自动控制系统的数学模型，并进行模型简化与验证。能运用时域分析法、根轨迹分析法或频域分析法，分析自动控制系统的稳定性、动态性能与稳态性能，识别系统存在的问题。</w:t>
            </w:r>
            <w:r>
              <w:rPr>
                <w:rFonts w:hint="eastAsia" w:ascii="Times New Roman" w:hAnsi="Times New Roman" w:eastAsia="仿宋_GB2312" w:cs="仿宋_GB2312"/>
                <w:color w:val="auto"/>
                <w:sz w:val="24"/>
                <w:szCs w:val="24"/>
                <w:highlight w:val="none"/>
                <w:lang w:eastAsia="zh-CN"/>
              </w:rPr>
              <w:t>学会</w:t>
            </w:r>
            <w:r>
              <w:rPr>
                <w:rFonts w:hint="eastAsia" w:ascii="Times New Roman" w:hAnsi="Times New Roman" w:eastAsia="仿宋_GB2312" w:cs="仿宋_GB2312"/>
                <w:color w:val="auto"/>
                <w:sz w:val="24"/>
                <w:szCs w:val="24"/>
                <w:highlight w:val="none"/>
              </w:rPr>
              <w:t>使用自动控制仿真软件搭建系统仿真模型，模拟系统运行，验证设计方案的可行性。</w:t>
            </w:r>
          </w:p>
          <w:p w14:paraId="4FAE651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 “建模精准、分析严谨” 的工作习惯，严格遵循自动控制系统设计与分析的科学流程。提升在控制项目中与团队成员分工协作的沟通能力与协同效率。</w:t>
            </w:r>
          </w:p>
          <w:p w14:paraId="445B572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通过自动控制系统建模与性能优化实训，培养学生“追求系统最优、把控细节误差” 的严谨科学态度，理解 “控制精度决定产品质量”的工业价值。 结合我国在高端装备自动控制领域的技术突破，激发学生的民族自豪感与科技报国的使命感。强调自动控制系统在关乎国计民生领域的可靠性要求，树立“技术报国、责任担当”的职业操守。</w:t>
            </w:r>
          </w:p>
        </w:tc>
        <w:tc>
          <w:tcPr>
            <w:tcW w:w="1880" w:type="dxa"/>
            <w:vAlign w:val="top"/>
          </w:tcPr>
          <w:p w14:paraId="36CCA775">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自动控制系统的基本概念、数学模型、性能分析、校正与设计方法等内容，旨在培养学生掌握自动控制系统的原理与设计技能。</w:t>
            </w:r>
          </w:p>
        </w:tc>
        <w:tc>
          <w:tcPr>
            <w:tcW w:w="2113" w:type="dxa"/>
            <w:vAlign w:val="top"/>
          </w:tcPr>
          <w:p w14:paraId="3C12319A">
            <w:pPr>
              <w:pStyle w:val="10"/>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color w:val="auto"/>
                <w:kern w:val="0"/>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rPr>
              <w:t>掌握自动控制的基本理论、基本原理和基本方法，同时注重实践操作。培养学生建立控制系统数学模型的能力，掌握时域分析法、根轨迹分析法、频域分析法等系统分析方法。注重学生控制系统设计能力的培养，培养创新思维和解决实际问题的能力，使学生能够将所学知识应用于自动化领域的工程实践中。注重培养学生的职业道德、团队协作能力和持续学习能力，为未来职业生涯奠定基础。</w:t>
            </w:r>
          </w:p>
        </w:tc>
      </w:tr>
      <w:tr w14:paraId="4C76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36252D46">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1198" w:type="dxa"/>
            <w:vAlign w:val="center"/>
          </w:tcPr>
          <w:p w14:paraId="3D5233E7">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电机调速技术</w:t>
            </w:r>
          </w:p>
        </w:tc>
        <w:tc>
          <w:tcPr>
            <w:tcW w:w="4733" w:type="dxa"/>
            <w:vAlign w:val="top"/>
          </w:tcPr>
          <w:p w14:paraId="3390087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理解电机调速的基本概念、意义及分类。掌握直流电机的结构原理、机械特性，及常用调速方法的原理、特点与适用场景。</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交流电机的结构原理、机械特性，及</w:t>
            </w:r>
            <w:r>
              <w:rPr>
                <w:rFonts w:hint="eastAsia" w:ascii="Times New Roman" w:hAnsi="Times New Roman" w:eastAsia="仿宋_GB2312" w:cs="仿宋_GB2312"/>
                <w:color w:val="auto"/>
                <w:sz w:val="24"/>
                <w:szCs w:val="24"/>
                <w:highlight w:val="none"/>
                <w:lang w:val="en-US" w:eastAsia="zh-CN"/>
              </w:rPr>
              <w:t>相关</w:t>
            </w:r>
            <w:r>
              <w:rPr>
                <w:rFonts w:hint="eastAsia" w:ascii="Times New Roman" w:hAnsi="Times New Roman" w:eastAsia="仿宋_GB2312" w:cs="仿宋_GB2312"/>
                <w:color w:val="auto"/>
                <w:sz w:val="24"/>
                <w:szCs w:val="24"/>
                <w:highlight w:val="none"/>
              </w:rPr>
              <w:t>调速方法的原理、控制方式。</w:t>
            </w:r>
            <w:r>
              <w:rPr>
                <w:rFonts w:hint="eastAsia" w:ascii="Times New Roman" w:hAnsi="Times New Roman" w:eastAsia="仿宋_GB2312" w:cs="仿宋_GB2312"/>
                <w:color w:val="auto"/>
                <w:sz w:val="24"/>
                <w:szCs w:val="24"/>
                <w:highlight w:val="none"/>
                <w:lang w:eastAsia="zh-CN"/>
              </w:rPr>
              <w:t>了解</w:t>
            </w:r>
            <w:r>
              <w:rPr>
                <w:rFonts w:hint="eastAsia" w:ascii="Times New Roman" w:hAnsi="Times New Roman" w:eastAsia="仿宋_GB2312" w:cs="仿宋_GB2312"/>
                <w:color w:val="auto"/>
                <w:sz w:val="24"/>
                <w:szCs w:val="24"/>
                <w:highlight w:val="none"/>
              </w:rPr>
              <w:t>变频器的基本结构、工作原理、核心参数及选型方法。</w:t>
            </w:r>
          </w:p>
          <w:p w14:paraId="3F4CA75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能根据直流电机类型与调速需求，选择合适的调速方法，分析调速过程中电机机械特性的变化，判断调速效果。能熟练操作变频器，完成基本参数设置，实现三相异步电机的变频调速控制。 能分析电机调速系统的常见故障，通过参数调整、线路检查等方式排查并解决问题</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能结合工业场景，设计简单的电机调速方案，并进行方案验证。</w:t>
            </w:r>
          </w:p>
          <w:p w14:paraId="615B28B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养成“按需选型、规范调试” 的工作习惯，严格遵循电机调速系统设计、安装与调试的行业规范与安全流程。培养结合工业负载特性选择最优调速方案的工程思维与创新意识。提升在电机调速项目中与电气安装、设备运维人员协同工作的沟通能力与团队协作精神。</w:t>
            </w:r>
          </w:p>
          <w:p w14:paraId="3DCEDA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通过电机调速系统参数调试与故障排查实训，培养学生“精准控制、节能高效”的工程态度，理解“调速技术关乎工业能耗与生产效率”的重要价值。 结合国产变频器在工业领域的广泛应用及技术突破，激发学生对本土电气设备产业的自信与产业报国使命感。强调电机调速系统在关键工业设备中的可靠性要求，树立 “安全调试、保障生产”的职业操守。</w:t>
            </w:r>
          </w:p>
        </w:tc>
        <w:tc>
          <w:tcPr>
            <w:tcW w:w="1880" w:type="dxa"/>
            <w:vAlign w:val="top"/>
          </w:tcPr>
          <w:p w14:paraId="4DDC7A87">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掌握低压电器元件的结构原理、主要参数和使用方法。掌握电动机的结构原理、主要参数、机械 特性等知识和三相异步电动机的起保停、正反 转、起动、制动、调速等典型控制线路的安装与 调试。掌握典型机床电气控制电路的分析方法，能 够根据图纸完成电气线路的安装与调试。</w:t>
            </w:r>
          </w:p>
        </w:tc>
        <w:tc>
          <w:tcPr>
            <w:tcW w:w="2113" w:type="dxa"/>
            <w:vAlign w:val="top"/>
          </w:tcPr>
          <w:p w14:paraId="286FE63D">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讲解变频器的基本原理、组成结构、控制方式、应用实例等内容，确保学生系统掌握。培养学生变频器的选用、安装、调试及故障排除等技能，为未来工作打下坚实基础。强调变频器操作中的安全规范，提高学生的安全意识和自我保护能力。</w:t>
            </w:r>
          </w:p>
        </w:tc>
      </w:tr>
      <w:tr w14:paraId="591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3DDECB18">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5</w:t>
            </w:r>
          </w:p>
        </w:tc>
        <w:tc>
          <w:tcPr>
            <w:tcW w:w="1198" w:type="dxa"/>
            <w:vAlign w:val="center"/>
          </w:tcPr>
          <w:p w14:paraId="03D7B1AE">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PLC</w:t>
            </w:r>
            <w:r>
              <w:rPr>
                <w:rFonts w:hint="eastAsia" w:ascii="Times New Roman" w:hAnsi="Times New Roman" w:eastAsia="仿宋_GB2312" w:cs="仿宋_GB2312"/>
                <w:color w:val="auto"/>
                <w:sz w:val="24"/>
                <w:szCs w:val="24"/>
                <w:highlight w:val="none"/>
                <w:lang w:val="en-US" w:eastAsia="zh-CN"/>
              </w:rPr>
              <w:t>技术与应用</w:t>
            </w:r>
          </w:p>
        </w:tc>
        <w:tc>
          <w:tcPr>
            <w:tcW w:w="4733" w:type="dxa"/>
            <w:vAlign w:val="top"/>
          </w:tcPr>
          <w:p w14:paraId="5BF379E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理解PLC的基本概念、发展历程、核心特点及在工业中的应用。掌握PLC的硬件结构、工作原理、I/O地址分配规则。</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PLC的编程语言，熟悉FX系列PLC 的基本指令、功能指令及顺序控制编程方法。</w:t>
            </w:r>
            <w:r>
              <w:rPr>
                <w:rFonts w:hint="eastAsia" w:ascii="Times New Roman" w:hAnsi="Times New Roman" w:eastAsia="仿宋_GB2312" w:cs="仿宋_GB2312"/>
                <w:color w:val="auto"/>
                <w:sz w:val="24"/>
                <w:szCs w:val="24"/>
                <w:highlight w:val="none"/>
                <w:lang w:eastAsia="zh-CN"/>
              </w:rPr>
              <w:t>了解</w:t>
            </w:r>
            <w:r>
              <w:rPr>
                <w:rFonts w:hint="eastAsia" w:ascii="Times New Roman" w:hAnsi="Times New Roman" w:eastAsia="仿宋_GB2312" w:cs="仿宋_GB2312"/>
                <w:color w:val="auto"/>
                <w:sz w:val="24"/>
                <w:szCs w:val="24"/>
                <w:highlight w:val="none"/>
              </w:rPr>
              <w:t>PLC控制系统的设计流程及典型控制电路的PLC实现</w:t>
            </w:r>
            <w:r>
              <w:rPr>
                <w:rFonts w:hint="eastAsia" w:ascii="Times New Roman" w:hAnsi="Times New Roman" w:eastAsia="仿宋_GB2312" w:cs="仿宋_GB2312"/>
                <w:color w:val="auto"/>
                <w:sz w:val="24"/>
                <w:szCs w:val="24"/>
                <w:highlight w:val="none"/>
                <w:lang w:eastAsia="zh-CN"/>
              </w:rPr>
              <w:t>以及</w:t>
            </w:r>
            <w:r>
              <w:rPr>
                <w:rFonts w:hint="eastAsia" w:ascii="Times New Roman" w:hAnsi="Times New Roman" w:eastAsia="仿宋_GB2312" w:cs="仿宋_GB2312"/>
                <w:color w:val="auto"/>
                <w:sz w:val="24"/>
                <w:szCs w:val="24"/>
                <w:highlight w:val="none"/>
              </w:rPr>
              <w:t>PLC与外部设备的通信连接方法及PLC技术的发展趋势。</w:t>
            </w:r>
          </w:p>
          <w:p w14:paraId="40E74F6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能根据控制需求进行PLC</w:t>
            </w:r>
            <w:r>
              <w:rPr>
                <w:rFonts w:hint="eastAsia" w:ascii="Times New Roman" w:hAnsi="Times New Roman" w:eastAsia="仿宋_GB2312" w:cs="仿宋_GB2312"/>
                <w:color w:val="auto"/>
                <w:sz w:val="24"/>
                <w:szCs w:val="24"/>
                <w:highlight w:val="none"/>
                <w:lang w:eastAsia="zh-CN"/>
              </w:rPr>
              <w:t>的</w:t>
            </w:r>
            <w:r>
              <w:rPr>
                <w:rFonts w:hint="eastAsia" w:ascii="Times New Roman" w:hAnsi="Times New Roman" w:eastAsia="仿宋_GB2312" w:cs="仿宋_GB2312"/>
                <w:color w:val="auto"/>
                <w:sz w:val="24"/>
                <w:szCs w:val="24"/>
                <w:highlight w:val="none"/>
              </w:rPr>
              <w:t>I/O地址分配，绘制I/O接线图，完成PLC与外部设备的接线。能熟练运用梯形图语言，结合基本指令与功能指令，编写典型控制程序。能使用PLC编程软件完成程序的编写、下载、监控与调试，排查程序中的逻辑错误。能设计简单的 PLC控制系统，完成需求分析、I/O分配、程序设计、接线调试全流程，验证系统功能。</w:t>
            </w:r>
          </w:p>
          <w:p w14:paraId="3D6679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 “逻辑清晰、规范编程”的工作习惯，严格遵循 PLC程序设计的行业规范与安全接线流程。提升在PLC项目中与电气接线、设备调试人员协同工作的沟通能力与团队协作精神。</w:t>
            </w:r>
          </w:p>
          <w:p w14:paraId="53698D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通过PLC程序编写与调试实训，培养学生 “逻辑严谨、注重细节” 的工程态度，理解“PLC 程序可靠性决定工业生产安全性”的重要价值。结合国产 PLC在工业领域的技术突破与广泛应用，激发学生对本土工控产业的自信与科技报国的责任感。强调PLC在关键工业控制场景中的安全要求，树立“程序无错、安全生产”的职业操守。</w:t>
            </w:r>
          </w:p>
          <w:p w14:paraId="06DE6D7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p>
        </w:tc>
        <w:tc>
          <w:tcPr>
            <w:tcW w:w="1880" w:type="dxa"/>
            <w:vAlign w:val="top"/>
          </w:tcPr>
          <w:p w14:paraId="3B69A838">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主要介绍PLC基本结构和组成；PLC的工作原理；PLC的硬件结构；PLC基本指令系统；梯形图设计方法；顺序控制梯形图编程方法</w:t>
            </w:r>
            <w:r>
              <w:rPr>
                <w:rFonts w:hint="eastAsia" w:ascii="Times New Roman" w:hAnsi="Times New Roman" w:eastAsia="仿宋_GB2312" w:cs="仿宋_GB2312"/>
                <w:color w:val="auto"/>
                <w:sz w:val="24"/>
                <w:szCs w:val="24"/>
                <w:highlight w:val="none"/>
                <w:lang w:val="en-US" w:eastAsia="zh-CN"/>
              </w:rPr>
              <w:t>和</w:t>
            </w:r>
            <w:r>
              <w:rPr>
                <w:rFonts w:hint="eastAsia" w:ascii="Times New Roman" w:hAnsi="Times New Roman" w:eastAsia="仿宋_GB2312" w:cs="仿宋_GB2312"/>
                <w:color w:val="auto"/>
                <w:sz w:val="24"/>
                <w:szCs w:val="24"/>
                <w:highlight w:val="none"/>
              </w:rPr>
              <w:t>FX系列PLC的功能指令；应用系统设计与调试。</w:t>
            </w:r>
          </w:p>
        </w:tc>
        <w:tc>
          <w:tcPr>
            <w:tcW w:w="2113" w:type="dxa"/>
            <w:vAlign w:val="top"/>
          </w:tcPr>
          <w:p w14:paraId="21C99450">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理解电气控制的基本概念和原理，熟悉PLC（可编程逻辑控制器）的组成、工作原理及编程语言，掌握电气图形符号、国家标准和行业规范。通过实验教学，学生能够独立完成电气控制线路的设计与安装、PLC程序的编写与调试，以及电气设备的故障排查与维护，注重理论与实践的紧密结合。采用多元化的考核方式，包括理论考试、实验报告、项目实践、综合测评等，全面评价学生的学习效果和能力水平。</w:t>
            </w:r>
          </w:p>
        </w:tc>
      </w:tr>
      <w:tr w14:paraId="0FE9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715A1C2D">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c>
          <w:tcPr>
            <w:tcW w:w="1198" w:type="dxa"/>
            <w:vAlign w:val="center"/>
          </w:tcPr>
          <w:p w14:paraId="7EACEB63">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电机与电气控制</w:t>
            </w:r>
          </w:p>
        </w:tc>
        <w:tc>
          <w:tcPr>
            <w:tcW w:w="4733" w:type="dxa"/>
            <w:vAlign w:val="top"/>
          </w:tcPr>
          <w:p w14:paraId="3AFDB84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理解电机与电气控制的基本概念，及电气控制在工业生产中的核心作用。</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直流电机</w:t>
            </w:r>
            <w:r>
              <w:rPr>
                <w:rFonts w:hint="eastAsia" w:ascii="Times New Roman" w:hAnsi="Times New Roman" w:eastAsia="仿宋_GB2312" w:cs="仿宋_GB2312"/>
                <w:color w:val="auto"/>
                <w:sz w:val="24"/>
                <w:szCs w:val="24"/>
                <w:highlight w:val="none"/>
                <w:lang w:eastAsia="zh-CN"/>
              </w:rPr>
              <w:t>和</w:t>
            </w:r>
            <w:r>
              <w:rPr>
                <w:rFonts w:hint="eastAsia" w:ascii="Times New Roman" w:hAnsi="Times New Roman" w:eastAsia="仿宋_GB2312" w:cs="仿宋_GB2312"/>
                <w:color w:val="auto"/>
                <w:sz w:val="24"/>
                <w:szCs w:val="24"/>
                <w:highlight w:val="none"/>
              </w:rPr>
              <w:t>交流电机的结构组成、工作原理、机械特性及运行控制方法。掌握变压器的结构组成、工作原理、运行特性及维护要点。</w:t>
            </w:r>
            <w:r>
              <w:rPr>
                <w:rFonts w:hint="eastAsia" w:ascii="Times New Roman" w:hAnsi="Times New Roman" w:eastAsia="仿宋_GB2312" w:cs="仿宋_GB2312"/>
                <w:color w:val="auto"/>
                <w:sz w:val="24"/>
                <w:szCs w:val="24"/>
                <w:highlight w:val="none"/>
                <w:lang w:eastAsia="zh-CN"/>
              </w:rPr>
              <w:t>了解</w:t>
            </w:r>
            <w:r>
              <w:rPr>
                <w:rFonts w:hint="eastAsia" w:ascii="Times New Roman" w:hAnsi="Times New Roman" w:eastAsia="仿宋_GB2312" w:cs="仿宋_GB2312"/>
                <w:color w:val="auto"/>
                <w:sz w:val="24"/>
                <w:szCs w:val="24"/>
                <w:highlight w:val="none"/>
              </w:rPr>
              <w:t>常用低压电器的结构、工作原理、选型方法及在电气控制线路中的应用。</w:t>
            </w:r>
          </w:p>
          <w:p w14:paraId="52D00BE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准确识别常用低压电器，根据控制需求选择合适型号，分析其在控制线路中的作用。能读懂典型电气控制线路图，分析线路工作逻辑，识别线路中的保护环节。能根据电气控制线路图，独立完成线路的安装接线，并进行通电调试，验证线路功能。能分析电机与电气控制线路的常见故障，通过断电检查、通电观察等方式排查并解决问题。</w:t>
            </w:r>
          </w:p>
          <w:p w14:paraId="1CA5AC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 “规范接线、安全调试”的工作习惯，严格遵循电气控制线路安装与调试的行业规范及安全操作规程（断电接线、绝缘检查）。提升在电气控制项目中与团队成员分工协作的沟通能力与协同效率。</w:t>
            </w:r>
          </w:p>
          <w:p w14:paraId="1F0006C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通过电气控制线路安装与故障排查实训，培养学生“接线规范、逻辑清晰” 的工程态度，理解 “电气控制可靠性关乎设备安全与生产效率”的重要价值。结合我国在电机制造领域的技术突破与全球竞争力，激发学生的民族自豪感与产业报国的使命感。强调电气控制在工业安全领域的重要性，树立 “安全第一、责任至上” 的职业操守。</w:t>
            </w:r>
          </w:p>
          <w:p w14:paraId="67251EB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p>
        </w:tc>
        <w:tc>
          <w:tcPr>
            <w:tcW w:w="1880" w:type="dxa"/>
            <w:vAlign w:val="top"/>
          </w:tcPr>
          <w:p w14:paraId="47B8E9F7">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直流电机认知与运行控制；变压器认知与运行控制；三相异步电机认知与运行控制；三相异步电机维修工艺；直流电机的电力拖动；交流电机的电力拖动；其他电机</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认知与控制。</w:t>
            </w:r>
          </w:p>
        </w:tc>
        <w:tc>
          <w:tcPr>
            <w:tcW w:w="2113" w:type="dxa"/>
            <w:vAlign w:val="top"/>
          </w:tcPr>
          <w:p w14:paraId="4D3ABAED">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掌握直流电机、交流电机（如三相异步电动机）、变压器及控制电机的基本结构、工作原理、电磁关系及能量转换关系等理论知识。通过实验教学，学生能够熟悉电机的</w:t>
            </w:r>
            <w:r>
              <w:rPr>
                <w:rFonts w:hint="eastAsia" w:ascii="Times New Roman" w:hAnsi="Times New Roman" w:eastAsia="仿宋_GB2312" w:cs="仿宋_GB2312"/>
                <w:color w:val="auto"/>
                <w:sz w:val="24"/>
                <w:szCs w:val="24"/>
                <w:highlight w:val="none"/>
                <w:lang w:val="en-US" w:eastAsia="zh-CN"/>
              </w:rPr>
              <w:t>启</w:t>
            </w:r>
            <w:r>
              <w:rPr>
                <w:rFonts w:hint="eastAsia" w:ascii="Times New Roman" w:hAnsi="Times New Roman" w:eastAsia="仿宋_GB2312" w:cs="仿宋_GB2312"/>
                <w:color w:val="auto"/>
                <w:sz w:val="24"/>
                <w:szCs w:val="24"/>
                <w:highlight w:val="none"/>
              </w:rPr>
              <w:t>动、制动、调速原理与方法，具备电机与拖动系统的运行、维护及故障分析能力。</w:t>
            </w:r>
          </w:p>
        </w:tc>
      </w:tr>
      <w:tr w14:paraId="246D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9" w:hRule="atLeast"/>
          <w:jc w:val="center"/>
        </w:trPr>
        <w:tc>
          <w:tcPr>
            <w:tcW w:w="783" w:type="dxa"/>
            <w:vAlign w:val="center"/>
          </w:tcPr>
          <w:p w14:paraId="0ED4391E">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7</w:t>
            </w:r>
          </w:p>
        </w:tc>
        <w:tc>
          <w:tcPr>
            <w:tcW w:w="1198" w:type="dxa"/>
            <w:vAlign w:val="center"/>
          </w:tcPr>
          <w:p w14:paraId="5186F8D1">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工厂供配电</w:t>
            </w:r>
          </w:p>
        </w:tc>
        <w:tc>
          <w:tcPr>
            <w:tcW w:w="4733" w:type="dxa"/>
            <w:vAlign w:val="top"/>
          </w:tcPr>
          <w:p w14:paraId="03F95A8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理解工厂供配电系统的基本概念、组成及在工业生产中的作用。 掌握电力系统组成、电压等级、工厂供配电系统与电力系统的连接方式。掌握工厂电力负荷计算方法及供电要求</w:t>
            </w:r>
            <w:r>
              <w:rPr>
                <w:rFonts w:hint="eastAsia" w:ascii="Times New Roman" w:hAnsi="Times New Roman" w:eastAsia="仿宋_GB2312" w:cs="仿宋_GB2312"/>
                <w:color w:val="auto"/>
                <w:sz w:val="24"/>
                <w:szCs w:val="24"/>
                <w:highlight w:val="none"/>
                <w:lang w:eastAsia="zh-CN"/>
              </w:rPr>
              <w:t>，以及</w:t>
            </w:r>
            <w:r>
              <w:rPr>
                <w:rFonts w:hint="eastAsia" w:ascii="Times New Roman" w:hAnsi="Times New Roman" w:eastAsia="仿宋_GB2312" w:cs="仿宋_GB2312"/>
                <w:color w:val="auto"/>
                <w:sz w:val="24"/>
                <w:szCs w:val="24"/>
                <w:highlight w:val="none"/>
              </w:rPr>
              <w:t>工厂变配电所电气设备的结构、工作原理、选型方法及布置要求。</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工厂配电线路的选择、敷设方式及维护要点。</w:t>
            </w:r>
            <w:r>
              <w:rPr>
                <w:rFonts w:hint="eastAsia" w:ascii="Times New Roman" w:hAnsi="Times New Roman" w:eastAsia="仿宋_GB2312" w:cs="仿宋_GB2312"/>
                <w:color w:val="auto"/>
                <w:sz w:val="24"/>
                <w:szCs w:val="24"/>
                <w:highlight w:val="none"/>
                <w:lang w:eastAsia="zh-CN"/>
              </w:rPr>
              <w:t>了解</w:t>
            </w:r>
            <w:r>
              <w:rPr>
                <w:rFonts w:hint="eastAsia" w:ascii="Times New Roman" w:hAnsi="Times New Roman" w:eastAsia="仿宋_GB2312" w:cs="仿宋_GB2312"/>
                <w:color w:val="auto"/>
                <w:sz w:val="24"/>
                <w:szCs w:val="24"/>
                <w:highlight w:val="none"/>
              </w:rPr>
              <w:t>工厂供配电系统的短路计算、保护装置的配置与整定原则，及安全用电、节约用电知识。</w:t>
            </w:r>
          </w:p>
          <w:p w14:paraId="18A4A5B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能根据工厂用电设备参数，采用需要系数法计算电力负荷，确定负荷等级，提出对应的供电方案。 能根据负荷需求与供电条件，选择工厂变配电所主要设备，绘制简单的变配电所主接线图。能分析工厂配电线路的常见问题，根据环境条件选择合适的线路敷设方式与维护方案。能理解工厂供配电系统的短路电流计算意义，掌握简单短路电流的估算方法，分析保护装置的动作逻辑，排查保护装置误动作故障。能制定工厂安全用电规程与节约用电方案，提升供配电系统安全性与经济性。</w:t>
            </w:r>
          </w:p>
          <w:p w14:paraId="457EE33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养成“安全优先、经济合理”的工作习惯，严格遵循工厂供配电系统设计、安装与维护的行业规范与安全标准。培养从 “负荷分析</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 xml:space="preserve"> 设备选型 - 线路设计</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保护配置” 全流程解决工厂供配电问题的工程思维与系统思维。提升在供配电项目中与电力部门、施工单位、设备厂家协同工作的沟通能力与团队协作精神。</w:t>
            </w:r>
          </w:p>
          <w:p w14:paraId="148FB5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 xml:space="preserve"> 通过工厂供配电系统设计与安全分析实训，培养学生“保障供电可靠、守护工业命脉” 的责任意识，理解“供配电系统稳定性决定工厂生产连续性”的重要价值。结合我国智能电网、特高压输电及工厂绿色供配电技术的发展成果，激发学生的民族自豪感与科技报国的使命感。强调工厂供配电在安全生产中的核心作用，树立 “安全供电、责任重于泰山” 的职业操守。</w:t>
            </w:r>
          </w:p>
        </w:tc>
        <w:tc>
          <w:tcPr>
            <w:tcW w:w="1880" w:type="dxa"/>
            <w:vAlign w:val="top"/>
          </w:tcPr>
          <w:p w14:paraId="3D66A7F3">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电力系统概述；</w:t>
            </w:r>
          </w:p>
          <w:p w14:paraId="5853B1E6">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工厂</w:t>
            </w:r>
            <w:r>
              <w:rPr>
                <w:rFonts w:hint="eastAsia" w:ascii="Times New Roman" w:hAnsi="Times New Roman" w:eastAsia="仿宋_GB2312" w:cs="仿宋_GB2312"/>
                <w:color w:val="auto"/>
                <w:sz w:val="24"/>
                <w:szCs w:val="24"/>
                <w:highlight w:val="none"/>
                <w:lang w:val="en-US" w:eastAsia="zh-CN"/>
              </w:rPr>
              <w:t>企业</w:t>
            </w:r>
            <w:r>
              <w:rPr>
                <w:rFonts w:hint="eastAsia" w:ascii="Times New Roman" w:hAnsi="Times New Roman" w:eastAsia="仿宋_GB2312" w:cs="仿宋_GB2312"/>
                <w:color w:val="auto"/>
                <w:sz w:val="24"/>
                <w:szCs w:val="24"/>
                <w:highlight w:val="none"/>
              </w:rPr>
              <w:t>的电力负荷；工厂变配电所电气设备；</w:t>
            </w:r>
          </w:p>
          <w:p w14:paraId="776B6B86">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工厂动力线路；</w:t>
            </w:r>
          </w:p>
          <w:p w14:paraId="4C5AEEFA">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短路和供配电系统的保护；工厂供配电系统的二次接线；安全用电和节约用电，工厂</w:t>
            </w:r>
            <w:r>
              <w:rPr>
                <w:rFonts w:hint="eastAsia" w:ascii="Times New Roman" w:hAnsi="Times New Roman" w:eastAsia="仿宋_GB2312" w:cs="仿宋_GB2312"/>
                <w:color w:val="auto"/>
                <w:sz w:val="24"/>
                <w:szCs w:val="24"/>
                <w:highlight w:val="none"/>
                <w:lang w:val="en-US" w:eastAsia="zh-CN"/>
              </w:rPr>
              <w:t>的</w:t>
            </w:r>
            <w:r>
              <w:rPr>
                <w:rFonts w:hint="eastAsia" w:ascii="Times New Roman" w:hAnsi="Times New Roman" w:eastAsia="仿宋_GB2312" w:cs="仿宋_GB2312"/>
                <w:color w:val="auto"/>
                <w:sz w:val="24"/>
                <w:szCs w:val="24"/>
                <w:highlight w:val="none"/>
              </w:rPr>
              <w:t>电气照明等。</w:t>
            </w:r>
          </w:p>
        </w:tc>
        <w:tc>
          <w:tcPr>
            <w:tcW w:w="2113" w:type="dxa"/>
            <w:vAlign w:val="top"/>
          </w:tcPr>
          <w:p w14:paraId="4C47E582">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培养学生的实际应用能力，包括系统分析、设备检修、故障排查等技能。全面覆盖供配电系统的基本知识、负荷计算、短路电流分析、电气设备选择与维护等内容，确保学生系统掌握。</w:t>
            </w:r>
          </w:p>
        </w:tc>
      </w:tr>
      <w:tr w14:paraId="7460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3" w:type="dxa"/>
            <w:vAlign w:val="center"/>
          </w:tcPr>
          <w:p w14:paraId="29D88833">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8</w:t>
            </w:r>
          </w:p>
        </w:tc>
        <w:tc>
          <w:tcPr>
            <w:tcW w:w="1198" w:type="dxa"/>
            <w:vAlign w:val="center"/>
          </w:tcPr>
          <w:p w14:paraId="0A705AE0">
            <w:pPr>
              <w:keepNext w:val="0"/>
              <w:keepLines w:val="0"/>
              <w:pageBreakBefore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电气测量</w:t>
            </w:r>
          </w:p>
        </w:tc>
        <w:tc>
          <w:tcPr>
            <w:tcW w:w="4733" w:type="dxa"/>
            <w:vAlign w:val="top"/>
          </w:tcPr>
          <w:p w14:paraId="23C8F94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理解电气测量的基本概念、意义及分类。掌握常用电工仪表的分类、结构组成、工作原理及误差分析与处理方法。</w:t>
            </w:r>
            <w:r>
              <w:rPr>
                <w:rFonts w:hint="eastAsia" w:ascii="Times New Roman" w:hAnsi="Times New Roman" w:eastAsia="仿宋_GB2312" w:cs="仿宋_GB2312"/>
                <w:color w:val="auto"/>
                <w:sz w:val="24"/>
                <w:szCs w:val="24"/>
                <w:highlight w:val="none"/>
                <w:lang w:eastAsia="zh-CN"/>
              </w:rPr>
              <w:t>熟悉</w:t>
            </w:r>
            <w:r>
              <w:rPr>
                <w:rFonts w:hint="eastAsia" w:ascii="Times New Roman" w:hAnsi="Times New Roman" w:eastAsia="仿宋_GB2312" w:cs="仿宋_GB2312"/>
                <w:color w:val="auto"/>
                <w:sz w:val="24"/>
                <w:szCs w:val="24"/>
                <w:highlight w:val="none"/>
              </w:rPr>
              <w:t>电流与电压的测量方法</w:t>
            </w:r>
            <w:r>
              <w:rPr>
                <w:rFonts w:hint="eastAsia" w:ascii="Times New Roman" w:hAnsi="Times New Roman" w:eastAsia="仿宋_GB2312" w:cs="仿宋_GB2312"/>
                <w:color w:val="auto"/>
                <w:sz w:val="24"/>
                <w:szCs w:val="24"/>
                <w:highlight w:val="none"/>
                <w:lang w:eastAsia="zh-CN"/>
              </w:rPr>
              <w:t>，了解</w:t>
            </w:r>
            <w:r>
              <w:rPr>
                <w:rFonts w:hint="eastAsia" w:ascii="Times New Roman" w:hAnsi="Times New Roman" w:eastAsia="仿宋_GB2312" w:cs="仿宋_GB2312"/>
                <w:color w:val="auto"/>
                <w:sz w:val="24"/>
                <w:szCs w:val="24"/>
                <w:highlight w:val="none"/>
              </w:rPr>
              <w:t>功率与电能的测量方法</w:t>
            </w:r>
            <w:r>
              <w:rPr>
                <w:rFonts w:hint="eastAsia" w:ascii="Times New Roman" w:hAnsi="Times New Roman" w:eastAsia="仿宋_GB2312" w:cs="仿宋_GB2312"/>
                <w:color w:val="auto"/>
                <w:sz w:val="24"/>
                <w:szCs w:val="24"/>
                <w:highlight w:val="none"/>
                <w:lang w:eastAsia="zh-CN"/>
              </w:rPr>
              <w:t>，以及</w:t>
            </w:r>
            <w:r>
              <w:rPr>
                <w:rFonts w:hint="eastAsia" w:ascii="Times New Roman" w:hAnsi="Times New Roman" w:eastAsia="仿宋_GB2312" w:cs="仿宋_GB2312"/>
                <w:color w:val="auto"/>
                <w:sz w:val="24"/>
                <w:szCs w:val="24"/>
                <w:highlight w:val="none"/>
              </w:rPr>
              <w:t>磁的测量方法</w:t>
            </w:r>
            <w:r>
              <w:rPr>
                <w:rFonts w:hint="eastAsia" w:ascii="Times New Roman" w:hAnsi="Times New Roman" w:eastAsia="仿宋_GB2312" w:cs="仿宋_GB2312"/>
                <w:color w:val="auto"/>
                <w:sz w:val="24"/>
                <w:szCs w:val="24"/>
                <w:highlight w:val="none"/>
                <w:lang w:eastAsia="zh-CN"/>
              </w:rPr>
              <w:t>。</w:t>
            </w:r>
          </w:p>
          <w:p w14:paraId="4953BB4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根据测量需求选择合适的电工仪表，并分析仪表的量程与精度是否满足要求。能熟练操作常用电工仪表：使用万用表测量电阻、电流、电压；使用钳形电流表测量交流电流；使用功率表测量单相/三相功率；使用电能表读取电能消耗；使用电子示波器观测波形并测量其参数。能分析电气测量中的常见误差，通过正确接线、合理选表、环境控制等方式减小误差，提高测量精度。 能结合工业场景，制定简单的电气测量方案，并对测量数据进行处理，出具测量报告。</w:t>
            </w:r>
          </w:p>
          <w:p w14:paraId="47B249A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养成“实事求是、精准测量”的工作习惯，严格遵循电气测量的操作规范与数据记录要求。培养根据测量对象特性选择最优测量方法与仪表的工程思维与科学态度。提升在测量项目中与团队成员分工协作的沟通能力与协同效率。</w:t>
            </w:r>
          </w:p>
          <w:p w14:paraId="76894A6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通过电气测量实操与数据处理实训，培养学生“尊重数据、严谨求实”的科学态度，理解“测量精度决定设备参数判断与故障诊断准确性”的重要价值。结合国产高精度电气测量仪器的技术突破与国际竞争力，激发学生对本土仪器仪表产业的自信与科技报国的责任感。</w:t>
            </w:r>
          </w:p>
        </w:tc>
        <w:tc>
          <w:tcPr>
            <w:tcW w:w="1880" w:type="dxa"/>
            <w:vAlign w:val="top"/>
          </w:tcPr>
          <w:p w14:paraId="60CFDB84">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电工仪表与</w:t>
            </w:r>
            <w:r>
              <w:rPr>
                <w:rFonts w:hint="eastAsia" w:ascii="Times New Roman" w:hAnsi="Times New Roman" w:eastAsia="仿宋_GB2312" w:cs="仿宋_GB2312"/>
                <w:color w:val="auto"/>
                <w:sz w:val="24"/>
                <w:szCs w:val="24"/>
                <w:highlight w:val="none"/>
                <w:lang w:val="en-US" w:eastAsia="zh-CN"/>
              </w:rPr>
              <w:t>其</w:t>
            </w:r>
            <w:r>
              <w:rPr>
                <w:rFonts w:hint="eastAsia" w:ascii="Times New Roman" w:hAnsi="Times New Roman" w:eastAsia="仿宋_GB2312" w:cs="仿宋_GB2312"/>
                <w:color w:val="auto"/>
                <w:sz w:val="24"/>
                <w:szCs w:val="24"/>
                <w:highlight w:val="none"/>
              </w:rPr>
              <w:t>测量的基本知识；电流与电压的测量；功率和电能的测量；磁的测量；电子电压表的使用；电子示波器的原理及应用等。</w:t>
            </w:r>
          </w:p>
        </w:tc>
        <w:tc>
          <w:tcPr>
            <w:tcW w:w="2113" w:type="dxa"/>
            <w:vAlign w:val="top"/>
          </w:tcPr>
          <w:p w14:paraId="6D463EF2">
            <w:pPr>
              <w:keepNext w:val="0"/>
              <w:keepLines w:val="0"/>
              <w:pageBreakBefore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注重培养学生的观察能力、分析能力、实验设计能力和数据处理能力，同时强调实事求是的科学态度，培养学生的工程伦理素养。引导学生关注电气测量技术的最新发展动态，了解数字化、智能化测量技术在电气工程领域的应用，鼓励学生探索新技术、新方法，提升创新能力。</w:t>
            </w:r>
          </w:p>
        </w:tc>
      </w:tr>
    </w:tbl>
    <w:p w14:paraId="08F625BB">
      <w:pPr>
        <w:keepNext w:val="0"/>
        <w:keepLines w:val="0"/>
        <w:pageBreakBefore w:val="0"/>
        <w:widowControl w:val="0"/>
        <w:kinsoku/>
        <w:wordWrap/>
        <w:overflowPunct/>
        <w:topLinePunct w:val="0"/>
        <w:autoSpaceDE/>
        <w:autoSpaceDN/>
        <w:bidi w:val="0"/>
        <w:adjustRightInd w:val="0"/>
        <w:snapToGrid w:val="0"/>
        <w:spacing w:after="0" w:line="500" w:lineRule="exact"/>
        <w:ind w:firstLine="640" w:firstLineChars="200"/>
        <w:textAlignment w:val="auto"/>
        <w:outlineLvl w:val="9"/>
        <w:rPr>
          <w:rFonts w:hint="eastAsia" w:ascii="Times New Roman" w:hAnsi="Times New Roman" w:eastAsia="仿宋_GB2312" w:cs="仿宋_GB2312"/>
          <w:color w:val="auto"/>
          <w:sz w:val="32"/>
          <w:szCs w:val="32"/>
          <w:highlight w:val="none"/>
        </w:rPr>
      </w:pPr>
      <w:bookmarkStart w:id="23" w:name="_Toc90734991"/>
      <w:r>
        <w:rPr>
          <w:rFonts w:hint="eastAsia" w:ascii="Times New Roman" w:hAnsi="Times New Roman" w:eastAsia="仿宋_GB2312" w:cs="仿宋_GB2312"/>
          <w:color w:val="auto"/>
          <w:sz w:val="32"/>
          <w:szCs w:val="32"/>
          <w:highlight w:val="none"/>
        </w:rPr>
        <w:t>3.专业拓展课程</w:t>
      </w:r>
      <w:bookmarkEnd w:id="23"/>
    </w:p>
    <w:p w14:paraId="5FCEDFEC">
      <w:pPr>
        <w:keepNext w:val="0"/>
        <w:keepLines w:val="0"/>
        <w:pageBreakBefore w:val="0"/>
        <w:widowControl w:val="0"/>
        <w:kinsoku/>
        <w:wordWrap/>
        <w:overflowPunct w:val="0"/>
        <w:topLinePunct w:val="0"/>
        <w:autoSpaceDE/>
        <w:autoSpaceDN/>
        <w:bidi w:val="0"/>
        <w:adjustRightInd w:val="0"/>
        <w:snapToGrid/>
        <w:spacing w:after="0" w:line="520" w:lineRule="exact"/>
        <w:ind w:firstLine="641"/>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专业拓展课程是按照岗位迁移，根据电气自动化行业发展的趋势，依据企业用人需求调研，企业对电气设备生产、生产自动化等方面日益增加的需求，建立了电气自动化技术专业拓展课，并将辅修方向课程纳入其中。由高级语言程序设计、运动控制技术与运用、工业机器人维护与调试、自动化生产线安装与调试、工业4.0与数字孪生技术、工业机器视觉系统应用技术、变电站综合自动化技术、现代企业车间管理、单片机技术、市场营销等课程构成专业拓展课。</w:t>
      </w:r>
    </w:p>
    <w:p w14:paraId="7FBC1767">
      <w:pPr>
        <w:keepNext w:val="0"/>
        <w:keepLines w:val="0"/>
        <w:pageBreakBefore w:val="0"/>
        <w:widowControl w:val="0"/>
        <w:kinsoku/>
        <w:wordWrap/>
        <w:overflowPunct w:val="0"/>
        <w:topLinePunct w:val="0"/>
        <w:autoSpaceDE/>
        <w:autoSpaceDN/>
        <w:bidi w:val="0"/>
        <w:adjustRightInd w:val="0"/>
        <w:spacing w:line="520" w:lineRule="exact"/>
        <w:ind w:firstLine="640"/>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表5</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专业拓展课课程目标、主要教学内容与要求</w:t>
      </w:r>
    </w:p>
    <w:tbl>
      <w:tblPr>
        <w:tblStyle w:val="12"/>
        <w:tblW w:w="10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85"/>
        <w:gridCol w:w="3329"/>
        <w:gridCol w:w="2595"/>
        <w:gridCol w:w="2693"/>
      </w:tblGrid>
      <w:tr w14:paraId="6887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751" w:type="dxa"/>
            <w:vAlign w:val="center"/>
          </w:tcPr>
          <w:p w14:paraId="3D91E7C8">
            <w:pPr>
              <w:keepNext w:val="0"/>
              <w:keepLines/>
              <w:pageBreakBefore w:val="0"/>
              <w:widowControl/>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序号</w:t>
            </w:r>
          </w:p>
        </w:tc>
        <w:tc>
          <w:tcPr>
            <w:tcW w:w="1185" w:type="dxa"/>
            <w:vAlign w:val="center"/>
          </w:tcPr>
          <w:p w14:paraId="3314379E">
            <w:pPr>
              <w:keepNext w:val="0"/>
              <w:keepLines/>
              <w:pageBreakBefore w:val="0"/>
              <w:widowControl/>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课程名称</w:t>
            </w:r>
          </w:p>
        </w:tc>
        <w:tc>
          <w:tcPr>
            <w:tcW w:w="3329" w:type="dxa"/>
            <w:vAlign w:val="center"/>
          </w:tcPr>
          <w:p w14:paraId="269D9A3A">
            <w:pPr>
              <w:keepNext w:val="0"/>
              <w:keepLines/>
              <w:pageBreakBefore w:val="0"/>
              <w:widowControl/>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课程目标</w:t>
            </w:r>
          </w:p>
        </w:tc>
        <w:tc>
          <w:tcPr>
            <w:tcW w:w="2595" w:type="dxa"/>
            <w:vAlign w:val="center"/>
          </w:tcPr>
          <w:p w14:paraId="2D3AB5B7">
            <w:pPr>
              <w:keepNext w:val="0"/>
              <w:keepLines/>
              <w:pageBreakBefore w:val="0"/>
              <w:widowControl/>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课程教学内容</w:t>
            </w:r>
          </w:p>
        </w:tc>
        <w:tc>
          <w:tcPr>
            <w:tcW w:w="2693" w:type="dxa"/>
            <w:vAlign w:val="center"/>
          </w:tcPr>
          <w:p w14:paraId="13ACCEF8">
            <w:pPr>
              <w:keepNext w:val="0"/>
              <w:keepLines/>
              <w:pageBreakBefore w:val="0"/>
              <w:widowControl/>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教学要求</w:t>
            </w:r>
          </w:p>
        </w:tc>
      </w:tr>
      <w:tr w14:paraId="4DB9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6787DD10">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w:t>
            </w:r>
          </w:p>
        </w:tc>
        <w:tc>
          <w:tcPr>
            <w:tcW w:w="1185" w:type="dxa"/>
            <w:vAlign w:val="center"/>
          </w:tcPr>
          <w:p w14:paraId="3654B49A">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高级语言程序设计</w:t>
            </w:r>
          </w:p>
        </w:tc>
        <w:tc>
          <w:tcPr>
            <w:tcW w:w="3329" w:type="dxa"/>
            <w:vAlign w:val="top"/>
          </w:tcPr>
          <w:p w14:paraId="08AEE7C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掌握面向过程或面向对象程序设计语言的基本概念、语法规则，理解程序设计中的数据结构、算法等基础知识，了解软件开发的基本流程和方法。</w:t>
            </w:r>
          </w:p>
          <w:p w14:paraId="6F9C4C24">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能够运用所学语言进行中低难度程序的设计与开发，具备程序调试、测试和优化能力，培养学生分析问题和解决问题的能力，提高学生的计算思维水平。</w:t>
            </w:r>
          </w:p>
          <w:p w14:paraId="2954773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培养学生良好的编程习惯、团队协作精神和创新意识，增强学生的职业素养和责任感。</w:t>
            </w:r>
          </w:p>
          <w:p w14:paraId="34FBA33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结合我国信息技术产业发展历程，引导学生认识核心技术自主创新的重要性，培养科技报国的理想；在团队开发项目中强调诚信合作，反对抄袭等学术不端行为，树立严谨求实的科研态度。</w:t>
            </w:r>
          </w:p>
          <w:p w14:paraId="1933658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p>
        </w:tc>
        <w:tc>
          <w:tcPr>
            <w:tcW w:w="2595" w:type="dxa"/>
            <w:vAlign w:val="top"/>
          </w:tcPr>
          <w:p w14:paraId="39F35314">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 xml:space="preserve"> 基础语法：包括数据类型、常量与变量、运算符与表达式、输入输出等。</w:t>
            </w:r>
          </w:p>
          <w:p w14:paraId="4B8EBE8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程序控制结构：顺序结构、选择结构（如if语句、switch语句）、循环结构（如while语句、for语句）。</w:t>
            </w:r>
          </w:p>
          <w:p w14:paraId="44EE126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函数：函数的定义、声明与调用，函数的参数传递，变量的作用域和存储类别。</w:t>
            </w:r>
          </w:p>
          <w:p w14:paraId="1EACA5D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数组与指针：数组的定义和使用，指针的概念、操作及其与数组的关系。</w:t>
            </w:r>
          </w:p>
          <w:p w14:paraId="6F1BA33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结构体与类：结构体的定义和使用，面向对象程序设计中类的定义、对象的创建与使用，以及类的封装、继承和多态性。</w:t>
            </w:r>
          </w:p>
          <w:p w14:paraId="6C5E526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文件操作：文件的打开、关闭、读写等操作，以及文件系统的基本概念。</w:t>
            </w:r>
          </w:p>
        </w:tc>
        <w:tc>
          <w:tcPr>
            <w:tcW w:w="2693" w:type="dxa"/>
            <w:vAlign w:val="top"/>
          </w:tcPr>
          <w:p w14:paraId="29A1317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方法：采用讲授法、案例分析法、实验法等多种教学方法相结合，通过课堂讲解、实例演示、学生实践等环节，帮助学生掌握课程内容。同时，鼓励学生自主学习和小组合作学习，培养学生的自主学习能力和团队协作能力。</w:t>
            </w:r>
          </w:p>
          <w:p w14:paraId="7782CAE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资源：提供丰富的教学资源，如教材、课件、在线学习平台、实验设备等。教材应选择内容全面、讲解详细、案例丰富的权威教材；课件应简洁明了、重点突出，配合课堂教学使用；在线学习平台可提供课程视频、练习题、讨论区等功能，方便学生课后复习和交流；实验设备应满足学生实践操作的需求，让学生在实践中巩固所学知识。</w:t>
            </w:r>
          </w:p>
          <w:p w14:paraId="5474FA5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考核评价：建立多元化的考核评价体系，综合考查学生的学习过程和学习成果。考核方式可包括平时成绩（考勤、作业、课堂表现等）、实验成绩、期末考试成绩等。平时成绩占一定比例，注重对学生学习过程的监督和评价；实验成绩主要考查学生的实践操作能力和解决问题的能力；期末考试成绩则全面考查学生对课程知识的掌握程度。通过多元化的考核评价，全面、客观地评价学生的学习效果。</w:t>
            </w:r>
          </w:p>
        </w:tc>
      </w:tr>
      <w:tr w14:paraId="7BAF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4" w:hRule="atLeast"/>
          <w:jc w:val="center"/>
        </w:trPr>
        <w:tc>
          <w:tcPr>
            <w:tcW w:w="751" w:type="dxa"/>
            <w:vAlign w:val="center"/>
          </w:tcPr>
          <w:p w14:paraId="0BFC7ADC">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w:t>
            </w:r>
          </w:p>
        </w:tc>
        <w:tc>
          <w:tcPr>
            <w:tcW w:w="1185" w:type="dxa"/>
            <w:vAlign w:val="center"/>
          </w:tcPr>
          <w:p w14:paraId="1926F61C">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运动控制技术与运用</w:t>
            </w:r>
          </w:p>
        </w:tc>
        <w:tc>
          <w:tcPr>
            <w:tcW w:w="3329" w:type="dxa"/>
            <w:vAlign w:val="top"/>
          </w:tcPr>
          <w:p w14:paraId="307BAF0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了解运动控制技术的基本概念、原理和发展历程；熟悉运动控制系统的组成、功能和分类；掌握传感器、运动控制器的相关知识以及运动控制算法和编程技巧。</w:t>
            </w:r>
          </w:p>
          <w:p w14:paraId="2A88B0B5">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能够选择合适的运动控制器和传感器进行系统设计与调试，具备基本的编程能力以实现简单的运动控制程序，培养学生解决实际问题的能力。</w:t>
            </w:r>
          </w:p>
          <w:p w14:paraId="7481E92F">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培养学生的创新意识、团队合作精神，以及严谨的科学态度和良好的职业道德。</w:t>
            </w:r>
          </w:p>
          <w:p w14:paraId="0EC75F0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结合我国高端装备制造业的发展成就，如工业机器人、精密机床等领域的突破，激发学生的民族自豪感；在技术方案设计中强调安全规范与责任担当，培养学生对工业生产安全的敬畏之心。</w:t>
            </w:r>
          </w:p>
        </w:tc>
        <w:tc>
          <w:tcPr>
            <w:tcW w:w="2595" w:type="dxa"/>
            <w:vAlign w:val="top"/>
          </w:tcPr>
          <w:p w14:paraId="3AC3F43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运动控制基础：运动控制技术的基本概念和原理，运动控制系统的组成、功能和分类。</w:t>
            </w:r>
          </w:p>
          <w:p w14:paraId="1A06C88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传感器技术：传感器的工作原理及其在运动控制中的应用。</w:t>
            </w:r>
          </w:p>
          <w:p w14:paraId="0517E0C3">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运动控制器：运动控制器的选择、性能评估和调试方法。</w:t>
            </w:r>
          </w:p>
          <w:p w14:paraId="4829F3A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控制算法与编程：基本运动控制算法和编程技巧。</w:t>
            </w:r>
          </w:p>
          <w:p w14:paraId="7227B42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应用案例分析：运动控制在工业、机器人、自动化等领域的应用案例分析。</w:t>
            </w:r>
          </w:p>
          <w:p w14:paraId="6DD1B24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系统维护：运动控制系统的布线、安装和维护。</w:t>
            </w:r>
          </w:p>
        </w:tc>
        <w:tc>
          <w:tcPr>
            <w:tcW w:w="2693" w:type="dxa"/>
            <w:vAlign w:val="top"/>
          </w:tcPr>
          <w:p w14:paraId="26B0A1CF">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教学方法：综合运用讲授、实验演示、案例分析和互动讨论等多种教学方法，强调理论与实践相结合，引导学生将知识应用于实际工程。鼓励学生进行小组合作，开展项目研究和实践活动。</w:t>
            </w:r>
          </w:p>
          <w:p w14:paraId="1D802C83">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教学资源：利用多媒体课件、实验设备、实际案例等教学资源辅助教学，为学生提供丰富的学习资料和实践环境。</w:t>
            </w:r>
          </w:p>
          <w:p w14:paraId="6D5D875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考核评价：采用多元化的考核方式，包括平时成绩（课堂表现、实验作业等）、闭卷考试、实验报告和项目成果评价等，综合评价学生的知识掌握程度、实践能力和创新能力。</w:t>
            </w:r>
          </w:p>
        </w:tc>
      </w:tr>
      <w:tr w14:paraId="037E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0F9611DD">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w:t>
            </w:r>
          </w:p>
        </w:tc>
        <w:tc>
          <w:tcPr>
            <w:tcW w:w="1185" w:type="dxa"/>
            <w:vAlign w:val="center"/>
          </w:tcPr>
          <w:p w14:paraId="4E629EC7">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工业机器人维护与调试</w:t>
            </w:r>
          </w:p>
        </w:tc>
        <w:tc>
          <w:tcPr>
            <w:tcW w:w="3329" w:type="dxa"/>
            <w:vAlign w:val="top"/>
          </w:tcPr>
          <w:p w14:paraId="07CA3DA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了解工业机器人的发展历程、分类和应用领域；熟悉工业机器人的硬件结构、控制系统及编程语言；掌握工业机器人的安装、调试、校准方法及通信连接方式。</w:t>
            </w:r>
          </w:p>
          <w:p w14:paraId="5FBD1344">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能够正确使用安装工具进行工业机器人的硬件安装；具备工业机器人通信连接、编程及程序调试能力；能够对工业机器人典型工作站进行调试，以及分析和解决调试过程中出现的问题。</w:t>
            </w:r>
          </w:p>
          <w:p w14:paraId="5235B98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培养学生良好的职业道德和敬业精神，增强安全和环保意识，提升团队协作能力与工程项目文件整理撰写能力。</w:t>
            </w:r>
          </w:p>
          <w:p w14:paraId="4D008767">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通过我国工业机器人产业从跟跑到并跑的发展案例，培养学生的产业自信和创新精神；</w:t>
            </w:r>
            <w:r>
              <w:rPr>
                <w:rFonts w:hint="eastAsia" w:ascii="Times New Roman" w:hAnsi="Times New Roman" w:eastAsia="仿宋_GB2312" w:cs="仿宋_GB2312"/>
                <w:color w:val="auto"/>
                <w:sz w:val="24"/>
                <w:highlight w:val="none"/>
                <w:lang w:eastAsia="zh-CN"/>
              </w:rPr>
              <w:t>以</w:t>
            </w:r>
            <w:r>
              <w:rPr>
                <w:rFonts w:hint="eastAsia" w:ascii="Times New Roman" w:hAnsi="Times New Roman" w:eastAsia="仿宋_GB2312" w:cs="仿宋_GB2312"/>
                <w:color w:val="auto"/>
                <w:sz w:val="24"/>
                <w:highlight w:val="none"/>
              </w:rPr>
              <w:t>实训操作强化 “安全第一” 的理念，</w:t>
            </w:r>
            <w:r>
              <w:rPr>
                <w:rFonts w:hint="eastAsia" w:ascii="Times New Roman" w:hAnsi="Times New Roman" w:eastAsia="仿宋_GB2312" w:cs="仿宋_GB2312"/>
                <w:color w:val="auto"/>
                <w:sz w:val="24"/>
                <w:highlight w:val="none"/>
                <w:lang w:eastAsia="zh-CN"/>
              </w:rPr>
              <w:t>培养细致严谨的工作作风，</w:t>
            </w:r>
            <w:r>
              <w:rPr>
                <w:rFonts w:hint="eastAsia" w:ascii="Times New Roman" w:hAnsi="Times New Roman" w:eastAsia="仿宋_GB2312" w:cs="仿宋_GB2312"/>
                <w:color w:val="auto"/>
                <w:sz w:val="24"/>
                <w:highlight w:val="none"/>
              </w:rPr>
              <w:t>引导学生认识技术应用中的人文关怀与社会责任。</w:t>
            </w:r>
          </w:p>
        </w:tc>
        <w:tc>
          <w:tcPr>
            <w:tcW w:w="2595" w:type="dxa"/>
            <w:vAlign w:val="top"/>
          </w:tcPr>
          <w:p w14:paraId="6C4B9F97">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工业机器人基础知识：包括工业机器人的应用领域与发展前景、系统组成、机构等。</w:t>
            </w:r>
          </w:p>
          <w:p w14:paraId="6323C10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工业机器人操作基础：常用坐标系、应用安全、示教器的基本操作、数据备份与恢复、机器人的校准、数据的建立与管理。</w:t>
            </w:r>
          </w:p>
          <w:p w14:paraId="244A819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工业机器人调试基础：机械手的安装方法、软件操作、各种坐标设定、编程方法。</w:t>
            </w:r>
          </w:p>
          <w:p w14:paraId="179AD057">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典型工业机器人应用调试：如搬运机器人、码垛机器人、弧焊机器人等在不同任务中的编程与调试。</w:t>
            </w:r>
          </w:p>
          <w:p w14:paraId="7D324F5F">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工业机器人维护：机械部件的维护保养、电气系统的检查与维修、传感器的检测与更换，以及常见故障诊断与排除。</w:t>
            </w:r>
          </w:p>
        </w:tc>
        <w:tc>
          <w:tcPr>
            <w:tcW w:w="2693" w:type="dxa"/>
            <w:vAlign w:val="top"/>
          </w:tcPr>
          <w:p w14:paraId="2A6474F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教学方法：采用项目教学、现场教学等方式，“教”“学”“做”一体化，教师示范与学生操作相结合，创设工作情境，强化实践训练。</w:t>
            </w:r>
          </w:p>
          <w:p w14:paraId="6BC87BD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教学资源：利用多媒体软件、电子教案、工业机器人实物、示教台架等资源辅助教学，有条件可建立实训基地，满足学生实训需求。</w:t>
            </w:r>
          </w:p>
          <w:p w14:paraId="59E70AF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考核评价：改革考核手段和方法，采用过程考核和结果考核相结合的方式，注重对学生动手能力、实践中分析和解决问题能力的考核，综合评定学生成绩。</w:t>
            </w:r>
          </w:p>
        </w:tc>
      </w:tr>
      <w:tr w14:paraId="040B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51" w:type="dxa"/>
            <w:vAlign w:val="center"/>
          </w:tcPr>
          <w:p w14:paraId="7AA81C91">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w:t>
            </w:r>
          </w:p>
        </w:tc>
        <w:tc>
          <w:tcPr>
            <w:tcW w:w="1185" w:type="dxa"/>
            <w:vAlign w:val="center"/>
          </w:tcPr>
          <w:p w14:paraId="7FB15319">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自动化生产线安装与调试</w:t>
            </w:r>
          </w:p>
        </w:tc>
        <w:tc>
          <w:tcPr>
            <w:tcW w:w="3329" w:type="dxa"/>
            <w:vAlign w:val="top"/>
          </w:tcPr>
          <w:p w14:paraId="51C35F25">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了解自动化生产线的机械结构及特点，掌握各单元动作过程、传感器与气动元件的选型应用，熟悉变频器和伺服驱动器参数设置，掌握PLC、触摸屏程序编程与调试方法。</w:t>
            </w:r>
          </w:p>
          <w:p w14:paraId="301FA857">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能够完成电气线路、气动回路的装调，进行变频器、伺服驱动器参数设置及编程控制，完成PLC、触摸屏程序编制与调试，以及自动化生产线的日常维修维护。</w:t>
            </w:r>
          </w:p>
          <w:p w14:paraId="6ECD5AC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具备军工精神、工匠精神与团队合作意识，拥有良好的心理素质、职业道德，具有正确认识、分析和解决问题的能力，以及环保意识、安全意识和创新思维。</w:t>
            </w:r>
          </w:p>
          <w:p w14:paraId="5B844D8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结合“中国制造 2025” 战略，讲解自动化生产线对产业升级的推动作用，培养学生的家国情怀；通过小组协作完成产线调试项目，强化集体主义精神，引导学生理解 “分工协作、精益求精” 的工匠内涵。</w:t>
            </w:r>
          </w:p>
        </w:tc>
        <w:tc>
          <w:tcPr>
            <w:tcW w:w="2595" w:type="dxa"/>
            <w:vAlign w:val="top"/>
          </w:tcPr>
          <w:p w14:paraId="6976CD8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自动化生产线认知：介绍自动化生产线的功能、生产工艺、组成结构，使学生掌握自动生产线的操作方法。</w:t>
            </w:r>
          </w:p>
          <w:p w14:paraId="408B18E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单元模块安装与调试：包括供料、加工、装配、分拣、输送等单元的机械安装与调整、气路设计与连接、电路设计与连接、设备参数现场整定。</w:t>
            </w:r>
          </w:p>
          <w:p w14:paraId="0A57D8F7">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控制系统编程与组态：讲解PLC控制程序编制与调试、人机界面组态、工业网络通讯等内容。</w:t>
            </w:r>
          </w:p>
          <w:p w14:paraId="076C3ED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整体系统调试与维护：涉及自动化生产线的整体组装和调试、故障检测与排除，以及设备的日常维护管理。</w:t>
            </w:r>
          </w:p>
        </w:tc>
        <w:tc>
          <w:tcPr>
            <w:tcW w:w="2693" w:type="dxa"/>
            <w:vAlign w:val="top"/>
          </w:tcPr>
          <w:p w14:paraId="22558ED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教学方法：采用项目教学法、现场教学法等，理实一体化教学，让学生在实际操作中掌握知识和技能。同时运用小组讨论法，培养学生的团队协作和沟通能力。</w:t>
            </w:r>
          </w:p>
          <w:p w14:paraId="31B662C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教学资源：利用多媒体课件、教学视频等资源辅助教学，提供自动化生产线实训设备，让学生进行实际操作训练。还可引入企业典型案例、标准规范等，实现产教融合。</w:t>
            </w:r>
          </w:p>
          <w:p w14:paraId="2994B72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考核评价：采用多元化考核方式，过程考核与终结考核相结合，包括平时成绩、项目作业、实践操作考核、期末考试等，全面评价学生的学习效果。</w:t>
            </w:r>
          </w:p>
        </w:tc>
      </w:tr>
      <w:tr w14:paraId="4792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3" w:hRule="atLeast"/>
          <w:jc w:val="center"/>
        </w:trPr>
        <w:tc>
          <w:tcPr>
            <w:tcW w:w="751" w:type="dxa"/>
            <w:vAlign w:val="center"/>
          </w:tcPr>
          <w:p w14:paraId="2E81CECF">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5</w:t>
            </w:r>
          </w:p>
        </w:tc>
        <w:tc>
          <w:tcPr>
            <w:tcW w:w="1185" w:type="dxa"/>
            <w:vAlign w:val="center"/>
          </w:tcPr>
          <w:p w14:paraId="377E0984">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工业4.0与数字孪生技术</w:t>
            </w:r>
          </w:p>
        </w:tc>
        <w:tc>
          <w:tcPr>
            <w:tcW w:w="3329" w:type="dxa"/>
            <w:vAlign w:val="top"/>
          </w:tcPr>
          <w:p w14:paraId="698A8E7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了解工业4.0的核心内涵及其关键技术（物联网、大数据、AI），掌握数字孪生技术的原理、架构与应用场景。</w:t>
            </w:r>
          </w:p>
          <w:p w14:paraId="292E9C9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能够运用数字孪生技术构建虚拟-物理系统交互模型的能力，包括数据采集、仿真建模及实时优化。</w:t>
            </w:r>
          </w:p>
          <w:p w14:paraId="6C4F6C0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提升学生在智能制造、设备预测性维护等领域的解决方案设计能力，同时关注数字化转型中的安全与伦理问题，为工业智能化发展输送具备跨学科思维和创新实践能力的复合型人才。</w:t>
            </w:r>
          </w:p>
          <w:p w14:paraId="23108DB4">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解析工业 4.0 背景下我国制造业数字化转型的机遇与挑战，培养学生的时代使命感；在技术应用中强调数据安全与伦理规范，引导学生树立正确的科技价值观，理解技术创新需兼顾社会责任感。</w:t>
            </w:r>
          </w:p>
        </w:tc>
        <w:tc>
          <w:tcPr>
            <w:tcW w:w="2595" w:type="dxa"/>
            <w:vAlign w:val="top"/>
          </w:tcPr>
          <w:p w14:paraId="2C5A836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系统讲解工业4.0的核心技术体系与数字孪生应用，涵盖工业物联网、CPS信息物理系统、大数据分析及AI算法等关键技术。解析数字孪生的三维建模、实时数据映射、仿真优化方法，结合智能制造、设备预测性维护、产线虚拟调试等工业场景进行案例教学。通过MATLAB等工具实践数字孪生体开发，培养工业数字化系统设计能力，掌握从物理实体到虚拟空间的闭环优化策略，助力企业实现智能化转型升级。</w:t>
            </w:r>
          </w:p>
        </w:tc>
        <w:tc>
          <w:tcPr>
            <w:tcW w:w="2693" w:type="dxa"/>
            <w:vAlign w:val="top"/>
          </w:tcPr>
          <w:p w14:paraId="3C2F50C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掌握自动化、计算机基础及工程建模知识，掌握PLC编程、数据分析工具（Python/SQL）及数字孪生平台（如西门子TIA）操作技能。掌握虚实系统搭建、仿真优化等实验，并参与智能制造场景项目开发，提交技术方案与数据分析报告。使学生能够将所学知识结合企业案例分析技术落地难点，培养跨学科协作与创新思维，通过阶段性测试与项目答辩评估综合能力。</w:t>
            </w:r>
          </w:p>
        </w:tc>
      </w:tr>
      <w:tr w14:paraId="39D8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4A92155A">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6</w:t>
            </w:r>
          </w:p>
        </w:tc>
        <w:tc>
          <w:tcPr>
            <w:tcW w:w="1185" w:type="dxa"/>
            <w:vAlign w:val="center"/>
          </w:tcPr>
          <w:p w14:paraId="7F49DD5D">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工业机器视觉系统应用技术</w:t>
            </w:r>
          </w:p>
        </w:tc>
        <w:tc>
          <w:tcPr>
            <w:tcW w:w="3329" w:type="dxa"/>
            <w:vAlign w:val="top"/>
          </w:tcPr>
          <w:p w14:paraId="536F2C8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培养学生掌握工业场景下视觉系统的设计、开发与集成能力，涵盖图像采集、处理、分析与识别的核心技术，熟练运用Halcon、OpenCV等工具及视觉传感器</w:t>
            </w:r>
            <w:r>
              <w:rPr>
                <w:rFonts w:hint="eastAsia" w:ascii="Times New Roman" w:hAnsi="Times New Roman" w:eastAsia="仿宋_GB2312" w:cs="仿宋_GB2312"/>
                <w:color w:val="auto"/>
                <w:sz w:val="24"/>
                <w:highlight w:val="none"/>
                <w:lang w:eastAsia="zh-CN"/>
              </w:rPr>
              <w:t>。</w:t>
            </w:r>
          </w:p>
          <w:p w14:paraId="13B2988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lang w:eastAsia="zh-CN"/>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能够针对检测、定位、测量等需求设计解决方案，掌握光学配置、相机选型及与PLC/机器人协同控制技术</w:t>
            </w:r>
            <w:r>
              <w:rPr>
                <w:rFonts w:hint="eastAsia" w:ascii="Times New Roman" w:hAnsi="Times New Roman" w:eastAsia="仿宋_GB2312" w:cs="仿宋_GB2312"/>
                <w:color w:val="auto"/>
                <w:sz w:val="24"/>
                <w:highlight w:val="none"/>
                <w:lang w:eastAsia="zh-CN"/>
              </w:rPr>
              <w:t>。</w:t>
            </w:r>
          </w:p>
          <w:p w14:paraId="29687FEB">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通过实践强化系统调试、参数优化及故障诊断能力，培养适应智能制造需求的复合型工程技术人才，提升工业自动化产线的应用实践水平。</w:t>
            </w:r>
          </w:p>
          <w:p w14:paraId="742237A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结合我国在机器视觉领域的技术突破（如高端检测设备国产化），激发学生的创新斗志；在质量检测项目中强调 “零缺陷” 理念，培养学生严谨细致的工作态度和对产品质量的责任担当。</w:t>
            </w:r>
          </w:p>
        </w:tc>
        <w:tc>
          <w:tcPr>
            <w:tcW w:w="2595" w:type="dxa"/>
            <w:vAlign w:val="top"/>
          </w:tcPr>
          <w:p w14:paraId="6ACA6C6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主要学习图像采集与处理、系统架构设计、相机与传感器选型、光源配置及算法开发等内容。通过理论结合实践，教授图像增强、特征提取、模式识别、目标定位及缺陷检测等核心技术，并集成Halcon、OpenCV等工具进行编程实现。结合工业场景案例（如产品质量检测、机器人引导），讲解系统调试优化与3D视觉技术应用，培养学生掌握工业视觉系统的设计、部署及维护能力，满足智能制造领域对机器视觉技术的实际需求。</w:t>
            </w:r>
          </w:p>
        </w:tc>
        <w:tc>
          <w:tcPr>
            <w:tcW w:w="2693" w:type="dxa"/>
            <w:vAlign w:val="top"/>
          </w:tcPr>
          <w:p w14:paraId="4780E05A">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掌握工业机器视觉基本原理、图像采集与处理技术、典型算法（如边缘检测、特征匹配）及软硬件系统集成方法；熟悉工业相机、光源、传感器选型及标定技术；能运用Halcon、OpenCV等工具进行图像分析与缺陷检测；通过项目实践培养工业视觉系统设计、调试及生产线智能化改造能力，并了解AI在机器视觉中的前沿应用。教学结合案例分析与实操训练，强化工程应用与问题解决能力。</w:t>
            </w:r>
          </w:p>
        </w:tc>
      </w:tr>
      <w:tr w14:paraId="4E6E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5AEBA8E6">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7</w:t>
            </w:r>
          </w:p>
        </w:tc>
        <w:tc>
          <w:tcPr>
            <w:tcW w:w="1185" w:type="dxa"/>
            <w:vAlign w:val="center"/>
          </w:tcPr>
          <w:p w14:paraId="3B7E0F06">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变电站综合自动化技术</w:t>
            </w:r>
          </w:p>
        </w:tc>
        <w:tc>
          <w:tcPr>
            <w:tcW w:w="3329" w:type="dxa"/>
            <w:vAlign w:val="top"/>
          </w:tcPr>
          <w:p w14:paraId="524A99A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培养学生掌握变电站自动化系统的核心原理与技术架构，理解数据采集、继电保护、通信网络（如IEC 61850协议）及监控平台的关键技术。</w:t>
            </w:r>
          </w:p>
          <w:p w14:paraId="35F7ECC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通过理论教学与仿真实践，使学生具备系统调试、故障诊断及智能设备运维能力，熟悉数字化变电站与物联网技术的融合应用。</w:t>
            </w:r>
          </w:p>
          <w:p w14:paraId="0F43A15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培养安全意识与工程思维，使学生能运用SCADA系统实现电网实时监控，适应智能电网发展需求，为电力系统自动化领域输送具备分析解决问题的复合型技术人才。</w:t>
            </w:r>
          </w:p>
          <w:p w14:paraId="55B4727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结合我国智能电网建设的重大成就（如特高压输电技术），增强学生的国家自豪感；强调电力系统安全对国计民生的重要性，培养学生 “保电护航” 的责任意识和敬业精神。</w:t>
            </w:r>
          </w:p>
        </w:tc>
        <w:tc>
          <w:tcPr>
            <w:tcW w:w="2595" w:type="dxa"/>
            <w:vAlign w:val="top"/>
          </w:tcPr>
          <w:p w14:paraId="7405D9A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系统讲解分层分布式自动化系统架构、智能电子设备（IED）、通信网络及规约（IEC 61850/60870）。重点涵盖SCADA系统、继电保护联动、五防逻辑及同步相量测量技术，通过仿真平台开展间隔层设备组态、站控层人机交互及故障录波分析等实训，培养学生系统集成调试与运维能力，同步解析数字化变电站技术演进与智能运维案例，强化电力系统自动化工程实践素养。</w:t>
            </w:r>
          </w:p>
        </w:tc>
        <w:tc>
          <w:tcPr>
            <w:tcW w:w="2693" w:type="dxa"/>
            <w:vAlign w:val="top"/>
          </w:tcPr>
          <w:p w14:paraId="69BA8A86">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学生掌握自动化系统架构、通信协议及智能设备原理，重点学习SCADA、继电保护与五防系统的集成应用。通过虚实结合的实验项目，培养系统调试、故障分析和运维能力，强化电力网络安全意识。课程融入行业标准及数字化变电站前沿技术，使学生具备设计中小型变电站自动化方案的核心技能，适应新型电力系统建设需求。</w:t>
            </w:r>
          </w:p>
        </w:tc>
      </w:tr>
      <w:tr w14:paraId="0F71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2FDF18F3">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8</w:t>
            </w:r>
          </w:p>
        </w:tc>
        <w:tc>
          <w:tcPr>
            <w:tcW w:w="1185" w:type="dxa"/>
            <w:vAlign w:val="center"/>
          </w:tcPr>
          <w:p w14:paraId="32B429EA">
            <w:pPr>
              <w:keepNext w:val="0"/>
              <w:keepLines/>
              <w:pageBreakBefore w:val="0"/>
              <w:widowControl/>
              <w:tabs>
                <w:tab w:val="left" w:pos="525"/>
              </w:tabs>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现代企业车间管理</w:t>
            </w:r>
          </w:p>
        </w:tc>
        <w:tc>
          <w:tcPr>
            <w:tcW w:w="3329" w:type="dxa"/>
            <w:vAlign w:val="top"/>
          </w:tcPr>
          <w:p w14:paraId="038B052C">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学生掌握智能制造环境下的精益生产管理能力，重点围绕生产流程优化、资源调度与数字化工具应用三大核心模块。</w:t>
            </w:r>
          </w:p>
          <w:p w14:paraId="48030CB8">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通过理论讲授与仿真实践，使学员能够运用工业物联网（IIoT）、MES系统及大数据分析技术实现生产可视化管控，具备异常响应、质量追溯及成本控制技能。</w:t>
            </w:r>
          </w:p>
          <w:p w14:paraId="2D8E855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培养系统性思维，提升学</w:t>
            </w:r>
            <w:r>
              <w:rPr>
                <w:rFonts w:hint="eastAsia" w:ascii="Times New Roman" w:hAnsi="Times New Roman" w:eastAsia="仿宋_GB2312" w:cs="仿宋_GB2312"/>
                <w:color w:val="auto"/>
                <w:sz w:val="24"/>
                <w:highlight w:val="none"/>
                <w:lang w:eastAsia="zh-CN"/>
              </w:rPr>
              <w:t>生</w:t>
            </w:r>
            <w:r>
              <w:rPr>
                <w:rFonts w:hint="eastAsia" w:ascii="Times New Roman" w:hAnsi="Times New Roman" w:eastAsia="仿宋_GB2312" w:cs="仿宋_GB2312"/>
                <w:color w:val="auto"/>
                <w:sz w:val="24"/>
                <w:highlight w:val="none"/>
              </w:rPr>
              <w:t>在设备OEE优化、多工序协同和人机协作中的决策能力，同时融入绿色制造理念与安全生产规范，助力企业构建高效、柔性、可持续的现代化车间管理体系。</w:t>
            </w:r>
          </w:p>
          <w:p w14:paraId="3D5FAD8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：讲解我国制造业从“制造大国”向“制造强国” 转型的历程，培养学生的产业责任感；在精益生产教学中融入“勤俭节约”的传统美德，引导学生理解绿色制造与可持续发展的时代意义。</w:t>
            </w:r>
          </w:p>
        </w:tc>
        <w:tc>
          <w:tcPr>
            <w:tcW w:w="2595" w:type="dxa"/>
            <w:vAlign w:val="top"/>
          </w:tcPr>
          <w:p w14:paraId="69CAA30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现代企业车间管理课主要学习生产流程优化、设备TPM管理、质量管控体系及物料精准配送，结合MES系统、物联网等数字化工具应用。培养学员运用标准化作业与持续改进方法，实现车间人机料法环的高效协同，助力企业构建柔性化、可视化的现代生产管理体系。</w:t>
            </w:r>
          </w:p>
        </w:tc>
        <w:tc>
          <w:tcPr>
            <w:tcW w:w="2693" w:type="dxa"/>
            <w:vAlign w:val="top"/>
          </w:tcPr>
          <w:p w14:paraId="0AE691B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培养现代制造业管理人才为目标，重点讲授精益生产、智能制造、质量管理及成本控制等核心理论。要求学生掌握车间布局优化、生产计划排程、设备TPM管理等技能，熟练运用ERP/MES系统及数据分析工具。通过案例研讨、沙盘模拟和工厂实地调研，强化5S现场管理、异常处理及团队协作能力。课程融入工业物联网、数字孪生等前沿技术，注重培养学生系统性思维与持续改进意识。考核包括方案设计、实操报告及案例分析答辩，强调理论与实践融合能力。</w:t>
            </w:r>
          </w:p>
        </w:tc>
      </w:tr>
      <w:tr w14:paraId="2935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3C7483E7">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9</w:t>
            </w:r>
          </w:p>
        </w:tc>
        <w:tc>
          <w:tcPr>
            <w:tcW w:w="1185" w:type="dxa"/>
            <w:vAlign w:val="center"/>
          </w:tcPr>
          <w:p w14:paraId="6457D4D8">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单片机技术</w:t>
            </w:r>
          </w:p>
        </w:tc>
        <w:tc>
          <w:tcPr>
            <w:tcW w:w="3329" w:type="dxa"/>
            <w:vAlign w:val="top"/>
          </w:tcPr>
          <w:p w14:paraId="216058C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掌握8051/ARM架构、ADC/UART接口协议及传感器控制逻辑。</w:t>
            </w:r>
          </w:p>
          <w:p w14:paraId="3E61E78F">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能开发温度检测/电机控制程序，调试接口时序冲突。</w:t>
            </w:r>
          </w:p>
          <w:p w14:paraId="0FAB403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培养硬件调试细致度与工程安全意识，规范电路设计习惯。</w:t>
            </w:r>
          </w:p>
          <w:p w14:paraId="5CA446C2">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结合“中国芯”攻关案例激发科技报国情怀，培育制造业工匠精神。</w:t>
            </w:r>
          </w:p>
        </w:tc>
        <w:tc>
          <w:tcPr>
            <w:tcW w:w="2595" w:type="dxa"/>
            <w:vAlign w:val="top"/>
          </w:tcPr>
          <w:p w14:paraId="7875DE3C">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单片机的基础知识</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I/0端口</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中断系统</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定时器系统</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串口通信</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模数、数模转换的使用</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存储器扩展。</w:t>
            </w:r>
          </w:p>
        </w:tc>
        <w:tc>
          <w:tcPr>
            <w:tcW w:w="2693" w:type="dxa"/>
            <w:vAlign w:val="top"/>
          </w:tcPr>
          <w:p w14:paraId="30AD11C6">
            <w:pPr>
              <w:pStyle w:val="10"/>
              <w:keepNext w:val="0"/>
              <w:keepLines/>
              <w:pageBreakBefore w:val="0"/>
              <w:widowControl/>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color w:val="auto"/>
                <w:kern w:val="2"/>
                <w:highlight w:val="none"/>
              </w:rPr>
            </w:pPr>
            <w:r>
              <w:rPr>
                <w:rFonts w:hint="eastAsia" w:ascii="Times New Roman" w:hAnsi="Times New Roman" w:eastAsia="仿宋_GB2312" w:cs="仿宋_GB2312"/>
                <w:color w:val="auto"/>
                <w:kern w:val="2"/>
                <w:highlight w:val="none"/>
              </w:rPr>
              <w:t>解单片机的基本概念、发展历史、内部结构及工作原理，熟悉数制转换、指令系统、汇编语言及C语言编程。通过实验教学，学生能够独立完成单片机软硬件接口设计、程序编写与调试，掌握单片机应用系统的开发流程。课程注重培养学生的实际应用能力，通过设计简单的单片机应用实例，如LED闪烁、数码管显示等，使学生能够将理论知识应用于解决实际问题。</w:t>
            </w:r>
          </w:p>
        </w:tc>
      </w:tr>
      <w:tr w14:paraId="687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1" w:type="dxa"/>
            <w:vAlign w:val="center"/>
          </w:tcPr>
          <w:p w14:paraId="727913A5">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10</w:t>
            </w:r>
          </w:p>
        </w:tc>
        <w:tc>
          <w:tcPr>
            <w:tcW w:w="1185" w:type="dxa"/>
            <w:vAlign w:val="center"/>
          </w:tcPr>
          <w:p w14:paraId="0FF66077">
            <w:pPr>
              <w:keepNext w:val="0"/>
              <w:keepLines/>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市场营销</w:t>
            </w:r>
          </w:p>
        </w:tc>
        <w:tc>
          <w:tcPr>
            <w:tcW w:w="3329" w:type="dxa"/>
            <w:vAlign w:val="top"/>
          </w:tcPr>
          <w:p w14:paraId="6FB8CC9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：学生系统掌握市场分析、消费者行为、营销战略等核心理论，熟练运用市场调研、品牌管理、数字营销等实战工具。</w:t>
            </w:r>
          </w:p>
          <w:p w14:paraId="0EFAF741">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通过案例研讨与实践项目，提升学生发现市场机会、制定整合营销方案及解决商业问题的能力，同时强化团队协作与跨部门沟通技巧。</w:t>
            </w:r>
          </w:p>
          <w:p w14:paraId="7488D6F9">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培养学生创新思维与数据驱动的决策意识，引导学生在动态市场环境中灵活应对挑战，并树立社会责任与商业伦理观念，为从事品牌运营、市场策划等岗位奠定扎实基础。</w:t>
            </w:r>
          </w:p>
          <w:p w14:paraId="5A624C30">
            <w:pPr>
              <w:keepNext w:val="0"/>
              <w:keepLines/>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结合我国自主品牌崛起的案例，培养学生的民族品牌自信；在营销伦理教学中强调诚信经营，引导学生树立 “义利并举” 的商业价值观，拒绝虚假宣传等不良行为。</w:t>
            </w:r>
          </w:p>
        </w:tc>
        <w:tc>
          <w:tcPr>
            <w:tcW w:w="2595" w:type="dxa"/>
            <w:vAlign w:val="top"/>
          </w:tcPr>
          <w:p w14:paraId="0BB3284A">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讲解现代营销理论与实战应用，涵盖市场环境分析、消费者行为研究、STP战略、4P营销组合等核心理论。通过经典案例解析企业品牌建设、数字营销</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市场调研方法及数据分析技术。结合新零售、跨界营销等前沿趋势，培养学生制定整合营销策略、危机公关及效果评估能力，课程融入沙盘模拟与商业项目实践，提升学生市场洞察与决策水平。</w:t>
            </w:r>
          </w:p>
        </w:tc>
        <w:tc>
          <w:tcPr>
            <w:tcW w:w="2693" w:type="dxa"/>
            <w:vAlign w:val="top"/>
          </w:tcPr>
          <w:p w14:paraId="7635CBA9">
            <w:pPr>
              <w:keepNext w:val="0"/>
              <w:keepLines/>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培养学生市场洞察力与策略思维。教学内容应涵盖市场调研、消费者行为分析、4P理论、品牌管理及数字营销等核心模块，强调案例分析与实战模拟。要求学生掌握SWOT、STP等工具应用，能独立完成营销方案设计。教学中需融入大数据分析、新媒体运营等前沿技能，并强化商业伦理与社会责任意识。通过小组项目、企业合作等形式提升团队协作与创新能力，最终以案例分析报告、营销策划方案及实践成果作为核心考核标准。</w:t>
            </w:r>
          </w:p>
        </w:tc>
      </w:tr>
    </w:tbl>
    <w:p w14:paraId="07B3ECE6">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4.实践性教学环节：专业基础技能实训、专业拓展技能实训、毕业设计、岗位实习。</w:t>
      </w:r>
    </w:p>
    <w:p w14:paraId="104168DB">
      <w:pPr>
        <w:keepNext w:val="0"/>
        <w:keepLines w:val="0"/>
        <w:pageBreakBefore w:val="0"/>
        <w:kinsoku/>
        <w:wordWrap/>
        <w:overflowPunct w:val="0"/>
        <w:topLinePunct w:val="0"/>
        <w:autoSpaceDE/>
        <w:autoSpaceDN/>
        <w:bidi w:val="0"/>
        <w:adjustRightInd w:val="0"/>
        <w:spacing w:after="0"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表6</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实践性教学环节课程目标、主要教学内容与要求</w:t>
      </w:r>
    </w:p>
    <w:tbl>
      <w:tblPr>
        <w:tblStyle w:val="12"/>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1285"/>
        <w:gridCol w:w="4196"/>
        <w:gridCol w:w="2055"/>
        <w:gridCol w:w="2265"/>
      </w:tblGrid>
      <w:tr w14:paraId="24E4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6" w:type="dxa"/>
            <w:vAlign w:val="center"/>
          </w:tcPr>
          <w:p w14:paraId="68D0D16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bookmarkStart w:id="24" w:name="OLE_LINK21"/>
            <w:r>
              <w:rPr>
                <w:rFonts w:hint="eastAsia" w:ascii="Times New Roman" w:hAnsi="Times New Roman" w:eastAsia="仿宋_GB2312" w:cs="仿宋_GB2312"/>
                <w:color w:val="auto"/>
                <w:sz w:val="24"/>
                <w:highlight w:val="none"/>
              </w:rPr>
              <w:t>序号</w:t>
            </w:r>
          </w:p>
        </w:tc>
        <w:tc>
          <w:tcPr>
            <w:tcW w:w="1285" w:type="dxa"/>
            <w:vAlign w:val="center"/>
          </w:tcPr>
          <w:p w14:paraId="6B02F51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课程名称</w:t>
            </w:r>
          </w:p>
        </w:tc>
        <w:tc>
          <w:tcPr>
            <w:tcW w:w="4196" w:type="dxa"/>
            <w:vAlign w:val="center"/>
          </w:tcPr>
          <w:p w14:paraId="7F1E495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课程教学目标</w:t>
            </w:r>
          </w:p>
        </w:tc>
        <w:tc>
          <w:tcPr>
            <w:tcW w:w="2055" w:type="dxa"/>
            <w:vAlign w:val="center"/>
          </w:tcPr>
          <w:p w14:paraId="6069A92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主要教学内容</w:t>
            </w:r>
          </w:p>
        </w:tc>
        <w:tc>
          <w:tcPr>
            <w:tcW w:w="2265" w:type="dxa"/>
            <w:vAlign w:val="center"/>
          </w:tcPr>
          <w:p w14:paraId="201AED9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教学要求</w:t>
            </w:r>
          </w:p>
        </w:tc>
      </w:tr>
      <w:tr w14:paraId="0574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5" w:hRule="atLeast"/>
          <w:jc w:val="center"/>
        </w:trPr>
        <w:tc>
          <w:tcPr>
            <w:tcW w:w="736" w:type="dxa"/>
            <w:vAlign w:val="center"/>
          </w:tcPr>
          <w:p w14:paraId="689D845E">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1</w:t>
            </w:r>
          </w:p>
        </w:tc>
        <w:tc>
          <w:tcPr>
            <w:tcW w:w="1285" w:type="dxa"/>
            <w:vAlign w:val="center"/>
          </w:tcPr>
          <w:p w14:paraId="4BEBAD1B">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初级维修电工实训</w:t>
            </w:r>
          </w:p>
        </w:tc>
        <w:tc>
          <w:tcPr>
            <w:tcW w:w="4196" w:type="dxa"/>
            <w:vAlign w:val="top"/>
          </w:tcPr>
          <w:p w14:paraId="7BD373D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掌握电路基本原理、电工工具及仪器仪表的工作原理，理解照明电路、电动机控制电路的组成与工作机制，熟悉电气安全规程。</w:t>
            </w:r>
          </w:p>
          <w:p w14:paraId="2C3C682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能正确选择和使用常用电工工具及仪器仪表，独立完成照明电路的安装与检修，能进行电动机基本控制电路的安装、调试及简单故障排查。</w:t>
            </w:r>
          </w:p>
          <w:p w14:paraId="31AF934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培养严格遵守安全操作规程的意识，形成严谨细致的工作作风，提升团队协作与沟通能力。</w:t>
            </w:r>
          </w:p>
          <w:p w14:paraId="45479B7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融入 “工匠精神” 教育，强调电气操作中的安全责任，通过规范操作培养学生的责任意识和敬业精神。</w:t>
            </w:r>
          </w:p>
        </w:tc>
        <w:tc>
          <w:tcPr>
            <w:tcW w:w="2055" w:type="dxa"/>
            <w:vAlign w:val="top"/>
          </w:tcPr>
          <w:p w14:paraId="7EBF37C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电路基础理论与实操、电工工具及仪器仪表的使用、照明电路安装与检修、电动机基本控制电路安装与调试、电气安全知识与急救措施</w:t>
            </w:r>
            <w:r>
              <w:rPr>
                <w:rFonts w:hint="eastAsia" w:ascii="Times New Roman" w:hAnsi="Times New Roman" w:eastAsia="仿宋_GB2312" w:cs="仿宋_GB2312"/>
                <w:color w:val="auto"/>
                <w:sz w:val="24"/>
                <w:highlight w:val="none"/>
                <w:lang w:eastAsia="zh-CN"/>
              </w:rPr>
              <w:t>，以及</w:t>
            </w:r>
            <w:r>
              <w:rPr>
                <w:rFonts w:hint="eastAsia" w:ascii="Times New Roman" w:hAnsi="Times New Roman" w:eastAsia="仿宋_GB2312" w:cs="仿宋_GB2312"/>
                <w:color w:val="auto"/>
                <w:sz w:val="24"/>
                <w:highlight w:val="none"/>
              </w:rPr>
              <w:t>常见电气故障的排查与处理方法等。通过理论与实操结合的方式，培养学生具备初级维修电工所需的基本技能和知识。</w:t>
            </w:r>
          </w:p>
        </w:tc>
        <w:tc>
          <w:tcPr>
            <w:tcW w:w="2265" w:type="dxa"/>
            <w:vAlign w:val="top"/>
          </w:tcPr>
          <w:p w14:paraId="1F33E24B">
            <w:pPr>
              <w:keepNext w:val="0"/>
              <w:keepLines w:val="0"/>
              <w:pageBreakBefore w:val="0"/>
              <w:widowControl/>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学生需掌握电工基础知识，熟练使用常用电工工具及仪器仪表</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通过实操训练，学会电路安装、调试及简单故障排查</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强调安全意识，遵守电工安全操作规程</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培养团队协作精神，提升问题解决能力</w:t>
            </w:r>
            <w:r>
              <w:rPr>
                <w:rFonts w:hint="eastAsia" w:ascii="Times New Roman" w:hAnsi="Times New Roman" w:eastAsia="仿宋_GB2312" w:cs="仿宋_GB2312"/>
                <w:color w:val="auto"/>
                <w:sz w:val="24"/>
                <w:highlight w:val="none"/>
                <w:lang w:eastAsia="zh-CN"/>
              </w:rPr>
              <w:t>；</w:t>
            </w:r>
            <w:r>
              <w:rPr>
                <w:rFonts w:hint="eastAsia" w:ascii="Times New Roman" w:hAnsi="Times New Roman" w:eastAsia="仿宋_GB2312" w:cs="仿宋_GB2312"/>
                <w:color w:val="auto"/>
                <w:sz w:val="24"/>
                <w:highlight w:val="none"/>
              </w:rPr>
              <w:t>确保每位学生都能达到初级维修电工的技能水平，为后续深入学习打下坚实基础。</w:t>
            </w:r>
          </w:p>
        </w:tc>
      </w:tr>
      <w:tr w14:paraId="3BE0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6" w:type="dxa"/>
            <w:vAlign w:val="center"/>
          </w:tcPr>
          <w:p w14:paraId="141BEB01">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2</w:t>
            </w:r>
          </w:p>
        </w:tc>
        <w:tc>
          <w:tcPr>
            <w:tcW w:w="1285" w:type="dxa"/>
            <w:vAlign w:val="center"/>
          </w:tcPr>
          <w:p w14:paraId="3FD922F7">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中级维修电工实训</w:t>
            </w:r>
          </w:p>
        </w:tc>
        <w:tc>
          <w:tcPr>
            <w:tcW w:w="4196" w:type="dxa"/>
            <w:vAlign w:val="top"/>
          </w:tcPr>
          <w:p w14:paraId="6B2397D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深入理解电力拖动控制系统的原理，掌握 PLC 编程基础、变频器工作原理及参数设置方法，熟悉复杂电气故障的诊断逻辑与排除流程。</w:t>
            </w:r>
            <w:r>
              <w:rPr>
                <w:rFonts w:ascii="Times New Roman" w:hAnsi="Times New Roman" w:eastAsia="仿宋_GB2312" w:cs="仿宋_GB2312"/>
                <w:color w:val="auto"/>
                <w:sz w:val="24"/>
                <w:highlight w:val="none"/>
              </w:rPr>
              <w:br w:type="textWrapping"/>
            </w:r>
            <w:r>
              <w:rPr>
                <w:rFonts w:ascii="Times New Roman" w:hAnsi="Times New Roman" w:eastAsia="仿宋_GB2312" w:cs="仿宋_GB2312"/>
                <w:b/>
                <w:bCs/>
                <w:color w:val="auto"/>
                <w:sz w:val="24"/>
                <w:highlight w:val="none"/>
              </w:rPr>
              <w:t>能力目标：</w:t>
            </w:r>
            <w:r>
              <w:rPr>
                <w:rFonts w:ascii="Times New Roman" w:hAnsi="Times New Roman" w:eastAsia="仿宋_GB2312" w:cs="仿宋_GB2312"/>
                <w:color w:val="auto"/>
                <w:sz w:val="24"/>
                <w:highlight w:val="none"/>
              </w:rPr>
              <w:t>能独立设计并安装电力拖动控制电路，熟练进行 PLC 程序编写与调试，能操作变频器实现电机调速控制，具备分析和排除工业电气设备常见复杂故障的能力。</w:t>
            </w:r>
            <w:r>
              <w:rPr>
                <w:rFonts w:ascii="Times New Roman" w:hAnsi="Times New Roman" w:eastAsia="仿宋_GB2312" w:cs="仿宋_GB2312"/>
                <w:color w:val="auto"/>
                <w:sz w:val="24"/>
                <w:highlight w:val="none"/>
              </w:rPr>
              <w:br w:type="textWrapping"/>
            </w:r>
            <w:r>
              <w:rPr>
                <w:rFonts w:ascii="Times New Roman" w:hAnsi="Times New Roman" w:eastAsia="仿宋_GB2312" w:cs="仿宋_GB2312"/>
                <w:b/>
                <w:bCs/>
                <w:color w:val="auto"/>
                <w:sz w:val="24"/>
                <w:highlight w:val="none"/>
              </w:rPr>
              <w:t>素质目标：</w:t>
            </w:r>
            <w:r>
              <w:rPr>
                <w:rFonts w:ascii="Times New Roman" w:hAnsi="Times New Roman" w:eastAsia="仿宋_GB2312" w:cs="仿宋_GB2312"/>
                <w:color w:val="auto"/>
                <w:sz w:val="24"/>
                <w:highlight w:val="none"/>
              </w:rPr>
              <w:t>提升工程实践中的创新思维与问题解决能力，强化安全生产与质量控制意识，培养自主学习与团队协作的职业素养。</w:t>
            </w:r>
            <w:r>
              <w:rPr>
                <w:rFonts w:ascii="Times New Roman" w:hAnsi="Times New Roman" w:eastAsia="仿宋_GB2312" w:cs="仿宋_GB2312"/>
                <w:color w:val="auto"/>
                <w:sz w:val="24"/>
                <w:highlight w:val="none"/>
              </w:rPr>
              <w:br w:type="textWrapping"/>
            </w:r>
            <w:r>
              <w:rPr>
                <w:rFonts w:ascii="Times New Roman" w:hAnsi="Times New Roman" w:eastAsia="仿宋_GB2312" w:cs="仿宋_GB2312"/>
                <w:b/>
                <w:bCs/>
                <w:color w:val="auto"/>
                <w:sz w:val="24"/>
                <w:highlight w:val="none"/>
              </w:rPr>
              <w:t>课程思政育人目标：</w:t>
            </w:r>
            <w:r>
              <w:rPr>
                <w:rFonts w:ascii="Times New Roman" w:hAnsi="Times New Roman" w:eastAsia="仿宋_GB2312" w:cs="仿宋_GB2312"/>
                <w:color w:val="auto"/>
                <w:sz w:val="24"/>
                <w:highlight w:val="none"/>
              </w:rPr>
              <w:t>结合工业生产案例，强调 “精益求精” 的职业追求，引导学生在技术实践中践行创新精神，树立 “质量第一、安全至上” 的行业价值观。</w:t>
            </w:r>
          </w:p>
        </w:tc>
        <w:tc>
          <w:tcPr>
            <w:tcW w:w="2055" w:type="dxa"/>
            <w:vAlign w:val="top"/>
          </w:tcPr>
          <w:p w14:paraId="3492410A">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内容涵盖电工基础知识、电力拖动控制、PLC应用、 变频器使用、电气故障诊断与排除等核心技能。通过实际操作和项目实训，使学生熟练掌握这些技能，并具备解决实际工业电气设备问题的能力，为从事中级维修电工工作打下坚实的基础。</w:t>
            </w:r>
          </w:p>
        </w:tc>
        <w:tc>
          <w:tcPr>
            <w:tcW w:w="2265" w:type="dxa"/>
            <w:vAlign w:val="top"/>
          </w:tcPr>
          <w:p w14:paraId="5AE00E78">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学生应熟练掌握电工基础知识，深入理解电力拖动控制、PLC应用、 变频器使用等专业技能。通过实际操作和项目实训，要求学生能独立进行电气故障诊断与排除，注重安全意识与团队协作能力的培养，确保每位学生都能达到中级维修电工的技能标准，满足工业设备维护的需求。</w:t>
            </w:r>
          </w:p>
        </w:tc>
      </w:tr>
      <w:tr w14:paraId="6409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6" w:type="dxa"/>
            <w:vAlign w:val="center"/>
          </w:tcPr>
          <w:p w14:paraId="3F2FE8AA">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3</w:t>
            </w:r>
          </w:p>
        </w:tc>
        <w:tc>
          <w:tcPr>
            <w:tcW w:w="1285" w:type="dxa"/>
            <w:vAlign w:val="center"/>
          </w:tcPr>
          <w:p w14:paraId="6CCF9FA6">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毕业设计</w:t>
            </w:r>
          </w:p>
        </w:tc>
        <w:tc>
          <w:tcPr>
            <w:tcW w:w="4196" w:type="dxa"/>
            <w:vAlign w:val="top"/>
          </w:tcPr>
          <w:p w14:paraId="1316285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掌握专业领域内项目设计的基本流程、技术规范及文献检索方法，理解理论知识与实际工程问题的结合点，熟悉毕业设计（论文）的撰写规范。</w:t>
            </w:r>
          </w:p>
          <w:p w14:paraId="61AB5EE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能独立完成选题、调研、方案设计、实验验证（或仿真分析）及成果总结，具备运用专业知识解决实际问题的综合能力，提升技术文档撰写与成果展示能力。</w:t>
            </w:r>
          </w:p>
          <w:p w14:paraId="4DC6CE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培养严谨的科研态度、创新思维</w:t>
            </w:r>
            <w:r>
              <w:rPr>
                <w:rFonts w:hint="eastAsia" w:ascii="Times New Roman" w:hAnsi="Times New Roman" w:eastAsia="仿宋_GB2312" w:cs="仿宋_GB2312"/>
                <w:color w:val="auto"/>
                <w:sz w:val="24"/>
                <w:highlight w:val="none"/>
                <w:lang w:val="en-US" w:eastAsia="zh-CN"/>
              </w:rPr>
              <w:t>等</w:t>
            </w:r>
            <w:r>
              <w:rPr>
                <w:rFonts w:hint="eastAsia" w:ascii="Times New Roman" w:hAnsi="Times New Roman" w:eastAsia="仿宋_GB2312" w:cs="仿宋_GB2312"/>
                <w:color w:val="auto"/>
                <w:sz w:val="24"/>
                <w:highlight w:val="none"/>
              </w:rPr>
              <w:t>，增强项目管理与时间规划能力，形成对专业领域的深度认知。</w:t>
            </w:r>
          </w:p>
          <w:p w14:paraId="4AF26E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引导学生关注行业发展痛点，将毕业设计与产业需求结合，培养 “科技报国” 的使命感；强调学术诚信，杜绝抄袭，树立求真务实精神。</w:t>
            </w:r>
          </w:p>
        </w:tc>
        <w:tc>
          <w:tcPr>
            <w:tcW w:w="2055" w:type="dxa"/>
            <w:vAlign w:val="top"/>
          </w:tcPr>
          <w:p w14:paraId="3E1B67DA">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lang w:val="en-US" w:eastAsia="zh-CN"/>
              </w:rPr>
            </w:pPr>
            <w:r>
              <w:rPr>
                <w:rFonts w:hint="eastAsia" w:ascii="Times New Roman" w:hAnsi="Times New Roman" w:eastAsia="仿宋_GB2312" w:cs="仿宋_GB2312"/>
                <w:color w:val="auto"/>
                <w:sz w:val="24"/>
                <w:highlight w:val="none"/>
              </w:rPr>
              <w:t>本课程主要内容包括毕业设计选题指导、任务书下达、文献检索与资料整理、技术方案设计与论证、项目实施与数据处理、毕业设计论文撰写与修改、成果评阅与答辩准备。课程核心在于引导学生综合运用所学知识，独立完成一个完整项目的设计与实践，全面提升其专业综合能力。</w:t>
            </w:r>
          </w:p>
        </w:tc>
        <w:tc>
          <w:tcPr>
            <w:tcW w:w="2265" w:type="dxa"/>
            <w:vAlign w:val="top"/>
          </w:tcPr>
          <w:p w14:paraId="653087FE">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要求学生运用所学知识，完成具有实际意义的设计任务，强调理论与实践紧密结合。鼓励学生独立完成设计过程，培养创新思维和解决问题的能力，提升个人专业素养。确保设计任务按时完成，并注重设计过程中的质量控制，追求卓越。</w:t>
            </w:r>
          </w:p>
        </w:tc>
      </w:tr>
      <w:tr w14:paraId="7B00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6" w:type="dxa"/>
            <w:vAlign w:val="center"/>
          </w:tcPr>
          <w:p w14:paraId="765CC545">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4</w:t>
            </w:r>
          </w:p>
        </w:tc>
        <w:tc>
          <w:tcPr>
            <w:tcW w:w="1285" w:type="dxa"/>
            <w:vAlign w:val="center"/>
          </w:tcPr>
          <w:p w14:paraId="64C942CC">
            <w:pPr>
              <w:keepNext w:val="0"/>
              <w:keepLines w:val="0"/>
              <w:pageBreakBefore w:val="0"/>
              <w:kinsoku/>
              <w:wordWrap/>
              <w:topLinePunct w:val="0"/>
              <w:autoSpaceDE/>
              <w:autoSpaceDN/>
              <w:bidi w:val="0"/>
              <w:spacing w:line="320" w:lineRule="exact"/>
              <w:jc w:val="center"/>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岗业实习</w:t>
            </w:r>
          </w:p>
        </w:tc>
        <w:tc>
          <w:tcPr>
            <w:tcW w:w="4196" w:type="dxa"/>
            <w:vAlign w:val="top"/>
          </w:tcPr>
          <w:p w14:paraId="09B549A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知识目标：</w:t>
            </w:r>
            <w:r>
              <w:rPr>
                <w:rFonts w:hint="eastAsia" w:ascii="Times New Roman" w:hAnsi="Times New Roman" w:eastAsia="仿宋_GB2312" w:cs="仿宋_GB2312"/>
                <w:color w:val="auto"/>
                <w:sz w:val="24"/>
                <w:highlight w:val="none"/>
              </w:rPr>
              <w:t>熟悉实习岗位相关的专业技术知识、行业标准及企业生产管理规范，理解岗位工作与专业知识的关联逻辑，了解行业前沿技术与发展趋势。</w:t>
            </w:r>
          </w:p>
          <w:p w14:paraId="0882F59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能力目标：</w:t>
            </w:r>
            <w:r>
              <w:rPr>
                <w:rFonts w:hint="eastAsia" w:ascii="Times New Roman" w:hAnsi="Times New Roman" w:eastAsia="仿宋_GB2312" w:cs="仿宋_GB2312"/>
                <w:color w:val="auto"/>
                <w:sz w:val="24"/>
                <w:highlight w:val="none"/>
              </w:rPr>
              <w:t>能将课堂所学理论知识应用于实际岗位工作，熟练掌握岗位所需的操作技能与工具使用方法，具备应对岗位常见问题的分析与解决能力，提升职场沟通与团队协作效率。</w:t>
            </w:r>
          </w:p>
          <w:p w14:paraId="2B8CBE2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素质目标：</w:t>
            </w:r>
            <w:r>
              <w:rPr>
                <w:rFonts w:hint="eastAsia" w:ascii="Times New Roman" w:hAnsi="Times New Roman" w:eastAsia="仿宋_GB2312" w:cs="仿宋_GB2312"/>
                <w:color w:val="auto"/>
                <w:sz w:val="24"/>
                <w:highlight w:val="none"/>
              </w:rPr>
              <w:t>培养敬业精神、责任意识与适应能力，形成良好的职业习惯，树立正确的职业价值观。</w:t>
            </w:r>
          </w:p>
          <w:p w14:paraId="268134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b/>
                <w:bCs/>
                <w:color w:val="auto"/>
                <w:sz w:val="24"/>
                <w:highlight w:val="none"/>
              </w:rPr>
              <w:t>课程思政育人目标：</w:t>
            </w:r>
            <w:r>
              <w:rPr>
                <w:rFonts w:hint="eastAsia" w:ascii="Times New Roman" w:hAnsi="Times New Roman" w:eastAsia="仿宋_GB2312" w:cs="仿宋_GB2312"/>
                <w:color w:val="auto"/>
                <w:sz w:val="24"/>
                <w:highlight w:val="none"/>
              </w:rPr>
              <w:t>通过企业实践体验，感受 “产业兴国” 的重要性，学习企业优秀文化中的责任担当与创新精神，引导学生将个人职业发展融入行业与国家发展大局。</w:t>
            </w:r>
          </w:p>
        </w:tc>
        <w:tc>
          <w:tcPr>
            <w:tcW w:w="2055" w:type="dxa"/>
            <w:vAlign w:val="top"/>
          </w:tcPr>
          <w:p w14:paraId="09A85832">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学生根据自己的职业规划和具体情况，可以选择生产技术、维修技术、材料供应与检测、产品测试等岗位，参与企业的相关岗位的具体工作，查缺补漏，强化和完善自己的知识体系。</w:t>
            </w:r>
          </w:p>
        </w:tc>
        <w:tc>
          <w:tcPr>
            <w:tcW w:w="2265" w:type="dxa"/>
            <w:vAlign w:val="top"/>
          </w:tcPr>
          <w:p w14:paraId="20FE95C8">
            <w:pPr>
              <w:keepNext w:val="0"/>
              <w:keepLines w:val="0"/>
              <w:pageBreakBefore w:val="0"/>
              <w:kinsoku/>
              <w:wordWrap/>
              <w:topLinePunct w:val="0"/>
              <w:autoSpaceDE/>
              <w:autoSpaceDN/>
              <w:bidi w:val="0"/>
              <w:spacing w:line="320" w:lineRule="exact"/>
              <w:jc w:val="both"/>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通过实习加深对专业知识的理解，提升实践能力。学生需撰写实习报告，总结实习经历、所学知识和心得体会，通过答辩等形式展示实习成果。学生需合理安排实习时间，遵守实习单位的规章制度，确保实习任务的顺利完成。</w:t>
            </w:r>
          </w:p>
        </w:tc>
      </w:tr>
      <w:bookmarkEnd w:id="24"/>
    </w:tbl>
    <w:p w14:paraId="7F53B256">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25" w:name="_Toc637"/>
      <w:r>
        <w:rPr>
          <w:rFonts w:hint="eastAsia" w:ascii="Times New Roman" w:hAnsi="Times New Roman" w:eastAsia="楷体" w:cs="楷体"/>
          <w:color w:val="auto"/>
          <w:sz w:val="32"/>
          <w:szCs w:val="32"/>
          <w:highlight w:val="none"/>
        </w:rPr>
        <w:t>（三）第二课堂素质教育课</w:t>
      </w:r>
      <w:bookmarkEnd w:id="25"/>
    </w:p>
    <w:p w14:paraId="508213B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第二课堂素质教育课包括思想成长、实践实习、创新创业、志愿公益、文体活动、工作履历、专业技能特长等其他各类课程及活动。</w:t>
      </w:r>
    </w:p>
    <w:p w14:paraId="3C6C121B">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表7 第二课堂素质教育课安排表</w:t>
      </w:r>
    </w:p>
    <w:tbl>
      <w:tblPr>
        <w:tblStyle w:val="12"/>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5E8C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9897387">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bookmarkStart w:id="26" w:name="_Toc8663"/>
            <w:r>
              <w:rPr>
                <w:rFonts w:hint="eastAsia" w:ascii="Times New Roman" w:hAnsi="Times New Roman" w:eastAsia="仿宋_GB2312" w:cs="仿宋_GB2312"/>
                <w:color w:val="auto"/>
                <w:sz w:val="24"/>
                <w:lang w:val="en-US" w:eastAsia="zh-CN"/>
              </w:rPr>
              <w:t>模块</w:t>
            </w:r>
          </w:p>
        </w:tc>
        <w:tc>
          <w:tcPr>
            <w:tcW w:w="3573" w:type="dxa"/>
            <w:vAlign w:val="center"/>
          </w:tcPr>
          <w:p w14:paraId="45CA4E74">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21737274">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1E01ECDD">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76515479">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6C0D4DD7">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1CD0DDC3">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479D0670">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284C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1" w:hRule="atLeast"/>
          <w:jc w:val="center"/>
        </w:trPr>
        <w:tc>
          <w:tcPr>
            <w:tcW w:w="1265" w:type="dxa"/>
            <w:vAlign w:val="center"/>
          </w:tcPr>
          <w:p w14:paraId="56DE46E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1BEDDE8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1E667D3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2A0A8470">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17FC9D6A">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58BC1E02">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4479B90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0123A5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D69A68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4327561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0061456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0F72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4" w:hRule="atLeast"/>
          <w:jc w:val="center"/>
        </w:trPr>
        <w:tc>
          <w:tcPr>
            <w:tcW w:w="1265" w:type="dxa"/>
            <w:vAlign w:val="center"/>
          </w:tcPr>
          <w:p w14:paraId="3E46876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0AF5CF2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7611AEC7">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17684A6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5656E72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00EE64A9">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2A9AAD7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49C43EEA">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4D780AD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F66924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4849CF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06F15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5011B91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D21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jc w:val="center"/>
        </w:trPr>
        <w:tc>
          <w:tcPr>
            <w:tcW w:w="1265" w:type="dxa"/>
            <w:vAlign w:val="center"/>
          </w:tcPr>
          <w:p w14:paraId="0C05C0B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29CAA850">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687CD04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79A6630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46D92CF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2B05187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2A6AE219">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0C99078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E17FA7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A34BC6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DCBCFB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4AE79E8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4C1B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1265" w:type="dxa"/>
            <w:vAlign w:val="center"/>
          </w:tcPr>
          <w:p w14:paraId="7EF3053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38F1DFC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1DEC7DF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3EC36B6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3B1B7EF8">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1128FCE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481EE3CF">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757AC3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53E467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1E70C1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5079425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F30DAA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7F9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8B25E8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5FE64AF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6658A20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28E3510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5943AB9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4FF2CEA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402CE2B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345CAF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E0F3C2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ECCD25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62E6B5D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1C3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020766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76F5F9F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4963BAE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627D22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1A17609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5260378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30A03CC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473804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145930E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04E93D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2C24BB2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14C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5802F5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758A3C7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6E6E556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58678DA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0D0B4ED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12A849E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65F2FF0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24D147A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6F9BCF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2F66B6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74F8841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2C78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5457570">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50D0B7A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7F505B7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8C8449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0B0F5AB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39232C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3360E3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44B9A2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52E999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20AF324D">
      <w:pPr>
        <w:keepNext w:val="0"/>
        <w:keepLines w:val="0"/>
        <w:pageBreakBefore w:val="0"/>
        <w:kinsoku/>
        <w:wordWrap/>
        <w:overflowPunct w:val="0"/>
        <w:topLinePunct w:val="0"/>
        <w:autoSpaceDE/>
        <w:autoSpaceDN/>
        <w:bidi w:val="0"/>
        <w:adjustRightInd w:val="0"/>
        <w:spacing w:after="0" w:line="520" w:lineRule="exact"/>
        <w:ind w:firstLine="640" w:firstLineChars="200"/>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八</w:t>
      </w:r>
      <w:r>
        <w:rPr>
          <w:rFonts w:ascii="Times New Roman" w:hAnsi="Times New Roman" w:eastAsia="黑体"/>
          <w:color w:val="auto"/>
          <w:sz w:val="32"/>
          <w:szCs w:val="32"/>
          <w:highlight w:val="none"/>
        </w:rPr>
        <w:t>、教学进程总体安排</w:t>
      </w:r>
      <w:bookmarkEnd w:id="26"/>
    </w:p>
    <w:p w14:paraId="7E6E1975">
      <w:pPr>
        <w:keepNext w:val="0"/>
        <w:keepLines w:val="0"/>
        <w:pageBreakBefore w:val="0"/>
        <w:kinsoku/>
        <w:wordWrap/>
        <w:topLinePunct w:val="0"/>
        <w:autoSpaceDE/>
        <w:autoSpaceDN/>
        <w:bidi w:val="0"/>
        <w:spacing w:after="0" w:line="520" w:lineRule="exact"/>
        <w:ind w:firstLine="640" w:firstLineChars="200"/>
        <w:outlineLvl w:val="1"/>
        <w:rPr>
          <w:rFonts w:hint="eastAsia" w:ascii="Times New Roman" w:hAnsi="Times New Roman" w:eastAsia="楷体" w:cs="楷体"/>
          <w:color w:val="auto"/>
          <w:sz w:val="32"/>
          <w:szCs w:val="32"/>
          <w:highlight w:val="none"/>
        </w:rPr>
      </w:pPr>
      <w:bookmarkStart w:id="27" w:name="_Toc13288"/>
      <w:r>
        <w:rPr>
          <w:rFonts w:hint="eastAsia" w:ascii="Times New Roman" w:hAnsi="Times New Roman" w:eastAsia="楷体" w:cs="楷体"/>
          <w:color w:val="auto"/>
          <w:sz w:val="32"/>
          <w:szCs w:val="32"/>
          <w:highlight w:val="none"/>
        </w:rPr>
        <w:t>（一）教学环节分配表</w:t>
      </w:r>
      <w:bookmarkEnd w:id="27"/>
      <w:r>
        <w:rPr>
          <w:rFonts w:hint="eastAsia" w:ascii="Times New Roman" w:hAnsi="Times New Roman" w:eastAsia="楷体" w:cs="楷体"/>
          <w:color w:val="auto"/>
          <w:sz w:val="32"/>
          <w:szCs w:val="32"/>
          <w:highlight w:val="none"/>
        </w:rPr>
        <w:t xml:space="preserve"> </w:t>
      </w:r>
    </w:p>
    <w:p w14:paraId="2B804D0F">
      <w:pPr>
        <w:keepNext w:val="0"/>
        <w:keepLines w:val="0"/>
        <w:pageBreakBefore w:val="0"/>
        <w:kinsoku/>
        <w:wordWrap/>
        <w:topLinePunct w:val="0"/>
        <w:autoSpaceDE/>
        <w:autoSpaceDN/>
        <w:bidi w:val="0"/>
        <w:spacing w:after="0" w:line="520" w:lineRule="exact"/>
        <w:ind w:firstLine="640" w:firstLineChars="200"/>
        <w:jc w:val="both"/>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教学周数分配表每学期总周数合计应为20周，各学期教学周数应与教学计划进程表一致，军训、入学教育、考试环节、实习开展、毕业设计、社会实践及毕业教育等，学期合计周数为20周。</w:t>
      </w:r>
    </w:p>
    <w:p w14:paraId="100F8C5F">
      <w:pPr>
        <w:keepNext w:val="0"/>
        <w:keepLines w:val="0"/>
        <w:pageBreakBefore w:val="0"/>
        <w:kinsoku/>
        <w:wordWrap/>
        <w:topLinePunct w:val="0"/>
        <w:autoSpaceDE/>
        <w:autoSpaceDN/>
        <w:bidi w:val="0"/>
        <w:spacing w:after="0" w:line="520" w:lineRule="exact"/>
        <w:ind w:firstLine="640" w:firstLineChars="200"/>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表8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41A08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6C10FA07">
            <w:pPr>
              <w:spacing w:after="0" w:line="240" w:lineRule="auto"/>
              <w:rPr>
                <w:rFonts w:hint="eastAsia" w:ascii="Times New Roman" w:hAnsi="Times New Roman" w:eastAsia="仿宋_GB2312" w:cs="仿宋_GB2312"/>
                <w:color w:val="auto"/>
                <w:sz w:val="24"/>
                <w:szCs w:val="24"/>
                <w:highlight w:val="none"/>
              </w:rPr>
            </w:pPr>
          </w:p>
          <w:p w14:paraId="2F1FA05C">
            <w:pPr>
              <w:spacing w:after="0" w:line="240" w:lineRule="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项目</w:t>
            </w:r>
          </w:p>
          <w:p w14:paraId="71B279A7">
            <w:pPr>
              <w:spacing w:after="0" w:line="240" w:lineRule="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周数</w:t>
            </w:r>
          </w:p>
          <w:p w14:paraId="3BBE66F1">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内容</w:t>
            </w:r>
          </w:p>
          <w:p w14:paraId="4D33A1B2">
            <w:pPr>
              <w:spacing w:after="0" w:line="240" w:lineRule="auto"/>
              <w:rPr>
                <w:rFonts w:hint="eastAsia" w:ascii="Times New Roman" w:hAnsi="Times New Roman" w:eastAsia="仿宋_GB2312" w:cs="仿宋_GB2312"/>
                <w:color w:val="auto"/>
                <w:sz w:val="24"/>
                <w:szCs w:val="24"/>
                <w:highlight w:val="none"/>
                <w:lang w:val="en-US" w:eastAsia="zh-CN"/>
              </w:rPr>
            </w:pPr>
          </w:p>
          <w:p w14:paraId="005D360C">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周数</w:t>
            </w:r>
          </w:p>
          <w:p w14:paraId="3C842377">
            <w:pPr>
              <w:spacing w:after="0" w:line="240" w:lineRule="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学年</w:t>
            </w:r>
          </w:p>
        </w:tc>
        <w:tc>
          <w:tcPr>
            <w:tcW w:w="1229" w:type="pct"/>
            <w:gridSpan w:val="2"/>
            <w:vAlign w:val="center"/>
          </w:tcPr>
          <w:p w14:paraId="7EDDD633">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一</w:t>
            </w:r>
          </w:p>
        </w:tc>
        <w:tc>
          <w:tcPr>
            <w:tcW w:w="1165" w:type="pct"/>
            <w:gridSpan w:val="2"/>
            <w:vAlign w:val="center"/>
          </w:tcPr>
          <w:p w14:paraId="17852C29">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二</w:t>
            </w:r>
          </w:p>
        </w:tc>
        <w:tc>
          <w:tcPr>
            <w:tcW w:w="1167" w:type="pct"/>
            <w:gridSpan w:val="2"/>
            <w:vAlign w:val="center"/>
          </w:tcPr>
          <w:p w14:paraId="238E48ED">
            <w:pPr>
              <w:spacing w:after="0" w:line="240" w:lineRule="auto"/>
              <w:jc w:val="center"/>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lang w:val="en-US" w:eastAsia="zh-CN"/>
              </w:rPr>
              <w:t>三</w:t>
            </w:r>
          </w:p>
        </w:tc>
      </w:tr>
      <w:tr w14:paraId="3F95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779F311A">
            <w:pPr>
              <w:spacing w:after="0" w:line="240" w:lineRule="auto"/>
              <w:rPr>
                <w:rFonts w:hint="eastAsia" w:ascii="Times New Roman" w:hAnsi="Times New Roman" w:eastAsia="仿宋_GB2312" w:cs="仿宋_GB2312"/>
                <w:color w:val="auto"/>
                <w:sz w:val="24"/>
                <w:szCs w:val="24"/>
                <w:highlight w:val="none"/>
              </w:rPr>
            </w:pPr>
          </w:p>
        </w:tc>
        <w:tc>
          <w:tcPr>
            <w:tcW w:w="646" w:type="pct"/>
            <w:vAlign w:val="center"/>
          </w:tcPr>
          <w:p w14:paraId="778B57FE">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w:t>
            </w:r>
          </w:p>
        </w:tc>
        <w:tc>
          <w:tcPr>
            <w:tcW w:w="582" w:type="pct"/>
            <w:vAlign w:val="center"/>
          </w:tcPr>
          <w:p w14:paraId="01A2F637">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w:t>
            </w:r>
          </w:p>
        </w:tc>
        <w:tc>
          <w:tcPr>
            <w:tcW w:w="582" w:type="pct"/>
            <w:vAlign w:val="center"/>
          </w:tcPr>
          <w:p w14:paraId="5AD1A229">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w:t>
            </w:r>
          </w:p>
        </w:tc>
        <w:tc>
          <w:tcPr>
            <w:tcW w:w="582" w:type="pct"/>
            <w:vAlign w:val="center"/>
          </w:tcPr>
          <w:p w14:paraId="301401A1">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4</w:t>
            </w:r>
          </w:p>
        </w:tc>
        <w:tc>
          <w:tcPr>
            <w:tcW w:w="582" w:type="pct"/>
            <w:vAlign w:val="center"/>
          </w:tcPr>
          <w:p w14:paraId="7CBC4DF5">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w:t>
            </w:r>
          </w:p>
        </w:tc>
        <w:tc>
          <w:tcPr>
            <w:tcW w:w="584" w:type="pct"/>
            <w:vAlign w:val="center"/>
          </w:tcPr>
          <w:p w14:paraId="5E71ACC2">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6</w:t>
            </w:r>
          </w:p>
        </w:tc>
      </w:tr>
      <w:tr w14:paraId="3E89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46AB7C07">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课堂教学</w:t>
            </w:r>
          </w:p>
        </w:tc>
        <w:tc>
          <w:tcPr>
            <w:tcW w:w="646" w:type="pct"/>
            <w:vAlign w:val="center"/>
          </w:tcPr>
          <w:p w14:paraId="79234647">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1-18</w:t>
            </w:r>
          </w:p>
        </w:tc>
        <w:tc>
          <w:tcPr>
            <w:tcW w:w="582" w:type="pct"/>
            <w:vAlign w:val="center"/>
          </w:tcPr>
          <w:p w14:paraId="568B83CF">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2" w:type="pct"/>
            <w:vAlign w:val="center"/>
          </w:tcPr>
          <w:p w14:paraId="6EEAFF78">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2" w:type="pct"/>
            <w:vAlign w:val="center"/>
          </w:tcPr>
          <w:p w14:paraId="7F043397">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2" w:type="pct"/>
            <w:vAlign w:val="center"/>
          </w:tcPr>
          <w:p w14:paraId="68C87C9A">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4" w:type="pct"/>
            <w:vAlign w:val="center"/>
          </w:tcPr>
          <w:p w14:paraId="72CE1AC3">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r>
      <w:tr w14:paraId="36A8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6AC1BEA3">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考试</w:t>
            </w:r>
          </w:p>
        </w:tc>
        <w:tc>
          <w:tcPr>
            <w:tcW w:w="646" w:type="pct"/>
            <w:vAlign w:val="center"/>
          </w:tcPr>
          <w:p w14:paraId="6B99A5DC">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19-20</w:t>
            </w:r>
          </w:p>
        </w:tc>
        <w:tc>
          <w:tcPr>
            <w:tcW w:w="582" w:type="pct"/>
            <w:vAlign w:val="center"/>
          </w:tcPr>
          <w:p w14:paraId="79C092DE">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82" w:type="pct"/>
            <w:vAlign w:val="center"/>
          </w:tcPr>
          <w:p w14:paraId="2F0E22F8">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82" w:type="pct"/>
            <w:vAlign w:val="center"/>
          </w:tcPr>
          <w:p w14:paraId="6FCCB890">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82" w:type="pct"/>
            <w:vAlign w:val="center"/>
          </w:tcPr>
          <w:p w14:paraId="3A1CA31E">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c>
          <w:tcPr>
            <w:tcW w:w="584" w:type="pct"/>
            <w:vAlign w:val="center"/>
          </w:tcPr>
          <w:p w14:paraId="06EC8444">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19-20</w:t>
            </w:r>
          </w:p>
        </w:tc>
      </w:tr>
      <w:tr w14:paraId="64BB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576B2FB">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军训</w:t>
            </w:r>
          </w:p>
        </w:tc>
        <w:tc>
          <w:tcPr>
            <w:tcW w:w="646" w:type="pct"/>
            <w:vAlign w:val="center"/>
          </w:tcPr>
          <w:p w14:paraId="21C735BB">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w:t>
            </w:r>
          </w:p>
        </w:tc>
        <w:tc>
          <w:tcPr>
            <w:tcW w:w="582" w:type="pct"/>
            <w:vAlign w:val="center"/>
          </w:tcPr>
          <w:p w14:paraId="5664F8CE">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3E41749E">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2CD3EB0A">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569C9911">
            <w:pPr>
              <w:spacing w:after="0" w:line="240" w:lineRule="auto"/>
              <w:jc w:val="center"/>
              <w:rPr>
                <w:rFonts w:hint="eastAsia" w:ascii="Times New Roman" w:hAnsi="Times New Roman" w:eastAsia="仿宋_GB2312" w:cs="仿宋_GB2312"/>
                <w:color w:val="auto"/>
                <w:sz w:val="24"/>
                <w:szCs w:val="24"/>
                <w:highlight w:val="none"/>
              </w:rPr>
            </w:pPr>
          </w:p>
        </w:tc>
        <w:tc>
          <w:tcPr>
            <w:tcW w:w="584" w:type="pct"/>
            <w:vAlign w:val="center"/>
          </w:tcPr>
          <w:p w14:paraId="36CFC802">
            <w:pPr>
              <w:spacing w:after="0" w:line="240" w:lineRule="auto"/>
              <w:jc w:val="center"/>
              <w:rPr>
                <w:rFonts w:hint="eastAsia" w:ascii="Times New Roman" w:hAnsi="Times New Roman" w:eastAsia="仿宋_GB2312" w:cs="仿宋_GB2312"/>
                <w:color w:val="auto"/>
                <w:sz w:val="24"/>
                <w:szCs w:val="24"/>
                <w:highlight w:val="none"/>
              </w:rPr>
            </w:pPr>
          </w:p>
        </w:tc>
      </w:tr>
      <w:tr w14:paraId="00D5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B3AD0EA">
            <w:pPr>
              <w:spacing w:after="0" w:line="240" w:lineRule="auto"/>
              <w:jc w:val="center"/>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入学教育</w:t>
            </w:r>
          </w:p>
        </w:tc>
        <w:tc>
          <w:tcPr>
            <w:tcW w:w="646" w:type="pct"/>
            <w:vAlign w:val="center"/>
          </w:tcPr>
          <w:p w14:paraId="7405DDE6">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3-8</w:t>
            </w:r>
          </w:p>
        </w:tc>
        <w:tc>
          <w:tcPr>
            <w:tcW w:w="582" w:type="pct"/>
            <w:vAlign w:val="center"/>
          </w:tcPr>
          <w:p w14:paraId="43C1CD24">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10C15ED9">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03F0B074">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57ED9F7B">
            <w:pPr>
              <w:spacing w:after="0" w:line="240" w:lineRule="auto"/>
              <w:jc w:val="center"/>
              <w:rPr>
                <w:rFonts w:hint="eastAsia" w:ascii="Times New Roman" w:hAnsi="Times New Roman" w:eastAsia="仿宋_GB2312" w:cs="仿宋_GB2312"/>
                <w:color w:val="auto"/>
                <w:sz w:val="24"/>
                <w:szCs w:val="24"/>
                <w:highlight w:val="none"/>
              </w:rPr>
            </w:pPr>
          </w:p>
        </w:tc>
        <w:tc>
          <w:tcPr>
            <w:tcW w:w="584" w:type="pct"/>
            <w:vAlign w:val="center"/>
          </w:tcPr>
          <w:p w14:paraId="5A17BF7E">
            <w:pPr>
              <w:spacing w:after="0" w:line="240" w:lineRule="auto"/>
              <w:jc w:val="center"/>
              <w:rPr>
                <w:rFonts w:hint="eastAsia" w:ascii="Times New Roman" w:hAnsi="Times New Roman" w:eastAsia="仿宋_GB2312" w:cs="仿宋_GB2312"/>
                <w:color w:val="auto"/>
                <w:sz w:val="24"/>
                <w:szCs w:val="24"/>
                <w:highlight w:val="none"/>
              </w:rPr>
            </w:pPr>
          </w:p>
        </w:tc>
      </w:tr>
      <w:tr w14:paraId="6E57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8E5749A">
            <w:pPr>
              <w:spacing w:after="0" w:line="240" w:lineRule="auto"/>
              <w:jc w:val="center"/>
              <w:rPr>
                <w:rFonts w:hint="eastAsia" w:ascii="Times New Roman" w:hAnsi="Times New Roman" w:eastAsia="仿宋_GB2312" w:cs="仿宋_GB2312"/>
                <w:b w:val="0"/>
                <w:bCs w:val="0"/>
                <w:color w:val="auto"/>
                <w:sz w:val="24"/>
                <w:szCs w:val="24"/>
                <w:highlight w:val="none"/>
              </w:rPr>
            </w:pPr>
            <w:r>
              <w:rPr>
                <w:rFonts w:hint="eastAsia" w:ascii="Times New Roman" w:hAnsi="Times New Roman" w:eastAsia="仿宋_GB2312" w:cs="仿宋_GB2312"/>
                <w:b w:val="0"/>
                <w:bCs w:val="0"/>
                <w:color w:val="auto"/>
                <w:sz w:val="24"/>
                <w:szCs w:val="24"/>
                <w:highlight w:val="none"/>
              </w:rPr>
              <w:t>毕业设计</w:t>
            </w:r>
          </w:p>
        </w:tc>
        <w:tc>
          <w:tcPr>
            <w:tcW w:w="646" w:type="pct"/>
            <w:vAlign w:val="center"/>
          </w:tcPr>
          <w:p w14:paraId="2A7D5ABD">
            <w:pPr>
              <w:spacing w:after="0" w:line="240" w:lineRule="auto"/>
              <w:jc w:val="center"/>
              <w:rPr>
                <w:rFonts w:hint="eastAsia" w:ascii="Times New Roman" w:hAnsi="Times New Roman" w:eastAsia="仿宋_GB2312" w:cs="仿宋_GB2312"/>
                <w:color w:val="auto"/>
                <w:sz w:val="24"/>
                <w:szCs w:val="24"/>
                <w:highlight w:val="none"/>
                <w:lang w:val="en-US" w:eastAsia="zh-CN"/>
              </w:rPr>
            </w:pPr>
          </w:p>
        </w:tc>
        <w:tc>
          <w:tcPr>
            <w:tcW w:w="582" w:type="pct"/>
            <w:vAlign w:val="center"/>
          </w:tcPr>
          <w:p w14:paraId="62BE765D">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7721F0C8">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10C9AE33">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712CF2AD">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1-18</w:t>
            </w:r>
          </w:p>
        </w:tc>
        <w:tc>
          <w:tcPr>
            <w:tcW w:w="584" w:type="pct"/>
            <w:vAlign w:val="center"/>
          </w:tcPr>
          <w:p w14:paraId="0FFF7BB9">
            <w:pPr>
              <w:spacing w:after="0" w:line="240" w:lineRule="auto"/>
              <w:jc w:val="center"/>
              <w:rPr>
                <w:rFonts w:hint="eastAsia" w:ascii="Times New Roman" w:hAnsi="Times New Roman" w:eastAsia="仿宋_GB2312" w:cs="仿宋_GB2312"/>
                <w:color w:val="auto"/>
                <w:sz w:val="24"/>
                <w:szCs w:val="24"/>
                <w:highlight w:val="none"/>
              </w:rPr>
            </w:pPr>
          </w:p>
        </w:tc>
      </w:tr>
      <w:tr w14:paraId="38B1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AFEF985">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岗位实习</w:t>
            </w:r>
          </w:p>
        </w:tc>
        <w:tc>
          <w:tcPr>
            <w:tcW w:w="646" w:type="pct"/>
            <w:vAlign w:val="center"/>
          </w:tcPr>
          <w:p w14:paraId="688C94FB">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4162E5B9">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59909450">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04D96B9E">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2790D255">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584" w:type="pct"/>
            <w:vAlign w:val="center"/>
          </w:tcPr>
          <w:p w14:paraId="35760758">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1-18</w:t>
            </w:r>
          </w:p>
        </w:tc>
      </w:tr>
      <w:tr w14:paraId="50683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B6400A4">
            <w:pPr>
              <w:spacing w:after="0" w:line="240" w:lineRule="auto"/>
              <w:jc w:val="center"/>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646" w:type="pct"/>
            <w:vAlign w:val="center"/>
          </w:tcPr>
          <w:p w14:paraId="09AE532A">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34EEFA1D">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65EE8B20">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3057F714">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lang w:val="en-US" w:eastAsia="zh-CN"/>
              </w:rPr>
              <w:t>1-20</w:t>
            </w:r>
          </w:p>
        </w:tc>
        <w:tc>
          <w:tcPr>
            <w:tcW w:w="582" w:type="pct"/>
            <w:vAlign w:val="center"/>
          </w:tcPr>
          <w:p w14:paraId="59141F94">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c>
          <w:tcPr>
            <w:tcW w:w="584" w:type="pct"/>
            <w:vAlign w:val="center"/>
          </w:tcPr>
          <w:p w14:paraId="124D8681">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1-20</w:t>
            </w:r>
          </w:p>
        </w:tc>
      </w:tr>
      <w:tr w14:paraId="2B35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27403E8">
            <w:pPr>
              <w:spacing w:after="0" w:line="240" w:lineRule="auto"/>
              <w:jc w:val="center"/>
              <w:rPr>
                <w:rFonts w:hint="eastAsia" w:ascii="Times New Roman" w:hAnsi="Times New Roman" w:eastAsia="仿宋_GB2312" w:cs="仿宋_GB2312"/>
                <w:b w:val="0"/>
                <w:bCs w:val="0"/>
                <w:color w:val="auto"/>
                <w:sz w:val="24"/>
                <w:szCs w:val="24"/>
                <w:highlight w:val="none"/>
                <w:lang w:val="en-US" w:eastAsia="zh-CN"/>
              </w:rPr>
            </w:pPr>
            <w:r>
              <w:rPr>
                <w:rFonts w:hint="eastAsia" w:ascii="Times New Roman" w:hAnsi="Times New Roman" w:eastAsia="仿宋_GB2312" w:cs="仿宋_GB2312"/>
                <w:b w:val="0"/>
                <w:bCs w:val="0"/>
                <w:color w:val="auto"/>
                <w:sz w:val="24"/>
                <w:szCs w:val="24"/>
                <w:highlight w:val="none"/>
                <w:lang w:val="en-US" w:eastAsia="zh-CN"/>
              </w:rPr>
              <w:t>毕业教育</w:t>
            </w:r>
          </w:p>
        </w:tc>
        <w:tc>
          <w:tcPr>
            <w:tcW w:w="646" w:type="pct"/>
            <w:vAlign w:val="center"/>
          </w:tcPr>
          <w:p w14:paraId="2BE8517E">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02F6F002">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69B93195">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1F73E4A6">
            <w:pPr>
              <w:spacing w:after="0" w:line="240" w:lineRule="auto"/>
              <w:jc w:val="center"/>
              <w:rPr>
                <w:rFonts w:hint="eastAsia" w:ascii="Times New Roman" w:hAnsi="Times New Roman" w:eastAsia="仿宋_GB2312" w:cs="仿宋_GB2312"/>
                <w:color w:val="auto"/>
                <w:sz w:val="24"/>
                <w:szCs w:val="24"/>
                <w:highlight w:val="none"/>
              </w:rPr>
            </w:pPr>
          </w:p>
        </w:tc>
        <w:tc>
          <w:tcPr>
            <w:tcW w:w="582" w:type="pct"/>
            <w:vAlign w:val="center"/>
          </w:tcPr>
          <w:p w14:paraId="13F3042D">
            <w:pPr>
              <w:spacing w:after="0" w:line="240" w:lineRule="auto"/>
              <w:jc w:val="center"/>
              <w:rPr>
                <w:rFonts w:hint="eastAsia" w:ascii="Times New Roman" w:hAnsi="Times New Roman" w:eastAsia="仿宋_GB2312" w:cs="仿宋_GB2312"/>
                <w:color w:val="auto"/>
                <w:sz w:val="24"/>
                <w:szCs w:val="24"/>
                <w:highlight w:val="none"/>
                <w:lang w:val="en-US" w:eastAsia="zh-CN"/>
              </w:rPr>
            </w:pPr>
          </w:p>
        </w:tc>
        <w:tc>
          <w:tcPr>
            <w:tcW w:w="584" w:type="pct"/>
            <w:vAlign w:val="center"/>
          </w:tcPr>
          <w:p w14:paraId="667CEB01">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18-19</w:t>
            </w:r>
          </w:p>
        </w:tc>
      </w:tr>
      <w:tr w14:paraId="586F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8E7CE61">
            <w:pPr>
              <w:spacing w:after="0" w:line="240" w:lineRule="auto"/>
              <w:jc w:val="center"/>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val="0"/>
                <w:bCs w:val="0"/>
                <w:color w:val="auto"/>
                <w:sz w:val="24"/>
                <w:szCs w:val="24"/>
                <w:highlight w:val="none"/>
              </w:rPr>
              <w:t>学期教学总周数</w:t>
            </w:r>
          </w:p>
        </w:tc>
        <w:tc>
          <w:tcPr>
            <w:tcW w:w="646" w:type="pct"/>
            <w:vAlign w:val="center"/>
          </w:tcPr>
          <w:p w14:paraId="778D29CB">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82" w:type="pct"/>
            <w:vAlign w:val="center"/>
          </w:tcPr>
          <w:p w14:paraId="71D77BE9">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82" w:type="pct"/>
            <w:vAlign w:val="center"/>
          </w:tcPr>
          <w:p w14:paraId="2690FBDE">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82" w:type="pct"/>
            <w:vAlign w:val="center"/>
          </w:tcPr>
          <w:p w14:paraId="75A75655">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82" w:type="pct"/>
            <w:vAlign w:val="center"/>
          </w:tcPr>
          <w:p w14:paraId="165E0980">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c>
          <w:tcPr>
            <w:tcW w:w="584" w:type="pct"/>
            <w:vAlign w:val="center"/>
          </w:tcPr>
          <w:p w14:paraId="5AC2F831">
            <w:pPr>
              <w:spacing w:after="0" w:line="240" w:lineRule="auto"/>
              <w:jc w:val="center"/>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20周</w:t>
            </w:r>
          </w:p>
        </w:tc>
      </w:tr>
    </w:tbl>
    <w:p w14:paraId="7F754E01">
      <w:pPr>
        <w:keepNext w:val="0"/>
        <w:keepLines w:val="0"/>
        <w:pageBreakBefore w:val="0"/>
        <w:kinsoku/>
        <w:wordWrap/>
        <w:topLinePunct w:val="0"/>
        <w:autoSpaceDE/>
        <w:autoSpaceDN/>
        <w:bidi w:val="0"/>
        <w:spacing w:after="0" w:line="520" w:lineRule="exact"/>
        <w:ind w:firstLine="640" w:firstLineChars="200"/>
        <w:outlineLvl w:val="1"/>
        <w:rPr>
          <w:rFonts w:hint="eastAsia" w:ascii="Times New Roman" w:hAnsi="Times New Roman" w:eastAsia="楷体" w:cs="楷体"/>
          <w:bCs/>
          <w:color w:val="auto"/>
          <w:sz w:val="32"/>
          <w:szCs w:val="32"/>
          <w:highlight w:val="none"/>
        </w:rPr>
      </w:pPr>
      <w:bookmarkStart w:id="28" w:name="_Toc32327"/>
      <w:r>
        <w:rPr>
          <w:rFonts w:hint="eastAsia" w:ascii="Times New Roman" w:hAnsi="Times New Roman" w:eastAsia="楷体" w:cs="楷体"/>
          <w:color w:val="auto"/>
          <w:sz w:val="32"/>
          <w:szCs w:val="32"/>
          <w:highlight w:val="none"/>
        </w:rPr>
        <w:t>（二）</w:t>
      </w:r>
      <w:r>
        <w:rPr>
          <w:rFonts w:hint="eastAsia" w:ascii="Times New Roman" w:hAnsi="Times New Roman" w:eastAsia="楷体" w:cs="楷体"/>
          <w:bCs/>
          <w:color w:val="auto"/>
          <w:sz w:val="32"/>
          <w:szCs w:val="32"/>
          <w:highlight w:val="none"/>
        </w:rPr>
        <w:t>课程结构与学时、学分分配</w:t>
      </w:r>
      <w:bookmarkEnd w:id="28"/>
    </w:p>
    <w:p w14:paraId="70FC092C">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bCs/>
          <w:sz w:val="32"/>
          <w:szCs w:val="32"/>
          <w:highlight w:val="none"/>
        </w:rPr>
      </w:pPr>
      <w:r>
        <w:rPr>
          <w:rFonts w:hint="eastAsia" w:ascii="Times New Roman" w:hAnsi="Times New Roman" w:eastAsia="仿宋_GB2312" w:cs="仿宋_GB2312"/>
          <w:bCs/>
          <w:sz w:val="32"/>
          <w:szCs w:val="32"/>
          <w:highlight w:val="none"/>
        </w:rPr>
        <w:t>本专业教学总学时为26</w:t>
      </w:r>
      <w:r>
        <w:rPr>
          <w:rFonts w:hint="eastAsia" w:ascii="Times New Roman" w:hAnsi="Times New Roman" w:eastAsia="仿宋_GB2312" w:cs="仿宋_GB2312"/>
          <w:bCs/>
          <w:sz w:val="32"/>
          <w:szCs w:val="32"/>
          <w:highlight w:val="none"/>
          <w:lang w:val="en-US" w:eastAsia="zh-CN"/>
        </w:rPr>
        <w:t>54</w:t>
      </w:r>
      <w:r>
        <w:rPr>
          <w:rFonts w:hint="eastAsia" w:ascii="Times New Roman" w:hAnsi="Times New Roman" w:eastAsia="仿宋_GB2312" w:cs="仿宋_GB2312"/>
          <w:bCs/>
          <w:sz w:val="32"/>
          <w:szCs w:val="32"/>
          <w:highlight w:val="none"/>
        </w:rPr>
        <w:t>学时。其中理论教学</w:t>
      </w:r>
      <w:r>
        <w:rPr>
          <w:rFonts w:hint="eastAsia" w:ascii="Times New Roman" w:hAnsi="Times New Roman" w:eastAsia="仿宋_GB2312" w:cs="仿宋_GB2312"/>
          <w:spacing w:val="-2"/>
          <w:sz w:val="32"/>
          <w:szCs w:val="32"/>
          <w:highlight w:val="none"/>
        </w:rPr>
        <w:t>12</w:t>
      </w:r>
      <w:r>
        <w:rPr>
          <w:rFonts w:hint="eastAsia" w:ascii="Times New Roman" w:hAnsi="Times New Roman" w:eastAsia="仿宋_GB2312" w:cs="仿宋_GB2312"/>
          <w:spacing w:val="-2"/>
          <w:sz w:val="32"/>
          <w:szCs w:val="32"/>
          <w:highlight w:val="none"/>
          <w:lang w:val="en-US" w:eastAsia="zh-CN"/>
        </w:rPr>
        <w:t>14</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4</w:t>
      </w:r>
      <w:r>
        <w:rPr>
          <w:rFonts w:hint="eastAsia" w:ascii="Times New Roman" w:hAnsi="Times New Roman" w:eastAsia="仿宋_GB2312" w:cs="仿宋_GB2312"/>
          <w:spacing w:val="-2"/>
          <w:sz w:val="32"/>
          <w:szCs w:val="32"/>
          <w:highlight w:val="none"/>
          <w:lang w:val="en-US" w:eastAsia="zh-CN"/>
        </w:rPr>
        <w:t>5.74</w:t>
      </w:r>
      <w:r>
        <w:rPr>
          <w:rFonts w:hint="eastAsia" w:ascii="Times New Roman" w:hAnsi="Times New Roman" w:eastAsia="仿宋_GB2312" w:cs="仿宋_GB2312"/>
          <w:bCs/>
          <w:sz w:val="32"/>
          <w:szCs w:val="32"/>
          <w:highlight w:val="none"/>
        </w:rPr>
        <w:t>%；实践教学</w:t>
      </w:r>
      <w:r>
        <w:rPr>
          <w:rFonts w:hint="eastAsia" w:ascii="Times New Roman" w:hAnsi="Times New Roman" w:eastAsia="仿宋_GB2312" w:cs="仿宋_GB2312"/>
          <w:spacing w:val="-2"/>
          <w:sz w:val="32"/>
          <w:szCs w:val="32"/>
          <w:highlight w:val="none"/>
        </w:rPr>
        <w:t>14</w:t>
      </w:r>
      <w:r>
        <w:rPr>
          <w:rFonts w:hint="eastAsia" w:ascii="Times New Roman" w:hAnsi="Times New Roman" w:eastAsia="仿宋_GB2312" w:cs="仿宋_GB2312"/>
          <w:spacing w:val="-2"/>
          <w:sz w:val="32"/>
          <w:szCs w:val="32"/>
          <w:highlight w:val="none"/>
          <w:lang w:val="en-US" w:eastAsia="zh-CN"/>
        </w:rPr>
        <w:t>40</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5</w:t>
      </w:r>
      <w:r>
        <w:rPr>
          <w:rFonts w:hint="eastAsia" w:ascii="Times New Roman" w:hAnsi="Times New Roman" w:eastAsia="仿宋_GB2312" w:cs="仿宋_GB2312"/>
          <w:spacing w:val="-2"/>
          <w:sz w:val="32"/>
          <w:szCs w:val="32"/>
          <w:highlight w:val="none"/>
          <w:lang w:val="en-US" w:eastAsia="zh-CN"/>
        </w:rPr>
        <w:t>4.26</w:t>
      </w:r>
      <w:r>
        <w:rPr>
          <w:rFonts w:hint="eastAsia" w:ascii="Times New Roman" w:hAnsi="Times New Roman" w:eastAsia="仿宋_GB2312" w:cs="仿宋_GB2312"/>
          <w:bCs/>
          <w:sz w:val="32"/>
          <w:szCs w:val="32"/>
          <w:highlight w:val="none"/>
        </w:rPr>
        <w:t>%，其中岗位</w:t>
      </w:r>
      <w:r>
        <w:rPr>
          <w:rFonts w:hint="eastAsia" w:ascii="Times New Roman" w:hAnsi="Times New Roman" w:eastAsia="仿宋_GB2312" w:cs="仿宋_GB2312"/>
          <w:spacing w:val="-2"/>
          <w:sz w:val="32"/>
          <w:szCs w:val="32"/>
          <w:highlight w:val="none"/>
        </w:rPr>
        <w:t>实习时间累计一般为6个月。</w:t>
      </w:r>
      <w:r>
        <w:rPr>
          <w:rFonts w:hint="eastAsia" w:ascii="Times New Roman" w:hAnsi="Times New Roman" w:eastAsia="仿宋_GB2312" w:cs="仿宋_GB2312"/>
          <w:bCs/>
          <w:sz w:val="32"/>
          <w:szCs w:val="32"/>
          <w:highlight w:val="none"/>
        </w:rPr>
        <w:t>公共基础课</w:t>
      </w:r>
      <w:r>
        <w:rPr>
          <w:rFonts w:hint="eastAsia" w:ascii="Times New Roman" w:hAnsi="Times New Roman" w:eastAsia="仿宋_GB2312" w:cs="仿宋_GB2312"/>
          <w:spacing w:val="-2"/>
          <w:sz w:val="32"/>
          <w:szCs w:val="32"/>
          <w:highlight w:val="none"/>
        </w:rPr>
        <w:t>9</w:t>
      </w:r>
      <w:r>
        <w:rPr>
          <w:rFonts w:hint="eastAsia" w:ascii="Times New Roman" w:hAnsi="Times New Roman" w:eastAsia="仿宋_GB2312" w:cs="仿宋_GB2312"/>
          <w:spacing w:val="-2"/>
          <w:sz w:val="32"/>
          <w:szCs w:val="32"/>
          <w:highlight w:val="none"/>
          <w:lang w:val="en-US" w:eastAsia="zh-CN"/>
        </w:rPr>
        <w:t>54</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3</w:t>
      </w:r>
      <w:r>
        <w:rPr>
          <w:rFonts w:hint="eastAsia" w:ascii="Times New Roman" w:hAnsi="Times New Roman" w:eastAsia="仿宋_GB2312" w:cs="仿宋_GB2312"/>
          <w:spacing w:val="-2"/>
          <w:sz w:val="32"/>
          <w:szCs w:val="32"/>
          <w:highlight w:val="none"/>
          <w:lang w:val="en-US" w:eastAsia="zh-CN"/>
        </w:rPr>
        <w:t>6.04</w:t>
      </w:r>
      <w:r>
        <w:rPr>
          <w:rFonts w:hint="eastAsia" w:ascii="Times New Roman" w:hAnsi="Times New Roman" w:eastAsia="仿宋_GB2312" w:cs="仿宋_GB2312"/>
          <w:bCs/>
          <w:sz w:val="32"/>
          <w:szCs w:val="32"/>
          <w:highlight w:val="none"/>
        </w:rPr>
        <w:t>%；选修课</w:t>
      </w:r>
      <w:r>
        <w:rPr>
          <w:rFonts w:hint="eastAsia" w:ascii="Times New Roman" w:hAnsi="Times New Roman" w:eastAsia="仿宋_GB2312" w:cs="仿宋_GB2312"/>
          <w:spacing w:val="-2"/>
          <w:sz w:val="32"/>
          <w:szCs w:val="32"/>
          <w:highlight w:val="none"/>
        </w:rPr>
        <w:t>272</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10.</w:t>
      </w:r>
      <w:r>
        <w:rPr>
          <w:rFonts w:hint="eastAsia" w:ascii="Times New Roman" w:hAnsi="Times New Roman" w:eastAsia="仿宋_GB2312" w:cs="仿宋_GB2312"/>
          <w:spacing w:val="-2"/>
          <w:sz w:val="32"/>
          <w:szCs w:val="32"/>
          <w:highlight w:val="none"/>
          <w:lang w:val="en-US" w:eastAsia="zh-CN"/>
        </w:rPr>
        <w:t>25</w:t>
      </w:r>
      <w:r>
        <w:rPr>
          <w:rFonts w:hint="eastAsia" w:ascii="Times New Roman" w:hAnsi="Times New Roman" w:eastAsia="仿宋_GB2312" w:cs="仿宋_GB2312"/>
          <w:bCs/>
          <w:sz w:val="32"/>
          <w:szCs w:val="32"/>
          <w:highlight w:val="none"/>
        </w:rPr>
        <w:t>%。</w:t>
      </w:r>
    </w:p>
    <w:p w14:paraId="1C176F6D">
      <w:pPr>
        <w:keepNext w:val="0"/>
        <w:keepLines w:val="0"/>
        <w:pageBreakBefore w:val="0"/>
        <w:kinsoku/>
        <w:wordWrap/>
        <w:topLinePunct w:val="0"/>
        <w:autoSpaceDE/>
        <w:autoSpaceDN/>
        <w:bidi w:val="0"/>
        <w:spacing w:after="0" w:line="520" w:lineRule="exact"/>
        <w:jc w:val="center"/>
        <w:rPr>
          <w:rFonts w:hint="eastAsia" w:ascii="Times New Roman" w:hAnsi="Times New Roman" w:eastAsia="仿宋_GB2312" w:cs="仿宋_GB2312"/>
          <w:color w:val="auto"/>
          <w:spacing w:val="-2"/>
          <w:sz w:val="32"/>
          <w:szCs w:val="32"/>
          <w:highlight w:val="none"/>
        </w:rPr>
      </w:pPr>
      <w:r>
        <w:rPr>
          <w:rFonts w:hint="eastAsia" w:ascii="Times New Roman" w:hAnsi="Times New Roman" w:eastAsia="仿宋_GB2312" w:cs="仿宋_GB2312"/>
          <w:color w:val="auto"/>
          <w:sz w:val="32"/>
          <w:szCs w:val="32"/>
          <w:highlight w:val="none"/>
        </w:rPr>
        <w:t>表9</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pacing w:val="-2"/>
          <w:sz w:val="32"/>
          <w:szCs w:val="32"/>
          <w:highlight w:val="none"/>
        </w:rPr>
        <w:t>课程学时、学分分配表</w:t>
      </w:r>
    </w:p>
    <w:tbl>
      <w:tblPr>
        <w:tblStyle w:val="11"/>
        <w:tblW w:w="10627" w:type="dxa"/>
        <w:jc w:val="center"/>
        <w:tblLayout w:type="fixed"/>
        <w:tblCellMar>
          <w:top w:w="0" w:type="dxa"/>
          <w:left w:w="108" w:type="dxa"/>
          <w:bottom w:w="0" w:type="dxa"/>
          <w:right w:w="108" w:type="dxa"/>
        </w:tblCellMar>
      </w:tblPr>
      <w:tblGrid>
        <w:gridCol w:w="1021"/>
        <w:gridCol w:w="1931"/>
        <w:gridCol w:w="909"/>
        <w:gridCol w:w="718"/>
        <w:gridCol w:w="1118"/>
        <w:gridCol w:w="896"/>
        <w:gridCol w:w="759"/>
        <w:gridCol w:w="1261"/>
        <w:gridCol w:w="750"/>
        <w:gridCol w:w="1264"/>
      </w:tblGrid>
      <w:tr w14:paraId="4DD4905F">
        <w:tblPrEx>
          <w:tblCellMar>
            <w:top w:w="0" w:type="dxa"/>
            <w:left w:w="108" w:type="dxa"/>
            <w:bottom w:w="0" w:type="dxa"/>
            <w:right w:w="108" w:type="dxa"/>
          </w:tblCellMar>
        </w:tblPrEx>
        <w:trPr>
          <w:trHeight w:val="240" w:hRule="atLeast"/>
          <w:jc w:val="center"/>
        </w:trPr>
        <w:tc>
          <w:tcPr>
            <w:tcW w:w="2952"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4D553CD9">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bookmarkStart w:id="29" w:name="_Toc27302"/>
            <w:r>
              <w:rPr>
                <w:rFonts w:hint="eastAsia" w:ascii="Times New Roman" w:hAnsi="Times New Roman" w:eastAsia="仿宋_GB2312" w:cs="仿宋_GB2312"/>
                <w:color w:val="000000"/>
                <w:kern w:val="0"/>
                <w:sz w:val="24"/>
                <w:highlight w:val="none"/>
                <w:lang w:bidi="ar"/>
              </w:rPr>
              <w:t>课程类别</w:t>
            </w:r>
          </w:p>
        </w:tc>
        <w:tc>
          <w:tcPr>
            <w:tcW w:w="909" w:type="dxa"/>
            <w:vMerge w:val="restart"/>
            <w:tcBorders>
              <w:top w:val="single" w:color="000000" w:sz="4" w:space="0"/>
              <w:left w:val="single" w:color="000000" w:sz="4" w:space="0"/>
              <w:bottom w:val="single" w:color="000000" w:sz="4" w:space="0"/>
              <w:right w:val="single" w:color="000000" w:sz="4" w:space="0"/>
            </w:tcBorders>
            <w:vAlign w:val="center"/>
          </w:tcPr>
          <w:p w14:paraId="77F59E57">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noWrap/>
            <w:vAlign w:val="center"/>
          </w:tcPr>
          <w:p w14:paraId="08532662">
            <w:pPr>
              <w:keepNext w:val="0"/>
              <w:keepLines w:val="0"/>
              <w:pageBreakBefore w:val="0"/>
              <w:widowControl/>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vAlign w:val="center"/>
          </w:tcPr>
          <w:p w14:paraId="2A106347">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noWrap/>
            <w:vAlign w:val="center"/>
          </w:tcPr>
          <w:p w14:paraId="62766F41">
            <w:pPr>
              <w:keepNext w:val="0"/>
              <w:keepLines w:val="0"/>
              <w:pageBreakBefore w:val="0"/>
              <w:widowControl/>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 xml:space="preserve">                         学时</w:t>
            </w:r>
          </w:p>
        </w:tc>
      </w:tr>
      <w:tr w14:paraId="18E43D35">
        <w:tblPrEx>
          <w:tblCellMar>
            <w:top w:w="0" w:type="dxa"/>
            <w:left w:w="108" w:type="dxa"/>
            <w:bottom w:w="0" w:type="dxa"/>
            <w:right w:w="108" w:type="dxa"/>
          </w:tblCellMar>
        </w:tblPrEx>
        <w:trPr>
          <w:trHeight w:val="240" w:hRule="atLeast"/>
          <w:jc w:val="center"/>
        </w:trPr>
        <w:tc>
          <w:tcPr>
            <w:tcW w:w="2952"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019836B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909" w:type="dxa"/>
            <w:vMerge w:val="continue"/>
            <w:tcBorders>
              <w:top w:val="single" w:color="000000" w:sz="4" w:space="0"/>
              <w:left w:val="single" w:color="000000" w:sz="4" w:space="0"/>
              <w:bottom w:val="single" w:color="000000" w:sz="4" w:space="0"/>
              <w:right w:val="single" w:color="000000" w:sz="4" w:space="0"/>
            </w:tcBorders>
            <w:vAlign w:val="center"/>
          </w:tcPr>
          <w:p w14:paraId="0C4CFEB3">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125A4BFD">
            <w:pPr>
              <w:keepNext w:val="0"/>
              <w:keepLines w:val="0"/>
              <w:pageBreakBefore w:val="0"/>
              <w:widowControl/>
              <w:kinsoku/>
              <w:wordWrap/>
              <w:overflowPunct/>
              <w:topLinePunct w:val="0"/>
              <w:autoSpaceDE/>
              <w:autoSpaceDN/>
              <w:bidi w:val="0"/>
              <w:adjustRightInd/>
              <w:snapToGrid/>
              <w:spacing w:after="0" w:line="320" w:lineRule="atLeast"/>
              <w:rPr>
                <w:rFonts w:hint="eastAsia" w:ascii="Times New Roman" w:hAnsi="Times New Roman" w:eastAsia="仿宋_GB2312" w:cs="仿宋_GB2312"/>
                <w:color w:val="000000"/>
                <w:sz w:val="24"/>
                <w:highlight w:val="none"/>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4402BF71">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896" w:type="dxa"/>
            <w:vMerge w:val="restart"/>
            <w:tcBorders>
              <w:top w:val="single" w:color="000000" w:sz="4" w:space="0"/>
              <w:left w:val="single" w:color="000000" w:sz="4" w:space="0"/>
              <w:bottom w:val="single" w:color="000000" w:sz="4" w:space="0"/>
              <w:right w:val="single" w:color="000000" w:sz="4" w:space="0"/>
            </w:tcBorders>
            <w:noWrap/>
            <w:vAlign w:val="center"/>
          </w:tcPr>
          <w:p w14:paraId="031C911D">
            <w:pPr>
              <w:keepNext w:val="0"/>
              <w:keepLines w:val="0"/>
              <w:pageBreakBefore w:val="0"/>
              <w:widowControl/>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noWrap/>
            <w:vAlign w:val="center"/>
          </w:tcPr>
          <w:p w14:paraId="7266B284">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noWrap/>
            <w:vAlign w:val="center"/>
          </w:tcPr>
          <w:p w14:paraId="5F434287">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实践教学</w:t>
            </w:r>
          </w:p>
        </w:tc>
      </w:tr>
      <w:tr w14:paraId="1492B5D7">
        <w:tblPrEx>
          <w:tblCellMar>
            <w:top w:w="0" w:type="dxa"/>
            <w:left w:w="108" w:type="dxa"/>
            <w:bottom w:w="0" w:type="dxa"/>
            <w:right w:w="108" w:type="dxa"/>
          </w:tblCellMar>
        </w:tblPrEx>
        <w:trPr>
          <w:trHeight w:val="770" w:hRule="atLeast"/>
          <w:jc w:val="center"/>
        </w:trPr>
        <w:tc>
          <w:tcPr>
            <w:tcW w:w="2952"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6732E4A5">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909" w:type="dxa"/>
            <w:vMerge w:val="continue"/>
            <w:tcBorders>
              <w:top w:val="single" w:color="000000" w:sz="4" w:space="0"/>
              <w:left w:val="single" w:color="000000" w:sz="4" w:space="0"/>
              <w:bottom w:val="single" w:color="000000" w:sz="4" w:space="0"/>
              <w:right w:val="single" w:color="000000" w:sz="4" w:space="0"/>
            </w:tcBorders>
            <w:vAlign w:val="center"/>
          </w:tcPr>
          <w:p w14:paraId="68F36C56">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4D45EDEA">
            <w:pPr>
              <w:keepNext w:val="0"/>
              <w:keepLines w:val="0"/>
              <w:pageBreakBefore w:val="0"/>
              <w:widowControl/>
              <w:kinsoku/>
              <w:wordWrap/>
              <w:overflowPunct/>
              <w:topLinePunct w:val="0"/>
              <w:autoSpaceDE/>
              <w:autoSpaceDN/>
              <w:bidi w:val="0"/>
              <w:adjustRightInd/>
              <w:snapToGrid/>
              <w:spacing w:after="0" w:line="320" w:lineRule="atLeast"/>
              <w:rPr>
                <w:rFonts w:hint="eastAsia" w:ascii="Times New Roman" w:hAnsi="Times New Roman" w:eastAsia="仿宋_GB2312" w:cs="仿宋_GB2312"/>
                <w:color w:val="000000"/>
                <w:sz w:val="24"/>
                <w:highlight w:val="none"/>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0183BE87">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896" w:type="dxa"/>
            <w:vMerge w:val="continue"/>
            <w:tcBorders>
              <w:top w:val="single" w:color="000000" w:sz="4" w:space="0"/>
              <w:left w:val="single" w:color="000000" w:sz="4" w:space="0"/>
              <w:bottom w:val="single" w:color="000000" w:sz="4" w:space="0"/>
              <w:right w:val="single" w:color="000000" w:sz="4" w:space="0"/>
            </w:tcBorders>
            <w:noWrap/>
            <w:vAlign w:val="center"/>
          </w:tcPr>
          <w:p w14:paraId="0A7AB4D5">
            <w:pPr>
              <w:keepNext w:val="0"/>
              <w:keepLines w:val="0"/>
              <w:pageBreakBefore w:val="0"/>
              <w:widowControl/>
              <w:kinsoku/>
              <w:wordWrap/>
              <w:overflowPunct/>
              <w:topLinePunct w:val="0"/>
              <w:autoSpaceDE/>
              <w:autoSpaceDN/>
              <w:bidi w:val="0"/>
              <w:adjustRightInd/>
              <w:snapToGrid/>
              <w:spacing w:after="0" w:line="320" w:lineRule="atLeast"/>
              <w:rPr>
                <w:rFonts w:hint="eastAsia" w:ascii="Times New Roman" w:hAnsi="Times New Roman" w:eastAsia="仿宋_GB2312" w:cs="仿宋_GB2312"/>
                <w:color w:val="000000"/>
                <w:sz w:val="24"/>
                <w:highlight w:val="none"/>
              </w:rPr>
            </w:pP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08E14B67">
            <w:pPr>
              <w:keepNext w:val="0"/>
              <w:keepLines w:val="0"/>
              <w:pageBreakBefore w:val="0"/>
              <w:widowControl/>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学时</w:t>
            </w:r>
          </w:p>
        </w:tc>
        <w:tc>
          <w:tcPr>
            <w:tcW w:w="1261" w:type="dxa"/>
            <w:tcBorders>
              <w:top w:val="single" w:color="000000" w:sz="4" w:space="0"/>
              <w:left w:val="single" w:color="000000" w:sz="4" w:space="0"/>
              <w:bottom w:val="single" w:color="000000" w:sz="4" w:space="0"/>
              <w:right w:val="single" w:color="000000" w:sz="4" w:space="0"/>
            </w:tcBorders>
            <w:vAlign w:val="center"/>
          </w:tcPr>
          <w:p w14:paraId="4B9E6D74">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BB8DCA2">
            <w:pPr>
              <w:keepNext w:val="0"/>
              <w:keepLines w:val="0"/>
              <w:pageBreakBefore w:val="0"/>
              <w:widowControl/>
              <w:kinsoku/>
              <w:wordWrap/>
              <w:overflowPunct/>
              <w:topLinePunct w:val="0"/>
              <w:autoSpaceDE/>
              <w:autoSpaceDN/>
              <w:bidi w:val="0"/>
              <w:adjustRightInd/>
              <w:snapToGrid/>
              <w:spacing w:after="0" w:line="320" w:lineRule="atLeast"/>
              <w:jc w:val="left"/>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学时</w:t>
            </w:r>
          </w:p>
        </w:tc>
        <w:tc>
          <w:tcPr>
            <w:tcW w:w="1264" w:type="dxa"/>
            <w:tcBorders>
              <w:top w:val="single" w:color="000000" w:sz="4" w:space="0"/>
              <w:left w:val="single" w:color="000000" w:sz="4" w:space="0"/>
              <w:bottom w:val="single" w:color="000000" w:sz="4" w:space="0"/>
              <w:right w:val="single" w:color="000000" w:sz="4" w:space="0"/>
            </w:tcBorders>
            <w:vAlign w:val="center"/>
          </w:tcPr>
          <w:p w14:paraId="6C45E1A8">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占专业总学时比例（%）</w:t>
            </w:r>
          </w:p>
        </w:tc>
      </w:tr>
      <w:tr w14:paraId="1EC1286E">
        <w:tblPrEx>
          <w:tblCellMar>
            <w:top w:w="0" w:type="dxa"/>
            <w:left w:w="108" w:type="dxa"/>
            <w:bottom w:w="0" w:type="dxa"/>
            <w:right w:w="108" w:type="dxa"/>
          </w:tblCellMar>
        </w:tblPrEx>
        <w:trPr>
          <w:trHeight w:val="240" w:hRule="atLeast"/>
          <w:jc w:val="center"/>
        </w:trPr>
        <w:tc>
          <w:tcPr>
            <w:tcW w:w="2952"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22A0E82F">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公共基础课</w:t>
            </w: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088268A0">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00B226A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2423697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31.21%</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910FF7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8CF428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vAlign w:val="center"/>
          </w:tcPr>
          <w:p w14:paraId="39F4E2A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16.80%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B57261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4CB713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14.32%</w:t>
            </w:r>
          </w:p>
        </w:tc>
      </w:tr>
      <w:tr w14:paraId="0C0A7507">
        <w:tblPrEx>
          <w:tblCellMar>
            <w:top w:w="0" w:type="dxa"/>
            <w:left w:w="108" w:type="dxa"/>
            <w:bottom w:w="0" w:type="dxa"/>
            <w:right w:w="108" w:type="dxa"/>
          </w:tblCellMar>
        </w:tblPrEx>
        <w:trPr>
          <w:trHeight w:val="240" w:hRule="atLeast"/>
          <w:jc w:val="center"/>
        </w:trPr>
        <w:tc>
          <w:tcPr>
            <w:tcW w:w="2952"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752C7DCB">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6D06A31E">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26B8FDF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6676A62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A7297D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7F6496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vAlign w:val="center"/>
          </w:tcPr>
          <w:p w14:paraId="033D81A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0459AA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40F240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1.81%</w:t>
            </w:r>
          </w:p>
        </w:tc>
      </w:tr>
      <w:tr w14:paraId="3AE8A59D">
        <w:tblPrEx>
          <w:tblCellMar>
            <w:top w:w="0" w:type="dxa"/>
            <w:left w:w="108" w:type="dxa"/>
            <w:bottom w:w="0" w:type="dxa"/>
            <w:right w:w="108" w:type="dxa"/>
          </w:tblCellMar>
        </w:tblPrEx>
        <w:trPr>
          <w:trHeight w:val="240" w:hRule="atLeast"/>
          <w:jc w:val="center"/>
        </w:trPr>
        <w:tc>
          <w:tcPr>
            <w:tcW w:w="2952"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66E1FCDF">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0BBB1772">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9EF21E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142C5E6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36.88%</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5064AB9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232265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vAlign w:val="center"/>
          </w:tcPr>
          <w:p w14:paraId="007CD1E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19.82%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1F5346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10CB92C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16.13%</w:t>
            </w:r>
          </w:p>
        </w:tc>
      </w:tr>
      <w:tr w14:paraId="602CEF70">
        <w:tblPrEx>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vAlign w:val="center"/>
          </w:tcPr>
          <w:p w14:paraId="4C19E550">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专业课</w:t>
            </w:r>
          </w:p>
        </w:tc>
        <w:tc>
          <w:tcPr>
            <w:tcW w:w="1931" w:type="dxa"/>
            <w:tcBorders>
              <w:top w:val="single" w:color="000000" w:sz="4" w:space="0"/>
              <w:left w:val="single" w:color="000000" w:sz="4" w:space="0"/>
              <w:bottom w:val="single" w:color="000000" w:sz="4" w:space="0"/>
              <w:right w:val="single" w:color="000000" w:sz="4" w:space="0"/>
            </w:tcBorders>
            <w:vAlign w:val="center"/>
          </w:tcPr>
          <w:p w14:paraId="56CD0088">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专业基础课</w:t>
            </w: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011CB5DF">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1578D2C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24</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76DFDC4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17.02%</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80E221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432</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73F56C4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224</w:t>
            </w:r>
          </w:p>
        </w:tc>
        <w:tc>
          <w:tcPr>
            <w:tcW w:w="1261" w:type="dxa"/>
            <w:tcBorders>
              <w:top w:val="single" w:color="000000" w:sz="4" w:space="0"/>
              <w:left w:val="single" w:color="000000" w:sz="4" w:space="0"/>
              <w:bottom w:val="single" w:color="000000" w:sz="4" w:space="0"/>
              <w:right w:val="single" w:color="000000" w:sz="4" w:space="0"/>
            </w:tcBorders>
            <w:vAlign w:val="center"/>
          </w:tcPr>
          <w:p w14:paraId="075A48A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8.44%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C7D4F2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06F85A2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7.84%</w:t>
            </w:r>
          </w:p>
        </w:tc>
      </w:tr>
      <w:tr w14:paraId="44DD4EF6">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7120F502">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1931" w:type="dxa"/>
            <w:tcBorders>
              <w:top w:val="single" w:color="000000" w:sz="4" w:space="0"/>
              <w:left w:val="single" w:color="000000" w:sz="4" w:space="0"/>
              <w:bottom w:val="single" w:color="000000" w:sz="4" w:space="0"/>
              <w:right w:val="single" w:color="000000" w:sz="4" w:space="0"/>
            </w:tcBorders>
            <w:vAlign w:val="center"/>
          </w:tcPr>
          <w:p w14:paraId="1AAB05B4">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专业核心课</w:t>
            </w: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0C91CDD1">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EA97FC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2BDEF1E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21.28%</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E7DFA3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540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949B8D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300</w:t>
            </w:r>
          </w:p>
        </w:tc>
        <w:tc>
          <w:tcPr>
            <w:tcW w:w="1261" w:type="dxa"/>
            <w:tcBorders>
              <w:top w:val="single" w:color="000000" w:sz="4" w:space="0"/>
              <w:left w:val="single" w:color="000000" w:sz="4" w:space="0"/>
              <w:bottom w:val="single" w:color="000000" w:sz="4" w:space="0"/>
              <w:right w:val="single" w:color="000000" w:sz="4" w:space="0"/>
            </w:tcBorders>
            <w:vAlign w:val="center"/>
          </w:tcPr>
          <w:p w14:paraId="3CB00A7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11.30%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07CCEA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240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027B346">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9.04%</w:t>
            </w:r>
          </w:p>
        </w:tc>
      </w:tr>
      <w:tr w14:paraId="7C9204D0">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4E7CB830">
            <w:pPr>
              <w:keepNext w:val="0"/>
              <w:keepLines w:val="0"/>
              <w:pageBreakBefore w:val="0"/>
              <w:widowControl/>
              <w:kinsoku/>
              <w:wordWrap/>
              <w:overflowPunct/>
              <w:topLinePunct w:val="0"/>
              <w:autoSpaceDE/>
              <w:autoSpaceDN/>
              <w:bidi w:val="0"/>
              <w:adjustRightInd/>
              <w:snapToGrid/>
              <w:spacing w:after="0" w:line="320" w:lineRule="atLeast"/>
              <w:jc w:val="center"/>
              <w:rPr>
                <w:rFonts w:hint="eastAsia" w:ascii="Times New Roman" w:hAnsi="Times New Roman" w:eastAsia="仿宋_GB2312" w:cs="仿宋_GB2312"/>
                <w:color w:val="000000"/>
                <w:sz w:val="24"/>
                <w:highlight w:val="none"/>
              </w:rPr>
            </w:pPr>
          </w:p>
        </w:tc>
        <w:tc>
          <w:tcPr>
            <w:tcW w:w="1931" w:type="dxa"/>
            <w:tcBorders>
              <w:top w:val="single" w:color="000000" w:sz="4" w:space="0"/>
              <w:left w:val="single" w:color="000000" w:sz="4" w:space="0"/>
              <w:bottom w:val="single" w:color="000000" w:sz="4" w:space="0"/>
              <w:right w:val="single" w:color="000000" w:sz="4" w:space="0"/>
            </w:tcBorders>
            <w:vAlign w:val="center"/>
          </w:tcPr>
          <w:p w14:paraId="5D6BEF0A">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专业拓展课</w:t>
            </w:r>
          </w:p>
        </w:tc>
        <w:tc>
          <w:tcPr>
            <w:tcW w:w="909" w:type="dxa"/>
            <w:tcBorders>
              <w:top w:val="single" w:color="000000" w:sz="4" w:space="0"/>
              <w:left w:val="single" w:color="000000" w:sz="4" w:space="0"/>
              <w:bottom w:val="single" w:color="000000" w:sz="4" w:space="0"/>
              <w:right w:val="single" w:color="000000" w:sz="4" w:space="0"/>
            </w:tcBorders>
            <w:noWrap/>
            <w:vAlign w:val="center"/>
          </w:tcPr>
          <w:p w14:paraId="49F78A64">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4B4537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5133EF6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106FDB0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C8FA74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144</w:t>
            </w:r>
          </w:p>
        </w:tc>
        <w:tc>
          <w:tcPr>
            <w:tcW w:w="1261" w:type="dxa"/>
            <w:tcBorders>
              <w:top w:val="single" w:color="000000" w:sz="4" w:space="0"/>
              <w:left w:val="single" w:color="000000" w:sz="4" w:space="0"/>
              <w:bottom w:val="single" w:color="000000" w:sz="4" w:space="0"/>
              <w:right w:val="single" w:color="000000" w:sz="4" w:space="0"/>
            </w:tcBorders>
            <w:vAlign w:val="center"/>
          </w:tcPr>
          <w:p w14:paraId="3B0E4A6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5.43%</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0BAA1D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6479E5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0.00%</w:t>
            </w:r>
          </w:p>
        </w:tc>
      </w:tr>
      <w:tr w14:paraId="228B38EB">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0445F750">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kern w:val="0"/>
                <w:sz w:val="24"/>
                <w:highlight w:val="none"/>
                <w:lang w:bidi="ar"/>
              </w:rPr>
            </w:pPr>
          </w:p>
        </w:tc>
        <w:tc>
          <w:tcPr>
            <w:tcW w:w="1931" w:type="dxa"/>
            <w:tcBorders>
              <w:top w:val="single" w:color="000000" w:sz="4" w:space="0"/>
              <w:left w:val="single" w:color="000000" w:sz="4" w:space="0"/>
              <w:bottom w:val="single" w:color="000000" w:sz="4" w:space="0"/>
              <w:right w:val="single" w:color="000000" w:sz="4" w:space="0"/>
            </w:tcBorders>
            <w:vAlign w:val="center"/>
          </w:tcPr>
          <w:p w14:paraId="00404282">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sz w:val="24"/>
                <w:highlight w:val="none"/>
              </w:rPr>
              <w:t>实践</w:t>
            </w:r>
            <w:r>
              <w:rPr>
                <w:rFonts w:hint="eastAsia" w:ascii="Times New Roman" w:hAnsi="Times New Roman" w:eastAsia="仿宋_GB2312" w:cs="仿宋_GB2312"/>
                <w:color w:val="000000"/>
                <w:sz w:val="24"/>
                <w:highlight w:val="none"/>
                <w:lang w:val="en-US" w:eastAsia="zh-CN"/>
              </w:rPr>
              <w:t>性</w:t>
            </w:r>
            <w:r>
              <w:rPr>
                <w:rFonts w:hint="eastAsia" w:ascii="Times New Roman" w:hAnsi="Times New Roman" w:eastAsia="仿宋_GB2312" w:cs="仿宋_GB2312"/>
                <w:color w:val="000000"/>
                <w:sz w:val="24"/>
                <w:highlight w:val="none"/>
              </w:rPr>
              <w:t>教学环节</w:t>
            </w:r>
          </w:p>
        </w:tc>
        <w:tc>
          <w:tcPr>
            <w:tcW w:w="909" w:type="dxa"/>
            <w:tcBorders>
              <w:top w:val="single" w:color="000000" w:sz="4" w:space="0"/>
              <w:left w:val="single" w:color="000000" w:sz="4" w:space="0"/>
              <w:bottom w:val="single" w:color="000000" w:sz="4" w:space="0"/>
              <w:right w:val="single" w:color="000000" w:sz="4" w:space="0"/>
            </w:tcBorders>
            <w:vAlign w:val="center"/>
          </w:tcPr>
          <w:p w14:paraId="04BF8921">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kern w:val="0"/>
                <w:sz w:val="24"/>
                <w:highlight w:val="none"/>
                <w:lang w:bidi="ar"/>
              </w:rPr>
            </w:pPr>
            <w:r>
              <w:rPr>
                <w:rFonts w:hint="eastAsia" w:ascii="Times New Roman" w:hAnsi="Times New Roman" w:eastAsia="仿宋_GB2312" w:cs="仿宋_GB2312"/>
                <w:color w:val="000000"/>
                <w:kern w:val="0"/>
                <w:sz w:val="24"/>
                <w:highlight w:val="none"/>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2DEE753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6D9F33A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19.15%</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B794E8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584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CBD05F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vAlign w:val="center"/>
          </w:tcPr>
          <w:p w14:paraId="6231200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63F73F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564</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0EECB9A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21.25%</w:t>
            </w:r>
          </w:p>
        </w:tc>
      </w:tr>
      <w:tr w14:paraId="44B168A3">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vAlign w:val="center"/>
          </w:tcPr>
          <w:p w14:paraId="34C3BA8E">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kern w:val="0"/>
                <w:sz w:val="24"/>
                <w:highlight w:val="none"/>
                <w:lang w:bidi="ar"/>
              </w:rPr>
            </w:pP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14:paraId="571511BE">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kern w:val="0"/>
                <w:sz w:val="24"/>
                <w:highlight w:val="none"/>
                <w:lang w:bidi="ar"/>
              </w:rPr>
            </w:pPr>
            <w:r>
              <w:rPr>
                <w:rFonts w:hint="eastAsia" w:ascii="Times New Roman" w:hAnsi="Times New Roman" w:eastAsia="仿宋_GB2312" w:cs="仿宋_GB2312"/>
                <w:color w:val="000000"/>
                <w:kern w:val="0"/>
                <w:sz w:val="24"/>
                <w:highlight w:val="none"/>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20CCDA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89</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58003BE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63.12%</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8369CD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1700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AFB89F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688</w:t>
            </w:r>
          </w:p>
        </w:tc>
        <w:tc>
          <w:tcPr>
            <w:tcW w:w="1261" w:type="dxa"/>
            <w:tcBorders>
              <w:top w:val="single" w:color="000000" w:sz="4" w:space="0"/>
              <w:left w:val="single" w:color="000000" w:sz="4" w:space="0"/>
              <w:bottom w:val="single" w:color="000000" w:sz="4" w:space="0"/>
              <w:right w:val="single" w:color="000000" w:sz="4" w:space="0"/>
            </w:tcBorders>
            <w:vAlign w:val="center"/>
          </w:tcPr>
          <w:p w14:paraId="1EFC611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25.92%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BBE9CB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1012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753D0F3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38.13%</w:t>
            </w:r>
          </w:p>
        </w:tc>
      </w:tr>
      <w:tr w14:paraId="5C79285C">
        <w:tblPrEx>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noWrap/>
            <w:vAlign w:val="center"/>
          </w:tcPr>
          <w:p w14:paraId="5B4ADB20">
            <w:pPr>
              <w:keepNext w:val="0"/>
              <w:keepLines w:val="0"/>
              <w:pageBreakBefore w:val="0"/>
              <w:widowControl/>
              <w:kinsoku/>
              <w:wordWrap/>
              <w:overflowPunct/>
              <w:topLinePunct w:val="0"/>
              <w:autoSpaceDE/>
              <w:autoSpaceDN/>
              <w:bidi w:val="0"/>
              <w:adjustRightInd/>
              <w:snapToGrid/>
              <w:spacing w:after="0" w:line="320" w:lineRule="atLeast"/>
              <w:jc w:val="center"/>
              <w:textAlignment w:val="center"/>
              <w:rPr>
                <w:rFonts w:hint="eastAsia" w:ascii="Times New Roman" w:hAnsi="Times New Roman" w:eastAsia="仿宋_GB2312" w:cs="仿宋_GB2312"/>
                <w:color w:val="000000"/>
                <w:sz w:val="24"/>
                <w:highlight w:val="none"/>
              </w:rPr>
            </w:pPr>
            <w:r>
              <w:rPr>
                <w:rFonts w:hint="eastAsia" w:ascii="Times New Roman" w:hAnsi="Times New Roman" w:eastAsia="仿宋_GB2312" w:cs="仿宋_GB2312"/>
                <w:color w:val="000000"/>
                <w:kern w:val="0"/>
                <w:sz w:val="24"/>
                <w:highlight w:val="none"/>
                <w:lang w:bidi="ar"/>
              </w:rPr>
              <w:t>合计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23D166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141</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3D47EAA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3CDFE3D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2654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7BB9E48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1214</w:t>
            </w:r>
          </w:p>
        </w:tc>
        <w:tc>
          <w:tcPr>
            <w:tcW w:w="1261" w:type="dxa"/>
            <w:tcBorders>
              <w:top w:val="single" w:color="000000" w:sz="4" w:space="0"/>
              <w:left w:val="single" w:color="000000" w:sz="4" w:space="0"/>
              <w:bottom w:val="single" w:color="000000" w:sz="4" w:space="0"/>
              <w:right w:val="single" w:color="000000" w:sz="4" w:space="0"/>
            </w:tcBorders>
            <w:vAlign w:val="center"/>
          </w:tcPr>
          <w:p w14:paraId="59D5886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45.74%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898F52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1440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1DC6933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54.26%</w:t>
            </w:r>
          </w:p>
        </w:tc>
      </w:tr>
    </w:tbl>
    <w:p w14:paraId="52018F5D">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lang w:val="en-US" w:eastAsia="zh-CN"/>
        </w:rPr>
        <w:t>三</w:t>
      </w:r>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rPr>
        <w:t>教学计划进程</w:t>
      </w:r>
      <w:bookmarkEnd w:id="29"/>
    </w:p>
    <w:p w14:paraId="6ECD5CF3">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Times New Roman" w:hAnsi="Times New Roman" w:eastAsia="楷体" w:cs="楷体"/>
          <w:color w:val="auto"/>
          <w:sz w:val="32"/>
          <w:szCs w:val="32"/>
          <w:highlight w:val="none"/>
        </w:rPr>
      </w:pPr>
      <w:r>
        <w:rPr>
          <w:rFonts w:hint="eastAsia" w:ascii="Times New Roman" w:hAnsi="Times New Roman" w:eastAsia="仿宋_GB2312" w:cs="仿宋_GB2312"/>
          <w:color w:val="auto"/>
          <w:sz w:val="32"/>
          <w:szCs w:val="32"/>
          <w:highlight w:val="none"/>
        </w:rPr>
        <w:t>表</w:t>
      </w:r>
      <w:r>
        <w:rPr>
          <w:rFonts w:hint="eastAsia" w:ascii="Times New Roman" w:hAnsi="Times New Roman" w:eastAsia="仿宋_GB2312" w:cs="仿宋_GB2312"/>
          <w:color w:val="auto"/>
          <w:sz w:val="32"/>
          <w:szCs w:val="32"/>
          <w:highlight w:val="none"/>
          <w:lang w:val="en-US" w:eastAsia="zh-CN"/>
        </w:rPr>
        <w:t xml:space="preserve">10 </w:t>
      </w:r>
      <w:r>
        <w:rPr>
          <w:rFonts w:hint="eastAsia" w:ascii="Times New Roman" w:hAnsi="Times New Roman" w:eastAsia="仿宋_GB2312" w:cs="仿宋_GB2312"/>
          <w:color w:val="auto"/>
          <w:sz w:val="32"/>
          <w:szCs w:val="32"/>
          <w:highlight w:val="none"/>
          <w:shd w:val="clear" w:color="auto" w:fill="FFFFFF"/>
          <w:lang w:bidi="ar"/>
        </w:rPr>
        <w:t>教学计划进程安排表</w:t>
      </w:r>
    </w:p>
    <w:tbl>
      <w:tblPr>
        <w:tblStyle w:val="11"/>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720"/>
        <w:gridCol w:w="1302"/>
        <w:gridCol w:w="1909"/>
        <w:gridCol w:w="741"/>
        <w:gridCol w:w="688"/>
        <w:gridCol w:w="688"/>
        <w:gridCol w:w="688"/>
        <w:gridCol w:w="354"/>
        <w:gridCol w:w="354"/>
        <w:gridCol w:w="354"/>
        <w:gridCol w:w="269"/>
        <w:gridCol w:w="439"/>
        <w:gridCol w:w="1"/>
        <w:gridCol w:w="355"/>
        <w:gridCol w:w="633"/>
      </w:tblGrid>
      <w:tr w14:paraId="7D4D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826CF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auto"/>
                <w:sz w:val="18"/>
                <w:szCs w:val="18"/>
                <w:highlight w:val="none"/>
                <w:u w:val="none"/>
              </w:rPr>
            </w:pPr>
            <w:bookmarkStart w:id="30" w:name="OLE_LINK3"/>
            <w:bookmarkStart w:id="31" w:name="_Toc7045"/>
            <w:r>
              <w:rPr>
                <w:rFonts w:hint="eastAsia" w:ascii="Times New Roman" w:hAnsi="Times New Roman" w:eastAsia="仿宋_GB2312" w:cs="仿宋_GB2312"/>
                <w:i w:val="0"/>
                <w:color w:val="auto"/>
                <w:kern w:val="0"/>
                <w:sz w:val="18"/>
                <w:szCs w:val="18"/>
                <w:highlight w:val="none"/>
                <w:u w:val="none"/>
                <w:lang w:val="en-US" w:eastAsia="zh-CN" w:bidi="ar"/>
              </w:rPr>
              <w:t>课程类型</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AAC1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序号</w:t>
            </w:r>
          </w:p>
        </w:tc>
        <w:tc>
          <w:tcPr>
            <w:tcW w:w="13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50FAC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课程代码</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9068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课程名称</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B0C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学分</w:t>
            </w:r>
          </w:p>
        </w:tc>
        <w:tc>
          <w:tcPr>
            <w:tcW w:w="20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EE8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教学学时数</w:t>
            </w:r>
          </w:p>
        </w:tc>
        <w:tc>
          <w:tcPr>
            <w:tcW w:w="21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46B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DA0E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考核类型</w:t>
            </w:r>
          </w:p>
        </w:tc>
      </w:tr>
      <w:tr w14:paraId="55D52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0F432">
            <w:pPr>
              <w:keepNext w:val="0"/>
              <w:keepLines w:val="0"/>
              <w:pageBreakBefore w:val="0"/>
              <w:widowControl/>
              <w:kinsoku/>
              <w:wordWrap/>
              <w:overflowPunct/>
              <w:topLinePunct w:val="0"/>
              <w:autoSpaceDE/>
              <w:autoSpaceDN/>
              <w:bidi w:val="0"/>
              <w:adjustRightInd/>
              <w:snapToGrid/>
              <w:spacing w:after="0" w:line="240" w:lineRule="atLeast"/>
              <w:jc w:val="left"/>
              <w:rPr>
                <w:rFonts w:hint="eastAsia" w:ascii="Times New Roman" w:hAnsi="Times New Roman" w:eastAsia="仿宋_GB2312" w:cs="仿宋_GB2312"/>
                <w:i w:val="0"/>
                <w:iCs w:val="0"/>
                <w:color w:val="auto"/>
                <w:sz w:val="18"/>
                <w:szCs w:val="18"/>
                <w:highlight w:val="none"/>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DF88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FFB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3E1E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48BE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0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0ABD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1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2A1E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EA8A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1DDD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8D9F4">
            <w:pPr>
              <w:keepNext w:val="0"/>
              <w:keepLines w:val="0"/>
              <w:pageBreakBefore w:val="0"/>
              <w:widowControl/>
              <w:kinsoku/>
              <w:wordWrap/>
              <w:overflowPunct/>
              <w:topLinePunct w:val="0"/>
              <w:autoSpaceDE/>
              <w:autoSpaceDN/>
              <w:bidi w:val="0"/>
              <w:adjustRightInd/>
              <w:snapToGrid/>
              <w:spacing w:after="0" w:line="240" w:lineRule="atLeast"/>
              <w:jc w:val="left"/>
              <w:rPr>
                <w:rFonts w:hint="eastAsia" w:ascii="Times New Roman" w:hAnsi="Times New Roman" w:eastAsia="仿宋_GB2312" w:cs="仿宋_GB2312"/>
                <w:i w:val="0"/>
                <w:iCs w:val="0"/>
                <w:color w:val="auto"/>
                <w:sz w:val="18"/>
                <w:szCs w:val="18"/>
                <w:highlight w:val="none"/>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B5B5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EBD5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3E9F0">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C5E9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36C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合计</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D4AB">
            <w:pPr>
              <w:keepNext w:val="0"/>
              <w:keepLines w:val="0"/>
              <w:pageBreakBefore w:val="0"/>
              <w:widowControl/>
              <w:suppressLineNumbers w:val="0"/>
              <w:kinsoku/>
              <w:wordWrap/>
              <w:overflowPunct/>
              <w:topLinePunct w:val="0"/>
              <w:autoSpaceDE/>
              <w:autoSpaceDN/>
              <w:bidi w:val="0"/>
              <w:adjustRightInd/>
              <w:snapToGrid/>
              <w:spacing w:after="0" w:line="20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理论学时</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62E8">
            <w:pPr>
              <w:keepNext w:val="0"/>
              <w:keepLines w:val="0"/>
              <w:pageBreakBefore w:val="0"/>
              <w:widowControl/>
              <w:suppressLineNumbers w:val="0"/>
              <w:kinsoku/>
              <w:wordWrap/>
              <w:overflowPunct/>
              <w:topLinePunct w:val="0"/>
              <w:autoSpaceDE/>
              <w:autoSpaceDN/>
              <w:bidi w:val="0"/>
              <w:adjustRightInd/>
              <w:snapToGrid/>
              <w:spacing w:after="0" w:line="20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5746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4B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195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三</w:t>
            </w: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93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四</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D87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五</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323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5A4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7B2A9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397D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68DD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1D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9BAD">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iCs w:val="0"/>
                <w:color w:val="auto"/>
                <w:kern w:val="0"/>
                <w:sz w:val="18"/>
                <w:szCs w:val="18"/>
                <w:u w:val="none"/>
                <w:lang w:val="en-US" w:eastAsia="zh-CN" w:bidi="ar"/>
              </w:rPr>
              <w:t>1B410101101</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B3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spacing w:val="-17"/>
                <w:kern w:val="0"/>
                <w:sz w:val="18"/>
                <w:szCs w:val="18"/>
                <w:highlight w:val="none"/>
                <w:u w:val="none"/>
                <w:lang w:val="en-US" w:eastAsia="zh-CN" w:bidi="ar"/>
              </w:rPr>
              <w:t>思想道德与法治</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313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B53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906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722A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500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43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B84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E38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95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0F3C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3FE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16B0C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74B5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DF79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AD8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476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1A410101102</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366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shd w:val="clear" w:color="auto" w:fill="auto"/>
                <w:lang w:val="en-US" w:eastAsia="zh-CN" w:bidi="ar"/>
              </w:rPr>
              <w:t>形势与政策</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2E5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AAD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F8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2EB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8D0E6C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BA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0B037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43338">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D4FB6">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E6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D81B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1A410101103</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A41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国家安全教育</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A29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9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C9D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FA7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82E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42EF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F74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246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35E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7D99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1E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6F9B5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8B00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5A81F">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8C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405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1A410101104</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C9A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军事理论</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92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07E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953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2D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9A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5DA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21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AA0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D64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1C9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1D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1469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D6CA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8C8C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78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iCs w:val="0"/>
                <w:color w:val="auto"/>
                <w:sz w:val="18"/>
                <w:szCs w:val="18"/>
                <w:highlight w:val="none"/>
                <w:u w:val="none"/>
                <w:lang w:val="en-US" w:eastAsia="zh-CN"/>
              </w:rPr>
              <w:t>5</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63B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1C410101105</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1A3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军训</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D26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2715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DF2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A5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112</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7A16BA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C6E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2347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5C3CD">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3135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0F9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6</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0376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1B410101106</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79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计算机基础</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F9E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405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BD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BF2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C86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806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48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20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CEB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12A5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B755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F8A6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17A0D">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A524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8EB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7</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C39A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1B410101107</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4C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高等数学</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FFE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F0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0D0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764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44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16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DFB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FB5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F22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D32E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666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4BB2A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EBD6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42FB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63D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4AB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1B410101108</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095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大学英语</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C0B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D4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9D8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104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68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74B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7DD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A2F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4A8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B760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44C2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42F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5B55C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52C9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2F88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D5A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9</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789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highlight w:val="none"/>
                <w:u w:val="none"/>
                <w:lang w:val="en-US" w:eastAsia="zh-CN" w:bidi="ar"/>
              </w:rPr>
              <w:t>1C410101109</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670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大学体育</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BC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F69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3AF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B6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2B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D75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D5A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DB6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FA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F4A4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E5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26EC5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3F1A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175A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308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10</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6CE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1B410101110</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51A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大学生职业发展与就业指导</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C8B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DEA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CE3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E7F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61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7AB2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20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944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52F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495B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C4C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FB4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2"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6F9E7">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883E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E6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11</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EFC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1B410101111</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8F7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大学生心理健康教育</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287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DD6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C61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EF9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203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66A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DE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AB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241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83AD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B2E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1A9B1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C19F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A38C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358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1AE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1C410101112</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2CA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劳动教育</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6E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B3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0B2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5F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05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678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nil"/>
              <w:left w:val="nil"/>
              <w:bottom w:val="nil"/>
              <w:right w:val="nil"/>
            </w:tcBorders>
            <w:shd w:val="clear" w:color="auto" w:fill="auto"/>
            <w:noWrap/>
            <w:vAlign w:val="center"/>
          </w:tcPr>
          <w:p w14:paraId="08980F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18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2F6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AF14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039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3252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BA0E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E0ED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AD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13</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D64B">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1B410101113</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474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21"/>
                <w:sz w:val="18"/>
                <w:szCs w:val="18"/>
                <w:highlight w:val="none"/>
                <w:u w:val="none"/>
                <w:lang w:val="en-US" w:eastAsia="zh-CN" w:bidi="ar"/>
              </w:rPr>
              <w:t>毛泽东思想和中国特色社会主义理论体系概论</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FF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A99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F77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28</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BA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A2F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633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DB8B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7F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FCB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559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106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77664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4BDF">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69CE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0B0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14</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4378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1B410101114</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48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创新创业教育</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77E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FB26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C0B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BF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ECE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78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nil"/>
              <w:left w:val="nil"/>
              <w:bottom w:val="nil"/>
              <w:right w:val="nil"/>
            </w:tcBorders>
            <w:shd w:val="clear" w:color="auto" w:fill="auto"/>
            <w:noWrap/>
            <w:vAlign w:val="center"/>
          </w:tcPr>
          <w:p w14:paraId="204CA4B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97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42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A7A9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9DC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2B80E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BDB3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B049E6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000000" w:sz="4" w:space="0"/>
              <w:left w:val="single" w:color="000000" w:sz="4" w:space="0"/>
              <w:bottom w:val="single" w:color="auto" w:sz="4" w:space="0"/>
              <w:right w:val="single" w:color="000000" w:sz="4" w:space="0"/>
            </w:tcBorders>
            <w:shd w:val="clear" w:color="auto" w:fill="auto"/>
            <w:vAlign w:val="center"/>
          </w:tcPr>
          <w:p w14:paraId="2C56CC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15</w:t>
            </w:r>
          </w:p>
        </w:tc>
        <w:tc>
          <w:tcPr>
            <w:tcW w:w="1302" w:type="dxa"/>
            <w:tcBorders>
              <w:top w:val="single" w:color="000000" w:sz="4" w:space="0"/>
              <w:left w:val="single" w:color="000000" w:sz="4" w:space="0"/>
              <w:bottom w:val="single" w:color="auto" w:sz="4" w:space="0"/>
              <w:right w:val="single" w:color="000000" w:sz="4" w:space="0"/>
            </w:tcBorders>
            <w:shd w:val="clear" w:color="auto" w:fill="auto"/>
            <w:vAlign w:val="center"/>
          </w:tcPr>
          <w:p w14:paraId="5E890B2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1B410101115</w:t>
            </w:r>
          </w:p>
        </w:tc>
        <w:tc>
          <w:tcPr>
            <w:tcW w:w="1909" w:type="dxa"/>
            <w:tcBorders>
              <w:top w:val="single" w:color="000000" w:sz="4" w:space="0"/>
              <w:left w:val="single" w:color="000000" w:sz="4" w:space="0"/>
              <w:bottom w:val="single" w:color="auto" w:sz="4" w:space="0"/>
              <w:right w:val="single" w:color="000000" w:sz="4" w:space="0"/>
            </w:tcBorders>
            <w:shd w:val="clear" w:color="auto" w:fill="auto"/>
            <w:vAlign w:val="center"/>
          </w:tcPr>
          <w:p w14:paraId="59CA758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21"/>
                <w:sz w:val="18"/>
                <w:szCs w:val="18"/>
                <w:highlight w:val="none"/>
                <w:u w:val="none"/>
                <w:lang w:val="en-US" w:eastAsia="zh-CN" w:bidi="ar"/>
              </w:rPr>
              <w:t>习近平新时代中国特色社会主义思想概论</w:t>
            </w:r>
          </w:p>
        </w:tc>
        <w:tc>
          <w:tcPr>
            <w:tcW w:w="741" w:type="dxa"/>
            <w:tcBorders>
              <w:top w:val="single" w:color="000000" w:sz="4" w:space="0"/>
              <w:left w:val="single" w:color="000000" w:sz="4" w:space="0"/>
              <w:bottom w:val="single" w:color="auto" w:sz="4" w:space="0"/>
              <w:right w:val="single" w:color="000000" w:sz="4" w:space="0"/>
            </w:tcBorders>
            <w:shd w:val="clear" w:color="auto" w:fill="auto"/>
            <w:vAlign w:val="center"/>
          </w:tcPr>
          <w:p w14:paraId="0FA1BEF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45AA69E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eastAsia="仿宋_GB2312" w:cs="仿宋_GB2312"/>
                <w:i w:val="0"/>
                <w:color w:val="auto"/>
                <w:kern w:val="0"/>
                <w:sz w:val="18"/>
                <w:szCs w:val="18"/>
                <w:highlight w:val="none"/>
                <w:u w:val="none"/>
                <w:lang w:val="en-US" w:eastAsia="zh-CN" w:bidi="ar"/>
              </w:rPr>
              <w:t>48</w:t>
            </w:r>
          </w:p>
        </w:tc>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4D15EF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kern w:val="0"/>
                <w:sz w:val="18"/>
                <w:szCs w:val="18"/>
                <w:highlight w:val="none"/>
                <w:u w:val="none"/>
                <w:lang w:val="en-US" w:eastAsia="zh-CN" w:bidi="ar"/>
              </w:rPr>
            </w:pPr>
            <w:r>
              <w:rPr>
                <w:rFonts w:hint="eastAsia" w:eastAsia="仿宋_GB2312" w:cs="仿宋_GB2312"/>
                <w:i w:val="0"/>
                <w:color w:val="auto"/>
                <w:kern w:val="0"/>
                <w:sz w:val="18"/>
                <w:szCs w:val="18"/>
                <w:highlight w:val="none"/>
                <w:u w:val="none"/>
                <w:lang w:val="en-US" w:eastAsia="zh-CN" w:bidi="ar"/>
              </w:rPr>
              <w:t>40</w:t>
            </w:r>
          </w:p>
        </w:tc>
        <w:tc>
          <w:tcPr>
            <w:tcW w:w="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4B2032C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eastAsia="仿宋_GB2312" w:cs="仿宋_GB2312"/>
                <w:i w:val="0"/>
                <w:color w:val="auto"/>
                <w:kern w:val="0"/>
                <w:sz w:val="18"/>
                <w:szCs w:val="18"/>
                <w:highlight w:val="none"/>
                <w:u w:val="none"/>
                <w:lang w:val="en-US" w:eastAsia="zh-CN" w:bidi="ar"/>
              </w:rPr>
              <w:t>8</w:t>
            </w: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3ED720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7FC2A5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17848A9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859A24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439" w:type="dxa"/>
            <w:tcBorders>
              <w:top w:val="single" w:color="000000" w:sz="4" w:space="0"/>
              <w:left w:val="single" w:color="000000" w:sz="4" w:space="0"/>
              <w:bottom w:val="single" w:color="auto" w:sz="4" w:space="0"/>
              <w:right w:val="single" w:color="000000" w:sz="4" w:space="0"/>
            </w:tcBorders>
            <w:shd w:val="clear" w:color="auto" w:fill="auto"/>
            <w:vAlign w:val="center"/>
          </w:tcPr>
          <w:p w14:paraId="2E2FECB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4C8C1AF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14:paraId="57F1229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64B8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056A44D">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FEB2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选修</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EFDAA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0BB091D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1B410101201</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8C8C3F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中国民俗剪纸技法</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379DE2E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105285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0768AF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85AD13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24</w:t>
            </w:r>
          </w:p>
        </w:tc>
        <w:tc>
          <w:tcPr>
            <w:tcW w:w="2126"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A3B8A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公共选修课最低学分要求为8学分，其中要求2个学分为思政选修课学分。</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FE828A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44F6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7195DF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9F229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1D1AE7E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766D47A6">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1B410101202</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68760F7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影视与鉴赏</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593F48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7658CF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2BB196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6DB947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24</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B501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47FB83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2C82B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500E89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0BA97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E9CFF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11EE64EB">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1A410101203</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2B27AA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中华优秀传统文化</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4E0209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4DB66A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DF884E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B5C766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6FB81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2F887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8A42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8CDD18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1D061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23A67E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0CBC0DDA">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1A410101204</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5BFE3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中国共产党简史</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40A17E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4B722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05E891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14A935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93C6C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9CB386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63E1A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8B5EDB6">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230CC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7F768C8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5</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3C39CB7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1A410101205</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1351FDB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改革开放简史</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1B7E7F5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2187C9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C99661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3E85B7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9254D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DFA99E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7702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C74366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69614D">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56BEAE8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6</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0F3ADD8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1A410101206</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85A6B8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中华人民共和国简史</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5EF97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94B8B2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DFE402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532BE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99F60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4FEE78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13893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734827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BFB32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721095E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7</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2F86594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1A410101207</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477346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社会主义发展简史</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A79F8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47126E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634219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842265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069B6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AD51E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5B082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7D9D36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C4A6D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7A9C1C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74877B7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1A410101208</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88C1B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中华民族共同体概论</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8884F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220455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49BD22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46A76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9AF9C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3F8642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3CA95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647DF3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C7E7B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16A5EE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9</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7DC652E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1A410101210</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220ED4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语文</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BE7B7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4522A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1D7F6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11D79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1C0F7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B34DAD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E8CF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A78A43D">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4842D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C2DD08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10</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145FA5A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1A410101211</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8BE220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物理</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15D579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917D1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15A52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5782F9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0421A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613C88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DD48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351905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4658F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572285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lang w:val="en-US"/>
              </w:rPr>
            </w:pPr>
            <w:r>
              <w:rPr>
                <w:rFonts w:hint="eastAsia" w:ascii="Times New Roman" w:hAnsi="Times New Roman" w:eastAsia="仿宋_GB2312" w:cs="仿宋_GB2312"/>
                <w:i w:val="0"/>
                <w:color w:val="auto"/>
                <w:kern w:val="0"/>
                <w:sz w:val="18"/>
                <w:szCs w:val="18"/>
                <w:highlight w:val="none"/>
                <w:u w:val="none"/>
                <w:lang w:val="en-US" w:eastAsia="zh-CN" w:bidi="ar"/>
              </w:rPr>
              <w:t>11</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41CFA7CB">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1A410101212</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67B716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化学</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A21378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C85F1C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E63083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216AAB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9C95C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712B4E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0EB76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9832548">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4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26CD12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公共必修课程学分、学时小计</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354206E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44</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A3B65C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826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96365B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446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E3DE82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380</w:t>
            </w: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29CE7E4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6A13501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3BE8BED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69" w:type="dxa"/>
            <w:tcBorders>
              <w:top w:val="single" w:color="auto" w:sz="4" w:space="0"/>
              <w:left w:val="single" w:color="auto" w:sz="4" w:space="0"/>
              <w:bottom w:val="single" w:color="auto" w:sz="4" w:space="0"/>
              <w:right w:val="single" w:color="auto" w:sz="4" w:space="0"/>
            </w:tcBorders>
            <w:shd w:val="clear" w:color="auto" w:fill="auto"/>
            <w:vAlign w:val="center"/>
          </w:tcPr>
          <w:p w14:paraId="3801E0D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39" w:type="dxa"/>
            <w:tcBorders>
              <w:top w:val="single" w:color="auto" w:sz="4" w:space="0"/>
              <w:left w:val="single" w:color="auto" w:sz="4" w:space="0"/>
              <w:bottom w:val="single" w:color="auto" w:sz="4" w:space="0"/>
              <w:right w:val="single" w:color="auto" w:sz="4" w:space="0"/>
            </w:tcBorders>
            <w:shd w:val="clear" w:color="auto" w:fill="auto"/>
            <w:vAlign w:val="center"/>
          </w:tcPr>
          <w:p w14:paraId="31A2718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24DD21E">
            <w:pPr>
              <w:keepNext w:val="0"/>
              <w:keepLines w:val="0"/>
              <w:pageBreakBefore w:val="0"/>
              <w:widowControl/>
              <w:kinsoku/>
              <w:wordWrap/>
              <w:overflowPunct/>
              <w:topLinePunct w:val="0"/>
              <w:autoSpaceDE/>
              <w:autoSpaceDN/>
              <w:bidi w:val="0"/>
              <w:adjustRightInd/>
              <w:snapToGrid/>
              <w:spacing w:after="0" w:line="240" w:lineRule="atLeast"/>
              <w:jc w:val="both"/>
              <w:rPr>
                <w:rFonts w:hint="eastAsia" w:ascii="Times New Roman" w:hAnsi="Times New Roman" w:eastAsia="仿宋_GB2312" w:cs="仿宋_GB2312"/>
                <w:i w:val="0"/>
                <w:iCs w:val="0"/>
                <w:color w:val="auto"/>
                <w:sz w:val="18"/>
                <w:szCs w:val="18"/>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5FB46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7698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8"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FA50BD7">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41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166CC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公共必修课程学分、学时占比</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3308E63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6"/>
                <w:kern w:val="0"/>
                <w:sz w:val="18"/>
                <w:szCs w:val="18"/>
                <w:highlight w:val="none"/>
                <w:u w:val="none"/>
                <w:lang w:val="en-US" w:eastAsia="zh-CN" w:bidi="ar"/>
              </w:rPr>
              <w:t>31.21%</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2D1429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31.12%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FCBDD1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16.80%</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F11BB5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14.32%</w:t>
            </w: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3F08A328">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6D3C6AF7">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47FC367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69" w:type="dxa"/>
            <w:tcBorders>
              <w:top w:val="single" w:color="auto" w:sz="4" w:space="0"/>
              <w:left w:val="single" w:color="auto" w:sz="4" w:space="0"/>
              <w:bottom w:val="single" w:color="auto" w:sz="4" w:space="0"/>
              <w:right w:val="single" w:color="auto" w:sz="4" w:space="0"/>
            </w:tcBorders>
            <w:shd w:val="clear" w:color="auto" w:fill="auto"/>
            <w:vAlign w:val="center"/>
          </w:tcPr>
          <w:p w14:paraId="3CEB86D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D90DF0">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B3BE08">
            <w:pPr>
              <w:keepNext w:val="0"/>
              <w:keepLines w:val="0"/>
              <w:pageBreakBefore w:val="0"/>
              <w:widowControl/>
              <w:kinsoku/>
              <w:wordWrap/>
              <w:overflowPunct/>
              <w:topLinePunct w:val="0"/>
              <w:autoSpaceDE/>
              <w:autoSpaceDN/>
              <w:bidi w:val="0"/>
              <w:adjustRightInd/>
              <w:snapToGrid/>
              <w:spacing w:after="0" w:line="240" w:lineRule="atLeast"/>
              <w:jc w:val="both"/>
              <w:rPr>
                <w:rFonts w:hint="eastAsia" w:ascii="Times New Roman" w:hAnsi="Times New Roman" w:eastAsia="仿宋_GB2312" w:cs="仿宋_GB2312"/>
                <w:i w:val="0"/>
                <w:iCs w:val="0"/>
                <w:color w:val="auto"/>
                <w:sz w:val="18"/>
                <w:szCs w:val="18"/>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9CC6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2CA3B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AE29BB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41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343503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公共选修课程学分、学时小计</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981350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41A37C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128</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01D6F2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80</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0695D9E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1D3F80">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F6BE0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03CC7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3F881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FFB265">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8BF9E0D">
            <w:pPr>
              <w:keepNext w:val="0"/>
              <w:keepLines w:val="0"/>
              <w:pageBreakBefore w:val="0"/>
              <w:widowControl/>
              <w:kinsoku/>
              <w:wordWrap/>
              <w:overflowPunct/>
              <w:topLinePunct w:val="0"/>
              <w:autoSpaceDE/>
              <w:autoSpaceDN/>
              <w:bidi w:val="0"/>
              <w:adjustRightInd/>
              <w:snapToGrid/>
              <w:spacing w:after="0" w:line="240" w:lineRule="atLeast"/>
              <w:jc w:val="both"/>
              <w:rPr>
                <w:rFonts w:hint="eastAsia" w:ascii="Times New Roman" w:hAnsi="Times New Roman" w:eastAsia="仿宋_GB2312" w:cs="仿宋_GB2312"/>
                <w:i w:val="0"/>
                <w:iCs w:val="0"/>
                <w:color w:val="auto"/>
                <w:sz w:val="18"/>
                <w:szCs w:val="18"/>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79E3DE6">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7BF2F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23FA52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41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3A58091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auto"/>
                <w:sz w:val="18"/>
                <w:szCs w:val="18"/>
                <w:highlight w:val="none"/>
                <w:u w:val="none"/>
              </w:rPr>
            </w:pPr>
            <w:r>
              <w:rPr>
                <w:rFonts w:hint="eastAsia" w:ascii="Times New Roman" w:hAnsi="Times New Roman" w:eastAsia="仿宋_GB2312" w:cs="仿宋_GB2312"/>
                <w:i w:val="0"/>
                <w:color w:val="auto"/>
                <w:kern w:val="0"/>
                <w:sz w:val="18"/>
                <w:szCs w:val="18"/>
                <w:highlight w:val="none"/>
                <w:u w:val="none"/>
                <w:lang w:val="en-US" w:eastAsia="zh-CN" w:bidi="ar"/>
              </w:rPr>
              <w:t>公共选修课程学分、学时占比</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8391F1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5.67%</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404B70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4.82%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F2D691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3.01%</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6922A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1.81%</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60DADC">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198B3A">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9729B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3E6C01">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6C5D8">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90BB87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74D46A2">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auto"/>
                <w:sz w:val="18"/>
                <w:szCs w:val="18"/>
                <w:highlight w:val="none"/>
                <w:u w:val="none"/>
              </w:rPr>
            </w:pPr>
          </w:p>
        </w:tc>
      </w:tr>
      <w:tr w14:paraId="4C56A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14:paraId="073576B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62C109F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01085D3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59A65F2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36379AB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4EA796E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20C4750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7FAD311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4C87C78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7EC4D20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3891BD02">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2C66006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7509157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50A3650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52E2D8D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0894D6D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116152C2">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1373DBD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632D17D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03AE0DF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p w14:paraId="52050FE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专业课</w:t>
            </w:r>
          </w:p>
        </w:tc>
        <w:tc>
          <w:tcPr>
            <w:tcW w:w="382" w:type="dxa"/>
            <w:vMerge w:val="restart"/>
            <w:tcBorders>
              <w:top w:val="single" w:color="000000" w:sz="4" w:space="0"/>
              <w:left w:val="single" w:color="auto" w:sz="4" w:space="0"/>
              <w:bottom w:val="nil"/>
              <w:right w:val="single" w:color="auto" w:sz="4" w:space="0"/>
            </w:tcBorders>
            <w:shd w:val="clear" w:color="auto" w:fill="auto"/>
            <w:vAlign w:val="center"/>
          </w:tcPr>
          <w:p w14:paraId="364FE71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专业基础课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42467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必修</w:t>
            </w: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C09FF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A0A7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3B460306301</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EF0E78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工程制图</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68A099D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ACD29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89D2F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4A466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7D785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789A7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4927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68AA3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A7E9A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8CD81B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AD70FB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1173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04EC13C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1BE0041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0D0850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9CAFB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97C5E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3B460306302</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4814D3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C语言</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3030D2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14E0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573A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BCDA1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DC39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68949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8145A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9B293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F5B4F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C4B8E5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6948F3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1D731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4C26E50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74DD386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36E3C4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231D7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99E2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3B460306303</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62D1BF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电工基础</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BE55B7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1730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FDF45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2F34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F5C7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66B8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3854F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441D7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025B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4D8F98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AAB80B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70DD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68F0550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72135D2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273782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A9365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95A5B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3B460306304</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B3A6C4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电气制图</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657E6E4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F6891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451DF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327D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77CA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6664D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EC651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09394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A2D2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6C440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98F2D0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681AA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6E3CEFE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1BE9479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0A843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FF590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B75A0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3B460306305</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5EE36F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人工智能导论</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4DAB8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31F28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D596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EB30C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392A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15467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D39E6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A55E9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88B4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B557C1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378D2A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290E4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tcBorders>
              <w:left w:val="single" w:color="auto" w:sz="4" w:space="0"/>
              <w:right w:val="single" w:color="auto" w:sz="4" w:space="0"/>
            </w:tcBorders>
            <w:shd w:val="clear" w:color="auto" w:fill="auto"/>
            <w:vAlign w:val="center"/>
          </w:tcPr>
          <w:p w14:paraId="4703025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2D743FB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1BCFF7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AF013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477BB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3B460306306</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D526F9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电子技术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59D647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0B9AD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CBBD0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CA3F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9B0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D7A5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D65F2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C31C1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39D3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D4678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9C268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3847B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323" w:type="dxa"/>
            <w:vMerge w:val="continue"/>
            <w:tcBorders>
              <w:left w:val="single" w:color="auto" w:sz="4" w:space="0"/>
              <w:right w:val="single" w:color="auto" w:sz="4" w:space="0"/>
            </w:tcBorders>
            <w:shd w:val="clear" w:color="auto" w:fill="auto"/>
            <w:vAlign w:val="center"/>
          </w:tcPr>
          <w:p w14:paraId="4C2F9C0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nil"/>
              <w:right w:val="single" w:color="auto" w:sz="4" w:space="0"/>
            </w:tcBorders>
            <w:shd w:val="clear" w:color="auto" w:fill="auto"/>
            <w:vAlign w:val="center"/>
          </w:tcPr>
          <w:p w14:paraId="52D1196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3E8761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124D3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EB36B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3B460306307</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5EF54ED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0"/>
                <w:kern w:val="0"/>
                <w:sz w:val="18"/>
                <w:szCs w:val="18"/>
                <w:highlight w:val="none"/>
                <w:u w:val="none"/>
                <w:lang w:val="en-US" w:eastAsia="zh-CN" w:bidi="ar"/>
              </w:rPr>
              <w:t>传感器与检测技术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64D953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24FF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1ECD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87385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06856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2BD78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464FC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5E20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ADCD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CAEF48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665E0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134BC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23" w:type="dxa"/>
            <w:vMerge w:val="continue"/>
            <w:tcBorders>
              <w:left w:val="single" w:color="auto" w:sz="4" w:space="0"/>
              <w:right w:val="single" w:color="auto" w:sz="4" w:space="0"/>
            </w:tcBorders>
            <w:shd w:val="clear" w:color="auto" w:fill="auto"/>
            <w:vAlign w:val="center"/>
          </w:tcPr>
          <w:p w14:paraId="583306A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6F59B8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1A5035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B4259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6347E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3B460306308</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A064E3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电力电子技术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238260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17A5B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88BB4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E886D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C0D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D569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EED1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E3D1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45B31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143A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337C3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0D42A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323" w:type="dxa"/>
            <w:vMerge w:val="continue"/>
            <w:tcBorders>
              <w:left w:val="single" w:color="auto" w:sz="4" w:space="0"/>
              <w:right w:val="single" w:color="auto" w:sz="4" w:space="0"/>
            </w:tcBorders>
            <w:shd w:val="clear" w:color="auto" w:fill="auto"/>
            <w:vAlign w:val="center"/>
          </w:tcPr>
          <w:p w14:paraId="66F2E4A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54B916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A2CE15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02CB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9</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F7983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3B460306309</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8B302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嵌入式技术与应用</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7166E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6BC68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271DD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6B918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DE6F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08A26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F1525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8A8C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0CB95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588EF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797BED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53BF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323" w:type="dxa"/>
            <w:vMerge w:val="continue"/>
            <w:tcBorders>
              <w:left w:val="single" w:color="auto" w:sz="4" w:space="0"/>
              <w:right w:val="single" w:color="auto" w:sz="4" w:space="0"/>
            </w:tcBorders>
            <w:shd w:val="clear" w:color="auto" w:fill="auto"/>
            <w:vAlign w:val="center"/>
          </w:tcPr>
          <w:p w14:paraId="0494FF3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68C9AED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专业核心课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E5A0BB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必修</w:t>
            </w: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E593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6FBD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3B460306401</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22DC28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工业机器人操作与编程</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D59E6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540FD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F6256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397B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97805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32A4B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1A484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BB65A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0B1E7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7A2B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DA555F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6971A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6" w:hRule="atLeast"/>
          <w:jc w:val="center"/>
        </w:trPr>
        <w:tc>
          <w:tcPr>
            <w:tcW w:w="323" w:type="dxa"/>
            <w:vMerge w:val="continue"/>
            <w:tcBorders>
              <w:left w:val="single" w:color="auto" w:sz="4" w:space="0"/>
              <w:right w:val="single" w:color="auto" w:sz="4" w:space="0"/>
            </w:tcBorders>
            <w:shd w:val="clear" w:color="auto" w:fill="auto"/>
            <w:vAlign w:val="center"/>
          </w:tcPr>
          <w:p w14:paraId="3C96D25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0EB6E6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0CE3F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3A22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80A1D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3B460306402</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117265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工业网络与组态技术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62A6F79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7A069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FC64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7310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570C7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E2A6D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50B5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E17CD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D0AA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1063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EA33E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558FC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323" w:type="dxa"/>
            <w:vMerge w:val="continue"/>
            <w:tcBorders>
              <w:left w:val="single" w:color="auto" w:sz="4" w:space="0"/>
              <w:right w:val="single" w:color="auto" w:sz="4" w:space="0"/>
            </w:tcBorders>
            <w:shd w:val="clear" w:color="auto" w:fill="auto"/>
            <w:vAlign w:val="center"/>
          </w:tcPr>
          <w:p w14:paraId="405E0A5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9B0922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29A061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7D76A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76BEC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3B460306403</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DDCB0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自动控制系统</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6FEB34E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27E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2E364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4E437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77F01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3751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00478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CA402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4ECC3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E174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8DDA6C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7465B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323" w:type="dxa"/>
            <w:vMerge w:val="continue"/>
            <w:tcBorders>
              <w:left w:val="single" w:color="auto" w:sz="4" w:space="0"/>
              <w:right w:val="single" w:color="auto" w:sz="4" w:space="0"/>
            </w:tcBorders>
            <w:shd w:val="clear" w:color="auto" w:fill="auto"/>
            <w:vAlign w:val="center"/>
          </w:tcPr>
          <w:p w14:paraId="1E73FDC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B513B5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BCECF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7F9A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716EA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3B460306404</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6EF8891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电机调速技术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6B954B8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9FA1B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9DE43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034DB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FBDE1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5E71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68F81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002F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50D51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995E8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50E2D3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2B768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655281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F2B1B0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22046D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9D4AA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F48F5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3B460306405</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6536E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PLC技术与应用</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764BC3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8B60B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D40BD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813B9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D18CA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B5C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3C51A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A0060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F81D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36D32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162546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2927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323" w:type="dxa"/>
            <w:vMerge w:val="continue"/>
            <w:tcBorders>
              <w:left w:val="single" w:color="auto" w:sz="4" w:space="0"/>
              <w:right w:val="single" w:color="auto" w:sz="4" w:space="0"/>
            </w:tcBorders>
            <w:shd w:val="clear" w:color="auto" w:fill="auto"/>
            <w:vAlign w:val="center"/>
          </w:tcPr>
          <w:p w14:paraId="0FB95AE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2C34F6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14027E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0D2C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57F0E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3B460306406</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6D1039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电机与电气控制</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A11D7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0DA7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63F8A6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06EBBC4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3F38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5D6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04C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7BA8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0367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8E8BC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77FC4E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23B8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323" w:type="dxa"/>
            <w:vMerge w:val="continue"/>
            <w:tcBorders>
              <w:left w:val="single" w:color="auto" w:sz="4" w:space="0"/>
              <w:right w:val="single" w:color="auto" w:sz="4" w:space="0"/>
            </w:tcBorders>
            <w:shd w:val="clear" w:color="auto" w:fill="auto"/>
            <w:vAlign w:val="center"/>
          </w:tcPr>
          <w:p w14:paraId="44C4122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E1491E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C111AF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903CB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7A806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3B460306407</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4B42009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工厂供配电</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D0CC97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3A7E5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0C92B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2709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D1C58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82B5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5AC18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157E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4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55D0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078EC4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2FBF3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40C0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jc w:val="center"/>
        </w:trPr>
        <w:tc>
          <w:tcPr>
            <w:tcW w:w="323" w:type="dxa"/>
            <w:vMerge w:val="continue"/>
            <w:tcBorders>
              <w:left w:val="single" w:color="auto" w:sz="4" w:space="0"/>
              <w:right w:val="single" w:color="auto" w:sz="4" w:space="0"/>
            </w:tcBorders>
            <w:shd w:val="clear" w:color="auto" w:fill="auto"/>
            <w:vAlign w:val="center"/>
          </w:tcPr>
          <w:p w14:paraId="5B27BE3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auto" w:sz="4" w:space="0"/>
              <w:right w:val="single" w:color="auto" w:sz="4" w:space="0"/>
            </w:tcBorders>
            <w:shd w:val="clear" w:color="auto" w:fill="auto"/>
            <w:vAlign w:val="center"/>
          </w:tcPr>
          <w:p w14:paraId="3F2B547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6E0FD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501AC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90F4B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3B460306408</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784620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电气测量</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728CB0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3EC438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A6BA39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20</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E0643A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16</w:t>
            </w: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526D3BC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09CC2E8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84A35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7657A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439" w:type="dxa"/>
            <w:tcBorders>
              <w:top w:val="single" w:color="auto" w:sz="4" w:space="0"/>
              <w:left w:val="single" w:color="auto" w:sz="4" w:space="0"/>
              <w:bottom w:val="single" w:color="auto" w:sz="4" w:space="0"/>
              <w:right w:val="single" w:color="auto" w:sz="4" w:space="0"/>
            </w:tcBorders>
            <w:shd w:val="clear" w:color="auto" w:fill="auto"/>
            <w:vAlign w:val="center"/>
          </w:tcPr>
          <w:p w14:paraId="0E49D70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EB9F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2450F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考试</w:t>
            </w:r>
          </w:p>
        </w:tc>
      </w:tr>
      <w:tr w14:paraId="2235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70A88C9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CF20D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专业拓展课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29BA1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选修</w:t>
            </w: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7CED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741CC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3A460306501</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1FAA64D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0"/>
                <w:kern w:val="0"/>
                <w:sz w:val="18"/>
                <w:szCs w:val="18"/>
                <w:highlight w:val="none"/>
                <w:u w:val="none"/>
                <w:lang w:val="en-US" w:eastAsia="zh-CN" w:bidi="ar"/>
              </w:rPr>
            </w:pPr>
            <w:r>
              <w:rPr>
                <w:rFonts w:hint="eastAsia" w:ascii="Times New Roman" w:hAnsi="Times New Roman" w:eastAsia="仿宋_GB2312" w:cs="仿宋_GB2312"/>
                <w:i w:val="0"/>
                <w:color w:val="auto"/>
                <w:spacing w:val="0"/>
                <w:kern w:val="0"/>
                <w:sz w:val="18"/>
                <w:szCs w:val="18"/>
                <w:highlight w:val="none"/>
                <w:u w:val="none"/>
                <w:lang w:val="en-US" w:eastAsia="zh-CN" w:bidi="ar"/>
              </w:rPr>
              <w:t>高级语言程序设计</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34C5D69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B4938F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3EB884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DE3F62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0836DA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专业拓展课最低学分要求为8学分</w:t>
            </w: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95CE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CC63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07503BE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0B1FF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0E007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30A2E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2996F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3A460306502</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59DF2E3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0"/>
                <w:kern w:val="0"/>
                <w:sz w:val="18"/>
                <w:szCs w:val="18"/>
                <w:highlight w:val="none"/>
                <w:u w:val="none"/>
                <w:lang w:val="en-US" w:eastAsia="zh-CN" w:bidi="ar"/>
              </w:rPr>
            </w:pPr>
            <w:r>
              <w:rPr>
                <w:rFonts w:hint="eastAsia" w:ascii="Times New Roman" w:hAnsi="Times New Roman" w:eastAsia="仿宋_GB2312" w:cs="仿宋_GB2312"/>
                <w:i w:val="0"/>
                <w:color w:val="auto"/>
                <w:spacing w:val="0"/>
                <w:kern w:val="0"/>
                <w:sz w:val="18"/>
                <w:szCs w:val="18"/>
                <w:highlight w:val="none"/>
                <w:u w:val="none"/>
                <w:lang w:val="en-US" w:eastAsia="zh-CN" w:bidi="ar"/>
              </w:rPr>
              <w:t>运动控制技术与运用</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1DF0E4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340C5C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203D69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BAAEF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0B3CD2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8B548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23F8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14:paraId="4B7AA1B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4EA0D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78FA7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E3620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F7FB1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3A460306503</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1E72094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工业机器人维护与调试</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27DBC5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5E8F5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F3C323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975E72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01B12A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0A4E0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0E62A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2E82375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auto" w:sz="4" w:space="0"/>
              <w:left w:val="single" w:color="auto" w:sz="4" w:space="0"/>
              <w:right w:val="single" w:color="auto" w:sz="4" w:space="0"/>
            </w:tcBorders>
            <w:shd w:val="clear" w:color="auto" w:fill="auto"/>
            <w:vAlign w:val="center"/>
          </w:tcPr>
          <w:p w14:paraId="2754014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16256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D082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C4379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3A460306504</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1926257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自动化生产线安装与调试</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0917F5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A01D4E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A2A4C5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5C4FDA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70488A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BFE6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37243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1EBE4F0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auto" w:sz="4" w:space="0"/>
              <w:right w:val="single" w:color="auto" w:sz="4" w:space="0"/>
            </w:tcBorders>
            <w:shd w:val="clear" w:color="auto" w:fill="auto"/>
            <w:vAlign w:val="center"/>
          </w:tcPr>
          <w:p w14:paraId="2EC4ADB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68D70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ADEB7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461A4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3A460306505</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3C8F35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工业4.0与数字孪生技术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FCD24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B719D6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78D9179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39662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D161B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09543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FF1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59BB8B5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auto" w:sz="4" w:space="0"/>
              <w:right w:val="single" w:color="auto" w:sz="4" w:space="0"/>
            </w:tcBorders>
            <w:shd w:val="clear" w:color="auto" w:fill="auto"/>
            <w:vAlign w:val="center"/>
          </w:tcPr>
          <w:p w14:paraId="2EEB8642">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8F13E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3229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884AB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3A460306506</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0757F0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工业机器视觉系统应用技术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1ED6561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6E5959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039323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99353D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9F5064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B840F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3A8A8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23" w:type="dxa"/>
            <w:vMerge w:val="continue"/>
            <w:tcBorders>
              <w:left w:val="single" w:color="auto" w:sz="4" w:space="0"/>
              <w:right w:val="single" w:color="auto" w:sz="4" w:space="0"/>
            </w:tcBorders>
            <w:shd w:val="clear" w:color="auto" w:fill="auto"/>
            <w:vAlign w:val="center"/>
          </w:tcPr>
          <w:p w14:paraId="6DB8704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auto" w:sz="4" w:space="0"/>
              <w:right w:val="single" w:color="auto" w:sz="4" w:space="0"/>
            </w:tcBorders>
            <w:shd w:val="clear" w:color="auto" w:fill="auto"/>
            <w:vAlign w:val="center"/>
          </w:tcPr>
          <w:p w14:paraId="223F538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474E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2872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7</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651FE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3A460306507</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3F0586A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变电站综合自动化技术</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D61F0A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1B35E8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AEB67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F0C4BC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7031DA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D42C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155A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23" w:type="dxa"/>
            <w:vMerge w:val="continue"/>
            <w:tcBorders>
              <w:left w:val="single" w:color="auto" w:sz="4" w:space="0"/>
              <w:right w:val="single" w:color="auto" w:sz="4" w:space="0"/>
            </w:tcBorders>
            <w:shd w:val="clear" w:color="auto" w:fill="auto"/>
            <w:vAlign w:val="center"/>
          </w:tcPr>
          <w:p w14:paraId="32201221">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0B6785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7B0DE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AEB88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E5072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3A460306508</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721C4DF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现代企业车间管理</w:t>
            </w:r>
          </w:p>
        </w:tc>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94341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C6995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A99C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B72BC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7FB078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42C81C8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0CF88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jc w:val="center"/>
        </w:trPr>
        <w:tc>
          <w:tcPr>
            <w:tcW w:w="323" w:type="dxa"/>
            <w:vMerge w:val="continue"/>
            <w:tcBorders>
              <w:left w:val="single" w:color="auto" w:sz="4" w:space="0"/>
              <w:right w:val="single" w:color="auto" w:sz="4" w:space="0"/>
            </w:tcBorders>
            <w:shd w:val="clear" w:color="auto" w:fill="auto"/>
            <w:vAlign w:val="center"/>
          </w:tcPr>
          <w:p w14:paraId="55A3D63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8E2CD0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49107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96BE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9</w:t>
            </w:r>
          </w:p>
        </w:tc>
        <w:tc>
          <w:tcPr>
            <w:tcW w:w="13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7926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3A460306509</w:t>
            </w:r>
          </w:p>
        </w:tc>
        <w:tc>
          <w:tcPr>
            <w:tcW w:w="1909" w:type="dxa"/>
            <w:tcBorders>
              <w:top w:val="single" w:color="auto" w:sz="4" w:space="0"/>
              <w:left w:val="single" w:color="auto" w:sz="4" w:space="0"/>
              <w:bottom w:val="single" w:color="auto" w:sz="4" w:space="0"/>
              <w:right w:val="single" w:color="auto" w:sz="4" w:space="0"/>
            </w:tcBorders>
            <w:shd w:val="clear" w:color="auto" w:fill="auto"/>
            <w:vAlign w:val="center"/>
          </w:tcPr>
          <w:p w14:paraId="0116421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单片机技术</w:t>
            </w:r>
          </w:p>
        </w:tc>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F5CBF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1A4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B20C2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42DFC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7028FD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42E609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7BDB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jc w:val="center"/>
        </w:trPr>
        <w:tc>
          <w:tcPr>
            <w:tcW w:w="323" w:type="dxa"/>
            <w:vMerge w:val="continue"/>
            <w:tcBorders>
              <w:left w:val="single" w:color="auto" w:sz="4" w:space="0"/>
              <w:right w:val="single" w:color="auto" w:sz="4" w:space="0"/>
            </w:tcBorders>
            <w:shd w:val="clear" w:color="auto" w:fill="auto"/>
            <w:vAlign w:val="center"/>
          </w:tcPr>
          <w:p w14:paraId="01AFB52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59FAB3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87659A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13AD4A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10</w:t>
            </w:r>
          </w:p>
        </w:tc>
        <w:tc>
          <w:tcPr>
            <w:tcW w:w="13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D3E2CF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3A460306510</w:t>
            </w:r>
          </w:p>
        </w:tc>
        <w:tc>
          <w:tcPr>
            <w:tcW w:w="1909" w:type="dxa"/>
            <w:tcBorders>
              <w:top w:val="single" w:color="auto" w:sz="4" w:space="0"/>
              <w:left w:val="single" w:color="000000" w:sz="4" w:space="0"/>
              <w:bottom w:val="single" w:color="000000" w:sz="4" w:space="0"/>
              <w:right w:val="single" w:color="000000" w:sz="4" w:space="0"/>
            </w:tcBorders>
            <w:shd w:val="clear" w:color="auto" w:fill="auto"/>
            <w:vAlign w:val="center"/>
          </w:tcPr>
          <w:p w14:paraId="2488AD6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市场营销</w:t>
            </w:r>
          </w:p>
        </w:tc>
        <w:tc>
          <w:tcPr>
            <w:tcW w:w="74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4D36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7B53C8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5FA574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C0996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2126" w:type="dxa"/>
            <w:gridSpan w:val="7"/>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61FEAED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auto" w:sz="4" w:space="0"/>
              <w:left w:val="single" w:color="000000" w:sz="4" w:space="0"/>
              <w:bottom w:val="single" w:color="000000" w:sz="4" w:space="0"/>
              <w:right w:val="single" w:color="000000" w:sz="4" w:space="0"/>
            </w:tcBorders>
            <w:shd w:val="clear" w:color="auto" w:fill="auto"/>
            <w:vAlign w:val="center"/>
          </w:tcPr>
          <w:p w14:paraId="5177C4A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19ECB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323" w:type="dxa"/>
            <w:vMerge w:val="continue"/>
            <w:tcBorders>
              <w:left w:val="single" w:color="auto" w:sz="4" w:space="0"/>
              <w:right w:val="single" w:color="auto" w:sz="4" w:space="0"/>
            </w:tcBorders>
            <w:shd w:val="clear" w:color="auto" w:fill="auto"/>
            <w:vAlign w:val="center"/>
          </w:tcPr>
          <w:p w14:paraId="325F4612">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44FCEEE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0B43E90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必修</w:t>
            </w:r>
          </w:p>
        </w:tc>
        <w:tc>
          <w:tcPr>
            <w:tcW w:w="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7AF9C1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w:t>
            </w:r>
          </w:p>
        </w:tc>
        <w:tc>
          <w:tcPr>
            <w:tcW w:w="130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DD8E9A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spacing w:val="-6"/>
                <w:kern w:val="0"/>
                <w:sz w:val="18"/>
                <w:szCs w:val="18"/>
                <w:highlight w:val="none"/>
                <w:u w:val="none"/>
                <w:lang w:val="en-US" w:eastAsia="zh-CN" w:bidi="ar"/>
              </w:rPr>
            </w:pPr>
            <w:r>
              <w:rPr>
                <w:rFonts w:hint="eastAsia" w:ascii="Times New Roman" w:hAnsi="Times New Roman" w:eastAsia="仿宋_GB2312" w:cs="仿宋_GB2312"/>
                <w:i w:val="0"/>
                <w:iCs w:val="0"/>
                <w:color w:val="auto"/>
                <w:spacing w:val="-6"/>
                <w:kern w:val="0"/>
                <w:sz w:val="20"/>
                <w:szCs w:val="20"/>
                <w:u w:val="none"/>
                <w:lang w:val="en-US" w:eastAsia="zh-CN" w:bidi="ar"/>
              </w:rPr>
              <w:t>3C460306601</w:t>
            </w:r>
          </w:p>
        </w:tc>
        <w:tc>
          <w:tcPr>
            <w:tcW w:w="1909" w:type="dxa"/>
            <w:tcBorders>
              <w:top w:val="single" w:color="000000" w:sz="4" w:space="0"/>
              <w:left w:val="single" w:color="000000" w:sz="4" w:space="0"/>
              <w:bottom w:val="single" w:color="auto" w:sz="4" w:space="0"/>
              <w:right w:val="single" w:color="000000" w:sz="4" w:space="0"/>
            </w:tcBorders>
            <w:shd w:val="clear" w:color="auto" w:fill="auto"/>
            <w:vAlign w:val="center"/>
          </w:tcPr>
          <w:p w14:paraId="0A532FC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初级维修电工实训</w:t>
            </w:r>
          </w:p>
        </w:tc>
        <w:tc>
          <w:tcPr>
            <w:tcW w:w="74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1502B5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902889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4DBF5F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6DB01E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8C5F8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DF1037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E2AAEE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8AC0E8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40"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760CE7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3F5A58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14:paraId="527A93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3B359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323" w:type="dxa"/>
            <w:vMerge w:val="continue"/>
            <w:tcBorders>
              <w:left w:val="single" w:color="auto" w:sz="4" w:space="0"/>
              <w:right w:val="single" w:color="auto" w:sz="4" w:space="0"/>
            </w:tcBorders>
            <w:shd w:val="clear" w:color="auto" w:fill="auto"/>
            <w:vAlign w:val="center"/>
          </w:tcPr>
          <w:p w14:paraId="61A0D43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000000" w:sz="4" w:space="0"/>
              <w:right w:val="single" w:color="000000" w:sz="4" w:space="0"/>
            </w:tcBorders>
            <w:shd w:val="clear" w:color="auto" w:fill="auto"/>
            <w:vAlign w:val="center"/>
          </w:tcPr>
          <w:p w14:paraId="5EB82827">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9954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8F08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24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color w:val="auto"/>
                <w:spacing w:val="-6"/>
                <w:kern w:val="0"/>
                <w:sz w:val="18"/>
                <w:szCs w:val="18"/>
                <w:highlight w:val="none"/>
                <w:u w:val="none"/>
                <w:lang w:val="en-US" w:eastAsia="zh-CN" w:bidi="ar"/>
              </w:rPr>
            </w:pPr>
            <w:r>
              <w:rPr>
                <w:rFonts w:hint="eastAsia" w:ascii="Times New Roman" w:hAnsi="Times New Roman" w:eastAsia="仿宋_GB2312" w:cs="仿宋_GB2312"/>
                <w:i w:val="0"/>
                <w:iCs w:val="0"/>
                <w:color w:val="auto"/>
                <w:spacing w:val="-6"/>
                <w:kern w:val="0"/>
                <w:sz w:val="20"/>
                <w:szCs w:val="20"/>
                <w:u w:val="none"/>
                <w:lang w:val="en-US" w:eastAsia="zh-CN" w:bidi="ar"/>
              </w:rPr>
              <w:t>3C460306602</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056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中级维修电工实训</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5E2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C4D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DC9C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543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94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C3B7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34B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w:t>
            </w: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E8A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3AAF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20A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33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5FEDE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jc w:val="center"/>
        </w:trPr>
        <w:tc>
          <w:tcPr>
            <w:tcW w:w="323" w:type="dxa"/>
            <w:vMerge w:val="continue"/>
            <w:tcBorders>
              <w:left w:val="single" w:color="auto" w:sz="4" w:space="0"/>
              <w:right w:val="single" w:color="auto" w:sz="4" w:space="0"/>
            </w:tcBorders>
            <w:shd w:val="clear" w:color="auto" w:fill="auto"/>
            <w:vAlign w:val="center"/>
          </w:tcPr>
          <w:p w14:paraId="3B3BB36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000000" w:sz="4" w:space="0"/>
              <w:right w:val="single" w:color="000000" w:sz="4" w:space="0"/>
            </w:tcBorders>
            <w:shd w:val="clear" w:color="auto" w:fill="auto"/>
            <w:vAlign w:val="center"/>
          </w:tcPr>
          <w:p w14:paraId="564DE67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46A0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35E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3</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8B9F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1B410101601</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9730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毕业设计</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E45C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EE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7CE0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53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60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1D66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06F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E5C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3B2B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F780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default"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20</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E3D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62E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4D1A1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jc w:val="center"/>
        </w:trPr>
        <w:tc>
          <w:tcPr>
            <w:tcW w:w="323" w:type="dxa"/>
            <w:vMerge w:val="continue"/>
            <w:tcBorders>
              <w:left w:val="single" w:color="auto" w:sz="4" w:space="0"/>
              <w:right w:val="single" w:color="auto" w:sz="4" w:space="0"/>
            </w:tcBorders>
            <w:shd w:val="clear" w:color="auto" w:fill="auto"/>
            <w:vAlign w:val="center"/>
          </w:tcPr>
          <w:p w14:paraId="59A5EB4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82" w:type="dxa"/>
            <w:vMerge w:val="continue"/>
            <w:tcBorders>
              <w:left w:val="single" w:color="000000" w:sz="4" w:space="0"/>
              <w:right w:val="single" w:color="000000" w:sz="4" w:space="0"/>
            </w:tcBorders>
            <w:shd w:val="clear" w:color="auto" w:fill="auto"/>
            <w:vAlign w:val="center"/>
          </w:tcPr>
          <w:p w14:paraId="6A2BFC0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04AE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A7E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3D0A">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iCs w:val="0"/>
                <w:color w:val="auto"/>
                <w:kern w:val="0"/>
                <w:sz w:val="18"/>
                <w:szCs w:val="18"/>
                <w:u w:val="none"/>
                <w:lang w:val="en-US" w:eastAsia="zh-CN" w:bidi="ar"/>
              </w:rPr>
              <w:t>1C410101602</w:t>
            </w: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6B1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岗位实习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613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1DE8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432</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2AB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C80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34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265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5DB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7BB7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DFB6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20"/>
                <w:kern w:val="0"/>
                <w:sz w:val="18"/>
                <w:szCs w:val="18"/>
                <w:highlight w:val="none"/>
                <w:u w:val="none"/>
                <w:lang w:val="en-US" w:eastAsia="zh-CN" w:bidi="ar"/>
              </w:rPr>
            </w:pPr>
            <w:r>
              <w:rPr>
                <w:rFonts w:hint="eastAsia" w:ascii="Times New Roman" w:hAnsi="Times New Roman" w:eastAsia="仿宋_GB2312" w:cs="仿宋_GB2312"/>
                <w:i w:val="0"/>
                <w:color w:val="auto"/>
                <w:spacing w:val="-20"/>
                <w:kern w:val="0"/>
                <w:sz w:val="18"/>
                <w:szCs w:val="18"/>
                <w:highlight w:val="none"/>
                <w:u w:val="none"/>
                <w:lang w:val="en-US" w:eastAsia="zh-CN" w:bidi="ar"/>
              </w:rPr>
              <w:t>18</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11C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A685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考查</w:t>
            </w:r>
          </w:p>
        </w:tc>
      </w:tr>
      <w:tr w14:paraId="60B6E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5116"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14:paraId="0375047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专业必修课程学分、学时小计</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9A8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81</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C913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1556</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BAF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544</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BCF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1012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7A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F3E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FC1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AE9D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8A40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638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506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r>
      <w:tr w14:paraId="47B51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51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D2AB1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专业必修课程学分、学时占比</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E5D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57.45%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8522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58.63%</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501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20.50%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BAE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spacing w:val="-17"/>
                <w:kern w:val="0"/>
                <w:sz w:val="18"/>
                <w:szCs w:val="18"/>
                <w:highlight w:val="none"/>
                <w:u w:val="none"/>
                <w:lang w:val="en-US" w:eastAsia="zh-CN" w:bidi="ar"/>
              </w:rPr>
            </w:pPr>
            <w:r>
              <w:rPr>
                <w:rFonts w:hint="eastAsia" w:ascii="Times New Roman" w:hAnsi="Times New Roman" w:eastAsia="仿宋_GB2312" w:cs="仿宋_GB2312"/>
                <w:i w:val="0"/>
                <w:color w:val="auto"/>
                <w:spacing w:val="-17"/>
                <w:kern w:val="0"/>
                <w:sz w:val="18"/>
                <w:szCs w:val="18"/>
                <w:highlight w:val="none"/>
                <w:u w:val="none"/>
                <w:lang w:val="en-US" w:eastAsia="zh-CN" w:bidi="ar"/>
              </w:rPr>
              <w:t>38.13%</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96B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5EF06">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1B95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333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0FE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4D6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476C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r>
      <w:tr w14:paraId="0B521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51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93CE3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专业拓展课程学分、学时小计</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A57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8</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6B7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C42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B4E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CB9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B8FB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B0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7EF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201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6159">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090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r>
      <w:tr w14:paraId="0D19D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51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33CC0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专业拓展课程学分、学时占比</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9CD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5.67%</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DFB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5.43%</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143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5.43%</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CB2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0.00%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768B">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3450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DD9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6F52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3B69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63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FE67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r>
      <w:tr w14:paraId="053A9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51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A791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总学分、学时合计</w:t>
            </w:r>
          </w:p>
        </w:tc>
        <w:tc>
          <w:tcPr>
            <w:tcW w:w="741" w:type="dxa"/>
            <w:tcBorders>
              <w:top w:val="single" w:color="000000" w:sz="4" w:space="0"/>
              <w:left w:val="single" w:color="000000" w:sz="4" w:space="0"/>
              <w:bottom w:val="single" w:color="000000" w:sz="4" w:space="0"/>
              <w:right w:val="nil"/>
            </w:tcBorders>
            <w:shd w:val="clear" w:color="auto" w:fill="auto"/>
            <w:noWrap/>
            <w:vAlign w:val="center"/>
          </w:tcPr>
          <w:p w14:paraId="5DA8D09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141</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0C1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2654</w:t>
            </w:r>
          </w:p>
        </w:tc>
        <w:tc>
          <w:tcPr>
            <w:tcW w:w="688" w:type="dxa"/>
            <w:tcBorders>
              <w:top w:val="single" w:color="000000" w:sz="4" w:space="0"/>
              <w:left w:val="nil"/>
              <w:bottom w:val="single" w:color="000000" w:sz="4" w:space="0"/>
              <w:right w:val="single" w:color="000000" w:sz="4" w:space="0"/>
            </w:tcBorders>
            <w:shd w:val="clear" w:color="auto" w:fill="auto"/>
            <w:noWrap/>
            <w:vAlign w:val="center"/>
          </w:tcPr>
          <w:p w14:paraId="7FB09F5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1214</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75F3">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r>
              <w:rPr>
                <w:rFonts w:hint="eastAsia" w:ascii="Times New Roman" w:hAnsi="Times New Roman" w:eastAsia="仿宋_GB2312" w:cs="仿宋_GB2312"/>
                <w:i w:val="0"/>
                <w:color w:val="auto"/>
                <w:kern w:val="0"/>
                <w:sz w:val="18"/>
                <w:szCs w:val="18"/>
                <w:highlight w:val="none"/>
                <w:u w:val="none"/>
                <w:lang w:val="en-US" w:eastAsia="zh-CN" w:bidi="ar"/>
              </w:rPr>
              <w:t>1440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47B5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266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5B19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FD10">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18A5">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46A1">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13CF">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color w:val="auto"/>
                <w:kern w:val="0"/>
                <w:sz w:val="18"/>
                <w:szCs w:val="18"/>
                <w:highlight w:val="none"/>
                <w:u w:val="none"/>
                <w:lang w:val="en-US" w:eastAsia="zh-CN" w:bidi="ar"/>
              </w:rPr>
            </w:pPr>
          </w:p>
        </w:tc>
      </w:tr>
      <w:bookmarkEnd w:id="30"/>
    </w:tbl>
    <w:p w14:paraId="29D8761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t>九</w:t>
      </w:r>
      <w:r>
        <w:rPr>
          <w:rFonts w:hint="eastAsia" w:ascii="Times New Roman" w:hAnsi="Times New Roman" w:eastAsia="黑体" w:cs="黑体"/>
          <w:color w:val="auto"/>
          <w:sz w:val="32"/>
          <w:szCs w:val="32"/>
          <w:highlight w:val="none"/>
        </w:rPr>
        <w:t>、</w:t>
      </w:r>
      <w:r>
        <w:rPr>
          <w:rFonts w:hint="eastAsia" w:ascii="Times New Roman" w:hAnsi="Times New Roman" w:eastAsia="黑体" w:cs="黑体"/>
          <w:color w:val="auto"/>
          <w:sz w:val="32"/>
          <w:szCs w:val="32"/>
          <w:highlight w:val="none"/>
          <w:lang w:val="en-US" w:eastAsia="zh-CN"/>
        </w:rPr>
        <w:t>师资队伍</w:t>
      </w:r>
      <w:bookmarkEnd w:id="31"/>
    </w:p>
    <w:p w14:paraId="083C25E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7E9BCE4B">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Times New Roman" w:hAnsi="Times New Roman" w:eastAsia="楷体" w:cs="楷体"/>
          <w:b w:val="0"/>
          <w:bCs w:val="0"/>
          <w:color w:val="auto"/>
          <w:sz w:val="32"/>
          <w:szCs w:val="32"/>
          <w:highlight w:val="none"/>
          <w:lang w:val="en-US" w:eastAsia="zh-CN"/>
        </w:rPr>
      </w:pPr>
      <w:bookmarkStart w:id="32" w:name="_Toc23967"/>
      <w:r>
        <w:rPr>
          <w:rFonts w:hint="eastAsia" w:ascii="Times New Roman" w:hAnsi="Times New Roman" w:eastAsia="楷体" w:cs="楷体"/>
          <w:b w:val="0"/>
          <w:bCs w:val="0"/>
          <w:color w:val="auto"/>
          <w:sz w:val="32"/>
          <w:szCs w:val="32"/>
          <w:highlight w:val="none"/>
          <w:lang w:val="en-US" w:eastAsia="zh-CN"/>
        </w:rPr>
        <w:t>队伍结构</w:t>
      </w:r>
      <w:bookmarkEnd w:id="32"/>
    </w:p>
    <w:p w14:paraId="2E50281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仿宋_GB2312" w:cs="仿宋"/>
          <w:color w:val="auto"/>
          <w:sz w:val="32"/>
          <w:szCs w:val="32"/>
        </w:rPr>
      </w:pPr>
      <w:bookmarkStart w:id="33" w:name="_Toc32367"/>
      <w:bookmarkStart w:id="34" w:name="_Toc13599"/>
      <w:r>
        <w:rPr>
          <w:rFonts w:hint="eastAsia" w:ascii="Times New Roman" w:hAnsi="Times New Roman" w:eastAsia="仿宋_GB2312" w:cs="仿宋"/>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bookmarkEnd w:id="33"/>
    </w:p>
    <w:p w14:paraId="4458649A">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highlight w:val="none"/>
        </w:rPr>
      </w:pPr>
      <w:r>
        <w:rPr>
          <w:rFonts w:hint="eastAsia" w:ascii="Times New Roman" w:hAnsi="Times New Roman" w:eastAsia="楷体" w:cs="楷体"/>
          <w:color w:val="auto"/>
          <w:sz w:val="32"/>
          <w:szCs w:val="32"/>
          <w:highlight w:val="none"/>
        </w:rPr>
        <w:t>专业带头人</w:t>
      </w:r>
      <w:bookmarkEnd w:id="34"/>
    </w:p>
    <w:p w14:paraId="204162A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专业带头人原则上应具有副高及以上职称，能够较好地把握国内外电气行业、专业发展，能广泛联系行业企业，了解行业企业对本专业人才的需求实际，教学设计、专业研究能力强，组织开展教科研工作能力强，在本</w:t>
      </w:r>
      <w:r>
        <w:rPr>
          <w:rFonts w:hint="eastAsia" w:ascii="Times New Roman" w:hAnsi="Times New Roman" w:eastAsia="仿宋_GB2312" w:cs="仿宋_GB2312"/>
          <w:color w:val="auto"/>
          <w:sz w:val="32"/>
          <w:szCs w:val="32"/>
          <w:highlight w:val="none"/>
          <w:lang w:val="en-US" w:eastAsia="zh-CN"/>
        </w:rPr>
        <w:t>专业</w:t>
      </w:r>
      <w:r>
        <w:rPr>
          <w:rFonts w:hint="eastAsia" w:ascii="Times New Roman" w:hAnsi="Times New Roman" w:eastAsia="仿宋_GB2312" w:cs="仿宋_GB2312"/>
          <w:color w:val="auto"/>
          <w:sz w:val="32"/>
          <w:szCs w:val="32"/>
          <w:highlight w:val="none"/>
        </w:rPr>
        <w:t>或本领域具有一定的专业影响力。</w:t>
      </w:r>
    </w:p>
    <w:p w14:paraId="1FDEBFD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lang w:val="en-US" w:eastAsia="zh-CN"/>
        </w:rPr>
      </w:pPr>
      <w:bookmarkStart w:id="35" w:name="_Toc16742"/>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lang w:val="en-US" w:eastAsia="zh-CN"/>
        </w:rPr>
        <w:t>三</w:t>
      </w:r>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lang w:val="en-US" w:eastAsia="zh-CN"/>
        </w:rPr>
        <w:t>专任教师</w:t>
      </w:r>
      <w:bookmarkEnd w:id="35"/>
    </w:p>
    <w:p w14:paraId="7032700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highlight w:val="none"/>
        </w:rPr>
      </w:pPr>
      <w:r>
        <w:rPr>
          <w:rFonts w:hint="eastAsia" w:ascii="Times New Roman" w:hAnsi="Times New Roman" w:eastAsia="仿宋_GB2312" w:cs="仿宋_GB2312"/>
          <w:color w:val="auto"/>
          <w:sz w:val="32"/>
          <w:szCs w:val="32"/>
          <w:highlight w:val="none"/>
        </w:rPr>
        <w:t>专任教师应具有高校教师资格</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有理想信念、有道德情操、有扎实学识、有仁爱之心</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具有电气工程及其自动化等相关专业本科及以上学历</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具有扎实的本专业相关理论功底和实践能力</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具有较强</w:t>
      </w:r>
      <w:r>
        <w:rPr>
          <w:rFonts w:hint="eastAsia" w:ascii="Times New Roman" w:hAnsi="Times New Roman" w:eastAsia="仿宋_GB2312" w:cs="仿宋_GB2312"/>
          <w:color w:val="auto"/>
          <w:sz w:val="32"/>
          <w:szCs w:val="32"/>
          <w:highlight w:val="none"/>
          <w:lang w:val="en-US" w:eastAsia="zh-CN"/>
        </w:rPr>
        <w:t>的</w:t>
      </w:r>
      <w:r>
        <w:rPr>
          <w:rFonts w:hint="eastAsia" w:ascii="Times New Roman" w:hAnsi="Times New Roman" w:eastAsia="仿宋_GB2312" w:cs="仿宋_GB2312"/>
          <w:color w:val="auto"/>
          <w:sz w:val="32"/>
          <w:szCs w:val="32"/>
          <w:highlight w:val="none"/>
        </w:rPr>
        <w:t>信息化教学能力，能够开展课程教学改革和科学研究</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有每5年累计不少于6个月的企业实践经历。</w:t>
      </w:r>
    </w:p>
    <w:p w14:paraId="16269CE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36" w:name="_Toc24490"/>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lang w:val="en-US" w:eastAsia="zh-CN"/>
        </w:rPr>
        <w:t>四</w:t>
      </w:r>
      <w:r>
        <w:rPr>
          <w:rFonts w:hint="eastAsia" w:ascii="Times New Roman" w:hAnsi="Times New Roman" w:eastAsia="楷体" w:cs="楷体"/>
          <w:color w:val="auto"/>
          <w:sz w:val="32"/>
          <w:szCs w:val="32"/>
          <w:highlight w:val="none"/>
          <w:lang w:eastAsia="zh-CN"/>
        </w:rPr>
        <w:t>）</w:t>
      </w:r>
      <w:r>
        <w:rPr>
          <w:rFonts w:hint="eastAsia" w:ascii="Times New Roman" w:hAnsi="Times New Roman" w:eastAsia="楷体" w:cs="楷体"/>
          <w:color w:val="auto"/>
          <w:sz w:val="32"/>
          <w:szCs w:val="32"/>
          <w:highlight w:val="none"/>
        </w:rPr>
        <w:t>兼职教师</w:t>
      </w:r>
      <w:bookmarkEnd w:id="36"/>
    </w:p>
    <w:p w14:paraId="3BE6E7F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楷体" w:cs="楷体"/>
          <w:color w:val="auto"/>
          <w:sz w:val="32"/>
          <w:szCs w:val="32"/>
          <w:highlight w:val="none"/>
        </w:rPr>
      </w:pPr>
      <w:r>
        <w:rPr>
          <w:rFonts w:hint="eastAsia" w:ascii="Times New Roman" w:hAnsi="Times New Roman" w:eastAsia="仿宋_GB2312" w:cs="仿宋_GB2312"/>
          <w:color w:val="auto"/>
          <w:sz w:val="32"/>
          <w:szCs w:val="32"/>
          <w:highlight w:val="none"/>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本专业现有兼职教师10人，中级以上职称，承担工厂供配电技术、电气控制与PLC、电力电子技术等课程教学任务。</w:t>
      </w:r>
    </w:p>
    <w:p w14:paraId="4362EEF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楷体" w:cs="楷体"/>
          <w:color w:val="auto"/>
          <w:sz w:val="32"/>
          <w:szCs w:val="32"/>
          <w:highlight w:val="none"/>
        </w:rPr>
      </w:pPr>
      <w:bookmarkStart w:id="37" w:name="_Toc2376"/>
      <w:r>
        <w:rPr>
          <w:rFonts w:hint="eastAsia" w:ascii="Times New Roman" w:hAnsi="Times New Roman" w:eastAsia="黑体" w:cs="黑体"/>
          <w:color w:val="auto"/>
          <w:sz w:val="32"/>
          <w:szCs w:val="32"/>
          <w:highlight w:val="none"/>
          <w:lang w:val="en-US" w:eastAsia="zh-CN"/>
        </w:rPr>
        <w:t>十、教学条件</w:t>
      </w:r>
      <w:bookmarkEnd w:id="37"/>
    </w:p>
    <w:p w14:paraId="4704E5B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38" w:name="_Toc22051"/>
      <w:r>
        <w:rPr>
          <w:rFonts w:hint="eastAsia" w:ascii="Times New Roman" w:hAnsi="Times New Roman" w:eastAsia="楷体" w:cs="楷体"/>
          <w:color w:val="auto"/>
          <w:sz w:val="32"/>
          <w:szCs w:val="32"/>
          <w:highlight w:val="none"/>
        </w:rPr>
        <w:t>（</w:t>
      </w:r>
      <w:r>
        <w:rPr>
          <w:rFonts w:hint="eastAsia" w:ascii="Times New Roman" w:hAnsi="Times New Roman" w:eastAsia="楷体" w:cs="楷体"/>
          <w:color w:val="auto"/>
          <w:sz w:val="32"/>
          <w:szCs w:val="32"/>
          <w:highlight w:val="none"/>
          <w:lang w:val="en-US" w:eastAsia="zh-CN"/>
        </w:rPr>
        <w:t>一</w:t>
      </w:r>
      <w:r>
        <w:rPr>
          <w:rFonts w:hint="eastAsia" w:ascii="Times New Roman" w:hAnsi="Times New Roman" w:eastAsia="楷体" w:cs="楷体"/>
          <w:color w:val="auto"/>
          <w:sz w:val="32"/>
          <w:szCs w:val="32"/>
          <w:highlight w:val="none"/>
        </w:rPr>
        <w:t>）教学设施</w:t>
      </w:r>
      <w:bookmarkEnd w:id="38"/>
    </w:p>
    <w:p w14:paraId="5652F93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教学设施主要包括能够满足正常的课程教学、实习实训所需的专业教室、校内实训室和校外实训基地等。</w:t>
      </w:r>
    </w:p>
    <w:p w14:paraId="1A1A8CE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1.专业教室要求</w:t>
      </w:r>
    </w:p>
    <w:p w14:paraId="63BD9A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学校为该专业配备公共教室（配备有多媒体设施）、多媒体教室等，满足理论教学要求。</w:t>
      </w:r>
    </w:p>
    <w:p w14:paraId="272DA89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14:paraId="22BE95D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2.校内实训资源</w:t>
      </w:r>
    </w:p>
    <w:p w14:paraId="7B45C9F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学校建有多个与电气自动化技术专业紧密相关的校内实训室，如电力拖动实训室、电工基础实训室等。这些实训室配备了先进的实训设备，包括各种类型的电气控制柜、可编程逻辑控制器（PLC）、工业机器人、传感器与检测仪器等，能够满足学生进行电气控制、自动化系统集成、工业机器人操作与编程等课程的实践操作需求。同时，学校安排了经验丰富的实训指导教师，对学生进行全程指导，确保实训教学的质量和效果。</w:t>
      </w:r>
    </w:p>
    <w:p w14:paraId="3ACBB188">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 xml:space="preserve"> </w:t>
      </w:r>
      <w:r>
        <w:rPr>
          <w:rFonts w:hint="eastAsia" w:ascii="Times New Roman" w:hAnsi="Times New Roman" w:eastAsia="仿宋_GB2312" w:cs="仿宋_GB2312"/>
          <w:color w:val="auto"/>
          <w:kern w:val="0"/>
          <w:sz w:val="32"/>
          <w:szCs w:val="32"/>
          <w:highlight w:val="none"/>
        </w:rPr>
        <w:t>校内实训资源列表</w:t>
      </w:r>
    </w:p>
    <w:tbl>
      <w:tblPr>
        <w:tblStyle w:val="12"/>
        <w:tblW w:w="10491"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1337"/>
        <w:gridCol w:w="1355"/>
        <w:gridCol w:w="3150"/>
        <w:gridCol w:w="2866"/>
        <w:gridCol w:w="960"/>
      </w:tblGrid>
      <w:tr w14:paraId="507E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7" w:type="dxa"/>
            <w:vAlign w:val="center"/>
          </w:tcPr>
          <w:p w14:paraId="628FF495">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序号</w:t>
            </w:r>
          </w:p>
        </w:tc>
        <w:tc>
          <w:tcPr>
            <w:tcW w:w="1293" w:type="dxa"/>
            <w:vAlign w:val="center"/>
          </w:tcPr>
          <w:p w14:paraId="40330610">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实验实训室名称</w:t>
            </w:r>
          </w:p>
        </w:tc>
        <w:tc>
          <w:tcPr>
            <w:tcW w:w="1358" w:type="dxa"/>
            <w:vAlign w:val="center"/>
          </w:tcPr>
          <w:p w14:paraId="2D0591EE">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实训适用</w:t>
            </w:r>
          </w:p>
          <w:p w14:paraId="540BE8C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课程</w:t>
            </w:r>
          </w:p>
        </w:tc>
        <w:tc>
          <w:tcPr>
            <w:tcW w:w="3171" w:type="dxa"/>
            <w:vAlign w:val="center"/>
          </w:tcPr>
          <w:p w14:paraId="23ACD4F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实训</w:t>
            </w:r>
          </w:p>
          <w:p w14:paraId="03F34D5E">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项目</w:t>
            </w:r>
          </w:p>
        </w:tc>
        <w:tc>
          <w:tcPr>
            <w:tcW w:w="2878" w:type="dxa"/>
          </w:tcPr>
          <w:p w14:paraId="28C81681">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主要设备名称</w:t>
            </w:r>
          </w:p>
          <w:p w14:paraId="718DF43E">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及配置数量</w:t>
            </w:r>
          </w:p>
        </w:tc>
        <w:tc>
          <w:tcPr>
            <w:tcW w:w="964" w:type="dxa"/>
          </w:tcPr>
          <w:p w14:paraId="27A58EF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p>
          <w:p w14:paraId="306CBD0F">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工位数</w:t>
            </w:r>
          </w:p>
        </w:tc>
      </w:tr>
      <w:tr w14:paraId="724D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8A6F03E">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1293" w:type="dxa"/>
            <w:vAlign w:val="center"/>
          </w:tcPr>
          <w:p w14:paraId="23D71C61">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电力拖动实训室</w:t>
            </w:r>
          </w:p>
        </w:tc>
        <w:tc>
          <w:tcPr>
            <w:tcW w:w="1358" w:type="dxa"/>
            <w:vAlign w:val="top"/>
          </w:tcPr>
          <w:p w14:paraId="37680D44">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i w:val="0"/>
                <w:iCs w:val="0"/>
                <w:color w:val="auto"/>
                <w:kern w:val="0"/>
                <w:sz w:val="24"/>
                <w:szCs w:val="24"/>
                <w:highlight w:val="none"/>
                <w:u w:val="none"/>
                <w:lang w:val="en-US" w:eastAsia="zh-CN" w:bidi="ar"/>
              </w:rPr>
              <w:t>电机调速技术、电机与电气控制、电气测量</w:t>
            </w:r>
          </w:p>
        </w:tc>
        <w:tc>
          <w:tcPr>
            <w:tcW w:w="3171" w:type="dxa"/>
            <w:vAlign w:val="top"/>
          </w:tcPr>
          <w:p w14:paraId="1D98A61A">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日光灯电路、声光控灯电路、吊扇电路、变频器应用、变压器认识、异步电动机空载与堵转、三相异步电动机启动及调速、直流电动机机械特性测试、伺服电动机应用等实训项目。</w:t>
            </w:r>
          </w:p>
        </w:tc>
        <w:tc>
          <w:tcPr>
            <w:tcW w:w="2878" w:type="dxa"/>
            <w:vAlign w:val="top"/>
          </w:tcPr>
          <w:p w14:paraId="67EB8607">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初级电工、电拖实训考核装置10台、电气自动化实训考核鉴定装置2套</w:t>
            </w:r>
          </w:p>
        </w:tc>
        <w:tc>
          <w:tcPr>
            <w:tcW w:w="964" w:type="dxa"/>
            <w:vAlign w:val="center"/>
          </w:tcPr>
          <w:p w14:paraId="33E635E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50</w:t>
            </w:r>
          </w:p>
        </w:tc>
      </w:tr>
      <w:tr w14:paraId="5A4E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1F61C5C">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1293" w:type="dxa"/>
            <w:vAlign w:val="center"/>
          </w:tcPr>
          <w:p w14:paraId="1489F42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电工基础实训室</w:t>
            </w:r>
          </w:p>
        </w:tc>
        <w:tc>
          <w:tcPr>
            <w:tcW w:w="1358" w:type="dxa"/>
            <w:vAlign w:val="top"/>
          </w:tcPr>
          <w:p w14:paraId="532094CC">
            <w:pPr>
              <w:keepNext w:val="0"/>
              <w:keepLines w:val="0"/>
              <w:pageBreakBefore w:val="0"/>
              <w:widowControl w:val="0"/>
              <w:kinsoku/>
              <w:wordWrap/>
              <w:overflowPunct w:val="0"/>
              <w:topLinePunct w:val="0"/>
              <w:autoSpaceDE/>
              <w:autoSpaceDN/>
              <w:bidi w:val="0"/>
              <w:adjustRightInd w:val="0"/>
              <w:snapToGrid/>
              <w:spacing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电气测量、初级维修电工实训、中级维修电工实训</w:t>
            </w:r>
          </w:p>
        </w:tc>
        <w:tc>
          <w:tcPr>
            <w:tcW w:w="3171" w:type="dxa"/>
            <w:vAlign w:val="top"/>
          </w:tcPr>
          <w:p w14:paraId="7A7DE11A">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电气测量实验与实训</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基本电气控制线路设计实训基本电气控制线路的接线实训</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基本电气控制线路的检测实训</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电动机结构认识实训</w:t>
            </w:r>
            <w:r>
              <w:rPr>
                <w:rFonts w:hint="eastAsia" w:ascii="Times New Roman" w:hAnsi="Times New Roman" w:eastAsia="仿宋_GB2312" w:cs="仿宋_GB2312"/>
                <w:color w:val="auto"/>
                <w:sz w:val="24"/>
                <w:szCs w:val="24"/>
                <w:highlight w:val="none"/>
                <w:lang w:eastAsia="zh-CN"/>
              </w:rPr>
              <w:t>、</w:t>
            </w:r>
          </w:p>
          <w:p w14:paraId="557226C0">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电动机参数的测量实训</w:t>
            </w:r>
            <w:r>
              <w:rPr>
                <w:rFonts w:hint="eastAsia" w:ascii="Times New Roman" w:hAnsi="Times New Roman" w:eastAsia="仿宋_GB2312" w:cs="仿宋_GB2312"/>
                <w:color w:val="auto"/>
                <w:sz w:val="24"/>
                <w:szCs w:val="24"/>
                <w:highlight w:val="none"/>
                <w:lang w:eastAsia="zh-CN"/>
              </w:rPr>
              <w:t>。</w:t>
            </w:r>
          </w:p>
        </w:tc>
        <w:tc>
          <w:tcPr>
            <w:tcW w:w="2878" w:type="dxa"/>
            <w:vAlign w:val="top"/>
          </w:tcPr>
          <w:p w14:paraId="3B9C69B7">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传感器实验箱8台、多功能电学实验与实训考核台13台、心肺急救复苏模型1台</w:t>
            </w:r>
          </w:p>
        </w:tc>
        <w:tc>
          <w:tcPr>
            <w:tcW w:w="964" w:type="dxa"/>
            <w:vAlign w:val="center"/>
          </w:tcPr>
          <w:p w14:paraId="50B88F12">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50</w:t>
            </w:r>
          </w:p>
        </w:tc>
      </w:tr>
      <w:tr w14:paraId="51F7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811198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3</w:t>
            </w:r>
          </w:p>
        </w:tc>
        <w:tc>
          <w:tcPr>
            <w:tcW w:w="1293" w:type="dxa"/>
            <w:vAlign w:val="center"/>
          </w:tcPr>
          <w:p w14:paraId="39A7EC26">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电子技术实验实训室</w:t>
            </w:r>
          </w:p>
        </w:tc>
        <w:tc>
          <w:tcPr>
            <w:tcW w:w="1358" w:type="dxa"/>
            <w:vAlign w:val="top"/>
          </w:tcPr>
          <w:p w14:paraId="588B5B8A">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lang w:eastAsia="zh-CN"/>
              </w:rPr>
              <w:t>电工基础、</w:t>
            </w:r>
            <w:r>
              <w:rPr>
                <w:rFonts w:hint="eastAsia" w:ascii="Times New Roman" w:hAnsi="Times New Roman" w:eastAsia="仿宋_GB2312" w:cs="仿宋_GB2312"/>
                <w:color w:val="auto"/>
                <w:sz w:val="24"/>
                <w:szCs w:val="24"/>
                <w:highlight w:val="none"/>
              </w:rPr>
              <w:t>电子技术</w:t>
            </w:r>
            <w:r>
              <w:rPr>
                <w:rFonts w:hint="eastAsia" w:ascii="Times New Roman" w:hAnsi="Times New Roman" w:eastAsia="仿宋_GB2312" w:cs="仿宋_GB2312"/>
                <w:color w:val="auto"/>
                <w:sz w:val="24"/>
                <w:szCs w:val="24"/>
                <w:highlight w:val="none"/>
                <w:lang w:eastAsia="zh-CN"/>
              </w:rPr>
              <w:t>、电力电子技术</w:t>
            </w:r>
          </w:p>
        </w:tc>
        <w:tc>
          <w:tcPr>
            <w:tcW w:w="3171" w:type="dxa"/>
            <w:vAlign w:val="top"/>
          </w:tcPr>
          <w:p w14:paraId="6AB6B03A">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基本电学参数的测量</w:t>
            </w:r>
            <w:r>
              <w:rPr>
                <w:rFonts w:hint="eastAsia" w:ascii="Times New Roman" w:hAnsi="Times New Roman" w:eastAsia="仿宋_GB2312" w:cs="仿宋_GB2312"/>
                <w:color w:val="auto"/>
                <w:sz w:val="24"/>
                <w:szCs w:val="24"/>
                <w:highlight w:val="none"/>
                <w:lang w:eastAsia="zh-CN"/>
              </w:rPr>
              <w:t>、</w:t>
            </w:r>
          </w:p>
          <w:p w14:paraId="2A4BE423">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color w:val="auto"/>
                <w:sz w:val="24"/>
                <w:szCs w:val="24"/>
                <w:highlight w:val="none"/>
              </w:rPr>
              <w:t>模拟电子线路实验</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数字电子线路实验</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高频电子线路实验</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电力电子技术实验</w:t>
            </w:r>
            <w:r>
              <w:rPr>
                <w:rFonts w:hint="eastAsia" w:ascii="Times New Roman" w:hAnsi="Times New Roman" w:eastAsia="仿宋_GB2312" w:cs="仿宋_GB2312"/>
                <w:color w:val="auto"/>
                <w:sz w:val="24"/>
                <w:szCs w:val="24"/>
                <w:highlight w:val="none"/>
                <w:lang w:eastAsia="zh-CN"/>
              </w:rPr>
              <w:t>。</w:t>
            </w:r>
          </w:p>
          <w:p w14:paraId="060BB799">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p>
        </w:tc>
        <w:tc>
          <w:tcPr>
            <w:tcW w:w="2878" w:type="dxa"/>
            <w:vAlign w:val="top"/>
          </w:tcPr>
          <w:p w14:paraId="65857093">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数字电路试验箱20个、RF宽带扫频仪1个、交流毫伏表6台、LCR数字电桥5台、通信系统原理实验系统8套、多功能电学实验与实训考核台13台、数字存储示波器9、虚拟示波器9台、数字示波器2台、函数信号发生器3台、自动失真测试仪1台、微型电子计算机8台</w:t>
            </w:r>
          </w:p>
        </w:tc>
        <w:tc>
          <w:tcPr>
            <w:tcW w:w="964" w:type="dxa"/>
            <w:vAlign w:val="center"/>
          </w:tcPr>
          <w:p w14:paraId="107E0645">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50</w:t>
            </w:r>
          </w:p>
        </w:tc>
      </w:tr>
      <w:tr w14:paraId="149E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94C5AFA">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1293" w:type="dxa"/>
            <w:vAlign w:val="center"/>
          </w:tcPr>
          <w:p w14:paraId="1290406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CAD/CAM实验实训室</w:t>
            </w:r>
          </w:p>
        </w:tc>
        <w:tc>
          <w:tcPr>
            <w:tcW w:w="1358" w:type="dxa"/>
            <w:vAlign w:val="top"/>
          </w:tcPr>
          <w:p w14:paraId="01E7EF0F">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电子CAD</w:t>
            </w:r>
            <w:r>
              <w:rPr>
                <w:rFonts w:hint="eastAsia" w:ascii="Times New Roman" w:hAnsi="Times New Roman" w:eastAsia="仿宋_GB2312" w:cs="仿宋_GB2312"/>
                <w:color w:val="auto"/>
                <w:sz w:val="24"/>
                <w:szCs w:val="24"/>
                <w:highlight w:val="none"/>
                <w:lang w:eastAsia="zh-CN"/>
              </w:rPr>
              <w:t>、电气制图</w:t>
            </w:r>
          </w:p>
        </w:tc>
        <w:tc>
          <w:tcPr>
            <w:tcW w:w="3171" w:type="dxa"/>
            <w:vAlign w:val="top"/>
          </w:tcPr>
          <w:p w14:paraId="55A15FDD">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CAD制图</w:t>
            </w:r>
          </w:p>
        </w:tc>
        <w:tc>
          <w:tcPr>
            <w:tcW w:w="2878" w:type="dxa"/>
            <w:vAlign w:val="top"/>
          </w:tcPr>
          <w:p w14:paraId="35CA3BF1">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rPr>
              <w:t>服务器1台、交换机1台以及可运行</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AutoCAD、博奥、广联达教学软件的计算机80台</w:t>
            </w:r>
          </w:p>
        </w:tc>
        <w:tc>
          <w:tcPr>
            <w:tcW w:w="964" w:type="dxa"/>
            <w:vAlign w:val="center"/>
          </w:tcPr>
          <w:p w14:paraId="6B19DFE7">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50</w:t>
            </w:r>
          </w:p>
        </w:tc>
      </w:tr>
      <w:tr w14:paraId="64FF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9BFF7D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5</w:t>
            </w:r>
          </w:p>
        </w:tc>
        <w:tc>
          <w:tcPr>
            <w:tcW w:w="1293" w:type="dxa"/>
            <w:vAlign w:val="center"/>
          </w:tcPr>
          <w:p w14:paraId="62856781">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自动控制实验实训室</w:t>
            </w:r>
          </w:p>
        </w:tc>
        <w:tc>
          <w:tcPr>
            <w:tcW w:w="1358" w:type="dxa"/>
            <w:vAlign w:val="top"/>
          </w:tcPr>
          <w:p w14:paraId="462FCC30">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PLC</w:t>
            </w:r>
            <w:r>
              <w:rPr>
                <w:rFonts w:hint="eastAsia" w:ascii="Times New Roman" w:hAnsi="Times New Roman" w:eastAsia="仿宋_GB2312" w:cs="仿宋_GB2312"/>
                <w:color w:val="auto"/>
                <w:sz w:val="24"/>
                <w:szCs w:val="24"/>
                <w:highlight w:val="none"/>
                <w:lang w:val="en-US" w:eastAsia="zh-CN"/>
              </w:rPr>
              <w:t>技术与应用</w:t>
            </w:r>
            <w:r>
              <w:rPr>
                <w:rFonts w:hint="eastAsia" w:ascii="Times New Roman" w:hAnsi="Times New Roman" w:eastAsia="仿宋_GB2312" w:cs="仿宋_GB2312"/>
                <w:color w:val="auto"/>
                <w:sz w:val="24"/>
                <w:szCs w:val="24"/>
                <w:highlight w:val="none"/>
              </w:rPr>
              <w:t>、单片机技术</w:t>
            </w:r>
          </w:p>
        </w:tc>
        <w:tc>
          <w:tcPr>
            <w:tcW w:w="3171" w:type="dxa"/>
            <w:vAlign w:val="top"/>
          </w:tcPr>
          <w:p w14:paraId="468A1943">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控制系统认识实训</w:t>
            </w:r>
          </w:p>
          <w:p w14:paraId="5E5EE674">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PLC与单片机认识实训PLC应用实训</w:t>
            </w:r>
          </w:p>
          <w:p w14:paraId="02A5C789">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单片机应用实训</w:t>
            </w:r>
          </w:p>
        </w:tc>
        <w:tc>
          <w:tcPr>
            <w:tcW w:w="2878" w:type="dxa"/>
            <w:vAlign w:val="top"/>
          </w:tcPr>
          <w:p w14:paraId="349117BD">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微型计算机6套、单片机实验开发系统综合装置6套、多合一单片机微机实验仪8台</w:t>
            </w:r>
            <w:r>
              <w:rPr>
                <w:rFonts w:hint="eastAsia" w:ascii="Times New Roman" w:hAnsi="Times New Roman" w:eastAsia="仿宋_GB2312" w:cs="仿宋_GB2312"/>
                <w:color w:val="auto"/>
                <w:sz w:val="24"/>
                <w:szCs w:val="24"/>
                <w:highlight w:val="none"/>
                <w:lang w:eastAsia="zh-CN"/>
              </w:rPr>
              <w:t>、</w:t>
            </w:r>
            <w:r>
              <w:rPr>
                <w:rFonts w:hint="eastAsia" w:ascii="Times New Roman" w:hAnsi="Times New Roman" w:eastAsia="仿宋_GB2312" w:cs="仿宋_GB2312"/>
                <w:color w:val="auto"/>
                <w:sz w:val="24"/>
                <w:szCs w:val="24"/>
                <w:highlight w:val="none"/>
              </w:rPr>
              <w:t>DDS函数信号发生器1台</w:t>
            </w:r>
          </w:p>
        </w:tc>
        <w:tc>
          <w:tcPr>
            <w:tcW w:w="964" w:type="dxa"/>
            <w:vAlign w:val="center"/>
          </w:tcPr>
          <w:p w14:paraId="4F78225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szCs w:val="24"/>
                <w:highlight w:val="none"/>
                <w:lang w:val="en-US" w:eastAsia="zh-CN"/>
              </w:rPr>
            </w:pPr>
            <w:r>
              <w:rPr>
                <w:rFonts w:hint="eastAsia" w:ascii="Times New Roman" w:hAnsi="Times New Roman" w:eastAsia="仿宋_GB2312" w:cs="仿宋_GB2312"/>
                <w:color w:val="auto"/>
                <w:sz w:val="24"/>
                <w:szCs w:val="24"/>
                <w:highlight w:val="none"/>
                <w:lang w:val="en-US" w:eastAsia="zh-CN"/>
              </w:rPr>
              <w:t>30</w:t>
            </w:r>
          </w:p>
        </w:tc>
      </w:tr>
    </w:tbl>
    <w:p w14:paraId="485772C0">
      <w:pPr>
        <w:keepNext/>
        <w:keepLines/>
        <w:pageBreakBefore w:val="0"/>
        <w:widowControl/>
        <w:kinsoku/>
        <w:wordWrap/>
        <w:overflowPunct/>
        <w:topLinePunct w:val="0"/>
        <w:autoSpaceDE/>
        <w:autoSpaceDN/>
        <w:bidi w:val="0"/>
        <w:adjustRightInd/>
        <w:snapToGrid/>
        <w:spacing w:before="0"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3.校外实训资源</w:t>
      </w:r>
    </w:p>
    <w:p w14:paraId="1141B04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（1）校外实训基地基本要求</w:t>
      </w:r>
    </w:p>
    <w:p w14:paraId="73CEF12A">
      <w:pPr>
        <w:pStyle w:val="18"/>
        <w:keepNext w:val="0"/>
        <w:keepLines w:val="0"/>
        <w:pageBreakBefore w:val="0"/>
        <w:widowControl w:val="0"/>
        <w:kinsoku/>
        <w:wordWrap/>
        <w:overflowPunct/>
        <w:topLinePunct w:val="0"/>
        <w:autoSpaceDE/>
        <w:autoSpaceDN/>
        <w:bidi w:val="0"/>
        <w:adjustRightInd/>
        <w:snapToGrid/>
        <w:spacing w:after="0"/>
        <w:textAlignment w:val="auto"/>
        <w:rPr>
          <w:rFonts w:hint="eastAsia" w:ascii="Times New Roman" w:hAnsi="Times New Roman" w:eastAsia="仿宋_GB2312" w:cs="仿宋_GB2312"/>
          <w:color w:val="auto"/>
          <w:sz w:val="32"/>
          <w:szCs w:val="32"/>
          <w:highlight w:val="none"/>
        </w:rPr>
      </w:pPr>
      <w:r>
        <w:rPr>
          <w:rFonts w:ascii="Times New Roman" w:hAnsi="Times New Roman" w:cs="仿宋_GB2312"/>
          <w:color w:val="auto"/>
          <w:highlight w:val="none"/>
        </w:rPr>
        <w:t>具有稳定的校外实训基地2个以上，能够开展电气焊接、设备维护等实训活动。实训设施齐备，实训岗位、实训指导教师确定，实训管理及实施规章制度齐全。</w:t>
      </w:r>
    </w:p>
    <w:p w14:paraId="268D7660">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学生实习基地基本要求</w:t>
      </w:r>
    </w:p>
    <w:p w14:paraId="52EE5801">
      <w:pPr>
        <w:pStyle w:val="18"/>
        <w:keepNext w:val="0"/>
        <w:keepLines w:val="0"/>
        <w:pageBreakBefore w:val="0"/>
        <w:widowControl w:val="0"/>
        <w:kinsoku/>
        <w:wordWrap/>
        <w:overflowPunct/>
        <w:topLinePunct w:val="0"/>
        <w:autoSpaceDE/>
        <w:autoSpaceDN/>
        <w:bidi w:val="0"/>
        <w:adjustRightInd/>
        <w:snapToGrid/>
        <w:spacing w:after="0"/>
        <w:textAlignment w:val="auto"/>
        <w:rPr>
          <w:rFonts w:hint="eastAsia" w:ascii="Times New Roman" w:hAnsi="Times New Roman" w:cs="仿宋_GB2312"/>
          <w:color w:val="auto"/>
          <w:highlight w:val="none"/>
        </w:rPr>
      </w:pPr>
      <w:r>
        <w:rPr>
          <w:rFonts w:ascii="Times New Roman" w:hAnsi="Times New Roman" w:cs="仿宋_GB2312"/>
          <w:color w:val="auto"/>
          <w:highlight w:val="none"/>
        </w:rPr>
        <w:t>具有稳定的校外实习基地2个以上，能提供电子产品设计、电气设备维护等相关实习岗位，能涵盖当前相关产业的主流技术，可接纳一定规模的学生实习</w:t>
      </w:r>
      <w:r>
        <w:rPr>
          <w:rFonts w:hint="eastAsia" w:ascii="Times New Roman" w:hAnsi="Times New Roman" w:cs="仿宋_GB2312"/>
          <w:color w:val="auto"/>
          <w:highlight w:val="none"/>
          <w:lang w:eastAsia="zh-CN"/>
        </w:rPr>
        <w:t>；</w:t>
      </w:r>
      <w:r>
        <w:rPr>
          <w:rFonts w:ascii="Times New Roman" w:hAnsi="Times New Roman" w:cs="仿宋_GB2312"/>
          <w:color w:val="auto"/>
          <w:highlight w:val="none"/>
        </w:rPr>
        <w:t>能够配备相应数量的指导教师对学生实习进行指导和管理</w:t>
      </w:r>
      <w:r>
        <w:rPr>
          <w:rFonts w:hint="eastAsia" w:ascii="Times New Roman" w:hAnsi="Times New Roman" w:cs="仿宋_GB2312"/>
          <w:color w:val="auto"/>
          <w:highlight w:val="none"/>
          <w:lang w:eastAsia="zh-CN"/>
        </w:rPr>
        <w:t>；</w:t>
      </w:r>
      <w:r>
        <w:rPr>
          <w:rFonts w:ascii="Times New Roman" w:hAnsi="Times New Roman" w:cs="仿宋_GB2312"/>
          <w:color w:val="auto"/>
          <w:highlight w:val="none"/>
        </w:rPr>
        <w:t>有保证实习生日常工作、学习、生活的规章制度，有安全、保险保障。</w:t>
      </w:r>
    </w:p>
    <w:p w14:paraId="21EE12FB">
      <w:pPr>
        <w:pageBreakBefore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表1</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 xml:space="preserve"> 校外实习基地一览表</w:t>
      </w:r>
    </w:p>
    <w:tbl>
      <w:tblPr>
        <w:tblStyle w:val="12"/>
        <w:tblW w:w="10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215"/>
        <w:gridCol w:w="1215"/>
        <w:gridCol w:w="5768"/>
        <w:gridCol w:w="1312"/>
      </w:tblGrid>
      <w:tr w14:paraId="68E3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vAlign w:val="center"/>
          </w:tcPr>
          <w:p w14:paraId="2A92A3C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序号</w:t>
            </w:r>
          </w:p>
        </w:tc>
        <w:tc>
          <w:tcPr>
            <w:tcW w:w="1215" w:type="dxa"/>
            <w:vAlign w:val="center"/>
          </w:tcPr>
          <w:p w14:paraId="70DC4FD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校外实习基地名称</w:t>
            </w:r>
          </w:p>
        </w:tc>
        <w:tc>
          <w:tcPr>
            <w:tcW w:w="1215" w:type="dxa"/>
            <w:vAlign w:val="center"/>
          </w:tcPr>
          <w:p w14:paraId="2BF7221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合作企业名称</w:t>
            </w:r>
          </w:p>
        </w:tc>
        <w:tc>
          <w:tcPr>
            <w:tcW w:w="5768" w:type="dxa"/>
            <w:vAlign w:val="center"/>
          </w:tcPr>
          <w:p w14:paraId="4F1CED3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rPr>
              <w:t>合作</w:t>
            </w:r>
            <w:r>
              <w:rPr>
                <w:rFonts w:hint="eastAsia" w:ascii="Times New Roman" w:hAnsi="Times New Roman" w:eastAsia="仿宋_GB2312" w:cs="仿宋_GB2312"/>
                <w:color w:val="auto"/>
                <w:sz w:val="24"/>
                <w:lang w:val="en-US" w:eastAsia="zh-CN"/>
              </w:rPr>
              <w:t>内容</w:t>
            </w:r>
          </w:p>
        </w:tc>
        <w:tc>
          <w:tcPr>
            <w:tcW w:w="1312" w:type="dxa"/>
            <w:vAlign w:val="center"/>
          </w:tcPr>
          <w:p w14:paraId="672ED5F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highlight w:val="none"/>
              </w:rPr>
            </w:pPr>
            <w:r>
              <w:rPr>
                <w:rFonts w:hint="eastAsia" w:ascii="Times New Roman" w:hAnsi="Times New Roman" w:eastAsia="仿宋_GB2312" w:cs="仿宋_GB2312"/>
                <w:color w:val="auto"/>
                <w:sz w:val="24"/>
                <w:highlight w:val="none"/>
              </w:rPr>
              <w:t>接纳学生实习人次</w:t>
            </w:r>
          </w:p>
        </w:tc>
      </w:tr>
      <w:tr w14:paraId="4F5E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89" w:type="dxa"/>
            <w:vAlign w:val="center"/>
          </w:tcPr>
          <w:p w14:paraId="6785D63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1</w:t>
            </w:r>
          </w:p>
        </w:tc>
        <w:tc>
          <w:tcPr>
            <w:tcW w:w="1215" w:type="dxa"/>
            <w:vAlign w:val="center"/>
          </w:tcPr>
          <w:p w14:paraId="1C72A30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广西工程职业学院</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rPr>
              <w:t>技术专业校外实习基地</w:t>
            </w:r>
          </w:p>
        </w:tc>
        <w:tc>
          <w:tcPr>
            <w:tcW w:w="1215" w:type="dxa"/>
            <w:vAlign w:val="center"/>
          </w:tcPr>
          <w:p w14:paraId="045B7FC4">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广东华勤技术有限公司</w:t>
            </w:r>
          </w:p>
        </w:tc>
        <w:tc>
          <w:tcPr>
            <w:tcW w:w="5768" w:type="dxa"/>
            <w:vAlign w:val="top"/>
          </w:tcPr>
          <w:p w14:paraId="78BE6739">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1.接纳学生实习实训：提供</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lang w:eastAsia="zh-CN"/>
              </w:rPr>
              <w:t>技术相关实习岗位；</w:t>
            </w:r>
          </w:p>
          <w:p w14:paraId="7B90D221">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2.实践指导：选派具备丰富电气自动化技术实操经验的企业导师担任实习指导教师，对学生进行一对一或一对多的专业指导；</w:t>
            </w:r>
          </w:p>
          <w:p w14:paraId="536F1064">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3.教学观摩：允许学生观摩学习企业专业团队的项目开发流程、技术应用及团队协作经验；</w:t>
            </w:r>
          </w:p>
          <w:p w14:paraId="3AAE9889">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4.实践评价：参与学生实习成绩的评定，提供真实客观的实习评价意见；</w:t>
            </w:r>
          </w:p>
          <w:p w14:paraId="63553C9A">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eastAsia="zh-CN"/>
              </w:rPr>
              <w:t>5.提供教师实践岗位。</w:t>
            </w:r>
          </w:p>
        </w:tc>
        <w:tc>
          <w:tcPr>
            <w:tcW w:w="1312" w:type="dxa"/>
            <w:vAlign w:val="center"/>
          </w:tcPr>
          <w:p w14:paraId="5E481AA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val="en-US" w:eastAsia="zh-CN"/>
              </w:rPr>
              <w:t>120</w:t>
            </w:r>
          </w:p>
        </w:tc>
      </w:tr>
      <w:tr w14:paraId="3600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9" w:type="dxa"/>
            <w:vAlign w:val="center"/>
          </w:tcPr>
          <w:p w14:paraId="0346090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2</w:t>
            </w:r>
          </w:p>
        </w:tc>
        <w:tc>
          <w:tcPr>
            <w:tcW w:w="1215" w:type="dxa"/>
            <w:vAlign w:val="center"/>
          </w:tcPr>
          <w:p w14:paraId="27A896D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广西工程职业学院</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rPr>
              <w:t>技术专业校外实习基地</w:t>
            </w:r>
          </w:p>
        </w:tc>
        <w:tc>
          <w:tcPr>
            <w:tcW w:w="1215" w:type="dxa"/>
            <w:vAlign w:val="center"/>
          </w:tcPr>
          <w:p w14:paraId="0A61E8A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广东新能德科技有限公司</w:t>
            </w:r>
          </w:p>
        </w:tc>
        <w:tc>
          <w:tcPr>
            <w:tcW w:w="5768" w:type="dxa"/>
            <w:vAlign w:val="top"/>
          </w:tcPr>
          <w:p w14:paraId="04F6EF7D">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1.接纳学生实习实训：提供</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lang w:eastAsia="zh-CN"/>
              </w:rPr>
              <w:t>技术应用相关实习岗位；</w:t>
            </w:r>
          </w:p>
          <w:p w14:paraId="3BFE990C">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2.实践指导：选派经验丰富的</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lang w:eastAsia="zh-CN"/>
              </w:rPr>
              <w:t>技术专业工程师担任实习指导教师，对学生进行专业技能与项目实操双轨指导；</w:t>
            </w:r>
          </w:p>
          <w:p w14:paraId="6A9E95F3">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3.教学观摩：允许学生观摩学习专业技术方法和项目管理经验；</w:t>
            </w:r>
          </w:p>
          <w:p w14:paraId="26CFFD29">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4.实践评价：参与学生实习成绩的评定，提供真实客观的实习评价意见；</w:t>
            </w:r>
          </w:p>
          <w:p w14:paraId="2520C97D">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eastAsia="zh-CN"/>
              </w:rPr>
              <w:t>5.提供教师实践岗位。</w:t>
            </w:r>
          </w:p>
        </w:tc>
        <w:tc>
          <w:tcPr>
            <w:tcW w:w="1312" w:type="dxa"/>
            <w:vAlign w:val="center"/>
          </w:tcPr>
          <w:p w14:paraId="132C7DA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val="en-US" w:eastAsia="zh-CN"/>
              </w:rPr>
              <w:t>100</w:t>
            </w:r>
          </w:p>
        </w:tc>
      </w:tr>
      <w:tr w14:paraId="78C4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89" w:type="dxa"/>
            <w:vAlign w:val="center"/>
          </w:tcPr>
          <w:p w14:paraId="792C4E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3</w:t>
            </w:r>
          </w:p>
        </w:tc>
        <w:tc>
          <w:tcPr>
            <w:tcW w:w="1215" w:type="dxa"/>
            <w:vAlign w:val="center"/>
          </w:tcPr>
          <w:p w14:paraId="702CF4F0">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广西工程职业学院</w:t>
            </w:r>
            <w:r>
              <w:rPr>
                <w:rFonts w:hint="eastAsia" w:ascii="Times New Roman" w:hAnsi="Times New Roman" w:eastAsia="仿宋_GB2312" w:cs="仿宋_GB2312"/>
                <w:color w:val="auto"/>
                <w:sz w:val="24"/>
                <w:lang w:val="en-US" w:eastAsia="zh-CN"/>
              </w:rPr>
              <w:t>电气自动化</w:t>
            </w:r>
            <w:r>
              <w:rPr>
                <w:rFonts w:hint="eastAsia" w:ascii="Times New Roman" w:hAnsi="Times New Roman" w:eastAsia="仿宋_GB2312" w:cs="仿宋_GB2312"/>
                <w:color w:val="auto"/>
                <w:sz w:val="24"/>
              </w:rPr>
              <w:t>技术专业校外实习基地</w:t>
            </w:r>
          </w:p>
        </w:tc>
        <w:tc>
          <w:tcPr>
            <w:tcW w:w="1215" w:type="dxa"/>
            <w:vAlign w:val="center"/>
          </w:tcPr>
          <w:p w14:paraId="0B38F31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val="en-US" w:eastAsia="zh-CN"/>
              </w:rPr>
              <w:t>广西阳戈新能源投资有限公司</w:t>
            </w:r>
          </w:p>
        </w:tc>
        <w:tc>
          <w:tcPr>
            <w:tcW w:w="5768" w:type="dxa"/>
            <w:vAlign w:val="top"/>
          </w:tcPr>
          <w:p w14:paraId="79C01966">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1.接纳学生实习实训：提供新能源行业大数据分析相关实习岗位，安排学生参与行业数据采集、能耗数据分析、大数据预测建模等实践工作；</w:t>
            </w:r>
          </w:p>
          <w:p w14:paraId="3DA0BBE2">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2.实践指导：选派兼具行业经验与技术能力的企业导师担任实习指导教师，对学生进行行业场景下的电气自动化技术实操指导；</w:t>
            </w:r>
          </w:p>
          <w:p w14:paraId="394E7751">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3.教学观摩：允许学生观摩学习行业大数据应用逻辑、分析方法及项目落地经验；</w:t>
            </w:r>
          </w:p>
          <w:p w14:paraId="4C28EC6E">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eastAsia="zh-CN"/>
              </w:rPr>
              <w:t>4.实践评价：参与学生实习成绩的评定，提供真实客观的实习评价意见；</w:t>
            </w:r>
          </w:p>
          <w:p w14:paraId="3B50FBD6">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lang w:eastAsia="zh-CN"/>
              </w:rPr>
              <w:t>5.提供教师实践岗位。</w:t>
            </w:r>
          </w:p>
        </w:tc>
        <w:tc>
          <w:tcPr>
            <w:tcW w:w="1312" w:type="dxa"/>
            <w:vAlign w:val="center"/>
          </w:tcPr>
          <w:p w14:paraId="0C57C6C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rPr>
              <w:t>50</w:t>
            </w:r>
          </w:p>
        </w:tc>
      </w:tr>
      <w:tr w14:paraId="69FF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789" w:type="dxa"/>
            <w:vAlign w:val="center"/>
          </w:tcPr>
          <w:p w14:paraId="747708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4</w:t>
            </w:r>
          </w:p>
        </w:tc>
        <w:tc>
          <w:tcPr>
            <w:tcW w:w="1215" w:type="dxa"/>
            <w:vAlign w:val="top"/>
          </w:tcPr>
          <w:p w14:paraId="10A5800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广西工程职业学院电气自动化技术专业校外实习基地</w:t>
            </w:r>
          </w:p>
        </w:tc>
        <w:tc>
          <w:tcPr>
            <w:tcW w:w="1215" w:type="dxa"/>
            <w:vAlign w:val="top"/>
          </w:tcPr>
          <w:p w14:paraId="1F1B58F9">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广西大生电力设备有限公司</w:t>
            </w:r>
          </w:p>
        </w:tc>
        <w:tc>
          <w:tcPr>
            <w:tcW w:w="5768" w:type="dxa"/>
            <w:vAlign w:val="center"/>
          </w:tcPr>
          <w:p w14:paraId="732CE56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1.接纳学生实习实训：提供电气自动化技术相关实习岗位，安排学生参与电力设备装配、电气线路布线、设备检测调试、电力系统基础运维等实践工作；</w:t>
            </w:r>
          </w:p>
          <w:p w14:paraId="54A5360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2.实践指导：选派具备丰富电力设备研发</w:t>
            </w:r>
            <w:r>
              <w:rPr>
                <w:rFonts w:hint="eastAsia" w:eastAsia="仿宋_GB2312" w:cs="仿宋_GB2312"/>
                <w:color w:val="auto"/>
                <w:kern w:val="2"/>
                <w:sz w:val="24"/>
                <w:szCs w:val="24"/>
                <w:highlight w:val="none"/>
                <w:lang w:val="en-US" w:eastAsia="zh-CN" w:bidi="ar-SA"/>
              </w:rPr>
              <w:t>、</w:t>
            </w:r>
            <w:r>
              <w:rPr>
                <w:rFonts w:hint="eastAsia" w:ascii="Times New Roman" w:hAnsi="Times New Roman" w:eastAsia="仿宋_GB2312" w:cs="仿宋_GB2312"/>
                <w:color w:val="auto"/>
                <w:kern w:val="2"/>
                <w:sz w:val="24"/>
                <w:szCs w:val="24"/>
                <w:highlight w:val="none"/>
                <w:lang w:val="en-US" w:eastAsia="zh-CN" w:bidi="ar-SA"/>
              </w:rPr>
              <w:t>技术骨干担任实习指导教师，对学生进行专业实操指导；</w:t>
            </w:r>
          </w:p>
          <w:p w14:paraId="43A4356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3.教学观摩：允许学生观摩学习电气自动化专业技术方法、设备运维流程及行业实操经验；</w:t>
            </w:r>
          </w:p>
          <w:p w14:paraId="42AFE7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4.实践评价：参与学生实习成绩的评定，提供真实客观的实习评价意见；</w:t>
            </w:r>
          </w:p>
          <w:p w14:paraId="110044E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5.提供教师实践岗位。</w:t>
            </w:r>
          </w:p>
        </w:tc>
        <w:tc>
          <w:tcPr>
            <w:tcW w:w="1312" w:type="dxa"/>
            <w:vAlign w:val="center"/>
          </w:tcPr>
          <w:p w14:paraId="47A296E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100</w:t>
            </w:r>
          </w:p>
        </w:tc>
      </w:tr>
      <w:tr w14:paraId="07C2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vAlign w:val="center"/>
          </w:tcPr>
          <w:p w14:paraId="6F2A171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5</w:t>
            </w:r>
          </w:p>
        </w:tc>
        <w:tc>
          <w:tcPr>
            <w:tcW w:w="1215" w:type="dxa"/>
            <w:vAlign w:val="top"/>
          </w:tcPr>
          <w:p w14:paraId="53523AE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广西工程职业学院电气自动化技术专业校外实习基地</w:t>
            </w:r>
          </w:p>
        </w:tc>
        <w:tc>
          <w:tcPr>
            <w:tcW w:w="1215" w:type="dxa"/>
            <w:vAlign w:val="top"/>
          </w:tcPr>
          <w:p w14:paraId="19A25085">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广西润泰铝业有限公司</w:t>
            </w:r>
          </w:p>
        </w:tc>
        <w:tc>
          <w:tcPr>
            <w:tcW w:w="5768" w:type="dxa"/>
            <w:vAlign w:val="center"/>
          </w:tcPr>
          <w:p w14:paraId="3EC75608">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1.接纳学生实习实训：提供铝业生产场景下电气自动化相关实习岗位，安排学生参与铝业生产线电气设备巡检、自动化控制系统维护、设备故障排查、生产数据监测等实践工作；</w:t>
            </w:r>
          </w:p>
          <w:p w14:paraId="3EEC14E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2.实践指导：选派铝业生产自动化领域资深工程师、设备运维专家担任实习指导教师，对学生进行工业场景下电气自动化技术的专业指导；</w:t>
            </w:r>
          </w:p>
          <w:p w14:paraId="0F705215">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3.教学观摩：允许学生观摩学习工业自动化应用技术、设备管理经验及安全生产规范；</w:t>
            </w:r>
          </w:p>
          <w:p w14:paraId="16E7ACD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4.实践评价：参与学生实习成绩的评定，提供真实客观的实习评价意见；</w:t>
            </w:r>
          </w:p>
          <w:p w14:paraId="595D53D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kern w:val="2"/>
                <w:sz w:val="24"/>
                <w:szCs w:val="24"/>
                <w:highlight w:val="none"/>
                <w:lang w:val="en-US" w:eastAsia="zh-CN" w:bidi="ar-SA"/>
              </w:rPr>
              <w:t>5.提供教师实践岗位。</w:t>
            </w:r>
          </w:p>
        </w:tc>
        <w:tc>
          <w:tcPr>
            <w:tcW w:w="1312" w:type="dxa"/>
            <w:vAlign w:val="center"/>
          </w:tcPr>
          <w:p w14:paraId="1E8C5A0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kern w:val="2"/>
                <w:sz w:val="24"/>
                <w:szCs w:val="24"/>
                <w:highlight w:val="none"/>
                <w:lang w:val="en-US" w:eastAsia="zh-CN" w:bidi="ar-SA"/>
              </w:rPr>
            </w:pPr>
            <w:r>
              <w:rPr>
                <w:rFonts w:hint="eastAsia" w:ascii="Times New Roman" w:hAnsi="Times New Roman" w:eastAsia="仿宋_GB2312" w:cs="仿宋_GB2312"/>
                <w:color w:val="auto"/>
                <w:sz w:val="24"/>
                <w:szCs w:val="24"/>
                <w:highlight w:val="none"/>
              </w:rPr>
              <w:t>100</w:t>
            </w:r>
          </w:p>
        </w:tc>
      </w:tr>
    </w:tbl>
    <w:p w14:paraId="61B9C17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39" w:name="_Toc19874"/>
      <w:r>
        <w:rPr>
          <w:rFonts w:hint="eastAsia" w:ascii="Times New Roman" w:hAnsi="Times New Roman" w:eastAsia="楷体" w:cs="楷体"/>
          <w:color w:val="auto"/>
          <w:sz w:val="32"/>
          <w:szCs w:val="32"/>
          <w:highlight w:val="none"/>
        </w:rPr>
        <w:t>（</w:t>
      </w:r>
      <w:r>
        <w:rPr>
          <w:rFonts w:hint="eastAsia" w:ascii="Times New Roman" w:hAnsi="Times New Roman" w:eastAsia="楷体" w:cs="楷体"/>
          <w:color w:val="auto"/>
          <w:sz w:val="32"/>
          <w:szCs w:val="32"/>
          <w:highlight w:val="none"/>
          <w:lang w:val="en-US" w:eastAsia="zh-CN"/>
        </w:rPr>
        <w:t>二</w:t>
      </w:r>
      <w:r>
        <w:rPr>
          <w:rFonts w:hint="eastAsia" w:ascii="Times New Roman" w:hAnsi="Times New Roman" w:eastAsia="楷体" w:cs="楷体"/>
          <w:color w:val="auto"/>
          <w:sz w:val="32"/>
          <w:szCs w:val="32"/>
          <w:highlight w:val="none"/>
        </w:rPr>
        <w:t>）教学资源</w:t>
      </w:r>
      <w:bookmarkEnd w:id="39"/>
    </w:p>
    <w:p w14:paraId="7FE364F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教学资源主要包括能满足学生专业学习、教师专业教学研究和教学实施所需的教材、图书文献及数字教学资源等。</w:t>
      </w:r>
    </w:p>
    <w:p w14:paraId="7F529804">
      <w:pPr>
        <w:keepNext w:val="0"/>
        <w:keepLines w:val="0"/>
        <w:pageBreakBefore w:val="0"/>
        <w:widowControl w:val="0"/>
        <w:kinsoku/>
        <w:wordWrap/>
        <w:overflowPunct w:val="0"/>
        <w:topLinePunct w:val="0"/>
        <w:autoSpaceDE/>
        <w:autoSpaceDN/>
        <w:bidi w:val="0"/>
        <w:adjustRightInd w:val="0"/>
        <w:snapToGrid/>
        <w:spacing w:after="0" w:line="520" w:lineRule="exact"/>
        <w:ind w:firstLine="1056" w:firstLineChars="33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1.教材选用基本要求</w:t>
      </w:r>
    </w:p>
    <w:p w14:paraId="4204C86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Times New Roman" w:hAnsi="Times New Roman" w:eastAsia="仿宋_GB2312" w:cs="仿宋_GB2312"/>
          <w:i w:val="0"/>
          <w:iCs w:val="0"/>
          <w:caps w:val="0"/>
          <w:color w:val="auto"/>
          <w:spacing w:val="0"/>
          <w:sz w:val="32"/>
          <w:szCs w:val="32"/>
          <w:lang w:val="en-US" w:eastAsia="zh-CN"/>
        </w:rPr>
      </w:pPr>
      <w:r>
        <w:rPr>
          <w:rFonts w:hint="eastAsia" w:ascii="Times New Roman" w:hAnsi="Times New Roman" w:eastAsia="仿宋_GB2312" w:cs="仿宋_GB2312"/>
          <w:color w:val="auto"/>
          <w:sz w:val="32"/>
          <w:szCs w:val="32"/>
        </w:rPr>
        <w:t>按照国家规定，优先选用国家规划教材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国家优秀教材</w:t>
      </w:r>
      <w:r>
        <w:rPr>
          <w:rFonts w:hint="eastAsia" w:ascii="Times New Roman" w:hAnsi="Times New Roman"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Times New Roman" w:hAnsi="Times New Roman" w:eastAsia="仿宋_GB2312" w:cs="仿宋_GB2312"/>
          <w:color w:val="auto"/>
          <w:sz w:val="32"/>
          <w:szCs w:val="32"/>
        </w:rPr>
        <w:t>专业课程教材</w:t>
      </w:r>
      <w:r>
        <w:rPr>
          <w:rFonts w:hint="eastAsia" w:ascii="Times New Roman" w:hAnsi="Times New Roman" w:eastAsia="仿宋_GB2312" w:cs="仿宋_GB2312"/>
          <w:color w:val="auto"/>
          <w:sz w:val="32"/>
          <w:szCs w:val="32"/>
          <w:lang w:val="en-US" w:eastAsia="zh-CN"/>
        </w:rPr>
        <w:t>应</w:t>
      </w:r>
      <w:r>
        <w:rPr>
          <w:rFonts w:hint="eastAsia" w:ascii="Times New Roman" w:hAnsi="Times New Roman" w:eastAsia="仿宋_GB2312" w:cs="仿宋_GB2312"/>
          <w:color w:val="auto"/>
          <w:sz w:val="32"/>
          <w:szCs w:val="32"/>
        </w:rPr>
        <w:t>体现本行业新技术、新规范、新标准、新形态，并通过数字教材、活页式教材等多种方式进行动态更新</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i w:val="0"/>
          <w:iCs w:val="0"/>
          <w:caps w:val="0"/>
          <w:color w:val="auto"/>
          <w:spacing w:val="0"/>
          <w:sz w:val="32"/>
          <w:szCs w:val="32"/>
          <w:lang w:val="en-US" w:eastAsia="zh-CN"/>
        </w:rPr>
        <w:t>强化意识形态审查，杜绝政治导向问题或内容陈旧、拼凑的教材。</w:t>
      </w:r>
    </w:p>
    <w:p w14:paraId="5A83423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46D100A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图书文献配备基本要求</w:t>
      </w:r>
    </w:p>
    <w:p w14:paraId="1FAEA0F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图书文献配备能满足人才培养、专业建设、教科研等工作的需要，方便师生查询、借阅。专业类文献主要包括：大数据技术专业相关行业政策法规、行业标准、技术规范等与服务相关专业类图书和实务案例类图书</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并能保持每年更新。</w:t>
      </w:r>
    </w:p>
    <w:p w14:paraId="20113E5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数字教学资源配置基本要求</w:t>
      </w:r>
    </w:p>
    <w:p w14:paraId="709B0A9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14:paraId="2FE0D549">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Times New Roman" w:hAnsi="Times New Roman" w:eastAsia="楷体" w:cs="楷体"/>
          <w:color w:val="auto"/>
          <w:sz w:val="32"/>
          <w:szCs w:val="32"/>
          <w:highlight w:val="none"/>
        </w:rPr>
      </w:pPr>
      <w:bookmarkStart w:id="40" w:name="_Toc23394"/>
      <w:r>
        <w:rPr>
          <w:rFonts w:hint="eastAsia" w:ascii="Times New Roman" w:hAnsi="Times New Roman" w:eastAsia="楷体" w:cs="楷体"/>
          <w:color w:val="auto"/>
          <w:sz w:val="32"/>
          <w:szCs w:val="32"/>
          <w:highlight w:val="none"/>
        </w:rPr>
        <w:t>教学方法</w:t>
      </w:r>
      <w:bookmarkEnd w:id="40"/>
    </w:p>
    <w:p w14:paraId="588F27D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both"/>
        <w:textAlignment w:val="auto"/>
        <w:rPr>
          <w:rFonts w:hint="eastAsia" w:ascii="Times New Roman" w:hAnsi="Times New Roman" w:eastAsia="楷体" w:cs="楷体"/>
          <w:color w:val="auto"/>
          <w:sz w:val="32"/>
          <w:szCs w:val="32"/>
          <w:highlight w:val="none"/>
        </w:rPr>
      </w:pPr>
      <w:r>
        <w:rPr>
          <w:rFonts w:hint="eastAsia" w:ascii="Times New Roman" w:hAnsi="Times New Roman" w:eastAsia="仿宋_GB2312" w:cs="仿宋_GB2312"/>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44051F5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sz w:val="32"/>
          <w:szCs w:val="32"/>
          <w:highlight w:val="none"/>
        </w:rPr>
      </w:pPr>
      <w:bookmarkStart w:id="41" w:name="_Toc27162"/>
      <w:r>
        <w:rPr>
          <w:rFonts w:hint="eastAsia" w:ascii="Times New Roman" w:hAnsi="Times New Roman" w:eastAsia="楷体" w:cs="楷体"/>
          <w:color w:val="auto"/>
          <w:sz w:val="32"/>
          <w:szCs w:val="32"/>
          <w:highlight w:val="none"/>
        </w:rPr>
        <w:t>（</w:t>
      </w:r>
      <w:r>
        <w:rPr>
          <w:rFonts w:hint="eastAsia" w:ascii="Times New Roman" w:hAnsi="Times New Roman" w:eastAsia="楷体" w:cs="楷体"/>
          <w:color w:val="auto"/>
          <w:sz w:val="32"/>
          <w:szCs w:val="32"/>
          <w:highlight w:val="none"/>
          <w:lang w:val="en-US" w:eastAsia="zh-CN"/>
        </w:rPr>
        <w:t>四</w:t>
      </w:r>
      <w:r>
        <w:rPr>
          <w:rFonts w:hint="eastAsia" w:ascii="Times New Roman" w:hAnsi="Times New Roman" w:eastAsia="楷体" w:cs="楷体"/>
          <w:color w:val="auto"/>
          <w:sz w:val="32"/>
          <w:szCs w:val="32"/>
          <w:highlight w:val="none"/>
        </w:rPr>
        <w:t>）学习评价</w:t>
      </w:r>
      <w:bookmarkEnd w:id="41"/>
    </w:p>
    <w:p w14:paraId="4A61AE3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1.课程考核方法</w:t>
      </w:r>
    </w:p>
    <w:p w14:paraId="276A273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65160DD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课程成绩评定根据学生参与度、作业质量、实训效果与期末考核等项目确定不同比例进行综合评定，评定标准如下：</w:t>
      </w:r>
    </w:p>
    <w:p w14:paraId="00F42B9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）A类课程成绩构成（纯理论）</w:t>
      </w:r>
    </w:p>
    <w:p w14:paraId="72A48B3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课程总成绩=期末卷面考试成绩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+平时成绩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p>
    <w:p w14:paraId="1AFACC0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）B类课程成绩构成（理论+实践）</w:t>
      </w:r>
    </w:p>
    <w:p w14:paraId="14E2799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课程总成绩=</w:t>
      </w:r>
      <w:bookmarkStart w:id="47" w:name="_GoBack"/>
      <w:bookmarkEnd w:id="47"/>
      <w:r>
        <w:rPr>
          <w:rFonts w:hint="eastAsia" w:ascii="Times New Roman" w:hAnsi="Times New Roman" w:eastAsia="仿宋_GB2312" w:cs="仿宋_GB2312"/>
          <w:color w:val="auto"/>
          <w:sz w:val="32"/>
          <w:szCs w:val="32"/>
          <w:highlight w:val="none"/>
        </w:rPr>
        <w:t>期末卷面考试成</w:t>
      </w:r>
      <w:r>
        <w:rPr>
          <w:rFonts w:hint="eastAsia" w:ascii="Times New Roman" w:hAnsi="Times New Roman" w:eastAsia="仿宋_GB2312" w:cs="仿宋_GB2312"/>
          <w:color w:val="auto"/>
          <w:sz w:val="32"/>
          <w:szCs w:val="32"/>
          <w:highlight w:val="none"/>
          <w:lang w:val="en-US" w:eastAsia="zh-CN"/>
        </w:rPr>
        <w:t>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40%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+技能成绩（30%）+平时成绩（30%）</w:t>
      </w:r>
    </w:p>
    <w:p w14:paraId="2C4CE5E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）C类课程成绩构成</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纯实践</w:t>
      </w:r>
      <w:r>
        <w:rPr>
          <w:rFonts w:hint="eastAsia" w:ascii="Times New Roman" w:hAnsi="Times New Roman" w:eastAsia="仿宋_GB2312" w:cs="仿宋_GB2312"/>
          <w:color w:val="auto"/>
          <w:sz w:val="32"/>
          <w:szCs w:val="32"/>
          <w:highlight w:val="none"/>
          <w:lang w:eastAsia="zh-CN"/>
        </w:rPr>
        <w:t>）</w:t>
      </w:r>
    </w:p>
    <w:p w14:paraId="5D5E3D6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课程总成绩=技能成绩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+平时成绩</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50%</w:t>
      </w:r>
      <w:r>
        <w:rPr>
          <w:rFonts w:hint="eastAsia" w:ascii="Times New Roman" w:hAnsi="Times New Roman" w:eastAsia="仿宋_GB2312" w:cs="仿宋_GB2312"/>
          <w:color w:val="auto"/>
          <w:sz w:val="32"/>
          <w:szCs w:val="32"/>
          <w:highlight w:val="none"/>
          <w:lang w:eastAsia="zh-CN"/>
        </w:rPr>
        <w:t>）</w:t>
      </w:r>
    </w:p>
    <w:p w14:paraId="4E27719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教学评价方式</w:t>
      </w:r>
    </w:p>
    <w:p w14:paraId="0BEF270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both"/>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2D912E09">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b w:val="0"/>
          <w:bCs w:val="0"/>
          <w:color w:val="auto"/>
          <w:sz w:val="32"/>
          <w:szCs w:val="32"/>
          <w:highlight w:val="none"/>
          <w:lang w:val="en-US" w:eastAsia="zh-CN"/>
        </w:rPr>
      </w:pPr>
      <w:bookmarkStart w:id="42" w:name="_Toc6138"/>
      <w:r>
        <w:rPr>
          <w:rFonts w:hint="eastAsia" w:ascii="Times New Roman" w:hAnsi="Times New Roman" w:eastAsia="黑体" w:cs="黑体"/>
          <w:b w:val="0"/>
          <w:bCs w:val="0"/>
          <w:color w:val="auto"/>
          <w:sz w:val="32"/>
          <w:szCs w:val="32"/>
          <w:highlight w:val="none"/>
        </w:rPr>
        <w:t>质量</w:t>
      </w:r>
      <w:r>
        <w:rPr>
          <w:rFonts w:hint="eastAsia" w:ascii="Times New Roman" w:hAnsi="Times New Roman" w:eastAsia="黑体" w:cs="黑体"/>
          <w:b w:val="0"/>
          <w:bCs w:val="0"/>
          <w:color w:val="auto"/>
          <w:sz w:val="32"/>
          <w:szCs w:val="32"/>
          <w:highlight w:val="none"/>
          <w:lang w:val="en-US" w:eastAsia="zh-CN"/>
        </w:rPr>
        <w:t>保障</w:t>
      </w:r>
      <w:bookmarkEnd w:id="42"/>
    </w:p>
    <w:p w14:paraId="1B3521B3">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699B7F4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3C85A5F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3.专业教研</w:t>
      </w:r>
      <w:r>
        <w:rPr>
          <w:rFonts w:hint="eastAsia" w:ascii="Times New Roman" w:hAnsi="Times New Roman" w:eastAsia="仿宋_GB2312" w:cs="仿宋_GB2312"/>
          <w:color w:val="auto"/>
          <w:sz w:val="32"/>
          <w:szCs w:val="32"/>
          <w:lang w:val="en-US" w:eastAsia="zh-CN"/>
        </w:rPr>
        <w:t>室</w:t>
      </w:r>
      <w:r>
        <w:rPr>
          <w:rFonts w:hint="eastAsia" w:ascii="Times New Roman" w:hAnsi="Times New Roman" w:eastAsia="仿宋_GB2312" w:cs="仿宋_GB2312"/>
          <w:color w:val="auto"/>
          <w:sz w:val="32"/>
          <w:szCs w:val="32"/>
        </w:rPr>
        <w:t>建立线上线下相结合的集中备课制度，定期召开教学研讨会议，利用评价分析结果有效改进专业教学，持续提高人才培养质量。</w:t>
      </w:r>
    </w:p>
    <w:p w14:paraId="5C9DCD55">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22D2DD41">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.充分利用评价分析结果有效改进专业教学，持续提高人才培养质量。</w:t>
      </w:r>
    </w:p>
    <w:p w14:paraId="016F365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Times New Roman" w:hAnsi="Times New Roman" w:eastAsia="黑体" w:cs="黑体"/>
          <w:b w:val="0"/>
          <w:bCs w:val="0"/>
          <w:color w:val="auto"/>
          <w:sz w:val="32"/>
          <w:szCs w:val="32"/>
          <w:highlight w:val="none"/>
          <w:lang w:eastAsia="zh-CN"/>
        </w:rPr>
      </w:pPr>
      <w:bookmarkStart w:id="43" w:name="_Toc14961"/>
      <w:r>
        <w:rPr>
          <w:rFonts w:hint="eastAsia" w:ascii="Times New Roman" w:hAnsi="Times New Roman" w:eastAsia="黑体" w:cs="黑体"/>
          <w:b w:val="0"/>
          <w:bCs w:val="0"/>
          <w:color w:val="auto"/>
          <w:sz w:val="32"/>
          <w:szCs w:val="32"/>
          <w:highlight w:val="none"/>
          <w:lang w:val="en-US" w:eastAsia="zh-CN"/>
        </w:rPr>
        <w:t>十二、</w:t>
      </w:r>
      <w:r>
        <w:rPr>
          <w:rFonts w:hint="eastAsia" w:ascii="Times New Roman" w:hAnsi="Times New Roman" w:eastAsia="黑体" w:cs="黑体"/>
          <w:b w:val="0"/>
          <w:bCs w:val="0"/>
          <w:color w:val="auto"/>
          <w:sz w:val="32"/>
          <w:szCs w:val="32"/>
          <w:highlight w:val="none"/>
        </w:rPr>
        <w:t>毕业要求</w:t>
      </w:r>
      <w:bookmarkEnd w:id="43"/>
    </w:p>
    <w:p w14:paraId="02B742D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Times New Roman" w:hAnsi="Times New Roman" w:eastAsia="楷体" w:cs="楷体"/>
          <w:color w:val="auto"/>
          <w:kern w:val="2"/>
          <w:sz w:val="32"/>
          <w:szCs w:val="32"/>
          <w:highlight w:val="none"/>
          <w:lang w:val="en-US" w:eastAsia="zh-CN" w:bidi="ar-SA"/>
        </w:rPr>
      </w:pPr>
      <w:bookmarkStart w:id="44" w:name="_Toc24634"/>
      <w:r>
        <w:rPr>
          <w:rFonts w:hint="eastAsia" w:ascii="Times New Roman" w:hAnsi="Times New Roman" w:eastAsia="楷体" w:cs="楷体"/>
          <w:color w:val="auto"/>
          <w:kern w:val="2"/>
          <w:sz w:val="32"/>
          <w:szCs w:val="32"/>
          <w:highlight w:val="none"/>
          <w:lang w:val="en-US" w:eastAsia="zh-CN" w:bidi="ar-SA"/>
        </w:rPr>
        <w:t>（一）学分要求</w:t>
      </w:r>
      <w:bookmarkEnd w:id="44"/>
    </w:p>
    <w:p w14:paraId="2AC6AFF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楷体" w:cs="楷体"/>
          <w:color w:val="auto"/>
          <w:kern w:val="2"/>
          <w:sz w:val="32"/>
          <w:szCs w:val="32"/>
          <w:highlight w:val="none"/>
          <w:lang w:val="en-US" w:eastAsia="zh-CN" w:bidi="ar-SA"/>
        </w:rPr>
      </w:pPr>
      <w:bookmarkStart w:id="45" w:name="_Toc21249"/>
      <w:r>
        <w:rPr>
          <w:rFonts w:hint="eastAsia" w:ascii="Times New Roman" w:hAnsi="Times New Roman"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141学分。其中，必修课125学分，选修课16学分。公共必修课44学分，公共选修课8学分。专业必修课81学分，专业选修课8学分。</w:t>
      </w:r>
    </w:p>
    <w:p w14:paraId="30763E8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kern w:val="2"/>
          <w:sz w:val="32"/>
          <w:szCs w:val="32"/>
          <w:highlight w:val="none"/>
          <w:lang w:val="en-US" w:eastAsia="zh-CN" w:bidi="ar-SA"/>
        </w:rPr>
      </w:pPr>
      <w:r>
        <w:rPr>
          <w:rFonts w:hint="eastAsia" w:ascii="Times New Roman" w:hAnsi="Times New Roman" w:eastAsia="楷体" w:cs="楷体"/>
          <w:color w:val="auto"/>
          <w:kern w:val="2"/>
          <w:sz w:val="32"/>
          <w:szCs w:val="32"/>
          <w:highlight w:val="none"/>
          <w:lang w:val="en-US" w:eastAsia="zh-CN" w:bidi="ar-SA"/>
        </w:rPr>
        <w:t>（二）职业类证书要求</w:t>
      </w:r>
      <w:bookmarkEnd w:id="45"/>
    </w:p>
    <w:p w14:paraId="189F497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将低压电工上岗证、电工</w:t>
      </w:r>
      <w:r>
        <w:rPr>
          <w:rFonts w:hint="eastAsia" w:ascii="Times New Roman" w:hAnsi="Times New Roman" w:eastAsia="仿宋_GB2312" w:cs="仿宋_GB2312"/>
          <w:color w:val="auto"/>
          <w:sz w:val="32"/>
          <w:szCs w:val="32"/>
          <w:lang w:val="en-US" w:eastAsia="zh-CN"/>
        </w:rPr>
        <w:t>证</w:t>
      </w:r>
      <w:r>
        <w:rPr>
          <w:rFonts w:hint="eastAsia" w:ascii="Times New Roman" w:hAnsi="Times New Roman"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75FAEDF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508F963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电气自动化技术专业职业证书一览表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377"/>
        <w:gridCol w:w="2891"/>
        <w:gridCol w:w="1400"/>
      </w:tblGrid>
      <w:tr w14:paraId="4D06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2C163E4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序号</w:t>
            </w:r>
          </w:p>
        </w:tc>
        <w:tc>
          <w:tcPr>
            <w:tcW w:w="3377" w:type="dxa"/>
            <w:vAlign w:val="top"/>
          </w:tcPr>
          <w:p w14:paraId="5FD56E8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证书名称</w:t>
            </w:r>
          </w:p>
        </w:tc>
        <w:tc>
          <w:tcPr>
            <w:tcW w:w="2891" w:type="dxa"/>
            <w:vAlign w:val="top"/>
          </w:tcPr>
          <w:p w14:paraId="4B4BBAA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发证机构</w:t>
            </w:r>
          </w:p>
        </w:tc>
        <w:tc>
          <w:tcPr>
            <w:tcW w:w="1400" w:type="dxa"/>
            <w:vAlign w:val="top"/>
          </w:tcPr>
          <w:p w14:paraId="569290D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71C6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B6C5A4F">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rPr>
              <w:t>1</w:t>
            </w:r>
          </w:p>
        </w:tc>
        <w:tc>
          <w:tcPr>
            <w:tcW w:w="3377" w:type="dxa"/>
            <w:vAlign w:val="top"/>
          </w:tcPr>
          <w:p w14:paraId="65883E40">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低压电工上岗证</w:t>
            </w:r>
          </w:p>
        </w:tc>
        <w:tc>
          <w:tcPr>
            <w:tcW w:w="2891" w:type="dxa"/>
            <w:vAlign w:val="top"/>
          </w:tcPr>
          <w:p w14:paraId="3CF7DD36">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百色市应急局</w:t>
            </w:r>
          </w:p>
        </w:tc>
        <w:tc>
          <w:tcPr>
            <w:tcW w:w="1400" w:type="dxa"/>
            <w:vAlign w:val="top"/>
          </w:tcPr>
          <w:p w14:paraId="51F5486D">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自愿</w:t>
            </w:r>
          </w:p>
        </w:tc>
      </w:tr>
      <w:tr w14:paraId="3E24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58908D83">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rPr>
              <w:t>2</w:t>
            </w:r>
          </w:p>
        </w:tc>
        <w:tc>
          <w:tcPr>
            <w:tcW w:w="3377" w:type="dxa"/>
            <w:vAlign w:val="top"/>
          </w:tcPr>
          <w:p w14:paraId="5D1AB413">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电工（初级）</w:t>
            </w:r>
          </w:p>
        </w:tc>
        <w:tc>
          <w:tcPr>
            <w:tcW w:w="2891" w:type="dxa"/>
            <w:vAlign w:val="top"/>
          </w:tcPr>
          <w:p w14:paraId="57A3B6A3">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lang w:val="en-US" w:eastAsia="zh-CN"/>
              </w:rPr>
              <w:t>百色市职业技能鉴定中心</w:t>
            </w:r>
          </w:p>
        </w:tc>
        <w:tc>
          <w:tcPr>
            <w:tcW w:w="1400" w:type="dxa"/>
            <w:vAlign w:val="top"/>
          </w:tcPr>
          <w:p w14:paraId="41FEF0A4">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自愿</w:t>
            </w:r>
          </w:p>
        </w:tc>
      </w:tr>
      <w:tr w14:paraId="4DC5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3420F641">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rPr>
              <w:t>3</w:t>
            </w:r>
          </w:p>
        </w:tc>
        <w:tc>
          <w:tcPr>
            <w:tcW w:w="3377" w:type="dxa"/>
            <w:vAlign w:val="top"/>
          </w:tcPr>
          <w:p w14:paraId="14A9E79C">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汽车维修工（初级）</w:t>
            </w:r>
          </w:p>
        </w:tc>
        <w:tc>
          <w:tcPr>
            <w:tcW w:w="2891" w:type="dxa"/>
            <w:vAlign w:val="top"/>
          </w:tcPr>
          <w:p w14:paraId="555B1257">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百色市职业技能鉴定中心</w:t>
            </w:r>
          </w:p>
        </w:tc>
        <w:tc>
          <w:tcPr>
            <w:tcW w:w="1400" w:type="dxa"/>
            <w:vAlign w:val="top"/>
          </w:tcPr>
          <w:p w14:paraId="3B43F523">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kern w:val="0"/>
                <w:sz w:val="24"/>
                <w:szCs w:val="24"/>
                <w:lang w:val="en-US" w:eastAsia="zh-CN" w:bidi="ar-SA"/>
              </w:rPr>
              <w:t>自愿</w:t>
            </w:r>
          </w:p>
        </w:tc>
      </w:tr>
      <w:tr w14:paraId="4DFA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BFC5338">
            <w:pPr>
              <w:pStyle w:val="10"/>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rPr>
              <w:t>4</w:t>
            </w:r>
          </w:p>
        </w:tc>
        <w:tc>
          <w:tcPr>
            <w:tcW w:w="3377" w:type="dxa"/>
            <w:vAlign w:val="top"/>
          </w:tcPr>
          <w:p w14:paraId="7D344E12">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计算机装配员（初级）</w:t>
            </w:r>
          </w:p>
        </w:tc>
        <w:tc>
          <w:tcPr>
            <w:tcW w:w="2891" w:type="dxa"/>
            <w:vAlign w:val="top"/>
          </w:tcPr>
          <w:p w14:paraId="475B12F8">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百色市职业技能鉴定中心</w:t>
            </w:r>
          </w:p>
        </w:tc>
        <w:tc>
          <w:tcPr>
            <w:tcW w:w="1400" w:type="dxa"/>
            <w:vAlign w:val="top"/>
          </w:tcPr>
          <w:p w14:paraId="7ED792EB">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kern w:val="0"/>
                <w:sz w:val="24"/>
                <w:szCs w:val="24"/>
                <w:lang w:val="en-US" w:eastAsia="zh-CN" w:bidi="ar-SA"/>
              </w:rPr>
              <w:t>自愿</w:t>
            </w:r>
          </w:p>
        </w:tc>
      </w:tr>
      <w:tr w14:paraId="3803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81DF6DB">
            <w:pPr>
              <w:pStyle w:val="10"/>
              <w:spacing w:before="0" w:beforeAutospacing="0" w:after="0" w:afterAutospacing="0" w:line="360" w:lineRule="exact"/>
              <w:jc w:val="center"/>
              <w:rPr>
                <w:rFonts w:hint="default" w:ascii="Times New Roman" w:hAnsi="Times New Roman" w:eastAsia="仿宋_GB2312" w:cs="仿宋_GB2312"/>
                <w:color w:val="auto"/>
                <w:sz w:val="24"/>
                <w:szCs w:val="24"/>
                <w:vertAlign w:val="baseline"/>
                <w:lang w:val="en-US" w:eastAsia="zh-CN"/>
              </w:rPr>
            </w:pPr>
            <w:r>
              <w:rPr>
                <w:rFonts w:hint="eastAsia" w:ascii="Times New Roman" w:hAnsi="Times New Roman" w:eastAsia="仿宋_GB2312" w:cs="仿宋_GB2312"/>
                <w:color w:val="auto"/>
                <w:lang w:val="en-US" w:eastAsia="zh-CN"/>
              </w:rPr>
              <w:t>5</w:t>
            </w:r>
          </w:p>
        </w:tc>
        <w:tc>
          <w:tcPr>
            <w:tcW w:w="3377" w:type="dxa"/>
            <w:vAlign w:val="top"/>
          </w:tcPr>
          <w:p w14:paraId="0406E751">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办公软件应用</w:t>
            </w:r>
          </w:p>
        </w:tc>
        <w:tc>
          <w:tcPr>
            <w:tcW w:w="2891" w:type="dxa"/>
            <w:vAlign w:val="top"/>
          </w:tcPr>
          <w:p w14:paraId="70FC4C5D">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百色市职业技能鉴定中心</w:t>
            </w:r>
          </w:p>
        </w:tc>
        <w:tc>
          <w:tcPr>
            <w:tcW w:w="1400" w:type="dxa"/>
            <w:vAlign w:val="top"/>
          </w:tcPr>
          <w:p w14:paraId="7059E12D">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kern w:val="0"/>
                <w:sz w:val="24"/>
                <w:szCs w:val="24"/>
                <w:lang w:val="en-US" w:eastAsia="zh-CN" w:bidi="ar-SA"/>
              </w:rPr>
              <w:t>自愿</w:t>
            </w:r>
          </w:p>
        </w:tc>
      </w:tr>
      <w:tr w14:paraId="42B2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8FE47B0">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lang w:val="en-US" w:eastAsia="zh-CN"/>
              </w:rPr>
            </w:pPr>
            <w:bookmarkStart w:id="46" w:name="_Toc27446"/>
            <w:r>
              <w:rPr>
                <w:rFonts w:hint="eastAsia" w:ascii="Times New Roman" w:hAnsi="Times New Roman" w:eastAsia="仿宋_GB2312" w:cs="仿宋_GB2312"/>
                <w:color w:val="auto"/>
                <w:lang w:val="en-US" w:eastAsia="zh-CN"/>
              </w:rPr>
              <w:t>6</w:t>
            </w:r>
          </w:p>
        </w:tc>
        <w:tc>
          <w:tcPr>
            <w:tcW w:w="3377" w:type="dxa"/>
            <w:vAlign w:val="top"/>
          </w:tcPr>
          <w:p w14:paraId="7CD21C34">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叉车</w:t>
            </w:r>
          </w:p>
        </w:tc>
        <w:tc>
          <w:tcPr>
            <w:tcW w:w="2891" w:type="dxa"/>
            <w:vAlign w:val="top"/>
          </w:tcPr>
          <w:p w14:paraId="601E6444">
            <w:pPr>
              <w:pStyle w:val="10"/>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lang w:val="en-US" w:eastAsia="zh-CN"/>
              </w:rPr>
              <w:t>田阳区市场监督管理局</w:t>
            </w:r>
          </w:p>
        </w:tc>
        <w:tc>
          <w:tcPr>
            <w:tcW w:w="1400" w:type="dxa"/>
            <w:vAlign w:val="top"/>
          </w:tcPr>
          <w:p w14:paraId="79B3A68D">
            <w:pPr>
              <w:spacing w:before="0" w:beforeAutospacing="0" w:after="0" w:afterAutospacing="0" w:line="360" w:lineRule="exact"/>
              <w:jc w:val="center"/>
              <w:rPr>
                <w:rFonts w:hint="eastAsia" w:ascii="Times New Roman" w:hAnsi="Times New Roman" w:eastAsia="仿宋_GB2312" w:cs="仿宋_GB2312"/>
                <w:color w:val="auto"/>
                <w:sz w:val="24"/>
                <w:szCs w:val="24"/>
                <w:vertAlign w:val="baseline"/>
              </w:rPr>
            </w:pPr>
            <w:r>
              <w:rPr>
                <w:rFonts w:hint="eastAsia" w:ascii="Times New Roman" w:hAnsi="Times New Roman" w:eastAsia="仿宋_GB2312" w:cs="仿宋_GB2312"/>
                <w:color w:val="auto"/>
                <w:kern w:val="0"/>
                <w:sz w:val="24"/>
                <w:szCs w:val="24"/>
                <w:lang w:val="en-US" w:eastAsia="zh-CN" w:bidi="ar-SA"/>
              </w:rPr>
              <w:t>自愿</w:t>
            </w:r>
          </w:p>
        </w:tc>
      </w:tr>
    </w:tbl>
    <w:p w14:paraId="2A0E9E1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Times New Roman" w:hAnsi="Times New Roman" w:eastAsia="楷体" w:cs="楷体"/>
          <w:color w:val="auto"/>
          <w:kern w:val="2"/>
          <w:sz w:val="32"/>
          <w:szCs w:val="32"/>
          <w:highlight w:val="none"/>
          <w:lang w:val="en-US" w:eastAsia="zh-CN" w:bidi="ar-SA"/>
        </w:rPr>
      </w:pPr>
      <w:r>
        <w:rPr>
          <w:rFonts w:hint="eastAsia" w:ascii="Times New Roman" w:hAnsi="Times New Roman" w:eastAsia="楷体" w:cs="楷体"/>
          <w:color w:val="auto"/>
          <w:kern w:val="2"/>
          <w:sz w:val="32"/>
          <w:szCs w:val="32"/>
          <w:highlight w:val="none"/>
          <w:lang w:val="en-US" w:eastAsia="zh-CN" w:bidi="ar-SA"/>
        </w:rPr>
        <w:t>（三）综合素质要求</w:t>
      </w:r>
      <w:bookmarkEnd w:id="46"/>
    </w:p>
    <w:p w14:paraId="166188C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1.坚定理想信念，践行社会主义核心价值观，具有良好的思想道德品质和社会责任感，经思想品德鉴定合格。</w:t>
      </w:r>
    </w:p>
    <w:p w14:paraId="674D8FF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2.掌握扎实的科学文化基础知识，具备良好的人文素养、职业道德、创新意识和精益求精的工匠精神。</w:t>
      </w:r>
    </w:p>
    <w:p w14:paraId="16704D4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3.系统掌握电气工程与自动控制领域的专业知识和技术技能，能够从事电气设备生产、安装、调试与维护，以及自动控制系统的集成、改造与技术服务工作。</w:t>
      </w:r>
    </w:p>
    <w:p w14:paraId="6B68F8E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4.具备较强的就业能力和可持续发展能力，能够适应通用设备制造、电气机械及器材制造等行业的技术发展需求。</w:t>
      </w:r>
    </w:p>
    <w:p w14:paraId="6D94A6E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5.具有健全的身心素质，尊重劳动、热爱劳动，具备较强的团队协作、沟通表达和工程实践能力。</w:t>
      </w:r>
    </w:p>
    <w:p w14:paraId="3AEBB7F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6.积极参加社会实践、创新创业活动及相关职业能力培训，具有较强的职业综合素质和</w:t>
      </w:r>
      <w:r>
        <w:rPr>
          <w:rFonts w:hint="eastAsia" w:ascii="Times New Roman" w:hAnsi="Times New Roman" w:eastAsia="仿宋_GB2312" w:cs="仿宋_GB2312"/>
          <w:color w:val="auto"/>
          <w:kern w:val="2"/>
          <w:sz w:val="32"/>
          <w:szCs w:val="32"/>
          <w:lang w:val="en-US" w:eastAsia="zh-CN" w:bidi="ar-SA"/>
        </w:rPr>
        <w:t>行动能力。</w:t>
      </w:r>
    </w:p>
    <w:sectPr>
      <w:footerReference r:id="rId7"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9A71DB-1A8D-4426-90DB-67794BE227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BA3918D-7FB6-45AB-AC60-E21814612DB6}"/>
  </w:font>
  <w:font w:name="楷体">
    <w:panose1 w:val="02010609060101010101"/>
    <w:charset w:val="86"/>
    <w:family w:val="modern"/>
    <w:pitch w:val="default"/>
    <w:sig w:usb0="800002BF" w:usb1="38CF7CFA" w:usb2="00000016" w:usb3="00000000" w:csb0="00040001" w:csb1="00000000"/>
    <w:embedRegular r:id="rId3" w:fontKey="{68E99230-4A0F-424B-8E98-CB1D04AE18CD}"/>
  </w:font>
  <w:font w:name="仿宋">
    <w:panose1 w:val="02010609060101010101"/>
    <w:charset w:val="86"/>
    <w:family w:val="auto"/>
    <w:pitch w:val="default"/>
    <w:sig w:usb0="800002BF" w:usb1="38CF7CFA" w:usb2="00000016" w:usb3="00000000" w:csb0="00040001" w:csb1="00000000"/>
    <w:embedRegular r:id="rId4" w:fontKey="{85902EA8-E2C5-4760-A6A8-A7F47396AE96}"/>
  </w:font>
  <w:font w:name="华文新魏">
    <w:altName w:val="宋体"/>
    <w:panose1 w:val="02010800040101010101"/>
    <w:charset w:val="86"/>
    <w:family w:val="auto"/>
    <w:pitch w:val="default"/>
    <w:sig w:usb0="00000000" w:usb1="00000000" w:usb2="00000000" w:usb3="00000000" w:csb0="00000000" w:csb1="00000000"/>
    <w:embedRegular r:id="rId5" w:fontKey="{BF2AA577-9D88-460B-AA9A-F5F88DE986B5}"/>
  </w:font>
  <w:font w:name="方正小标宋简体">
    <w:panose1 w:val="02010601030101010101"/>
    <w:charset w:val="86"/>
    <w:family w:val="script"/>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embedRegular r:id="rId6" w:fontKey="{ACEFCED9-5E35-41A2-A76F-626E4F6083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353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98B81">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6C7AC">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C6C7AC">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1123E">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F09643EA"/>
    <w:multiLevelType w:val="singleLevel"/>
    <w:tmpl w:val="F09643EA"/>
    <w:lvl w:ilvl="0" w:tentative="0">
      <w:start w:val="1"/>
      <w:numFmt w:val="chineseCounting"/>
      <w:suff w:val="nothing"/>
      <w:lvlText w:val="（%1）"/>
      <w:lvlJc w:val="left"/>
      <w:rPr>
        <w:rFonts w:hint="eastAsia"/>
      </w:rPr>
    </w:lvl>
  </w:abstractNum>
  <w:abstractNum w:abstractNumId="2">
    <w:nsid w:val="0F08C169"/>
    <w:multiLevelType w:val="singleLevel"/>
    <w:tmpl w:val="0F08C169"/>
    <w:lvl w:ilvl="0" w:tentative="0">
      <w:start w:val="2"/>
      <w:numFmt w:val="decimal"/>
      <w:suff w:val="nothing"/>
      <w:lvlText w:val="（%1）"/>
      <w:lvlJc w:val="left"/>
    </w:lvl>
  </w:abstractNum>
  <w:abstractNum w:abstractNumId="3">
    <w:nsid w:val="74623B4A"/>
    <w:multiLevelType w:val="singleLevel"/>
    <w:tmpl w:val="74623B4A"/>
    <w:lvl w:ilvl="0" w:tentative="0">
      <w:start w:val="1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72750a66-7b06-468a-b44d-23b488de479c"/>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0909"/>
    <w:rsid w:val="00C3446C"/>
    <w:rsid w:val="00C4271B"/>
    <w:rsid w:val="00D03D56"/>
    <w:rsid w:val="00E2700A"/>
    <w:rsid w:val="00ED3BD8"/>
    <w:rsid w:val="00F52A8D"/>
    <w:rsid w:val="00F63617"/>
    <w:rsid w:val="00F82685"/>
    <w:rsid w:val="00FA77F6"/>
    <w:rsid w:val="00FB052B"/>
    <w:rsid w:val="01145609"/>
    <w:rsid w:val="01514167"/>
    <w:rsid w:val="01786F4B"/>
    <w:rsid w:val="01822573"/>
    <w:rsid w:val="01AA3877"/>
    <w:rsid w:val="01DC313D"/>
    <w:rsid w:val="02661E94"/>
    <w:rsid w:val="02CD5374"/>
    <w:rsid w:val="02DB5220"/>
    <w:rsid w:val="03304250"/>
    <w:rsid w:val="03576D17"/>
    <w:rsid w:val="03A07894"/>
    <w:rsid w:val="045121BF"/>
    <w:rsid w:val="045B5506"/>
    <w:rsid w:val="048760F2"/>
    <w:rsid w:val="048C3708"/>
    <w:rsid w:val="04BC3FEE"/>
    <w:rsid w:val="051223C4"/>
    <w:rsid w:val="061376F4"/>
    <w:rsid w:val="062E0F1B"/>
    <w:rsid w:val="063C32E7"/>
    <w:rsid w:val="06471FDD"/>
    <w:rsid w:val="06C90C44"/>
    <w:rsid w:val="06F635E9"/>
    <w:rsid w:val="070954E4"/>
    <w:rsid w:val="07322345"/>
    <w:rsid w:val="082F2519"/>
    <w:rsid w:val="084C7436"/>
    <w:rsid w:val="08DA7138"/>
    <w:rsid w:val="08ED686D"/>
    <w:rsid w:val="08F70DAF"/>
    <w:rsid w:val="09075A53"/>
    <w:rsid w:val="094D790A"/>
    <w:rsid w:val="095347F5"/>
    <w:rsid w:val="09840E52"/>
    <w:rsid w:val="09CB082F"/>
    <w:rsid w:val="09D45935"/>
    <w:rsid w:val="09DE071F"/>
    <w:rsid w:val="0A1E4E03"/>
    <w:rsid w:val="0A5B0C69"/>
    <w:rsid w:val="0A634F0B"/>
    <w:rsid w:val="0A6840B4"/>
    <w:rsid w:val="0A7406F6"/>
    <w:rsid w:val="0AC91212"/>
    <w:rsid w:val="0AFF69E2"/>
    <w:rsid w:val="0B64718D"/>
    <w:rsid w:val="0B9E269F"/>
    <w:rsid w:val="0BB93035"/>
    <w:rsid w:val="0BC450C2"/>
    <w:rsid w:val="0C0A3BA0"/>
    <w:rsid w:val="0CAF600E"/>
    <w:rsid w:val="0CE642FD"/>
    <w:rsid w:val="0D263942"/>
    <w:rsid w:val="0D3000CB"/>
    <w:rsid w:val="0DE924A0"/>
    <w:rsid w:val="0E2350DD"/>
    <w:rsid w:val="0E5E6115"/>
    <w:rsid w:val="0ED4462A"/>
    <w:rsid w:val="0F386966"/>
    <w:rsid w:val="0F8967A4"/>
    <w:rsid w:val="0FA47B58"/>
    <w:rsid w:val="0FA67D74"/>
    <w:rsid w:val="0FD20B69"/>
    <w:rsid w:val="0FE4089C"/>
    <w:rsid w:val="10093E5F"/>
    <w:rsid w:val="10152804"/>
    <w:rsid w:val="10234F21"/>
    <w:rsid w:val="10914580"/>
    <w:rsid w:val="10A94C78"/>
    <w:rsid w:val="10EE36A0"/>
    <w:rsid w:val="11161B57"/>
    <w:rsid w:val="116752E1"/>
    <w:rsid w:val="12485112"/>
    <w:rsid w:val="127F665A"/>
    <w:rsid w:val="12DC3AAD"/>
    <w:rsid w:val="12F708E7"/>
    <w:rsid w:val="13203999"/>
    <w:rsid w:val="135C5E82"/>
    <w:rsid w:val="139B5716"/>
    <w:rsid w:val="13F454F6"/>
    <w:rsid w:val="13F72C7E"/>
    <w:rsid w:val="14A800EA"/>
    <w:rsid w:val="14D80498"/>
    <w:rsid w:val="15001CD4"/>
    <w:rsid w:val="150317C5"/>
    <w:rsid w:val="15202377"/>
    <w:rsid w:val="152B4B52"/>
    <w:rsid w:val="15542020"/>
    <w:rsid w:val="161E116B"/>
    <w:rsid w:val="163B30DC"/>
    <w:rsid w:val="165F0C7D"/>
    <w:rsid w:val="1699418F"/>
    <w:rsid w:val="16995FBA"/>
    <w:rsid w:val="16A42B33"/>
    <w:rsid w:val="16DC051F"/>
    <w:rsid w:val="170B4961"/>
    <w:rsid w:val="1740285C"/>
    <w:rsid w:val="174438BA"/>
    <w:rsid w:val="1749510D"/>
    <w:rsid w:val="17585C2B"/>
    <w:rsid w:val="1796247C"/>
    <w:rsid w:val="17EF6C4E"/>
    <w:rsid w:val="18CB084B"/>
    <w:rsid w:val="19481E9C"/>
    <w:rsid w:val="19AF3CC9"/>
    <w:rsid w:val="1AE45BF4"/>
    <w:rsid w:val="1BAE0B6D"/>
    <w:rsid w:val="1BAE7956"/>
    <w:rsid w:val="1BCC19A4"/>
    <w:rsid w:val="1BF93A5C"/>
    <w:rsid w:val="1C27223D"/>
    <w:rsid w:val="1C56667E"/>
    <w:rsid w:val="1C6F14EE"/>
    <w:rsid w:val="1CB25FAA"/>
    <w:rsid w:val="1D0377EB"/>
    <w:rsid w:val="1D24677C"/>
    <w:rsid w:val="1DD51824"/>
    <w:rsid w:val="1E4B3DFE"/>
    <w:rsid w:val="1E91399D"/>
    <w:rsid w:val="1EA77665"/>
    <w:rsid w:val="1ECC6B87"/>
    <w:rsid w:val="1EFD0A9A"/>
    <w:rsid w:val="1F3A7811"/>
    <w:rsid w:val="1F5350F7"/>
    <w:rsid w:val="1FB17C46"/>
    <w:rsid w:val="1FB21E1D"/>
    <w:rsid w:val="1FBC2C9C"/>
    <w:rsid w:val="1FC61D6D"/>
    <w:rsid w:val="2021343F"/>
    <w:rsid w:val="207417C9"/>
    <w:rsid w:val="20AA343C"/>
    <w:rsid w:val="20BE4D41"/>
    <w:rsid w:val="20E56222"/>
    <w:rsid w:val="210E0F0E"/>
    <w:rsid w:val="2170143C"/>
    <w:rsid w:val="21EA757A"/>
    <w:rsid w:val="21EB3D26"/>
    <w:rsid w:val="22123047"/>
    <w:rsid w:val="223461B5"/>
    <w:rsid w:val="22967FAA"/>
    <w:rsid w:val="22A00653"/>
    <w:rsid w:val="231C1F0C"/>
    <w:rsid w:val="2338088B"/>
    <w:rsid w:val="236773C3"/>
    <w:rsid w:val="237D0994"/>
    <w:rsid w:val="23954DD6"/>
    <w:rsid w:val="23D42CAA"/>
    <w:rsid w:val="24970166"/>
    <w:rsid w:val="249D12EE"/>
    <w:rsid w:val="24E76143"/>
    <w:rsid w:val="24F353B2"/>
    <w:rsid w:val="263C6036"/>
    <w:rsid w:val="267A11BB"/>
    <w:rsid w:val="27075144"/>
    <w:rsid w:val="27441EF5"/>
    <w:rsid w:val="27AE3812"/>
    <w:rsid w:val="27F5401D"/>
    <w:rsid w:val="28557849"/>
    <w:rsid w:val="285A12A4"/>
    <w:rsid w:val="289A5B44"/>
    <w:rsid w:val="28BD30CD"/>
    <w:rsid w:val="28CD534E"/>
    <w:rsid w:val="296E1A2F"/>
    <w:rsid w:val="2982293F"/>
    <w:rsid w:val="29B449E4"/>
    <w:rsid w:val="29C72B81"/>
    <w:rsid w:val="29F55728"/>
    <w:rsid w:val="2A224043"/>
    <w:rsid w:val="2A8614B8"/>
    <w:rsid w:val="2AB23F91"/>
    <w:rsid w:val="2B0F281A"/>
    <w:rsid w:val="2B8D373E"/>
    <w:rsid w:val="2BF11F1F"/>
    <w:rsid w:val="2C802418"/>
    <w:rsid w:val="2CB341C7"/>
    <w:rsid w:val="2CC66F08"/>
    <w:rsid w:val="2CEB2E12"/>
    <w:rsid w:val="2CEE7C6D"/>
    <w:rsid w:val="2D5704A8"/>
    <w:rsid w:val="2D8165B1"/>
    <w:rsid w:val="2D964B2C"/>
    <w:rsid w:val="2DAC4350"/>
    <w:rsid w:val="2DE47F8D"/>
    <w:rsid w:val="2E03450C"/>
    <w:rsid w:val="2F083808"/>
    <w:rsid w:val="2F34284F"/>
    <w:rsid w:val="2F436F36"/>
    <w:rsid w:val="2F7A2E0A"/>
    <w:rsid w:val="2F8D1F5F"/>
    <w:rsid w:val="2FA96B3D"/>
    <w:rsid w:val="2FD933F6"/>
    <w:rsid w:val="306D38C3"/>
    <w:rsid w:val="30A6152A"/>
    <w:rsid w:val="30A77050"/>
    <w:rsid w:val="30DC27D6"/>
    <w:rsid w:val="3115220C"/>
    <w:rsid w:val="312A7BBA"/>
    <w:rsid w:val="31342FDA"/>
    <w:rsid w:val="318A49A8"/>
    <w:rsid w:val="31A83FF1"/>
    <w:rsid w:val="31AA329C"/>
    <w:rsid w:val="31D2634F"/>
    <w:rsid w:val="321D581C"/>
    <w:rsid w:val="324B181D"/>
    <w:rsid w:val="32E51C43"/>
    <w:rsid w:val="32F32A21"/>
    <w:rsid w:val="32F92E4C"/>
    <w:rsid w:val="32FA3DAF"/>
    <w:rsid w:val="33260700"/>
    <w:rsid w:val="33266952"/>
    <w:rsid w:val="332D7CE1"/>
    <w:rsid w:val="33630543"/>
    <w:rsid w:val="3366758F"/>
    <w:rsid w:val="33AE06F6"/>
    <w:rsid w:val="33B93C14"/>
    <w:rsid w:val="348B3F97"/>
    <w:rsid w:val="34B65AB4"/>
    <w:rsid w:val="34C46423"/>
    <w:rsid w:val="34EA50C0"/>
    <w:rsid w:val="357449D1"/>
    <w:rsid w:val="35E93C67"/>
    <w:rsid w:val="36354D24"/>
    <w:rsid w:val="364315C9"/>
    <w:rsid w:val="36657792"/>
    <w:rsid w:val="36CC70D3"/>
    <w:rsid w:val="370E7E29"/>
    <w:rsid w:val="376B0DD8"/>
    <w:rsid w:val="3770165B"/>
    <w:rsid w:val="37960DB8"/>
    <w:rsid w:val="37AD2573"/>
    <w:rsid w:val="381153F4"/>
    <w:rsid w:val="38481119"/>
    <w:rsid w:val="384C3F21"/>
    <w:rsid w:val="38877EE4"/>
    <w:rsid w:val="38C22C79"/>
    <w:rsid w:val="39372651"/>
    <w:rsid w:val="39A700C1"/>
    <w:rsid w:val="3A451367"/>
    <w:rsid w:val="3A60099C"/>
    <w:rsid w:val="3A7A7584"/>
    <w:rsid w:val="3AEA4709"/>
    <w:rsid w:val="3AEE3F03"/>
    <w:rsid w:val="3B4007CD"/>
    <w:rsid w:val="3BCB3D7C"/>
    <w:rsid w:val="3C17152E"/>
    <w:rsid w:val="3CDE204C"/>
    <w:rsid w:val="3D0047E4"/>
    <w:rsid w:val="3D766728"/>
    <w:rsid w:val="3D9F7A2D"/>
    <w:rsid w:val="3E015FF2"/>
    <w:rsid w:val="3E4D7489"/>
    <w:rsid w:val="3E725142"/>
    <w:rsid w:val="3EB92D70"/>
    <w:rsid w:val="3F6A4DBB"/>
    <w:rsid w:val="3F785DC7"/>
    <w:rsid w:val="3FF86C17"/>
    <w:rsid w:val="3FFC1167"/>
    <w:rsid w:val="40001635"/>
    <w:rsid w:val="40077B0C"/>
    <w:rsid w:val="404B5C4A"/>
    <w:rsid w:val="40664832"/>
    <w:rsid w:val="4084115C"/>
    <w:rsid w:val="4099592E"/>
    <w:rsid w:val="409C32B2"/>
    <w:rsid w:val="40B53BBC"/>
    <w:rsid w:val="40B557B9"/>
    <w:rsid w:val="40C8470D"/>
    <w:rsid w:val="412070DA"/>
    <w:rsid w:val="413D6362"/>
    <w:rsid w:val="41540B2E"/>
    <w:rsid w:val="415648A7"/>
    <w:rsid w:val="41727207"/>
    <w:rsid w:val="41A42FA1"/>
    <w:rsid w:val="41BB6E00"/>
    <w:rsid w:val="41CF62FB"/>
    <w:rsid w:val="41DE5079"/>
    <w:rsid w:val="422A57D8"/>
    <w:rsid w:val="42817701"/>
    <w:rsid w:val="428611BC"/>
    <w:rsid w:val="42B86E9B"/>
    <w:rsid w:val="43105F3B"/>
    <w:rsid w:val="436463B1"/>
    <w:rsid w:val="436D760D"/>
    <w:rsid w:val="43713C1A"/>
    <w:rsid w:val="43792ACE"/>
    <w:rsid w:val="438F22F2"/>
    <w:rsid w:val="43914982"/>
    <w:rsid w:val="43A538C3"/>
    <w:rsid w:val="43C755E8"/>
    <w:rsid w:val="44380293"/>
    <w:rsid w:val="447D65EE"/>
    <w:rsid w:val="44A43B7B"/>
    <w:rsid w:val="44B71B00"/>
    <w:rsid w:val="44B862E9"/>
    <w:rsid w:val="455530C7"/>
    <w:rsid w:val="45953F67"/>
    <w:rsid w:val="4602706C"/>
    <w:rsid w:val="46733805"/>
    <w:rsid w:val="46B1257F"/>
    <w:rsid w:val="46B856BC"/>
    <w:rsid w:val="46EE10DD"/>
    <w:rsid w:val="46F661E4"/>
    <w:rsid w:val="47103740"/>
    <w:rsid w:val="471C3E9C"/>
    <w:rsid w:val="47D63AFA"/>
    <w:rsid w:val="4803505C"/>
    <w:rsid w:val="480A0199"/>
    <w:rsid w:val="48A57EC2"/>
    <w:rsid w:val="48AC74A2"/>
    <w:rsid w:val="48AE4FC8"/>
    <w:rsid w:val="48BA396D"/>
    <w:rsid w:val="48BD16AF"/>
    <w:rsid w:val="48DF1625"/>
    <w:rsid w:val="48E56510"/>
    <w:rsid w:val="49395702"/>
    <w:rsid w:val="49843F7B"/>
    <w:rsid w:val="49A63EF1"/>
    <w:rsid w:val="49E52C6C"/>
    <w:rsid w:val="4A3C6604"/>
    <w:rsid w:val="4A4F1A25"/>
    <w:rsid w:val="4AA20B5D"/>
    <w:rsid w:val="4AD8632C"/>
    <w:rsid w:val="4ADB5E1D"/>
    <w:rsid w:val="4AF15640"/>
    <w:rsid w:val="4AFA62A3"/>
    <w:rsid w:val="4B726781"/>
    <w:rsid w:val="4C0272E2"/>
    <w:rsid w:val="4C0C0983"/>
    <w:rsid w:val="4C0E794A"/>
    <w:rsid w:val="4C1149B8"/>
    <w:rsid w:val="4C243B4B"/>
    <w:rsid w:val="4C675BBA"/>
    <w:rsid w:val="4D04165B"/>
    <w:rsid w:val="4D135D42"/>
    <w:rsid w:val="4D1473C4"/>
    <w:rsid w:val="4D3C148D"/>
    <w:rsid w:val="4E3B2D26"/>
    <w:rsid w:val="4E514358"/>
    <w:rsid w:val="4E5C7274"/>
    <w:rsid w:val="4E831F3C"/>
    <w:rsid w:val="4EFA6B2B"/>
    <w:rsid w:val="4F585C8E"/>
    <w:rsid w:val="4F6B3C13"/>
    <w:rsid w:val="4F7D56F4"/>
    <w:rsid w:val="501648FE"/>
    <w:rsid w:val="509C4C8B"/>
    <w:rsid w:val="50FF6890"/>
    <w:rsid w:val="5135219E"/>
    <w:rsid w:val="51C30881"/>
    <w:rsid w:val="51D535C6"/>
    <w:rsid w:val="51FE1E87"/>
    <w:rsid w:val="522105B9"/>
    <w:rsid w:val="5259656B"/>
    <w:rsid w:val="52AC49A4"/>
    <w:rsid w:val="532D1D73"/>
    <w:rsid w:val="535B634F"/>
    <w:rsid w:val="53807561"/>
    <w:rsid w:val="53C71634"/>
    <w:rsid w:val="542919A7"/>
    <w:rsid w:val="54616330"/>
    <w:rsid w:val="555B1CCC"/>
    <w:rsid w:val="55933406"/>
    <w:rsid w:val="55D87B28"/>
    <w:rsid w:val="56161787"/>
    <w:rsid w:val="56397652"/>
    <w:rsid w:val="565C2507"/>
    <w:rsid w:val="566118CC"/>
    <w:rsid w:val="56A23A63"/>
    <w:rsid w:val="56F95FA8"/>
    <w:rsid w:val="572D5C52"/>
    <w:rsid w:val="57713D91"/>
    <w:rsid w:val="577A6B51"/>
    <w:rsid w:val="57CD72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BC75A4"/>
    <w:rsid w:val="5BBE4EC1"/>
    <w:rsid w:val="5BCC4E68"/>
    <w:rsid w:val="5C0E6052"/>
    <w:rsid w:val="5C38700F"/>
    <w:rsid w:val="5C4E644E"/>
    <w:rsid w:val="5C606182"/>
    <w:rsid w:val="5C8C341B"/>
    <w:rsid w:val="5C9B365E"/>
    <w:rsid w:val="5CD1707F"/>
    <w:rsid w:val="5D01298C"/>
    <w:rsid w:val="5D206DB4"/>
    <w:rsid w:val="5D292A17"/>
    <w:rsid w:val="5D6C42F1"/>
    <w:rsid w:val="5E043D85"/>
    <w:rsid w:val="5E510503"/>
    <w:rsid w:val="5E7540E3"/>
    <w:rsid w:val="5E800D5D"/>
    <w:rsid w:val="5E8B1BDC"/>
    <w:rsid w:val="5E93321A"/>
    <w:rsid w:val="5E95486F"/>
    <w:rsid w:val="5E9B7945"/>
    <w:rsid w:val="5EBD5B0D"/>
    <w:rsid w:val="5F02212E"/>
    <w:rsid w:val="5F07293D"/>
    <w:rsid w:val="5F1B4F3C"/>
    <w:rsid w:val="5F2B6F1B"/>
    <w:rsid w:val="5F335DCF"/>
    <w:rsid w:val="5F475456"/>
    <w:rsid w:val="5F4C0C3F"/>
    <w:rsid w:val="5FC058B5"/>
    <w:rsid w:val="5FC82233"/>
    <w:rsid w:val="5FE1582B"/>
    <w:rsid w:val="5FF14B86"/>
    <w:rsid w:val="5FF23595"/>
    <w:rsid w:val="5FF437B1"/>
    <w:rsid w:val="601C4AB5"/>
    <w:rsid w:val="608D150F"/>
    <w:rsid w:val="611D2893"/>
    <w:rsid w:val="613D1187"/>
    <w:rsid w:val="614442C4"/>
    <w:rsid w:val="61750921"/>
    <w:rsid w:val="617A5F38"/>
    <w:rsid w:val="618522C0"/>
    <w:rsid w:val="61926DDD"/>
    <w:rsid w:val="61AF5773"/>
    <w:rsid w:val="62386256"/>
    <w:rsid w:val="62D11B87"/>
    <w:rsid w:val="62E80EC0"/>
    <w:rsid w:val="631D301E"/>
    <w:rsid w:val="631F49AF"/>
    <w:rsid w:val="632717A7"/>
    <w:rsid w:val="636646BE"/>
    <w:rsid w:val="6384309D"/>
    <w:rsid w:val="638D0589"/>
    <w:rsid w:val="63CE39A4"/>
    <w:rsid w:val="63D27965"/>
    <w:rsid w:val="64025D70"/>
    <w:rsid w:val="643017E4"/>
    <w:rsid w:val="644840CB"/>
    <w:rsid w:val="64966BE4"/>
    <w:rsid w:val="6508530E"/>
    <w:rsid w:val="65165F77"/>
    <w:rsid w:val="65FE0EE5"/>
    <w:rsid w:val="663F14FE"/>
    <w:rsid w:val="66707909"/>
    <w:rsid w:val="66A15A40"/>
    <w:rsid w:val="66B141AA"/>
    <w:rsid w:val="67470A9D"/>
    <w:rsid w:val="6773145F"/>
    <w:rsid w:val="678B0094"/>
    <w:rsid w:val="679309D1"/>
    <w:rsid w:val="67B90B06"/>
    <w:rsid w:val="67FA56DC"/>
    <w:rsid w:val="681A3FD0"/>
    <w:rsid w:val="6888718C"/>
    <w:rsid w:val="68B25FB7"/>
    <w:rsid w:val="68E86919"/>
    <w:rsid w:val="69164798"/>
    <w:rsid w:val="69D837FB"/>
    <w:rsid w:val="69E35A90"/>
    <w:rsid w:val="6A246A40"/>
    <w:rsid w:val="6A9C6F1F"/>
    <w:rsid w:val="6AB1067E"/>
    <w:rsid w:val="6ABA1153"/>
    <w:rsid w:val="6ABB7EC6"/>
    <w:rsid w:val="6AF44665"/>
    <w:rsid w:val="6B120F8F"/>
    <w:rsid w:val="6BDB75D3"/>
    <w:rsid w:val="6BF80185"/>
    <w:rsid w:val="6C2B055A"/>
    <w:rsid w:val="6C423AF6"/>
    <w:rsid w:val="6C8A72E3"/>
    <w:rsid w:val="6C923EBF"/>
    <w:rsid w:val="6D1D49F8"/>
    <w:rsid w:val="6D8F2D6B"/>
    <w:rsid w:val="6DAC2D47"/>
    <w:rsid w:val="6E0C43BB"/>
    <w:rsid w:val="6EA75E92"/>
    <w:rsid w:val="6EC20A9A"/>
    <w:rsid w:val="6ED65246"/>
    <w:rsid w:val="6EF07839"/>
    <w:rsid w:val="6F2F65B3"/>
    <w:rsid w:val="6F6C2637"/>
    <w:rsid w:val="6FC4358D"/>
    <w:rsid w:val="6FF128C8"/>
    <w:rsid w:val="6FF60E7F"/>
    <w:rsid w:val="70932B5D"/>
    <w:rsid w:val="70D17BB2"/>
    <w:rsid w:val="70F133F4"/>
    <w:rsid w:val="71317DD8"/>
    <w:rsid w:val="713C6D66"/>
    <w:rsid w:val="71DD2CB4"/>
    <w:rsid w:val="72011973"/>
    <w:rsid w:val="72563E57"/>
    <w:rsid w:val="72995E92"/>
    <w:rsid w:val="72DA6836"/>
    <w:rsid w:val="72E17BC5"/>
    <w:rsid w:val="72E8625A"/>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1A53DD"/>
    <w:rsid w:val="75504B8E"/>
    <w:rsid w:val="75907680"/>
    <w:rsid w:val="76191423"/>
    <w:rsid w:val="76326989"/>
    <w:rsid w:val="76562678"/>
    <w:rsid w:val="76595CC4"/>
    <w:rsid w:val="76830F93"/>
    <w:rsid w:val="7718792D"/>
    <w:rsid w:val="77D965A0"/>
    <w:rsid w:val="77FC484A"/>
    <w:rsid w:val="782C5979"/>
    <w:rsid w:val="782F7CDB"/>
    <w:rsid w:val="784039A0"/>
    <w:rsid w:val="7847671C"/>
    <w:rsid w:val="787918A7"/>
    <w:rsid w:val="789254BD"/>
    <w:rsid w:val="79002D6F"/>
    <w:rsid w:val="791660EE"/>
    <w:rsid w:val="79682F4E"/>
    <w:rsid w:val="79751DE3"/>
    <w:rsid w:val="7A1E674C"/>
    <w:rsid w:val="7B821819"/>
    <w:rsid w:val="7BAC4AE8"/>
    <w:rsid w:val="7C473D21"/>
    <w:rsid w:val="7C8063E9"/>
    <w:rsid w:val="7C9C690A"/>
    <w:rsid w:val="7CB72A02"/>
    <w:rsid w:val="7D1172F8"/>
    <w:rsid w:val="7D7B6E68"/>
    <w:rsid w:val="7DAC0DCF"/>
    <w:rsid w:val="7E372159"/>
    <w:rsid w:val="7EAF501B"/>
    <w:rsid w:val="7EDC56E4"/>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qFormat/>
    <w:uiPriority w:val="9"/>
    <w:pPr>
      <w:keepNext/>
      <w:keepLines/>
      <w:spacing w:before="40"/>
      <w:outlineLvl w:val="2"/>
    </w:pPr>
    <w:rPr>
      <w:rFonts w:ascii="Calibri Light" w:hAnsi="Calibri Light"/>
      <w:color w:val="0D0D0D"/>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cs="宋体"/>
      <w:szCs w:val="21"/>
      <w:lang w:eastAsia="en-US"/>
    </w:rPr>
  </w:style>
  <w:style w:type="paragraph" w:styleId="5">
    <w:name w:val="toc 3"/>
    <w:basedOn w:val="1"/>
    <w:next w:val="1"/>
    <w:qFormat/>
    <w:uiPriority w:val="0"/>
    <w:pPr>
      <w:spacing w:line="279" w:lineRule="auto"/>
      <w:ind w:left="0" w:leftChars="0"/>
    </w:pPr>
    <w:rPr>
      <w:rFonts w:ascii="Times New Roman" w:hAnsi="Times New Roman" w:eastAsia="仿宋_GB2312"/>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rPr>
      <w:rFonts w:ascii="Times New Roman" w:hAnsi="Times New Roman" w:eastAsia="黑体"/>
      <w:sz w:val="32"/>
    </w:rPr>
  </w:style>
  <w:style w:type="paragraph" w:styleId="9">
    <w:name w:val="toc 2"/>
    <w:basedOn w:val="1"/>
    <w:next w:val="1"/>
    <w:qFormat/>
    <w:uiPriority w:val="0"/>
    <w:pPr>
      <w:spacing w:line="279" w:lineRule="auto"/>
      <w:ind w:left="420" w:leftChars="200"/>
    </w:pPr>
    <w:rPr>
      <w:rFonts w:ascii="Times New Roman" w:hAnsi="Times New Roman" w:eastAsia="楷体"/>
      <w:sz w:val="32"/>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Emphasis"/>
    <w:basedOn w:val="13"/>
    <w:qFormat/>
    <w:uiPriority w:val="0"/>
    <w:rPr>
      <w:i/>
    </w:rPr>
  </w:style>
  <w:style w:type="paragraph" w:customStyle="1" w:styleId="16">
    <w:name w:val="Table Text"/>
    <w:basedOn w:val="1"/>
    <w:semiHidden/>
    <w:qFormat/>
    <w:uiPriority w:val="0"/>
    <w:rPr>
      <w:rFonts w:ascii="宋体" w:hAnsi="宋体" w:cs="宋体"/>
      <w:sz w:val="18"/>
      <w:szCs w:val="18"/>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人培正文样式"/>
    <w:basedOn w:val="1"/>
    <w:qFormat/>
    <w:uiPriority w:val="0"/>
    <w:pPr>
      <w:spacing w:line="520" w:lineRule="exact"/>
      <w:ind w:firstLine="640" w:firstLineChars="200"/>
    </w:pPr>
    <w:rPr>
      <w:rFonts w:hint="eastAsia" w:eastAsia="仿宋_GB2312"/>
      <w:kern w:val="44"/>
      <w:sz w:val="32"/>
    </w:rPr>
  </w:style>
  <w:style w:type="paragraph" w:customStyle="1" w:styleId="19">
    <w:name w:val="人培表格标题样式"/>
    <w:basedOn w:val="1"/>
    <w:qFormat/>
    <w:uiPriority w:val="0"/>
    <w:pPr>
      <w:overflowPunct w:val="0"/>
      <w:adjustRightInd w:val="0"/>
      <w:spacing w:line="520" w:lineRule="exact"/>
      <w:jc w:val="center"/>
    </w:pPr>
    <w:rPr>
      <w:rFonts w:hint="eastAsia" w:ascii="仿宋" w:hAnsi="仿宋" w:eastAsia="仿宋" w:cs="仿宋"/>
      <w:color w:val="000000" w:themeColor="text1"/>
      <w:sz w:val="32"/>
      <w:szCs w:val="28"/>
      <w14:textFill>
        <w14:solidFill>
          <w14:schemeClr w14:val="tx1"/>
        </w14:solidFill>
      </w14:textFill>
    </w:rPr>
  </w:style>
  <w:style w:type="paragraph" w:customStyle="1" w:styleId="20">
    <w:name w:val="人培表格样式"/>
    <w:basedOn w:val="1"/>
    <w:qFormat/>
    <w:uiPriority w:val="0"/>
    <w:pPr>
      <w:jc w:val="center"/>
    </w:pPr>
    <w:rPr>
      <w:rFonts w:hint="eastAsia" w:ascii="仿宋_GB2312" w:hAns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17385</Words>
  <Characters>17497</Characters>
  <Lines>1850</Lines>
  <Paragraphs>1270</Paragraphs>
  <TotalTime>89</TotalTime>
  <ScaleCrop>false</ScaleCrop>
  <LinksUpToDate>false</LinksUpToDate>
  <CharactersWithSpaces>17798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609D9D2EF1D04470BCCEB9B3F2053573_13</vt:lpwstr>
  </property>
  <property fmtid="{D5CDD505-2E9C-101B-9397-08002B2CF9AE}" pid="4" name="KSOTemplateDocerSaveRecord">
    <vt:lpwstr>eyJoZGlkIjoiMWM2MmU0NTc4MjE4OGQyY2ZlOTQ3NTNiZTc4MmQ4NmEiLCJ1c2VySWQiOiIyNDU5MDMyNDUifQ==</vt:lpwstr>
  </property>
</Properties>
</file>