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-133985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rPr>
          <w:rFonts w:hint="eastAsia" w:ascii="华文新魏" w:hAnsi="仿宋" w:eastAsia="华文新魏"/>
          <w:b/>
          <w:color w:val="auto"/>
          <w:sz w:val="100"/>
          <w:szCs w:val="100"/>
          <w:highlight w:val="none"/>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国际经济与贸易</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530501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经济管理学院 </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pStyle w:val="8"/>
        <w:tabs>
          <w:tab w:val="right" w:leader="dot" w:pos="8505"/>
        </w:tabs>
        <w:jc w:val="center"/>
        <w:rPr>
          <w:rFonts w:hint="eastAsia" w:ascii="黑体" w:hAnsi="黑体" w:eastAsia="黑体" w:cs="黑体"/>
          <w:bCs/>
          <w:color w:val="auto"/>
          <w:kern w:val="0"/>
          <w:sz w:val="32"/>
          <w:szCs w:val="96"/>
          <w:highlight w:val="none"/>
          <w:lang w:val="en-US" w:eastAsia="zh-CN" w:bidi="ar-SA"/>
        </w:rPr>
      </w:pPr>
    </w:p>
    <w:p>
      <w:pPr>
        <w:pStyle w:val="8"/>
        <w:tabs>
          <w:tab w:val="right" w:leader="dot" w:pos="8505"/>
        </w:tabs>
        <w:jc w:val="center"/>
        <w:rPr>
          <w:rFonts w:hint="eastAsia" w:ascii="黑体" w:hAnsi="黑体" w:eastAsia="黑体" w:cs="黑体"/>
          <w:bCs/>
          <w:color w:val="auto"/>
          <w:kern w:val="0"/>
          <w:sz w:val="32"/>
          <w:szCs w:val="96"/>
          <w:highlight w:val="none"/>
          <w:lang w:val="en-US" w:eastAsia="zh-CN" w:bidi="ar-SA"/>
        </w:rPr>
        <w:sectPr>
          <w:headerReference r:id="rId3" w:type="default"/>
          <w:pgSz w:w="11906" w:h="16838"/>
          <w:pgMar w:top="1417" w:right="1417" w:bottom="1417" w:left="1984" w:header="851" w:footer="992" w:gutter="0"/>
          <w:pgNumType w:start="1"/>
          <w:cols w:space="425" w:num="1"/>
          <w:docGrid w:type="lines" w:linePitch="312" w:charSpace="0"/>
        </w:sectPr>
      </w:pPr>
    </w:p>
    <w:p>
      <w:pPr>
        <w:pStyle w:val="8"/>
        <w:tabs>
          <w:tab w:val="right" w:leader="dot" w:pos="8505"/>
        </w:tabs>
        <w:jc w:val="center"/>
        <w:rPr>
          <w:rFonts w:hint="eastAsia" w:ascii="黑体" w:hAnsi="黑体" w:eastAsia="黑体" w:cs="黑体"/>
          <w:bCs/>
          <w:color w:val="auto"/>
          <w:kern w:val="0"/>
          <w:sz w:val="32"/>
          <w:szCs w:val="96"/>
          <w:highlight w:val="none"/>
          <w:lang w:val="en-US" w:eastAsia="zh-CN" w:bidi="ar-SA"/>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工程职业学院国际经济与贸易</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广西百色红城发展集团有限公司等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727"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盆伟伟</w:t>
            </w:r>
          </w:p>
        </w:tc>
        <w:tc>
          <w:tcPr>
            <w:tcW w:w="2800"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广西</w:t>
            </w:r>
            <w:bookmarkStart w:id="207" w:name="_GoBack"/>
            <w:bookmarkEnd w:id="207"/>
            <w:r>
              <w:rPr>
                <w:rFonts w:hint="eastAsia" w:ascii="仿宋_GB2312" w:hAnsi="仿宋_GB2312" w:eastAsia="仿宋_GB2312" w:cs="仿宋_GB2312"/>
                <w:b w:val="0"/>
                <w:bCs/>
                <w:color w:val="auto"/>
                <w:sz w:val="32"/>
                <w:szCs w:val="32"/>
                <w:vertAlign w:val="baseline"/>
              </w:rPr>
              <w:t>百色红城发展集团有限公司</w:t>
            </w:r>
          </w:p>
        </w:tc>
        <w:tc>
          <w:tcPr>
            <w:tcW w:w="1833" w:type="dxa"/>
            <w:vAlign w:val="center"/>
          </w:tcPr>
          <w:p>
            <w:pPr>
              <w:jc w:val="center"/>
              <w:rPr>
                <w:rFonts w:hint="eastAsia" w:ascii="仿宋_GB2312" w:hAnsi="仿宋_GB2312" w:eastAsia="仿宋_GB2312" w:cs="仿宋_GB2312"/>
                <w:b w:val="0"/>
                <w:bCs/>
                <w:color w:val="auto"/>
                <w:sz w:val="32"/>
                <w:szCs w:val="32"/>
                <w:vertAlign w:val="baseline"/>
                <w:lang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727"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黄金俊</w:t>
            </w:r>
          </w:p>
        </w:tc>
        <w:tc>
          <w:tcPr>
            <w:tcW w:w="2800"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top"/>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rPr>
              <w:t>专任教师</w:t>
            </w:r>
          </w:p>
        </w:tc>
        <w:tc>
          <w:tcPr>
            <w:tcW w:w="1727"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top"/>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刘忠略</w:t>
            </w:r>
          </w:p>
        </w:tc>
        <w:tc>
          <w:tcPr>
            <w:tcW w:w="2800" w:type="dxa"/>
            <w:vAlign w:val="top"/>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top"/>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727" w:type="dxa"/>
            <w:vAlign w:val="top"/>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50" w:type="dxa"/>
            <w:vAlign w:val="top"/>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覃丽君</w:t>
            </w:r>
          </w:p>
        </w:tc>
        <w:tc>
          <w:tcPr>
            <w:tcW w:w="2800" w:type="dxa"/>
            <w:shd w:val="clear" w:color="auto" w:fill="auto"/>
            <w:vAlign w:val="top"/>
          </w:tcPr>
          <w:p>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shd w:val="clear" w:color="auto" w:fill="auto"/>
            <w:vAlign w:val="top"/>
          </w:tcPr>
          <w:p>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rPr>
              <w:t>专任教师</w:t>
            </w:r>
          </w:p>
        </w:tc>
        <w:tc>
          <w:tcPr>
            <w:tcW w:w="1727" w:type="dxa"/>
            <w:vAlign w:val="top"/>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经济师</w:t>
            </w:r>
          </w:p>
        </w:tc>
      </w:tr>
    </w:tbl>
    <w:p>
      <w:pPr>
        <w:rPr>
          <w:rFonts w:hint="eastAsia"/>
          <w:lang w:val="en-US" w:eastAsia="zh-CN"/>
        </w:rPr>
        <w:sectPr>
          <w:pgSz w:w="11906" w:h="16838"/>
          <w:pgMar w:top="1417" w:right="1417" w:bottom="1417" w:left="1984" w:header="851" w:footer="992" w:gutter="0"/>
          <w:pgNumType w:start="1"/>
          <w:cols w:space="425" w:num="1"/>
          <w:docGrid w:type="lines" w:linePitch="312" w:charSpace="0"/>
        </w:sectPr>
      </w:pPr>
    </w:p>
    <w:p>
      <w:pPr>
        <w:pStyle w:val="8"/>
        <w:tabs>
          <w:tab w:val="right" w:leader="dot" w:pos="8505"/>
        </w:tabs>
        <w:jc w:val="center"/>
        <w:rPr>
          <w:rFonts w:hint="eastAsia" w:ascii="黑体" w:hAnsi="黑体" w:eastAsia="黑体" w:cs="黑体"/>
          <w:bCs/>
          <w:color w:val="auto"/>
          <w:kern w:val="0"/>
          <w:sz w:val="32"/>
          <w:szCs w:val="96"/>
          <w:highlight w:val="none"/>
          <w:lang w:val="en-US" w:eastAsia="zh-CN" w:bidi="ar-SA"/>
        </w:rPr>
        <w:sectPr>
          <w:pgSz w:w="11906" w:h="16838"/>
          <w:pgMar w:top="1417" w:right="1417" w:bottom="1417" w:left="1984" w:header="851" w:footer="992" w:gutter="0"/>
          <w:pgNumType w:start="1"/>
          <w:cols w:space="425" w:num="1"/>
          <w:docGrid w:type="lines" w:linePitch="312" w:charSpace="0"/>
        </w:sectPr>
      </w:pPr>
    </w:p>
    <w:p>
      <w:pPr>
        <w:pStyle w:val="8"/>
        <w:tabs>
          <w:tab w:val="right" w:leader="dot" w:pos="8505"/>
        </w:tabs>
        <w:jc w:val="center"/>
        <w:rPr>
          <w:rFonts w:hint="default" w:ascii="黑体" w:hAnsi="黑体" w:eastAsia="黑体" w:cs="黑体"/>
          <w:bCs/>
          <w:color w:val="auto"/>
          <w:kern w:val="0"/>
          <w:sz w:val="44"/>
          <w:szCs w:val="44"/>
          <w:highlight w:val="none"/>
          <w:lang w:val="en-US" w:eastAsia="zh-CN" w:bidi="ar-SA"/>
        </w:rPr>
      </w:pPr>
      <w:r>
        <w:rPr>
          <w:rFonts w:hint="eastAsia" w:ascii="黑体" w:hAnsi="黑体" w:eastAsia="黑体" w:cs="黑体"/>
          <w:bCs/>
          <w:color w:val="auto"/>
          <w:kern w:val="0"/>
          <w:sz w:val="44"/>
          <w:szCs w:val="44"/>
          <w:highlight w:val="none"/>
          <w:lang w:val="en-US" w:eastAsia="zh-CN" w:bidi="ar-SA"/>
        </w:rPr>
        <w:t>目  录</w:t>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color w:val="auto"/>
          <w:kern w:val="0"/>
          <w:sz w:val="32"/>
          <w:szCs w:val="32"/>
          <w:highlight w:val="none"/>
          <w:lang w:val="en-US" w:eastAsia="zh-CN" w:bidi="ar-SA"/>
        </w:rPr>
        <w:instrText xml:space="preserve">TOC \o "1-2" \h \u </w:instrText>
      </w:r>
      <w:r>
        <w:rPr>
          <w:rFonts w:hint="eastAsia" w:ascii="仿宋_GB2312" w:hAnsi="仿宋_GB2312" w:eastAsia="仿宋_GB2312" w:cs="仿宋_GB2312"/>
          <w:bCs/>
          <w:color w:val="auto"/>
          <w:kern w:val="0"/>
          <w:sz w:val="32"/>
          <w:szCs w:val="32"/>
          <w:highlight w:val="none"/>
          <w:lang w:val="en-US" w:eastAsia="zh-CN" w:bidi="ar-SA"/>
        </w:rPr>
        <w:fldChar w:fldCharType="separate"/>
      </w: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_Toc68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bCs w:val="0"/>
          <w:kern w:val="2"/>
          <w:sz w:val="32"/>
          <w:szCs w:val="32"/>
          <w:highlight w:val="none"/>
          <w:lang w:val="en-US" w:eastAsia="zh-CN" w:bidi="ar-SA"/>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_Toc30760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bCs/>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_Toc15670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三、修业年限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_Toc15670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_Toc3083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_Toc6402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_Toc6402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_Toc19306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、培养</w:t>
      </w:r>
      <w:r>
        <w:rPr>
          <w:rFonts w:hint="eastAsia" w:ascii="仿宋_GB2312" w:hAnsi="仿宋_GB2312" w:eastAsia="仿宋_GB2312" w:cs="仿宋_GB2312"/>
          <w:sz w:val="32"/>
          <w:szCs w:val="32"/>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_Toc19306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_Toc5941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 xml:space="preserve">（一） </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_Toc5941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_Toc27988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 xml:space="preserve">（二） </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_Toc27988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_Toc30766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 xml:space="preserve">（三） </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_Toc26033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_Toc26033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_Toc1231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_Toc32179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_Toc32179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_Toc29172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（三）第二课堂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_Toc29172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_Toc28061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_Toc28061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_Toc22825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（一）</w:t>
      </w:r>
      <w:r>
        <w:rPr>
          <w:rFonts w:hint="eastAsia" w:ascii="楷体" w:hAnsi="楷体" w:eastAsia="楷体" w:cs="楷体"/>
          <w:color w:val="auto"/>
          <w:sz w:val="32"/>
          <w:szCs w:val="32"/>
        </w:rPr>
        <w:t>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_Toc30299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_Toc30299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_Toc1590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_Toc19331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_Toc19331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_Toc23412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（一） 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_Toc4292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（二） 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（三）专任教师.....................................46</w:t>
      </w:r>
    </w:p>
    <w:p>
      <w:pPr>
        <w:rPr>
          <w:rFonts w:hint="default"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（四）兼职教师</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_Toc29528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_Toc29528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_Toc28223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_Toc28223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_Toc22294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_Toc22294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_Toc2975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（三） 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_Toc28104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_Toc28104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_Toc8495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_Toc8495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_Toc11714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十二、</w:t>
      </w:r>
      <w:r>
        <w:rPr>
          <w:rFonts w:hint="eastAsia" w:ascii="仿宋_GB2312" w:hAnsi="仿宋_GB2312" w:eastAsia="仿宋_GB2312" w:cs="仿宋_GB2312"/>
          <w:sz w:val="32"/>
          <w:szCs w:val="32"/>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_Toc11714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9"/>
        <w:keepNext w:val="0"/>
        <w:keepLines w:val="0"/>
        <w:pageBreakBefore w:val="0"/>
        <w:tabs>
          <w:tab w:val="right" w:leader="dot" w:pos="8505"/>
        </w:tabs>
        <w:kinsoku/>
        <w:wordWrap/>
        <w:topLinePunct w:val="0"/>
        <w:autoSpaceDE/>
        <w:autoSpaceDN/>
        <w:bidi w:val="0"/>
        <w:spacing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_Toc13919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_Toc13919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_Toc8588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kern w:val="2"/>
          <w:sz w:val="32"/>
          <w:szCs w:val="32"/>
          <w:highlight w:val="none"/>
          <w:lang w:val="en-US" w:eastAsia="zh-CN" w:bidi="ar-SA"/>
        </w:rPr>
        <w:t>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_Toc8588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pStyle w:val="8"/>
        <w:keepNext w:val="0"/>
        <w:keepLines w:val="0"/>
        <w:pageBreakBefore w:val="0"/>
        <w:tabs>
          <w:tab w:val="right" w:leader="dot" w:pos="8505"/>
        </w:tabs>
        <w:kinsoku/>
        <w:wordWrap/>
        <w:topLinePunct w:val="0"/>
        <w:autoSpaceDE/>
        <w:autoSpaceDN/>
        <w:bidi w:val="0"/>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lang w:val="en-US" w:eastAsia="zh-CN" w:bidi="ar-SA"/>
        </w:rPr>
        <w:fldChar w:fldCharType="begin"/>
      </w:r>
      <w:r>
        <w:rPr>
          <w:rFonts w:hint="eastAsia" w:ascii="仿宋_GB2312" w:hAnsi="仿宋_GB2312" w:eastAsia="仿宋_GB2312" w:cs="仿宋_GB2312"/>
          <w:bCs/>
          <w:kern w:val="0"/>
          <w:sz w:val="32"/>
          <w:szCs w:val="32"/>
          <w:highlight w:val="none"/>
          <w:lang w:val="en-US" w:eastAsia="zh-CN" w:bidi="ar-SA"/>
        </w:rPr>
        <w:instrText xml:space="preserve"> HYPERLINK \l _Toc7332 </w:instrText>
      </w:r>
      <w:r>
        <w:rPr>
          <w:rFonts w:hint="eastAsia" w:ascii="仿宋_GB2312" w:hAnsi="仿宋_GB2312" w:eastAsia="仿宋_GB2312" w:cs="仿宋_GB2312"/>
          <w:bCs/>
          <w:kern w:val="0"/>
          <w:sz w:val="32"/>
          <w:szCs w:val="32"/>
          <w:highlight w:val="none"/>
          <w:lang w:val="en-US" w:eastAsia="zh-CN" w:bidi="ar-SA"/>
        </w:rPr>
        <w:fldChar w:fldCharType="separate"/>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kern w:val="2"/>
          <w:sz w:val="32"/>
          <w:szCs w:val="32"/>
          <w:lang w:val="en-US" w:eastAsia="zh-CN" w:bidi="ar-SA"/>
        </w:rPr>
        <w:t>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_Toc7332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lang w:val="en-US" w:eastAsia="zh-CN" w:bidi="ar-SA"/>
        </w:rPr>
        <w:fldChar w:fldCharType="end"/>
      </w:r>
    </w:p>
    <w:p>
      <w:pPr>
        <w:keepNext w:val="0"/>
        <w:keepLines w:val="0"/>
        <w:pageBreakBefore w:val="0"/>
        <w:widowControl/>
        <w:kinsoku/>
        <w:wordWrap/>
        <w:overflowPunct w:val="0"/>
        <w:topLinePunct w:val="0"/>
        <w:autoSpaceDE/>
        <w:autoSpaceDN/>
        <w:bidi w:val="0"/>
        <w:adjustRightInd w:val="0"/>
        <w:snapToGrid w:val="0"/>
        <w:spacing w:line="520" w:lineRule="exact"/>
        <w:ind w:left="0" w:leftChars="0"/>
        <w:jc w:val="both"/>
        <w:textAlignment w:val="auto"/>
        <w:rPr>
          <w:rFonts w:hint="eastAsia" w:ascii="黑体" w:hAnsi="黑体" w:eastAsia="黑体" w:cs="黑体"/>
          <w:bCs/>
          <w:color w:val="auto"/>
          <w:kern w:val="0"/>
          <w:sz w:val="21"/>
          <w:szCs w:val="5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fldChar w:fldCharType="end"/>
      </w:r>
    </w:p>
    <w:p>
      <w:pPr>
        <w:widowControl/>
        <w:overflowPunct w:val="0"/>
        <w:adjustRightInd w:val="0"/>
        <w:snapToGrid w:val="0"/>
        <w:jc w:val="center"/>
        <w:rPr>
          <w:rFonts w:hint="eastAsia" w:ascii="黑体" w:hAnsi="黑体" w:eastAsia="黑体" w:cs="黑体"/>
          <w:bCs/>
          <w:color w:val="auto"/>
          <w:kern w:val="0"/>
          <w:sz w:val="21"/>
          <w:szCs w:val="52"/>
          <w:highlight w:val="none"/>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highlight w:val="none"/>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国际经济与贸易</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highlight w:val="none"/>
        </w:rPr>
      </w:pPr>
    </w:p>
    <w:p>
      <w:pPr>
        <w:pStyle w:val="2"/>
        <w:pageBreakBefore w:val="0"/>
        <w:widowControl w:val="0"/>
        <w:kinsoku/>
        <w:wordWrap/>
        <w:topLinePunct w:val="0"/>
        <w:autoSpaceDE/>
        <w:autoSpaceDN/>
        <w:bidi w:val="0"/>
        <w:snapToGrid/>
        <w:spacing w:beforeLines="0" w:after="0" w:afterLines="0" w:line="52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bookmarkStart w:id="0" w:name="_Toc2887"/>
      <w:bookmarkStart w:id="1" w:name="_Toc18387"/>
      <w:bookmarkStart w:id="2" w:name="_Toc68"/>
      <w:r>
        <w:rPr>
          <w:rFonts w:hint="eastAsia" w:ascii="黑体" w:hAnsi="黑体" w:eastAsia="黑体" w:cs="黑体"/>
          <w:b w:val="0"/>
          <w:bCs w:val="0"/>
          <w:color w:val="auto"/>
          <w:kern w:val="2"/>
          <w:sz w:val="32"/>
          <w:szCs w:val="32"/>
          <w:highlight w:val="none"/>
          <w:lang w:val="en-US" w:eastAsia="zh-CN" w:bidi="ar-SA"/>
        </w:rPr>
        <w:t>一、专业名称及代码</w:t>
      </w:r>
      <w:bookmarkEnd w:id="0"/>
      <w:bookmarkEnd w:id="1"/>
      <w:bookmarkEnd w:id="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专业名称：国际经济与贸易</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专业代码：530501</w:t>
      </w:r>
      <w:r>
        <w:rPr>
          <w:rFonts w:hint="eastAsia" w:ascii="仿宋_GB2312" w:hAnsi="仿宋_GB2312" w:eastAsia="仿宋_GB2312" w:cs="仿宋_GB2312"/>
          <w:color w:val="auto"/>
          <w:sz w:val="32"/>
          <w:szCs w:val="32"/>
          <w:highlight w:val="none"/>
          <w:lang w:val="en-US" w:eastAsia="zh-CN"/>
        </w:rPr>
        <w:t xml:space="preserve"> </w:t>
      </w:r>
    </w:p>
    <w:p>
      <w:pPr>
        <w:pStyle w:val="2"/>
        <w:pageBreakBefore w:val="0"/>
        <w:widowControl w:val="0"/>
        <w:kinsoku/>
        <w:wordWrap/>
        <w:topLinePunct w:val="0"/>
        <w:autoSpaceDE/>
        <w:autoSpaceDN/>
        <w:bidi w:val="0"/>
        <w:snapToGrid/>
        <w:spacing w:beforeLines="0" w:after="0" w:afterLines="0" w:line="520" w:lineRule="exact"/>
        <w:textAlignment w:val="auto"/>
        <w:rPr>
          <w:rFonts w:hint="eastAsia"/>
          <w:b w:val="0"/>
          <w:bCs/>
        </w:rPr>
      </w:pPr>
      <w:bookmarkStart w:id="3" w:name="_Toc26983"/>
      <w:bookmarkStart w:id="4" w:name="_Toc30760"/>
      <w:bookmarkStart w:id="5" w:name="_Toc18514"/>
      <w:r>
        <w:rPr>
          <w:rFonts w:hint="eastAsia"/>
          <w:b w:val="0"/>
          <w:bCs/>
        </w:rPr>
        <w:t>二、入学要求</w:t>
      </w:r>
      <w:bookmarkEnd w:id="3"/>
      <w:bookmarkEnd w:id="4"/>
      <w:bookmarkEnd w:id="5"/>
    </w:p>
    <w:p>
      <w:pPr>
        <w:keepNext w:val="0"/>
        <w:keepLines w:val="0"/>
        <w:pageBreakBefore w:val="0"/>
        <w:widowControl w:val="0"/>
        <w:kinsoku/>
        <w:wordWrap/>
        <w:overflowPunct w:val="0"/>
        <w:topLinePunct w:val="0"/>
        <w:autoSpaceDE/>
        <w:autoSpaceDN/>
        <w:bidi w:val="0"/>
        <w:adjustRightInd w:val="0"/>
        <w:snapToGrid/>
        <w:spacing w:after="0" w:line="520" w:lineRule="exact"/>
        <w:ind w:firstLine="616"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pacing w:val="-6"/>
          <w:sz w:val="32"/>
          <w:szCs w:val="32"/>
          <w:highlight w:val="none"/>
        </w:rPr>
        <w:t>中等职业学校毕业、普通高级中学毕业或具备</w:t>
      </w:r>
      <w:r>
        <w:rPr>
          <w:rFonts w:hint="eastAsia" w:ascii="仿宋_GB2312" w:hAnsi="仿宋_GB2312" w:eastAsia="仿宋_GB2312" w:cs="仿宋_GB2312"/>
          <w:b w:val="0"/>
          <w:bCs w:val="0"/>
          <w:color w:val="auto"/>
          <w:spacing w:val="-6"/>
          <w:sz w:val="32"/>
          <w:szCs w:val="32"/>
          <w:highlight w:val="none"/>
          <w:lang w:eastAsia="zh-CN"/>
        </w:rPr>
        <w:t>同等学</w:t>
      </w:r>
      <w:r>
        <w:rPr>
          <w:rFonts w:hint="eastAsia" w:ascii="仿宋_GB2312" w:hAnsi="仿宋_GB2312" w:eastAsia="仿宋_GB2312" w:cs="仿宋_GB2312"/>
          <w:color w:val="auto"/>
          <w:sz w:val="32"/>
          <w:szCs w:val="32"/>
          <w:lang w:val="en-US" w:eastAsia="zh-CN"/>
        </w:rPr>
        <w:t>力</w:t>
      </w:r>
      <w:r>
        <w:rPr>
          <w:rFonts w:hint="eastAsia" w:ascii="仿宋_GB2312" w:hAnsi="仿宋_GB2312" w:eastAsia="仿宋_GB2312" w:cs="仿宋_GB2312"/>
          <w:b w:val="0"/>
          <w:bCs w:val="0"/>
          <w:color w:val="auto"/>
          <w:spacing w:val="-6"/>
          <w:sz w:val="32"/>
          <w:szCs w:val="32"/>
          <w:highlight w:val="none"/>
          <w:lang w:eastAsia="zh-CN"/>
        </w:rPr>
        <w:t>。</w:t>
      </w:r>
    </w:p>
    <w:p>
      <w:pPr>
        <w:pStyle w:val="2"/>
        <w:pageBreakBefore w:val="0"/>
        <w:widowControl w:val="0"/>
        <w:kinsoku/>
        <w:wordWrap/>
        <w:topLinePunct w:val="0"/>
        <w:autoSpaceDE/>
        <w:autoSpaceDN/>
        <w:bidi w:val="0"/>
        <w:snapToGrid/>
        <w:spacing w:beforeLines="0" w:after="0" w:afterLines="0" w:line="520" w:lineRule="exact"/>
        <w:textAlignment w:val="auto"/>
        <w:rPr>
          <w:rFonts w:hint="eastAsia"/>
        </w:rPr>
      </w:pPr>
      <w:bookmarkStart w:id="6" w:name="_Toc11806"/>
      <w:bookmarkStart w:id="7" w:name="_Toc3681"/>
      <w:bookmarkStart w:id="8" w:name="_Toc15670"/>
      <w:r>
        <w:rPr>
          <w:rFonts w:hint="eastAsia"/>
        </w:rPr>
        <w:t>三、修业年限</w:t>
      </w:r>
      <w:bookmarkEnd w:id="6"/>
      <w:bookmarkEnd w:id="7"/>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color w:val="auto"/>
          <w:sz w:val="32"/>
          <w:szCs w:val="32"/>
          <w:highlight w:val="none"/>
        </w:rPr>
        <w:t>标准修业年限为3年，弹性学分有效修业年限为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-5年。</w:t>
      </w:r>
    </w:p>
    <w:p>
      <w:pPr>
        <w:pStyle w:val="2"/>
        <w:pageBreakBefore w:val="0"/>
        <w:widowControl w:val="0"/>
        <w:kinsoku/>
        <w:wordWrap/>
        <w:topLinePunct w:val="0"/>
        <w:autoSpaceDE/>
        <w:autoSpaceDN/>
        <w:bidi w:val="0"/>
        <w:snapToGrid/>
        <w:spacing w:beforeLines="0" w:after="0" w:afterLines="0" w:line="520" w:lineRule="exact"/>
        <w:textAlignment w:val="auto"/>
        <w:rPr>
          <w:rFonts w:hint="eastAsia"/>
        </w:rPr>
      </w:pPr>
      <w:bookmarkStart w:id="9" w:name="_Toc30947"/>
      <w:bookmarkStart w:id="10" w:name="_Toc3083"/>
      <w:bookmarkStart w:id="11" w:name="_Toc28926"/>
      <w:r>
        <w:rPr>
          <w:rFonts w:hint="eastAsia"/>
        </w:rPr>
        <w:t>四、职业面向</w:t>
      </w:r>
      <w:bookmarkEnd w:id="9"/>
      <w:bookmarkEnd w:id="10"/>
      <w:bookmarkEnd w:id="11"/>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ascii="仿宋" w:hAnsi="仿宋" w:eastAsia="仿宋"/>
          <w:color w:val="auto"/>
          <w:sz w:val="24"/>
          <w:highlight w:val="none"/>
        </w:rPr>
      </w:pPr>
      <w:r>
        <w:rPr>
          <w:rFonts w:hint="eastAsia" w:ascii="仿宋_GB2312" w:hAnsi="仿宋_GB2312" w:eastAsia="仿宋_GB2312" w:cs="仿宋_GB2312"/>
          <w:b w:val="0"/>
          <w:bCs w:val="0"/>
          <w:color w:val="auto"/>
          <w:sz w:val="32"/>
          <w:szCs w:val="32"/>
          <w:highlight w:val="none"/>
        </w:rPr>
        <w:t>表1 国际经济与贸易专业职业岗位分析表</w:t>
      </w:r>
    </w:p>
    <w:tbl>
      <w:tblPr>
        <w:tblStyle w:val="12"/>
        <w:tblW w:w="943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1250"/>
        <w:gridCol w:w="1234"/>
        <w:gridCol w:w="1616"/>
        <w:gridCol w:w="1827"/>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416"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所属专业大类（代码）</w:t>
            </w:r>
          </w:p>
        </w:tc>
        <w:tc>
          <w:tcPr>
            <w:tcW w:w="1250"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所属专业类（代码）</w:t>
            </w:r>
          </w:p>
        </w:tc>
        <w:tc>
          <w:tcPr>
            <w:tcW w:w="1234"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w:t>
            </w:r>
          </w:p>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616"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1827"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2091"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416"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财经商贸大类（53）</w:t>
            </w:r>
          </w:p>
        </w:tc>
        <w:tc>
          <w:tcPr>
            <w:tcW w:w="1250"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经济贸易类（5305）</w:t>
            </w:r>
          </w:p>
        </w:tc>
        <w:tc>
          <w:tcPr>
            <w:tcW w:w="1234"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批发业（51）、商务服务业（72）</w:t>
            </w:r>
          </w:p>
        </w:tc>
        <w:tc>
          <w:tcPr>
            <w:tcW w:w="1616"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商务专业人员（2-06-07）</w:t>
            </w:r>
          </w:p>
        </w:tc>
        <w:tc>
          <w:tcPr>
            <w:tcW w:w="1827"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外贸单证员；</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外贸跟单员；</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外贸业务员；</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跨境电子商务；运营推广员</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金融业务岗</w:t>
            </w:r>
          </w:p>
        </w:tc>
        <w:tc>
          <w:tcPr>
            <w:tcW w:w="2091"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大学英语B级证书</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“1+X”职业技能等级证书</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全国计算机等级考试（一级）证书</w:t>
            </w:r>
          </w:p>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大学英语四级（CET-4）</w:t>
            </w:r>
          </w:p>
        </w:tc>
      </w:tr>
    </w:tbl>
    <w:p>
      <w:pPr>
        <w:pStyle w:val="2"/>
        <w:pageBreakBefore w:val="0"/>
        <w:widowControl w:val="0"/>
        <w:kinsoku/>
        <w:wordWrap/>
        <w:topLinePunct w:val="0"/>
        <w:autoSpaceDE/>
        <w:autoSpaceDN/>
        <w:bidi w:val="0"/>
        <w:snapToGrid/>
        <w:spacing w:beforeLines="0" w:after="0" w:afterLines="0" w:line="520" w:lineRule="exact"/>
        <w:textAlignment w:val="auto"/>
        <w:rPr>
          <w:rFonts w:hint="eastAsia"/>
        </w:rPr>
      </w:pPr>
      <w:bookmarkStart w:id="12" w:name="_Toc6402"/>
      <w:bookmarkStart w:id="13" w:name="_Toc27466"/>
      <w:bookmarkStart w:id="14" w:name="_Toc18548"/>
      <w:r>
        <w:rPr>
          <w:rFonts w:hint="eastAsia"/>
        </w:rPr>
        <w:t>五、培养目标</w:t>
      </w:r>
      <w:bookmarkEnd w:id="12"/>
      <w:bookmarkEnd w:id="13"/>
      <w:bookmarkEnd w:id="1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立足于广西自由贸易区、跨境电商、跨境物流、经贸外语等领域，培养适应中国—东盟自由贸易区建设需求，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批发业和商务服务业的外贸业务员、外贸单证员、外贸跟单员、跨境电商 B2B 运营专员、跨境电商 B2B 销售专员、跨境电商B2B 营销专员等岗位（群），能够从事外贸接单、制单、跟单、跨境电商 B2B 业务操作等工作的高技能人才。</w:t>
      </w:r>
    </w:p>
    <w:p>
      <w:pPr>
        <w:pStyle w:val="2"/>
        <w:pageBreakBefore w:val="0"/>
        <w:widowControl w:val="0"/>
        <w:kinsoku/>
        <w:wordWrap/>
        <w:topLinePunct w:val="0"/>
        <w:autoSpaceDE/>
        <w:autoSpaceDN/>
        <w:bidi w:val="0"/>
        <w:snapToGrid/>
        <w:spacing w:beforeLines="0" w:after="0" w:afterLines="0" w:line="520" w:lineRule="exact"/>
        <w:textAlignment w:val="auto"/>
        <w:rPr>
          <w:rFonts w:hint="eastAsia"/>
          <w:lang w:eastAsia="zh-CN"/>
        </w:rPr>
      </w:pPr>
      <w:bookmarkStart w:id="15" w:name="_Toc19306"/>
      <w:bookmarkStart w:id="16" w:name="_Toc930"/>
      <w:bookmarkStart w:id="17" w:name="_Toc11036"/>
      <w:r>
        <w:rPr>
          <w:rFonts w:hint="eastAsia"/>
          <w:lang w:val="en-US" w:eastAsia="zh-CN"/>
        </w:rPr>
        <w:t>六</w:t>
      </w:r>
      <w:r>
        <w:rPr>
          <w:rFonts w:hint="eastAsia"/>
        </w:rPr>
        <w:t>、培养</w:t>
      </w:r>
      <w:r>
        <w:rPr>
          <w:rFonts w:hint="eastAsia"/>
          <w:lang w:val="en-US" w:eastAsia="zh-CN"/>
        </w:rPr>
        <w:t>规格</w:t>
      </w:r>
      <w:bookmarkEnd w:id="15"/>
      <w:bookmarkEnd w:id="16"/>
      <w:bookmarkEnd w:id="17"/>
    </w:p>
    <w:p>
      <w:pPr>
        <w:pStyle w:val="5"/>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本专业</w:t>
      </w:r>
      <w:r>
        <w:rPr>
          <w:rFonts w:hint="eastAsia" w:ascii="仿宋_GB2312" w:hAnsi="仿宋_GB2312" w:eastAsia="仿宋_GB2312" w:cs="仿宋_GB2312"/>
          <w:color w:val="auto"/>
          <w:sz w:val="32"/>
          <w:szCs w:val="32"/>
          <w:highlight w:val="none"/>
          <w:lang w:val="en-US" w:eastAsia="zh-CN"/>
        </w:rPr>
        <w:t>学</w:t>
      </w:r>
      <w:r>
        <w:rPr>
          <w:rFonts w:hint="eastAsia" w:ascii="仿宋_GB2312" w:hAnsi="仿宋_GB2312" w:eastAsia="仿宋_GB2312" w:cs="仿宋_GB2312"/>
          <w:color w:val="auto"/>
          <w:sz w:val="32"/>
          <w:szCs w:val="32"/>
          <w:highlight w:val="none"/>
          <w:lang w:eastAsia="zh-CN"/>
        </w:rPr>
        <w:t>生</w:t>
      </w:r>
      <w:r>
        <w:rPr>
          <w:rFonts w:hint="eastAsia" w:ascii="仿宋_GB2312" w:hAnsi="仿宋_GB2312" w:eastAsia="仿宋_GB2312" w:cs="仿宋_GB2312"/>
          <w:b w:val="0"/>
          <w:bCs w:val="0"/>
          <w:color w:val="auto"/>
          <w:sz w:val="32"/>
          <w:szCs w:val="32"/>
          <w:highlight w:val="none"/>
        </w:rPr>
        <w:t>应在系统学习本专业知识并完成有关实习实训基础上，全面提升知识、能力、素质，掌握并实际运用岗位（群）需要的专业核心技术技能，实现德智体美劳全面发展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总体上须达到以下要求：</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楷体" w:hAnsi="楷体" w:eastAsia="楷体" w:cs="楷体"/>
          <w:color w:val="auto"/>
          <w:sz w:val="32"/>
          <w:szCs w:val="32"/>
          <w:highlight w:val="none"/>
          <w:lang w:val="en-US" w:eastAsia="zh-CN"/>
        </w:rPr>
      </w:pPr>
      <w:bookmarkStart w:id="18" w:name="_Toc5941"/>
      <w:bookmarkStart w:id="19" w:name="_Toc29922"/>
      <w:bookmarkStart w:id="20" w:name="_Toc27338"/>
      <w:bookmarkStart w:id="21" w:name="_Toc21305"/>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18"/>
      <w:bookmarkEnd w:id="19"/>
      <w:bookmarkEnd w:id="20"/>
      <w:bookmarkEnd w:id="2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22" w:name="_Toc2323"/>
      <w:bookmarkStart w:id="23" w:name="_Toc32251"/>
      <w:bookmarkStart w:id="24" w:name="_Toc6012"/>
      <w:bookmarkStart w:id="25" w:name="_Toc21119"/>
      <w:bookmarkStart w:id="26" w:name="_Toc5952"/>
      <w:r>
        <w:rPr>
          <w:rFonts w:hint="eastAsia" w:ascii="仿宋_GB2312" w:hAnsi="仿宋_GB2312" w:eastAsia="仿宋_GB2312" w:cs="仿宋_GB2312"/>
          <w:color w:val="auto"/>
          <w:sz w:val="32"/>
          <w:szCs w:val="32"/>
          <w:highlight w:val="none"/>
          <w:lang w:val="en-US" w:eastAsia="zh-CN"/>
        </w:rPr>
        <w:t>1.掌握与本专业对应职业活动相关的国家法律、行业规定，掌握绿色生产、环境保护、安全防护、质量管理等相关知识与技能，了解相关行业文化，具有爱岗敬业的职业精神，遵 守职业道德准则和行为规范，具备社会责任感和担当精神；</w:t>
      </w:r>
      <w:bookmarkEnd w:id="22"/>
      <w:bookmarkEnd w:id="23"/>
      <w:bookmarkEnd w:id="24"/>
      <w:bookmarkEnd w:id="25"/>
      <w:bookmarkEnd w:id="26"/>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27" w:name="_Toc7441"/>
      <w:bookmarkStart w:id="28" w:name="_Toc16801"/>
      <w:bookmarkStart w:id="29" w:name="_Toc20997"/>
      <w:bookmarkStart w:id="30" w:name="_Toc20903"/>
      <w:bookmarkStart w:id="31" w:name="_Toc11597"/>
      <w:r>
        <w:rPr>
          <w:rFonts w:hint="eastAsia" w:ascii="仿宋_GB2312" w:hAnsi="仿宋_GB2312" w:eastAsia="仿宋_GB2312" w:cs="仿宋_GB2312"/>
          <w:color w:val="auto"/>
          <w:sz w:val="32"/>
          <w:szCs w:val="32"/>
          <w:highlight w:val="none"/>
          <w:lang w:val="en-US" w:eastAsia="zh-CN"/>
        </w:rPr>
        <w:t>2.掌握支撑本专业学习和可持续发展必备的语文、数学、外语（英语等）、信息技术等文化基础知识，具有良好的人文素养与科学素养，具备职业生涯规划能力；</w:t>
      </w:r>
      <w:bookmarkEnd w:id="27"/>
      <w:bookmarkEnd w:id="28"/>
      <w:bookmarkEnd w:id="29"/>
      <w:bookmarkEnd w:id="30"/>
      <w:bookmarkEnd w:id="31"/>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32" w:name="_Toc6023"/>
      <w:bookmarkStart w:id="33" w:name="_Toc7060"/>
      <w:bookmarkStart w:id="34" w:name="_Toc19507"/>
      <w:bookmarkStart w:id="35" w:name="_Toc19296"/>
      <w:bookmarkStart w:id="36" w:name="_Toc4822"/>
      <w:r>
        <w:rPr>
          <w:rFonts w:hint="eastAsia" w:ascii="仿宋_GB2312" w:hAnsi="仿宋_GB2312" w:eastAsia="仿宋_GB2312" w:cs="仿宋_GB2312"/>
          <w:color w:val="auto"/>
          <w:sz w:val="32"/>
          <w:szCs w:val="32"/>
          <w:highlight w:val="none"/>
          <w:lang w:val="en-US" w:eastAsia="zh-CN"/>
        </w:rPr>
        <w:t>3.具有良好的语言表达能力、文字表达能力、沟通合作能力，具有较强的集体意识和团队合作意识，学习1 门外语并结合本专业加以运用；</w:t>
      </w:r>
      <w:bookmarkEnd w:id="32"/>
      <w:bookmarkEnd w:id="33"/>
      <w:bookmarkEnd w:id="34"/>
      <w:bookmarkEnd w:id="35"/>
      <w:bookmarkEnd w:id="36"/>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楷体" w:hAnsi="楷体" w:eastAsia="楷体" w:cs="楷体"/>
          <w:color w:val="auto"/>
          <w:sz w:val="32"/>
          <w:szCs w:val="32"/>
          <w:highlight w:val="none"/>
          <w:lang w:val="en-US" w:eastAsia="zh-CN"/>
        </w:rPr>
      </w:pPr>
      <w:bookmarkStart w:id="37" w:name="_Toc24213"/>
      <w:bookmarkStart w:id="38" w:name="_Toc6636"/>
      <w:bookmarkStart w:id="39" w:name="_Toc29162"/>
      <w:bookmarkStart w:id="40" w:name="_Toc6056"/>
      <w:bookmarkStart w:id="41" w:name="_Toc3348"/>
      <w:r>
        <w:rPr>
          <w:rFonts w:hint="eastAsia" w:ascii="仿宋_GB2312" w:hAnsi="仿宋_GB2312" w:eastAsia="仿宋_GB2312" w:cs="仿宋_GB2312"/>
          <w:color w:val="auto"/>
          <w:sz w:val="32"/>
          <w:szCs w:val="32"/>
          <w:highlight w:val="none"/>
          <w:lang w:val="en-US" w:eastAsia="zh-CN"/>
        </w:rPr>
        <w:t>4.掌握经济管理、会计核算、外贸单证、外贸跟单、国际结算、国际商法、市场营销、通关物流、外贸风险管理、国际商务礼仪、跨境电子商务等方面的专业基础理论知识。</w:t>
      </w:r>
      <w:bookmarkEnd w:id="37"/>
      <w:bookmarkEnd w:id="38"/>
      <w:bookmarkEnd w:id="39"/>
      <w:bookmarkEnd w:id="40"/>
      <w:bookmarkEnd w:id="41"/>
      <w:r>
        <w:rPr>
          <w:rFonts w:hint="eastAsia" w:ascii="楷体" w:hAnsi="楷体" w:eastAsia="楷体" w:cs="楷体"/>
          <w:color w:val="auto"/>
          <w:sz w:val="32"/>
          <w:szCs w:val="32"/>
          <w:highlight w:val="none"/>
          <w:lang w:val="en-US" w:eastAsia="zh-CN"/>
        </w:rPr>
        <w:t xml:space="preserve"> </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right="0" w:firstLine="640" w:firstLineChars="200"/>
        <w:textAlignment w:val="auto"/>
        <w:outlineLvl w:val="0"/>
        <w:rPr>
          <w:rFonts w:hint="eastAsia" w:ascii="楷体" w:hAnsi="楷体" w:eastAsia="楷体" w:cs="楷体"/>
          <w:color w:val="auto"/>
          <w:sz w:val="32"/>
          <w:szCs w:val="32"/>
          <w:highlight w:val="none"/>
          <w:lang w:val="en-US" w:eastAsia="zh-CN"/>
        </w:rPr>
      </w:pPr>
      <w:bookmarkStart w:id="42" w:name="_Toc23545"/>
      <w:bookmarkStart w:id="43" w:name="_Toc20230"/>
      <w:bookmarkStart w:id="44" w:name="_Toc27988"/>
      <w:bookmarkStart w:id="45" w:name="_Toc22453"/>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42"/>
      <w:bookmarkEnd w:id="43"/>
      <w:bookmarkEnd w:id="44"/>
      <w:bookmarkEnd w:id="4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46" w:name="_Toc4272"/>
      <w:bookmarkStart w:id="47" w:name="_Toc24784"/>
      <w:bookmarkStart w:id="48" w:name="_Toc8040"/>
      <w:bookmarkStart w:id="49" w:name="_Toc25879"/>
      <w:bookmarkStart w:id="50" w:name="_Toc10051"/>
      <w:r>
        <w:rPr>
          <w:rFonts w:hint="eastAsia" w:ascii="仿宋_GB2312" w:hAnsi="仿宋_GB2312" w:eastAsia="仿宋_GB2312" w:cs="仿宋_GB2312"/>
          <w:color w:val="auto"/>
          <w:sz w:val="32"/>
          <w:szCs w:val="32"/>
          <w:highlight w:val="none"/>
          <w:lang w:val="en-US" w:eastAsia="zh-CN"/>
        </w:rPr>
        <w:t>1.能够开展进出口贸易的磋商、签约、履约、善后工作；</w:t>
      </w:r>
      <w:bookmarkEnd w:id="46"/>
      <w:bookmarkEnd w:id="47"/>
      <w:bookmarkEnd w:id="48"/>
      <w:bookmarkEnd w:id="49"/>
      <w:bookmarkEnd w:id="50"/>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51" w:name="_Toc3160"/>
      <w:bookmarkStart w:id="52" w:name="_Toc1048"/>
      <w:bookmarkStart w:id="53" w:name="_Toc2037"/>
      <w:bookmarkStart w:id="54" w:name="_Toc6040"/>
      <w:bookmarkStart w:id="55" w:name="_Toc10921"/>
      <w:r>
        <w:rPr>
          <w:rFonts w:hint="eastAsia" w:ascii="仿宋_GB2312" w:hAnsi="仿宋_GB2312" w:eastAsia="仿宋_GB2312" w:cs="仿宋_GB2312"/>
          <w:color w:val="auto"/>
          <w:sz w:val="32"/>
          <w:szCs w:val="32"/>
          <w:highlight w:val="none"/>
          <w:lang w:val="en-US" w:eastAsia="zh-CN"/>
        </w:rPr>
        <w:t>2.能够制作、办理和审核各种外贸单证；</w:t>
      </w:r>
      <w:bookmarkEnd w:id="51"/>
      <w:bookmarkEnd w:id="52"/>
      <w:bookmarkEnd w:id="53"/>
      <w:bookmarkEnd w:id="54"/>
      <w:bookmarkEnd w:id="55"/>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56" w:name="_Toc1764"/>
      <w:bookmarkStart w:id="57" w:name="_Toc618"/>
      <w:bookmarkStart w:id="58" w:name="_Toc13451"/>
      <w:bookmarkStart w:id="59" w:name="_Toc14923"/>
      <w:bookmarkStart w:id="60" w:name="_Toc32056"/>
      <w:r>
        <w:rPr>
          <w:rFonts w:hint="eastAsia" w:ascii="仿宋_GB2312" w:hAnsi="仿宋_GB2312" w:eastAsia="仿宋_GB2312" w:cs="仿宋_GB2312"/>
          <w:color w:val="auto"/>
          <w:sz w:val="32"/>
          <w:szCs w:val="32"/>
          <w:highlight w:val="none"/>
          <w:lang w:val="en-US" w:eastAsia="zh-CN"/>
        </w:rPr>
        <w:t>3.能够合理选择供应商，开展原材料跟单、样品跟单、生产进度跟单、产品质量跟单、包装跟单和运输跟单；</w:t>
      </w:r>
      <w:bookmarkEnd w:id="56"/>
      <w:bookmarkEnd w:id="57"/>
      <w:bookmarkEnd w:id="58"/>
      <w:bookmarkEnd w:id="59"/>
      <w:bookmarkEnd w:id="60"/>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61" w:name="_Toc30860"/>
      <w:bookmarkStart w:id="62" w:name="_Toc2476"/>
      <w:bookmarkStart w:id="63" w:name="_Toc14497"/>
      <w:bookmarkStart w:id="64" w:name="_Toc388"/>
      <w:bookmarkStart w:id="65" w:name="_Toc32159"/>
      <w:r>
        <w:rPr>
          <w:rFonts w:hint="eastAsia" w:ascii="仿宋_GB2312" w:hAnsi="仿宋_GB2312" w:eastAsia="仿宋_GB2312" w:cs="仿宋_GB2312"/>
          <w:color w:val="auto"/>
          <w:sz w:val="32"/>
          <w:szCs w:val="32"/>
          <w:highlight w:val="none"/>
          <w:lang w:val="en-US" w:eastAsia="zh-CN"/>
        </w:rPr>
        <w:t>4.能够开展外贸企业自建站和跨境电商 B2B 平台市场推广、店铺装修、数据分析和运 营、磋商签约、履约和客户管理等工作；</w:t>
      </w:r>
      <w:bookmarkEnd w:id="61"/>
      <w:bookmarkEnd w:id="62"/>
      <w:bookmarkEnd w:id="63"/>
      <w:bookmarkEnd w:id="64"/>
      <w:bookmarkEnd w:id="65"/>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66" w:name="_Toc25542"/>
      <w:bookmarkStart w:id="67" w:name="_Toc30955"/>
      <w:bookmarkStart w:id="68" w:name="_Toc1641"/>
      <w:bookmarkStart w:id="69" w:name="_Toc1999"/>
      <w:bookmarkStart w:id="70" w:name="_Toc23196"/>
      <w:r>
        <w:rPr>
          <w:rFonts w:hint="eastAsia" w:ascii="仿宋_GB2312" w:hAnsi="仿宋_GB2312" w:eastAsia="仿宋_GB2312" w:cs="仿宋_GB2312"/>
          <w:color w:val="auto"/>
          <w:sz w:val="32"/>
          <w:szCs w:val="32"/>
          <w:highlight w:val="none"/>
          <w:lang w:val="en-US" w:eastAsia="zh-CN"/>
        </w:rPr>
        <w:t>5.能够开展国际搜索引擎优化、海外社交媒体营销、产品规划和开发、品牌规划和推广等工作；</w:t>
      </w:r>
      <w:bookmarkEnd w:id="66"/>
      <w:bookmarkEnd w:id="67"/>
      <w:bookmarkEnd w:id="68"/>
      <w:bookmarkEnd w:id="69"/>
      <w:bookmarkEnd w:id="70"/>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71" w:name="_Toc15572"/>
      <w:bookmarkStart w:id="72" w:name="_Toc15644"/>
      <w:bookmarkStart w:id="73" w:name="_Toc6616"/>
      <w:bookmarkStart w:id="74" w:name="_Toc4069"/>
      <w:bookmarkStart w:id="75" w:name="_Toc27631"/>
      <w:r>
        <w:rPr>
          <w:rFonts w:hint="eastAsia" w:ascii="仿宋_GB2312" w:hAnsi="仿宋_GB2312" w:eastAsia="仿宋_GB2312" w:cs="仿宋_GB2312"/>
          <w:color w:val="auto"/>
          <w:sz w:val="32"/>
          <w:szCs w:val="32"/>
          <w:highlight w:val="none"/>
          <w:lang w:val="en-US" w:eastAsia="zh-CN"/>
        </w:rPr>
        <w:t>6.掌握信息技术基础知识，具有适应本行业数字化和智能化发展需求的数字技能；</w:t>
      </w:r>
      <w:bookmarkEnd w:id="71"/>
      <w:bookmarkEnd w:id="72"/>
      <w:bookmarkEnd w:id="73"/>
      <w:bookmarkEnd w:id="74"/>
      <w:bookmarkEnd w:id="75"/>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76" w:name="_Toc29541"/>
      <w:bookmarkStart w:id="77" w:name="_Toc12100"/>
      <w:bookmarkStart w:id="78" w:name="_Toc30721"/>
      <w:bookmarkStart w:id="79" w:name="_Toc1175"/>
      <w:bookmarkStart w:id="80" w:name="_Toc8492"/>
      <w:r>
        <w:rPr>
          <w:rFonts w:hint="eastAsia" w:ascii="仿宋_GB2312" w:hAnsi="仿宋_GB2312" w:eastAsia="仿宋_GB2312" w:cs="仿宋_GB2312"/>
          <w:color w:val="auto"/>
          <w:sz w:val="32"/>
          <w:szCs w:val="32"/>
          <w:highlight w:val="none"/>
          <w:lang w:val="en-US" w:eastAsia="zh-CN"/>
        </w:rPr>
        <w:t>7.具有探究学习、终身学习和可持续发展的能力，具有整合知识和综合运用知识分 析问题和解决问题的能力。</w:t>
      </w:r>
      <w:bookmarkEnd w:id="76"/>
      <w:bookmarkEnd w:id="77"/>
      <w:bookmarkEnd w:id="78"/>
      <w:bookmarkEnd w:id="79"/>
      <w:bookmarkEnd w:id="80"/>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楷体" w:hAnsi="楷体" w:eastAsia="楷体" w:cs="楷体"/>
          <w:color w:val="auto"/>
          <w:sz w:val="32"/>
          <w:szCs w:val="32"/>
          <w:highlight w:val="none"/>
          <w:lang w:val="en-US" w:eastAsia="zh-CN"/>
        </w:rPr>
      </w:pPr>
      <w:bookmarkStart w:id="81" w:name="_Toc30766"/>
      <w:bookmarkStart w:id="82" w:name="_Toc28315"/>
      <w:bookmarkStart w:id="83" w:name="_Toc1055"/>
      <w:bookmarkStart w:id="84" w:name="_Toc6341"/>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81"/>
      <w:bookmarkEnd w:id="82"/>
      <w:bookmarkEnd w:id="83"/>
      <w:bookmarkEnd w:id="8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85" w:name="_Toc25628"/>
      <w:bookmarkStart w:id="86" w:name="_Toc23229"/>
      <w:bookmarkStart w:id="87" w:name="_Toc32446"/>
      <w:bookmarkStart w:id="88" w:name="_Toc24834"/>
      <w:bookmarkStart w:id="89" w:name="_Toc25980"/>
      <w:r>
        <w:rPr>
          <w:rFonts w:hint="eastAsia" w:ascii="仿宋_GB2312" w:hAnsi="仿宋_GB2312" w:eastAsia="仿宋_GB2312" w:cs="仿宋_GB2312"/>
          <w:color w:val="auto"/>
          <w:sz w:val="32"/>
          <w:szCs w:val="32"/>
          <w:highlight w:val="none"/>
          <w:lang w:val="en-US" w:eastAsia="zh-CN"/>
        </w:rPr>
        <w:t>1.坚定拥护中国共产党领导和中国特色社会主义制度，以习近平新时代中国特色社会主义思想为指导，践行社会主义核心价值观，具有坚定的理想信念、深厚的爱国情感和中华 民族自豪感；</w:t>
      </w:r>
      <w:bookmarkEnd w:id="85"/>
      <w:bookmarkEnd w:id="86"/>
      <w:bookmarkEnd w:id="87"/>
      <w:bookmarkEnd w:id="88"/>
      <w:bookmarkEnd w:id="8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90" w:name="_Toc14467"/>
      <w:bookmarkStart w:id="91" w:name="_Toc18626"/>
      <w:bookmarkStart w:id="92" w:name="_Toc10972"/>
      <w:bookmarkStart w:id="93" w:name="_Toc31101"/>
      <w:bookmarkStart w:id="94" w:name="_Toc2626"/>
      <w:r>
        <w:rPr>
          <w:rFonts w:hint="eastAsia" w:ascii="仿宋_GB2312" w:hAnsi="仿宋_GB2312" w:eastAsia="仿宋_GB2312" w:cs="仿宋_GB2312"/>
          <w:color w:val="auto"/>
          <w:sz w:val="32"/>
          <w:szCs w:val="32"/>
          <w:highlight w:val="none"/>
          <w:lang w:val="en-US" w:eastAsia="zh-CN"/>
        </w:rPr>
        <w:t>2.掌握身体运动的基本知识和至少1项体育运动技能，达到国家大学生体质健康测试 合格标准，养成良好的运动习惯、卫生习惯和行为习惯；具备一定的心理调适能力；</w:t>
      </w:r>
      <w:bookmarkEnd w:id="90"/>
      <w:bookmarkEnd w:id="91"/>
      <w:bookmarkEnd w:id="92"/>
      <w:bookmarkEnd w:id="93"/>
      <w:bookmarkEnd w:id="94"/>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95" w:name="_Toc3217"/>
      <w:bookmarkStart w:id="96" w:name="_Toc16142"/>
      <w:bookmarkStart w:id="97" w:name="_Toc2243"/>
      <w:bookmarkStart w:id="98" w:name="_Toc5578"/>
      <w:bookmarkStart w:id="99" w:name="_Toc22744"/>
      <w:r>
        <w:rPr>
          <w:rFonts w:hint="eastAsia" w:ascii="仿宋_GB2312" w:hAnsi="仿宋_GB2312" w:eastAsia="仿宋_GB2312" w:cs="仿宋_GB2312"/>
          <w:color w:val="auto"/>
          <w:sz w:val="32"/>
          <w:szCs w:val="32"/>
          <w:highlight w:val="none"/>
          <w:lang w:val="en-US" w:eastAsia="zh-CN"/>
        </w:rPr>
        <w:t>3.掌握必备的美育知识，具有一定的文化修养、审美能力，形成至少1项艺术特长或爱好；</w:t>
      </w:r>
      <w:bookmarkEnd w:id="95"/>
      <w:bookmarkEnd w:id="96"/>
      <w:bookmarkEnd w:id="97"/>
      <w:bookmarkEnd w:id="98"/>
      <w:bookmarkEnd w:id="99"/>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bookmarkStart w:id="100" w:name="_Toc27334"/>
      <w:bookmarkStart w:id="101" w:name="_Toc12416"/>
      <w:bookmarkStart w:id="102" w:name="_Toc774"/>
      <w:bookmarkStart w:id="103" w:name="_Toc7371"/>
      <w:bookmarkStart w:id="104" w:name="_Toc28267"/>
      <w:r>
        <w:rPr>
          <w:rFonts w:hint="eastAsia" w:ascii="仿宋_GB2312" w:hAnsi="仿宋_GB2312" w:eastAsia="仿宋_GB2312" w:cs="仿宋_GB2312"/>
          <w:color w:val="auto"/>
          <w:sz w:val="32"/>
          <w:szCs w:val="32"/>
          <w:highlight w:val="none"/>
          <w:lang w:val="en-US" w:eastAsia="zh-CN"/>
        </w:rPr>
        <w:t>4.树立正确的劳动观，尊重劳动，热爱劳动，具备与本专业职业发展相适应的劳动素养，弘扬劳模精神、劳动精神、工匠精神，弘扬劳动光荣、技能宝贵、创造伟大的时代风尚。</w:t>
      </w:r>
      <w:bookmarkEnd w:id="100"/>
      <w:bookmarkEnd w:id="101"/>
      <w:bookmarkEnd w:id="102"/>
      <w:bookmarkEnd w:id="103"/>
      <w:bookmarkEnd w:id="104"/>
    </w:p>
    <w:p>
      <w:pPr>
        <w:pStyle w:val="2"/>
        <w:pageBreakBefore w:val="0"/>
        <w:widowControl w:val="0"/>
        <w:kinsoku/>
        <w:wordWrap/>
        <w:topLinePunct w:val="0"/>
        <w:autoSpaceDE/>
        <w:autoSpaceDN/>
        <w:bidi w:val="0"/>
        <w:snapToGrid/>
        <w:spacing w:beforeLines="0" w:after="0" w:afterLines="0" w:line="520" w:lineRule="exact"/>
        <w:textAlignment w:val="auto"/>
        <w:rPr>
          <w:rFonts w:hint="eastAsia" w:ascii="黑体" w:hAnsi="黑体" w:eastAsia="黑体" w:cs="黑体"/>
          <w:color w:val="auto"/>
          <w:szCs w:val="32"/>
          <w:highlight w:val="none"/>
          <w:lang w:val="en-US" w:eastAsia="zh-CN"/>
        </w:rPr>
      </w:pPr>
      <w:bookmarkStart w:id="105" w:name="_Toc12344"/>
      <w:bookmarkStart w:id="106" w:name="_Toc6374"/>
      <w:bookmarkStart w:id="107" w:name="_Toc26033"/>
      <w:r>
        <w:rPr>
          <w:rFonts w:hint="eastAsia"/>
          <w:lang w:val="en-US" w:eastAsia="zh-CN"/>
        </w:rPr>
        <w:t>七</w:t>
      </w:r>
      <w:r>
        <w:rPr>
          <w:rFonts w:hint="eastAsia"/>
        </w:rPr>
        <w:t>、课程设置</w:t>
      </w:r>
      <w:bookmarkEnd w:id="105"/>
      <w:bookmarkEnd w:id="106"/>
      <w:bookmarkEnd w:id="10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highlight w:val="none"/>
        </w:rPr>
      </w:pPr>
      <w:bookmarkStart w:id="108" w:name="_Toc27189"/>
      <w:bookmarkStart w:id="109" w:name="_Toc25845"/>
      <w:bookmarkStart w:id="110" w:name="_Toc15616"/>
      <w:bookmarkStart w:id="111" w:name="_Toc14957"/>
      <w:bookmarkStart w:id="112" w:name="_Toc20112"/>
      <w:r>
        <w:rPr>
          <w:rFonts w:hint="eastAsia" w:ascii="仿宋_GB2312" w:hAnsi="仿宋_GB2312" w:eastAsia="仿宋_GB2312" w:cs="仿宋_GB2312"/>
          <w:color w:val="auto"/>
          <w:sz w:val="32"/>
          <w:szCs w:val="32"/>
          <w:highlight w:val="none"/>
        </w:rPr>
        <w:t>主要包括公共基础课程和专业课程。</w:t>
      </w:r>
      <w:bookmarkEnd w:id="108"/>
      <w:bookmarkEnd w:id="109"/>
      <w:bookmarkEnd w:id="110"/>
      <w:bookmarkEnd w:id="111"/>
      <w:bookmarkEnd w:id="112"/>
    </w:p>
    <w:p>
      <w:pPr>
        <w:pStyle w:val="3"/>
        <w:pageBreakBefore w:val="0"/>
        <w:widowControl w:val="0"/>
        <w:kinsoku/>
        <w:wordWrap/>
        <w:topLinePunct w:val="0"/>
        <w:autoSpaceDE/>
        <w:autoSpaceDN/>
        <w:bidi w:val="0"/>
        <w:snapToGrid/>
        <w:spacing w:beforeLines="0" w:after="0" w:afterLines="0" w:line="520" w:lineRule="exact"/>
        <w:textAlignment w:val="auto"/>
        <w:rPr>
          <w:rFonts w:hint="eastAsia"/>
        </w:rPr>
      </w:pPr>
      <w:bookmarkStart w:id="113" w:name="_Toc1231"/>
      <w:bookmarkStart w:id="114" w:name="_Toc30466"/>
      <w:bookmarkStart w:id="115" w:name="_Toc15123"/>
      <w:bookmarkStart w:id="116" w:name="_Toc21220"/>
      <w:r>
        <w:rPr>
          <w:rFonts w:hint="eastAsia"/>
        </w:rPr>
        <w:t>（一）公共基础课程</w:t>
      </w:r>
      <w:bookmarkEnd w:id="113"/>
      <w:bookmarkEnd w:id="114"/>
      <w:bookmarkEnd w:id="115"/>
      <w:bookmarkEnd w:id="11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17" w:name="_Toc12943"/>
      <w:bookmarkStart w:id="118" w:name="_Toc2558"/>
      <w:bookmarkStart w:id="119" w:name="_Toc4699"/>
      <w:bookmarkStart w:id="120" w:name="_Toc11710"/>
      <w:bookmarkStart w:id="121" w:name="_Toc16385"/>
      <w:bookmarkStart w:id="12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bookmarkEnd w:id="117"/>
      <w:bookmarkEnd w:id="118"/>
      <w:bookmarkEnd w:id="119"/>
      <w:bookmarkEnd w:id="120"/>
      <w:bookmarkEnd w:id="1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23" w:name="_Toc4163"/>
      <w:bookmarkStart w:id="124" w:name="_Toc8708"/>
      <w:bookmarkStart w:id="125" w:name="_Toc30667"/>
      <w:bookmarkStart w:id="126" w:name="_Toc16880"/>
      <w:bookmarkStart w:id="127" w:name="_Toc2515"/>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123"/>
      <w:bookmarkEnd w:id="124"/>
      <w:bookmarkEnd w:id="125"/>
      <w:bookmarkEnd w:id="126"/>
      <w:bookmarkEnd w:id="12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28" w:name="_Toc25238"/>
      <w:bookmarkStart w:id="129" w:name="_Toc8822"/>
      <w:bookmarkStart w:id="130" w:name="_Toc30981"/>
      <w:bookmarkStart w:id="131" w:name="_Toc7439"/>
      <w:bookmarkStart w:id="132" w:name="_Toc28072"/>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语文、社会责任、金融知识</w:t>
      </w:r>
      <w:r>
        <w:rPr>
          <w:rFonts w:hint="eastAsia" w:ascii="仿宋_GB2312" w:hAnsi="仿宋_GB2312" w:eastAsia="仿宋_GB2312" w:cs="仿宋_GB2312"/>
          <w:b w:val="0"/>
          <w:bCs w:val="0"/>
          <w:color w:val="auto"/>
          <w:sz w:val="32"/>
          <w:szCs w:val="32"/>
          <w:highlight w:val="none"/>
          <w:lang w:eastAsia="zh-CN"/>
        </w:rPr>
        <w:t>。</w:t>
      </w:r>
      <w:bookmarkEnd w:id="128"/>
      <w:bookmarkEnd w:id="129"/>
      <w:bookmarkEnd w:id="130"/>
      <w:bookmarkEnd w:id="131"/>
      <w:bookmarkEnd w:id="132"/>
    </w:p>
    <w:p>
      <w:pPr>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0"/>
        <w:rPr>
          <w:rFonts w:hint="eastAsia" w:ascii="仿宋_GB2312" w:hAnsi="仿宋_GB2312" w:eastAsia="仿宋_GB2312" w:cs="仿宋_GB2312"/>
          <w:color w:val="auto"/>
          <w:sz w:val="32"/>
          <w:szCs w:val="32"/>
          <w:highlight w:val="none"/>
        </w:rPr>
      </w:pPr>
      <w:bookmarkStart w:id="133" w:name="_Toc20119"/>
      <w:bookmarkStart w:id="134" w:name="_Toc2155"/>
      <w:bookmarkStart w:id="135" w:name="_Toc10565"/>
      <w:bookmarkStart w:id="136" w:name="_Toc12063"/>
      <w:bookmarkStart w:id="137" w:name="_Toc11777"/>
      <w:r>
        <w:rPr>
          <w:rFonts w:hint="eastAsia" w:ascii="仿宋_GB2312" w:hAnsi="仿宋_GB2312" w:eastAsia="仿宋_GB2312" w:cs="仿宋_GB2312"/>
          <w:color w:val="auto"/>
          <w:sz w:val="32"/>
          <w:szCs w:val="32"/>
          <w:highlight w:val="none"/>
        </w:rPr>
        <w:t>表2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133"/>
      <w:bookmarkEnd w:id="134"/>
      <w:bookmarkEnd w:id="135"/>
      <w:bookmarkEnd w:id="136"/>
      <w:bookmarkEnd w:id="137"/>
    </w:p>
    <w:tbl>
      <w:tblPr>
        <w:tblStyle w:val="11"/>
        <w:tblW w:w="10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608"/>
        <w:gridCol w:w="820"/>
        <w:gridCol w:w="3865"/>
        <w:gridCol w:w="292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snapToGrid w:val="0"/>
              <w:spacing w:line="360" w:lineRule="exact"/>
              <w:jc w:val="center"/>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序号</w:t>
            </w:r>
          </w:p>
        </w:tc>
        <w:tc>
          <w:tcPr>
            <w:tcW w:w="820" w:type="dxa"/>
            <w:vAlign w:val="center"/>
          </w:tcPr>
          <w:p>
            <w:pPr>
              <w:snapToGrid w:val="0"/>
              <w:spacing w:line="360" w:lineRule="exact"/>
              <w:jc w:val="center"/>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课程名称</w:t>
            </w:r>
          </w:p>
        </w:tc>
        <w:tc>
          <w:tcPr>
            <w:tcW w:w="3865" w:type="dxa"/>
            <w:vAlign w:val="center"/>
          </w:tcPr>
          <w:p>
            <w:pPr>
              <w:snapToGrid w:val="0"/>
              <w:spacing w:line="360" w:lineRule="exact"/>
              <w:jc w:val="center"/>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课程目标</w:t>
            </w:r>
          </w:p>
        </w:tc>
        <w:tc>
          <w:tcPr>
            <w:tcW w:w="2922" w:type="dxa"/>
            <w:vAlign w:val="center"/>
          </w:tcPr>
          <w:p>
            <w:pPr>
              <w:snapToGrid w:val="0"/>
              <w:spacing w:line="360" w:lineRule="exact"/>
              <w:jc w:val="center"/>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主要教学内容</w:t>
            </w:r>
          </w:p>
        </w:tc>
        <w:tc>
          <w:tcPr>
            <w:tcW w:w="2691" w:type="dxa"/>
            <w:vAlign w:val="center"/>
          </w:tcPr>
          <w:p>
            <w:pPr>
              <w:snapToGrid w:val="0"/>
              <w:spacing w:line="360" w:lineRule="exact"/>
              <w:jc w:val="center"/>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82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86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86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2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91"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Style w:val="14"/>
                <w:rFonts w:hint="default"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865"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2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p>
        </w:tc>
        <w:tc>
          <w:tcPr>
            <w:tcW w:w="269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82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86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82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86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2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9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82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86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2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9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以人民为中心</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的发展理念，切实增强对国家保就业、稳增长工作的信心，充分感知国家在相关领域的坚实能力。</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91"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82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86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82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86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val="0"/>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820" w:type="dxa"/>
            <w:shd w:val="clear" w:color="auto" w:fill="auto"/>
            <w:vAlign w:val="center"/>
          </w:tcPr>
          <w:p>
            <w:pPr>
              <w:snapToGrid w:val="0"/>
              <w:spacing w:line="360" w:lineRule="exact"/>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社会责任</w:t>
            </w:r>
          </w:p>
          <w:p>
            <w:pPr>
              <w:snapToGrid w:val="0"/>
              <w:spacing w:line="360" w:lineRule="exact"/>
              <w:jc w:val="left"/>
              <w:rPr>
                <w:rFonts w:hint="eastAsia" w:ascii="仿宋_GB2312" w:hAnsi="仿宋_GB2312" w:eastAsia="仿宋_GB2312" w:cs="仿宋_GB2312"/>
                <w:color w:val="auto"/>
                <w:sz w:val="24"/>
                <w:szCs w:val="24"/>
                <w:highlight w:val="none"/>
              </w:rPr>
            </w:pP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系统理解社会责任核心理念与多维内涵，掌握企业社会责任（CSR）理论框架（如戴维斯模型）及实践路径，明晰角色义务责任、法律责任、积极与消极责任的分类逻辑。</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：能辨析各类社会责任的分类逻辑，运用社会责任指数等工具评估企业行为的社会影响，具备分析企业 CSR 实践案例、提出优化建议的能力。</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形成社会责任认知素养，强化理论与实践结合能力，提升对企业社会价值的判断水平，为从事相关领域工作或参与 CSR 实践奠定基础。</w:t>
            </w:r>
          </w:p>
          <w:p>
            <w:pPr>
              <w:snapToGrid w:val="0"/>
              <w:spacing w:line="360" w:lineRule="exact"/>
              <w:jc w:val="both"/>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树立社会责任意识与担当精神，培养尊重规则、重视社会价值的观念，助力学生以责任思维参与社会与职场，推动企业与社会协同发展。</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教学内容涵盖理论基础与实践应用两大模块。理论层面包括社会责任的定义、历史演进及经济学、伦理学相关理论（如利益相关者理论、三重底线理论）；实践层面聚焦企业社会责任报告编制、环境社会治理（ESG）指标分析、行业典型案例（如金融业社会责任指数构成）及争议性问题（如“漂绿”行为识别）。</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案例研讨、角色模拟、企业实地调研等多元方法，强化学生解决实际问题的能力。要求教师整合跨学科资源，引导学生从经济学、法学、伦理学多视角剖析社会责任议题；学生需完成企业社会责任评估报告撰写、模拟董事会决策等实践任务，并参与社会责任议题辩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6374" w:hRule="atLeast"/>
          <w:jc w:val="center"/>
        </w:trPr>
        <w:tc>
          <w:tcPr>
            <w:tcW w:w="608" w:type="dxa"/>
            <w:vAlign w:val="center"/>
          </w:tcPr>
          <w:p>
            <w:pPr>
              <w:keepNext w:val="0"/>
              <w:keepLines w:val="0"/>
              <w:pageBreakBefore w:val="0"/>
              <w:widowControl w:val="0"/>
              <w:kinsoku/>
              <w:wordWrap/>
              <w:overflowPunct/>
              <w:topLinePunct w:val="0"/>
              <w:autoSpaceDE/>
              <w:autoSpaceDN/>
              <w:bidi w:val="0"/>
              <w:adjustRightInd/>
              <w:snapToGrid w:val="0"/>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820" w:type="dxa"/>
            <w:shd w:val="clear" w:color="auto" w:fill="auto"/>
            <w:vAlign w:val="center"/>
          </w:tcPr>
          <w:p>
            <w:pPr>
              <w:snapToGrid w:val="0"/>
              <w:spacing w:line="360" w:lineRule="exact"/>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金融知识</w:t>
            </w:r>
          </w:p>
        </w:tc>
        <w:tc>
          <w:tcPr>
            <w:tcW w:w="3865"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系统提升对开放经济的理论认知，理解一国内部均衡与外部均衡的内在关系，掌握国际收支理论、汇率理论等前沿金融理论，明晰宏观经济政策对经济的调节机制与作用逻辑。</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：能运用开放经济相关理论分析宏观经济现象，辨析内部与外部均衡的关联，借助国际收支、汇率等理论工具解读宏观经济政策效果，具备初步分析金融领域实际问题的能力。</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形成开放经济视角下的金融思维，强化理论应用与逻辑分析素养，提升对宏观金融形势的判断能力，为从事金融相关工作或理解经济运行奠定基础。</w:t>
            </w:r>
          </w:p>
          <w:p>
            <w:pPr>
              <w:keepNext w:val="0"/>
              <w:keepLines w:val="0"/>
              <w:pageBreakBefore w:val="0"/>
              <w:widowControl w:val="0"/>
              <w:kinsoku/>
              <w:wordWrap/>
              <w:overflowPunct w:val="0"/>
              <w:topLinePunct w:val="0"/>
              <w:autoSpaceDE/>
              <w:autoSpaceDN/>
              <w:bidi w:val="0"/>
              <w:adjustRightInd w:val="0"/>
              <w:snapToGrid w:val="0"/>
              <w:spacing w:line="360" w:lineRule="atLeas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树立正确的经济大局观与风险意识，培养尊重市场规律、坚守金融合规的理念，助力学生以理性思维参与经济活动，推动金融领域健康有序发展。</w:t>
            </w:r>
          </w:p>
        </w:tc>
        <w:tc>
          <w:tcPr>
            <w:tcW w:w="2922"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国际收支、国际储备、国际货币体系、外汇与汇率、汇率制度与外汇管制、外汇交易、汇率风险及防范等国际金融基本概念和基本理论知识。了解我国国际收支、国际储备历史与现状、人民币国际化进程、我国的外汇管制现状。</w:t>
            </w:r>
          </w:p>
        </w:tc>
        <w:tc>
          <w:tcPr>
            <w:tcW w:w="2691"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选取具有代表性的国际金融案例，引导学生分析案例背景、涉及的问题及解决方案，培养学生的分析能力和解决问题的能力。利用实际业务场景，让学生进行模拟操作，如外汇交易、国际投融资等，提高学生的实践动手能力。</w:t>
            </w:r>
          </w:p>
        </w:tc>
      </w:tr>
    </w:tbl>
    <w:p>
      <w:pPr>
        <w:pStyle w:val="3"/>
        <w:pageBreakBefore w:val="0"/>
        <w:widowControl w:val="0"/>
        <w:kinsoku/>
        <w:wordWrap/>
        <w:topLinePunct w:val="0"/>
        <w:autoSpaceDE/>
        <w:autoSpaceDN/>
        <w:bidi w:val="0"/>
        <w:snapToGrid/>
        <w:spacing w:beforeLines="0" w:after="0" w:afterLines="0" w:line="520" w:lineRule="exact"/>
        <w:textAlignment w:val="auto"/>
        <w:rPr>
          <w:rFonts w:hint="eastAsia" w:ascii="楷体" w:hAnsi="楷体" w:eastAsia="楷体" w:cs="楷体"/>
          <w:color w:val="auto"/>
          <w:szCs w:val="32"/>
          <w:highlight w:val="none"/>
        </w:rPr>
      </w:pPr>
      <w:bookmarkStart w:id="138" w:name="_Toc25673"/>
      <w:bookmarkStart w:id="139" w:name="_Toc32179"/>
      <w:r>
        <w:rPr>
          <w:rFonts w:hint="eastAsia"/>
        </w:rPr>
        <w:t>（二）</w:t>
      </w:r>
      <w:bookmarkEnd w:id="138"/>
      <w:r>
        <w:rPr>
          <w:rFonts w:hint="eastAsia"/>
        </w:rPr>
        <w:t>专业课程</w:t>
      </w:r>
      <w:bookmarkEnd w:id="13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bookmarkStart w:id="140" w:name="_Toc9073497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1.专业基础课程</w:t>
      </w:r>
      <w:bookmarkEnd w:id="14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专业基础课是为后续专业课程学习打基础的课程。包括：国际贸易基础、经济学基础、会计基础、跨境电商基础、外贸英语口语、国际商务礼仪、国际商法、国际贸易结算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习近平经济思想概论</w:t>
      </w:r>
      <w:r>
        <w:rPr>
          <w:rFonts w:hint="eastAsia" w:ascii="仿宋_GB2312" w:hAnsi="仿宋_GB2312" w:eastAsia="仿宋_GB2312" w:cs="仿宋_GB2312"/>
          <w:color w:val="auto"/>
          <w:spacing w:val="-4"/>
          <w:sz w:val="32"/>
          <w:szCs w:val="32"/>
          <w:highlight w:val="none"/>
        </w:rPr>
        <w:t>。</w:t>
      </w:r>
    </w:p>
    <w:p>
      <w:pPr>
        <w:overflowPunct w:val="0"/>
        <w:adjustRightInd w:val="0"/>
        <w:spacing w:line="520" w:lineRule="exact"/>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4201"/>
        <w:gridCol w:w="2464"/>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line="32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highlight w:val="none"/>
              </w:rPr>
              <w:t>序号</w:t>
            </w:r>
          </w:p>
        </w:tc>
        <w:tc>
          <w:tcPr>
            <w:tcW w:w="896"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课程名称</w:t>
            </w:r>
          </w:p>
        </w:tc>
        <w:tc>
          <w:tcPr>
            <w:tcW w:w="4201"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目标</w:t>
            </w:r>
          </w:p>
        </w:tc>
        <w:tc>
          <w:tcPr>
            <w:tcW w:w="2464"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主要</w:t>
            </w:r>
            <w:r>
              <w:rPr>
                <w:rFonts w:hint="eastAsia" w:ascii="仿宋_GB2312" w:hAnsi="仿宋_GB2312" w:eastAsia="仿宋_GB2312" w:cs="仿宋_GB2312"/>
                <w:b w:val="0"/>
                <w:bCs w:val="0"/>
                <w:color w:val="auto"/>
                <w:sz w:val="24"/>
                <w:szCs w:val="24"/>
                <w:highlight w:val="none"/>
              </w:rPr>
              <w:t>教学内容</w:t>
            </w:r>
          </w:p>
        </w:tc>
        <w:tc>
          <w:tcPr>
            <w:tcW w:w="2247"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国际贸易基础</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系统掌握国际贸易基本理论（如比较优势理论、要素禀赋理论）、国际贸易政策工具（关税与非关税壁垒）及国际商务惯例（INCOTERMS 2020），能运用WTO规则分析典型贸易案例，熟悉跨境电商平台操作流程与跨境支付结算方式，构建覆盖传统贸易与数字贸易的完整知识体系。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具备外贸单证缮制（如信用证审核、报关单填写）、进出口成本核算（FOB/CIF报价）、国际市场调研（海关数据与Google Trends分析）等实务操作能力，能通过模拟贸易软件完成从询盘到结汇的全流程业务处理，培养应对汇率波动、贸易摩擦等突发事件的决策能力。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跨文化沟通意识（如商务礼仪差异处理），强化契约精神与合规意识（熟悉《联合国国际货物销售合同公约》），养成数据敏感度（通过外贸大数据分析市场趋势），形成严谨细致的工作习惯（单证零差错要求）和终身学习理念（跟踪RCEP等区域协定更新）。</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思政育人目标‌：将“一带一路”倡议、双循环新发展格局等国家战略融入教学，通过中美贸易摩擦等案例培养学生的民族自信与规则意识，结合绿色贸易、数字贸易等前沿议题强化社会责任担当，最终培育兼具国际视野与家国情怀的新时代外贸人才。</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学习内容大体包括：</w:t>
            </w:r>
            <w:r>
              <w:rPr>
                <w:rFonts w:hint="eastAsia" w:ascii="仿宋_GB2312" w:hAnsi="仿宋_GB2312" w:eastAsia="仿宋_GB2312" w:cs="仿宋_GB2312"/>
                <w:color w:val="auto"/>
                <w:sz w:val="24"/>
                <w:szCs w:val="24"/>
                <w:highlight w:val="none"/>
                <w:lang w:eastAsia="zh-CN"/>
              </w:rPr>
              <w:t>国际贸易概述，国际贸易的分类及相关概念国际贸易的产生、发展及特点，国际分工与世界市场，国际价值与世界市场价格，对外贸易市场总论，关税壁垒，非关税壁垒促进出口和出口管制方面的措施经济特区，进口优惠政策，国际资本流动与跨国公司，国际技术贸易，国际服务贸易，贸易条约和协定世界贸易组织，世界经济一体化，国际贸易方式。</w:t>
            </w:r>
          </w:p>
        </w:tc>
        <w:tc>
          <w:tcPr>
            <w:tcW w:w="2247"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通过系统讲授国际贸易的基本概念、理论和政策，帮助学生建立扎实的理论基础。引入实际案例进行分析和讨论，加深学生对国际贸易理论的理解和掌握。组织学生进行课堂讨论和互动，激发其学习兴趣和主动性，培养其合作学习和探究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bookmarkStart w:id="141" w:name="_Hlk194587108"/>
            <w:r>
              <w:rPr>
                <w:rFonts w:hint="eastAsia" w:ascii="仿宋_GB2312" w:hAnsi="仿宋_GB2312" w:eastAsia="仿宋_GB2312" w:cs="仿宋_GB2312"/>
                <w:color w:val="auto"/>
                <w:sz w:val="24"/>
                <w:highlight w:val="none"/>
                <w:lang w:val="en-US" w:eastAsia="zh-CN"/>
              </w:rPr>
              <w:t>2</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kern w:val="2"/>
                <w:sz w:val="24"/>
                <w:szCs w:val="24"/>
                <w:highlight w:val="none"/>
                <w:vertAlign w:val="baseline"/>
                <w:lang w:val="en-US" w:eastAsia="zh-CN" w:bidi="ar-SA"/>
              </w:rPr>
              <w:t>经济学基础</w:t>
            </w:r>
          </w:p>
        </w:tc>
        <w:tc>
          <w:tcPr>
            <w:tcW w:w="4201" w:type="dxa"/>
            <w:vAlign w:val="top"/>
          </w:tcPr>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b/>
                <w:bCs/>
                <w:color w:val="auto"/>
                <w:sz w:val="24"/>
                <w:highlight w:val="none"/>
                <w:lang w:val="en-US" w:eastAsia="zh-CN"/>
              </w:rPr>
              <w:t>知识目标‌</w:t>
            </w:r>
            <w:r>
              <w:rPr>
                <w:rFonts w:hint="eastAsia" w:ascii="仿宋_GB2312" w:hAnsi="仿宋_GB2312" w:eastAsia="仿宋_GB2312" w:cs="仿宋_GB2312"/>
                <w:b/>
                <w:bCs/>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系统掌握微观经济学核心理论（如供求均衡、边际效用分析）和宏观经济学基础框架（GDP核算、财政货币政策），理解市场失灵与政府干预机制，熟悉常见经济指标（CPI、PPI、基尼系数）的测算与应用，并能运用弹性理论、成本收益分析等工具解读现实经济现象。</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b/>
                <w:bCs/>
                <w:color w:val="auto"/>
                <w:sz w:val="24"/>
                <w:highlight w:val="none"/>
                <w:lang w:val="en-US" w:eastAsia="zh-CN"/>
              </w:rPr>
              <w:t>‌能力目标‌</w:t>
            </w:r>
            <w:r>
              <w:rPr>
                <w:rFonts w:hint="eastAsia" w:ascii="仿宋_GB2312" w:hAnsi="仿宋_GB2312" w:eastAsia="仿宋_GB2312" w:cs="仿宋_GB2312"/>
                <w:b/>
                <w:bCs/>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具备经济数据收集与处理能力（通过国家统计局等平台获取数据）、基础经济模型构建能力（如IS-LM模型简化应用）、经济政策分析能力（如减税降费对中小企业的影响评估），能运用SWOT分析法评估区域经济发展潜力，完成小微企业成本控制等实务型课题研究。</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b/>
                <w:bCs/>
                <w:color w:val="auto"/>
                <w:sz w:val="24"/>
                <w:highlight w:val="none"/>
                <w:lang w:val="en-US" w:eastAsia="zh-CN"/>
              </w:rPr>
              <w:t>‌素质目标‌</w:t>
            </w:r>
            <w:r>
              <w:rPr>
                <w:rFonts w:hint="eastAsia" w:ascii="仿宋_GB2312" w:hAnsi="仿宋_GB2312" w:eastAsia="仿宋_GB2312" w:cs="仿宋_GB2312"/>
                <w:b/>
                <w:bCs/>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培养辩证思维（如理解效率与公平的权衡）、数据敏感度（通过经济指标波动预判趋势）、社会责任感（关注乡村振兴等民生议题），养成用经济学视角观察日常消费、投资决策的行为习惯，形成包容性发展理念（理解共同富裕的经济学内涵）。</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b/>
                <w:bCs/>
                <w:color w:val="auto"/>
                <w:sz w:val="24"/>
                <w:highlight w:val="none"/>
                <w:lang w:val="en-US" w:eastAsia="zh-CN"/>
              </w:rPr>
              <w:t>‌课程思政育人目标</w:t>
            </w:r>
            <w:r>
              <w:rPr>
                <w:rFonts w:hint="eastAsia" w:ascii="仿宋_GB2312" w:hAnsi="仿宋_GB2312" w:eastAsia="仿宋_GB2312" w:cs="仿宋_GB2312"/>
                <w:b/>
                <w:bCs/>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将</w:t>
            </w:r>
            <w:r>
              <w:rPr>
                <w:rFonts w:hint="eastAsia" w:ascii="仿宋_GB2312" w:hAnsi="仿宋_GB2312" w:eastAsia="仿宋_GB2312" w:cs="仿宋_GB2312"/>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社会主义市场经济体制优越</w:t>
            </w:r>
            <w:r>
              <w:rPr>
                <w:rFonts w:hint="eastAsia" w:ascii="仿宋_GB2312" w:hAnsi="仿宋_GB2312" w:eastAsia="仿宋_GB2312" w:cs="仿宋_GB2312"/>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双循环新发展格局</w:t>
            </w:r>
            <w:r>
              <w:rPr>
                <w:rFonts w:hint="eastAsia" w:ascii="仿宋_GB2312" w:hAnsi="仿宋_GB2312" w:eastAsia="仿宋_GB2312" w:cs="仿宋_GB2312"/>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等国家战略融入教学，通过脱贫攻坚案例阐释包容性增长理论，结合碳达峰碳中和目标讲解绿色经济学，培育学生</w:t>
            </w:r>
            <w:r>
              <w:rPr>
                <w:rFonts w:hint="eastAsia" w:ascii="仿宋_GB2312" w:hAnsi="仿宋_GB2312" w:eastAsia="仿宋_GB2312" w:cs="仿宋_GB2312"/>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经世济民</w:t>
            </w:r>
            <w:r>
              <w:rPr>
                <w:rFonts w:hint="eastAsia" w:ascii="仿宋_GB2312" w:hAnsi="仿宋_GB2312" w:eastAsia="仿宋_GB2312" w:cs="仿宋_GB2312"/>
                <w:color w:val="auto"/>
                <w:sz w:val="24"/>
                <w:highlight w:val="none"/>
                <w:lang w:val="en-US" w:eastAsia="zh-CN"/>
              </w:rPr>
              <w:t>”</w:t>
            </w:r>
            <w:r>
              <w:rPr>
                <w:rFonts w:hint="default" w:ascii="仿宋_GB2312" w:hAnsi="仿宋_GB2312" w:eastAsia="仿宋_GB2312" w:cs="仿宋_GB2312"/>
                <w:color w:val="auto"/>
                <w:sz w:val="24"/>
                <w:highlight w:val="none"/>
                <w:lang w:val="en-US" w:eastAsia="zh-CN"/>
              </w:rPr>
              <w:t>的职业情怀，树立将个人职业发展融入国家经济建设的价值取向。</w:t>
            </w:r>
          </w:p>
        </w:tc>
        <w:tc>
          <w:tcPr>
            <w:tcW w:w="2464"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内容大体包括：供求理论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消费者行为理论（效用理论）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生产理论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成本、收益与利润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市场理论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收入分配理论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一般均衡与福利经济学市场失灵与政府微观经济政策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宏观经济学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产品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货币市场均衡IS-LM模型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产品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货币市场均衡模型与政府政策</w:t>
            </w:r>
            <w:r>
              <w:rPr>
                <w:rFonts w:hint="eastAsia" w:ascii="仿宋_GB2312" w:hAnsi="仿宋_GB2312" w:eastAsia="仿宋_GB2312" w:cs="仿宋_GB2312"/>
                <w:color w:val="auto"/>
                <w:sz w:val="24"/>
                <w:szCs w:val="24"/>
                <w:highlight w:val="none"/>
                <w:lang w:eastAsia="zh-CN"/>
              </w:rPr>
              <w:t>。</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注重启发式教学 ：在教学过程中注重引导学生思考，培养他们的自主学习能力和创新能力。注重理论联系实际 ：结合现实生活案例和经济现象进行教学，使学生更好地理解经济学原理。</w:t>
            </w:r>
          </w:p>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bookmarkStart w:id="142" w:name="_Toc90734977"/>
            <w:r>
              <w:rPr>
                <w:rFonts w:hint="eastAsia" w:ascii="仿宋_GB2312" w:hAnsi="仿宋_GB2312" w:eastAsia="仿宋_GB2312" w:cs="仿宋_GB2312"/>
                <w:color w:val="auto"/>
                <w:sz w:val="24"/>
                <w:highlight w:val="none"/>
                <w:lang w:val="en-US" w:eastAsia="zh-CN"/>
              </w:rPr>
              <w:t>3</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会计学基础</w:t>
            </w:r>
          </w:p>
        </w:tc>
        <w:tc>
          <w:tcPr>
            <w:tcW w:w="4201" w:type="dxa"/>
            <w:vAlign w:val="top"/>
          </w:tcPr>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会计基本理论（如会计要素、复式记账原理）、会计准则（企业会计准则第14号——收入）及会计核算流程（从填制凭证到编制报表），熟悉增值税、企业所得税等主要税种的核算方法，理解财务比率分析指标（流动比率、毛利率等）的经济含义，并能运用管理会计基础工具（本量利分析）进行简单决策。</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会计凭证审核与填制（如发票鉴别、记账凭证制作）、账簿登记与对账（总账与明细账核对）、财务报表编制（资产负债表、利润表）等实务操作能力，能通过财务软件完成全流程账务处理，掌握银行流水核查、存货盘点等基础内控技能，具备用会计语言解读企业经营状况的初步能力。</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‌培养严谨细致的工作态度（如借贷平衡校验）、数据敏感性（通过异常波动发现潜在问题）、合规意识（熟悉《会计法》基本要求），</w:t>
            </w:r>
            <w:r>
              <w:rPr>
                <w:rFonts w:hint="eastAsia" w:ascii="仿宋_GB2312" w:hAnsi="仿宋_GB2312" w:eastAsia="仿宋_GB2312" w:cs="仿宋_GB2312"/>
                <w:color w:val="auto"/>
                <w:sz w:val="24"/>
                <w:highlight w:val="none"/>
                <w:lang w:val="en-US" w:eastAsia="zh-CN"/>
              </w:rPr>
              <w:t>形</w:t>
            </w:r>
            <w:r>
              <w:rPr>
                <w:rFonts w:hint="eastAsia" w:ascii="仿宋_GB2312" w:hAnsi="仿宋_GB2312" w:eastAsia="仿宋_GB2312" w:cs="仿宋_GB2312"/>
                <w:color w:val="auto"/>
                <w:sz w:val="24"/>
                <w:highlight w:val="none"/>
              </w:rPr>
              <w:t>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不做假账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的职业操守，形成成本控制与风险防范意识（如应收账款管理），建立终身学习理念（跟踪新收入准则等政策变化）。</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诚信为本</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的会计职业道德与社会主义核心价值观深度结合，通过康美药业等案例强化法治意识，结合乡村振兴政策讲解涉农企业会计核算，培育学生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不做假账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的职业底线，树立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经济卫士</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的责任担当，引导其将专业能力服务于实体经济高质量发展。</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lang w:val="en-US" w:eastAsia="zh-CN" w:bidi="ar-SA"/>
              </w:rPr>
              <w:t>学习内容大体包括六大会计要素，会计恒等式，会计科目表，会计账户，六大会计要素，会计恒等式，会计科目表，会计账户 ，资金筹集业务的核算，采购过程的业务核算，生产过程的业务核算，销售过程的业务核算，利润形成与分配的核算，资金退出的业务核算，会计账簿的类别，会计账簿登记与保管的相关要求，对账和结账，会计报表及资产负债表的编制，利润表的编制。</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通过课</w:t>
            </w:r>
            <w:r>
              <w:rPr>
                <w:rFonts w:hint="eastAsia" w:ascii="仿宋_GB2312" w:hAnsi="仿宋_GB2312" w:eastAsia="仿宋_GB2312" w:cs="仿宋_GB2312"/>
                <w:color w:val="auto"/>
                <w:kern w:val="2"/>
                <w:sz w:val="24"/>
                <w:szCs w:val="24"/>
                <w:highlight w:val="none"/>
                <w:lang w:val="en-US" w:eastAsia="zh-CN" w:bidi="ar-SA"/>
              </w:rPr>
              <w:t>堂讲授，系统地讲解会计学原理的基本理论、方法和技能。结合实际案例，引导学生分析会计问题，加深对会计理论的理解和应用。通过实验课，让学生亲手操作会计凭证、账簿和报表的编制，提高实际操作能</w:t>
            </w:r>
            <w:r>
              <w:rPr>
                <w:rFonts w:hint="eastAsia" w:ascii="仿宋_GB2312" w:hAnsi="仿宋_GB2312" w:eastAsia="仿宋_GB2312" w:cs="仿宋_GB2312"/>
                <w:color w:val="auto"/>
                <w:kern w:val="2"/>
                <w:sz w:val="24"/>
                <w:szCs w:val="24"/>
                <w:highlight w:val="none"/>
                <w:vertAlign w:val="baseline"/>
                <w:lang w:val="en-US" w:eastAsia="zh-CN" w:bidi="ar-SA"/>
              </w:rPr>
              <w:t>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4</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跨境电商基础</w:t>
            </w:r>
          </w:p>
        </w:tc>
        <w:tc>
          <w:tcPr>
            <w:tcW w:w="4201" w:type="dxa"/>
            <w:vAlign w:val="top"/>
          </w:tcPr>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系统掌握跨境电商核心理论（如平台运营逻辑、跨境支付体系）、国际贸易规则（RCEP原产地规则）及数字贸易新业态（社交电商、直播带货），熟悉主流跨境电商平台（亚马逊、速卖通、TikTok Shop）的运营机制，理解跨境物流（海外仓布局、国际快递计费）、跨境税务（VAT申报）及知识产权保护等关键环节的操作规范。</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具备跨境电商选品分析（通过Google Trends、Jungle Scout等工具）、Listing优化（关键词SEO、多语言文案撰写）、海外营销推广（Facebook广告投放、KOL合作）等实操技能，能独立完成从店铺注册到订单履约的全流程操作，掌握跨境纠纷处理（如退换货流程）和汇率风险管理（远期结汇工具应用）等应急能力。</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‌培养跨文化沟通意识（尊重不同国家消费习惯）、数据驱动思维（通过Shopify Analytics优化运营）、合规经营意识（熟悉《电子商务法》跨境条款），养成快速学习能力（适应平台算法更新）、抗压能力（应对时差作业）和团队协作精神（跨部门协同完成大促活动）。</w:t>
            </w:r>
          </w:p>
          <w:p>
            <w:pPr>
              <w:keepNext w:val="0"/>
              <w:keepLines w:val="0"/>
              <w:pageBreakBefore w:val="0"/>
              <w:widowControl w:val="0"/>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数字中国</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一带一路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倡议融入教学，通过中国品牌出海案例（如SHEXIN全球化战略）增强文化自信，结合数据安全法讲解跨境信息合规管理，培育学生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讲好中国故事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的国际视野，树立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卖全球</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服务全球</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并重的职业价值观，引导其成为数字经济时代的新型外贸人才。</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学习内容大体包括电子商务概述，电子商务技术基础，跨境电商概述，概念、分类、与传统国际贸易的异同；平台规则与政策，主流平台入驻流程、收费模式及国家政策解读‌；行业生态链，物流、支付、营销、数据分析等环节的理论基础‌。</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通过实际案例分析，引导学生将理论知识应用于解决现实问题，培养解决问题的能力。组织学生参与跨境电商项目实训，如在线商店建设、网络营销策划、跨境电商运营等，提升学生的实战能力。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5</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外贸英语口 语</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‌系统掌握外贸英语核心术语（如FOB、CIF价格条款）、国际贸易流程（询盘-发盘-还盘-签约）及商务礼仪规范（跨文化沟通禁忌），熟悉信用证（UCP600）、海运提单（Bill of Lading）等单证英文表述，理解WTO规则、RCEP原产地证书等国际经贸协议的英文框架，并能用专业术语完成产品说明、价格谈判等场景表达。</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全流程外贸英语沟通能力（从开发信撰写到售后纠纷处理），能独立完成视频会议口译（如Zoom商务谈判）、即时消息回复（WhatsApp客户咨询）及展会现场接待（广交会情景模拟），掌握商务邮件写作（索赔函、投诉函）、报价单制作（Excel英文版本）等数字化工具应用，具备快速应对突发状况（如港口罢工导致的交货延期）的应变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‌培养跨文化敏感度（理解不同国家谈判风格）、时间管理意识（应对多时差沟通）、保密意识（保护客户商业信息），养成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客户至上</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的服务理念（主动跟进询盘）、抗压能力（处理索赔争议）和终身学习习惯（跟踪跨境电商新术语），建立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中国标准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国际规则</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对接的思维模式。</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人类命运共同体</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理念融入教学，通过</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一带一路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项目案例（如中欧班列合作谈判）增强制度自信，结合数据安全法讲解跨境信息保密要求，培育学生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用英语讲好中国故事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的能力，树立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链接全球</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维护国家利益</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并重的职业价值观，引导其成为新时代高水平对外开放的复合型人才。</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 xml:space="preserve">外贸英语口语课程的教学内容通常围绕外贸业务流程展开，包括建立业务关系 </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询盘与报盘价格、佣金与折扣支付方式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包装与装运保险与签订合同</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诉与索赔及代理相关贸易术语，正确表达方式和口语表达中的实用句型。</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考虑到外贸英语口语的特殊性，课程应特别注重培养学生的跨文化交流能力，使学生了解不同国家和地区的文化背景、商业习惯和法律环境，以便在谈判中更好地理解和适应对方的需求和期望。</w:t>
            </w:r>
          </w:p>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作为口语课程，应着重培养学生的口语表达能力，包括发音、语调、语速、语法等方面的训练，使学生能够在不同商务场合中自信、流利地进行交流。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国际商务礼仪</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国际商务礼仪核心规范（如跨文化沟通禁忌、餐桌礼仪差异）、国际会议流程（APEC式会议座次安排）及商务着装准则（不同国家对着装颜色的文化解读），熟悉主流商务社交场景（高尔夫球礼则、礼物馈赠禁忌）、数字礼仪（Zoom会议虚拟背景规范）及危机公关礼仪（媒体采访应答技巧），理解</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一带一路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沿线国家特殊礼俗（中东国家商务拜访时间观念）。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全场景商务礼仪实操能力，能独立完成国际展会接待（展位布置与访客引导）、商务宴请（西餐刀叉使用顺序）、签约仪式（合同签署笔礼）等标准化流程，掌握跨文化冲突调解（如印度客户摇头的语义辨析）、突发状况应对等复合型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‌培养文化包容心态（理解非语言符号差异）、细节意识（名片递接角度）、保密意识（商务茶歇谈话分寸），养成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形象即品牌</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的职业认知（体态管理）、应变能力（应对突发着装失误）和持续精进态度（跟踪G20峰会新礼仪趋势</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，建立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中国礼仪</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国际惯例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的对话思维。</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文化自信</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文明互鉴</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理念贯穿教学，通过进博会志愿者案例展示中国礼仪标准，结合涉外活动管理条例讲解国家安全礼仪，培育学生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以礼为媒</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的传播意识，树立展示大国形象与尊重多元文化并重的职业价值观，引导其成为新时代国际交往的礼仪使者。</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本课程阐述的是商务谈判的心理思维和伦理、谈判准备阶段、开局阶段、磋商阶段、终结阶段、签约阶段、策略、沟通，以及常用的沟通技巧和文化因素对谈判的影响</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通过实践教学，如模拟谈判、案例分析等，提升学生的实际操作能力和应变技巧‌。学生应能够根据不同情况设计恰当的开场陈述，确定合理的谈判策略，并在对外交往中展现出应有的商务礼仪‌。</w:t>
            </w:r>
          </w:p>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7</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国际商法</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国际商法核心框架（CISG公约、INCOTERMS®2020规则）、跨国商事组织法（离岸公司设立）及跨境争端解决机制（WTO争端解决程序），熟悉电子合同（eUCA规则）、数据跨境流动（GDPR合规要求）等新型商事法律问题，理解RCEP投资条款、CPTPP知识产权章节等区域经贸协议的法律效力，并能运用法律术语完成国际商业谈判、跨境并购等场景的合规分析。</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国际商事法律实务操作能力，能独立完成合同条款审核（FOB与DDP风险条款辨析）、信用证纠纷处理（UCP600单证不符点判定）及仲裁协议拟定（ICC仲裁规则应用），掌握跨境税务筹划（BEPS行动计划应对）、反垄断合规（经营者集中申报）等数字化工具应用，具备快速应对突发法律事件（如出口管制清单调整）的应变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‌培养规则意识（尊重国际商事惯例）、保密意识（处理客户商业数据）、风险预判意识（识别汇率波动连带责任），养成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合规即竞争力</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的职业认知（ESG合规管理）、抗压能力（应对跨国诉讼）和终身学习习惯（跟踪CPTPP动态），建立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中国法域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国际规则</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的衔接思维。</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人类命运共同体</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理念融入教学，增强法治自信，结合《反外国制裁法》讲解跨境法律博弈，培育学生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用法律维护国家利益</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的能力，树立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全球经营</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主权安全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并重的职业价值观，引导其成为新时代高水平对外开放的复合型法治人才。</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主要是国际商法概述</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商事组织法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国际商事代理法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国际商事合同法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国际货物买卖法等</w:t>
            </w:r>
            <w:r>
              <w:rPr>
                <w:rFonts w:hint="eastAsia" w:ascii="仿宋_GB2312" w:hAnsi="仿宋_GB2312" w:eastAsia="仿宋_GB2312" w:cs="仿宋_GB2312"/>
                <w:color w:val="auto"/>
                <w:sz w:val="24"/>
                <w:szCs w:val="24"/>
                <w:highlight w:val="none"/>
                <w:lang w:eastAsia="zh-CN"/>
              </w:rPr>
              <w:t>。</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通过国内外真实案例，分析国际商法在实际应用中的挑战与解决方案，增强学生对法律条文的理解和应用能力。培养学生的全球意识，理解不同法律体系和文化背景对国际商法适用的影响。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8</w:t>
            </w:r>
          </w:p>
        </w:tc>
        <w:tc>
          <w:tcPr>
            <w:tcW w:w="896" w:type="dxa"/>
            <w:vAlign w:val="center"/>
          </w:tcPr>
          <w:p>
            <w:pPr>
              <w:keepNext w:val="0"/>
              <w:keepLines w:val="0"/>
              <w:pageBreakBefore w:val="0"/>
              <w:widowControl w:val="0"/>
              <w:kinsoku/>
              <w:wordWrap/>
              <w:overflowPunct w:val="0"/>
              <w:topLinePunct w:val="0"/>
              <w:autoSpaceDE/>
              <w:autoSpaceDN/>
              <w:bidi w:val="0"/>
              <w:adjustRightInd w:val="0"/>
              <w:snapToGrid/>
              <w:spacing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国际</w:t>
            </w:r>
            <w:r>
              <w:rPr>
                <w:rFonts w:hint="eastAsia" w:ascii="仿宋_GB2312" w:hAnsi="仿宋_GB2312" w:eastAsia="仿宋_GB2312" w:cs="仿宋_GB2312"/>
                <w:color w:val="auto"/>
                <w:sz w:val="24"/>
                <w:szCs w:val="24"/>
                <w:highlight w:val="none"/>
                <w:lang w:val="en-US" w:eastAsia="zh-CN"/>
              </w:rPr>
              <w:t>贸易</w:t>
            </w:r>
            <w:r>
              <w:rPr>
                <w:rFonts w:hint="eastAsia" w:ascii="仿宋_GB2312" w:hAnsi="仿宋_GB2312" w:eastAsia="仿宋_GB2312" w:cs="仿宋_GB2312"/>
                <w:color w:val="auto"/>
                <w:sz w:val="24"/>
                <w:szCs w:val="24"/>
                <w:highlight w:val="none"/>
              </w:rPr>
              <w:t>结算</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国际贸易结算核心工具（信用证、托收、汇付的运作机制）、国际结算单据（商业发票、海运提单、保险单的缮制规范）及跨境支付系统（SWIFT报文、CIPS人民币跨境支付流程），熟悉新型结算方式（区块链信用证、电子票据）及风险防范措施（UCP600第14条审单标准），理解RCEP原产地规则、外汇管制政策等对结算业务的影响，并能运用专业术语完成结算方案设计、纠纷处理等场景分析。</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‌具备全流程国际贸易结算实操能力，能独立完成信用证开立申请（ISBP745条款适用）、单据审核（</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单单一致</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原则应用）及跨境收付汇操作（外汇申报系统填报），掌握汇率避险工具（远期结售汇操作）、反洗钱合规（客户身份识别）等数字化工具应用，具备快速应对突发结算事件（如信用证软条款陷阱）的应变能力。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‌培养合规意识（遵守外汇管理条例）、细节意识（单据数据一致性）、保密意识（保护客户财务信息），养成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结算即信用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的职业认知（银行信用管理）、抗压能力（应对信用证拒付）和持续精进态度（跟踪eUCP电子信用证规则更新），建立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中国标准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国际惯例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的对接思维。</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金融安全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开放共赢</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理念贯穿教学，通过人民币国际化案例（跨境贸易人民币结算试点）增强制度自信，结合《出口管制法》讲解合规结算要求，培育学生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用结算服务国家战略</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的能力，树立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全球金融</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风险防控</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并重的职业价值观，引导其成为新时代国际贸易结算的复合型人才。</w:t>
            </w:r>
          </w:p>
        </w:tc>
        <w:tc>
          <w:tcPr>
            <w:tcW w:w="2464" w:type="dxa"/>
            <w:vAlign w:val="top"/>
          </w:tcPr>
          <w:p>
            <w:pPr>
              <w:keepNext w:val="0"/>
              <w:keepLines w:val="0"/>
              <w:pageBreakBefore w:val="0"/>
              <w:widowControl w:val="0"/>
              <w:kinsoku/>
              <w:wordWrap/>
              <w:overflowPunct w:val="0"/>
              <w:topLinePunct w:val="0"/>
              <w:autoSpaceDE/>
              <w:autoSpaceDN/>
              <w:bidi w:val="0"/>
              <w:adjustRightInd w:val="0"/>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‌国际结算概述、国际结算工具—票据、汇款、托收、信用证、银行保函和备用信用证、国际结算方式的选择、国际结算中的单据、国际非贸易结算。</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采用课堂讲授与案例分析相结合的方式进行教学。通过具体案例的分析和讨论，加深学生对国际结算理论知识的理解。</w:t>
            </w:r>
          </w:p>
          <w:p>
            <w:pPr>
              <w:keepNext w:val="0"/>
              <w:keepLines w:val="0"/>
              <w:pageBreakBefore w:val="0"/>
              <w:widowControl w:val="0"/>
              <w:kinsoku/>
              <w:wordWrap/>
              <w:overflowPunct/>
              <w:topLinePunct w:val="0"/>
              <w:autoSpaceDE/>
              <w:autoSpaceDN/>
              <w:bidi w:val="0"/>
              <w:adjustRightInd/>
              <w:snapToGrid/>
              <w:spacing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强调实践教学环节，通过模拟操作、上机实验等方式提高学生的实际操作能力。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9</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1"/>
                <w:szCs w:val="21"/>
                <w:highlight w:val="none"/>
                <w:lang w:val="en-US" w:eastAsia="zh-CN"/>
              </w:rPr>
              <w:t>习近平经济思想概论</w:t>
            </w:r>
          </w:p>
        </w:tc>
        <w:tc>
          <w:tcPr>
            <w:tcW w:w="420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highlight w:val="none"/>
              </w:rPr>
            </w:pPr>
            <w:r>
              <w:rPr>
                <w:rStyle w:val="14"/>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4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247"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bookmarkEnd w:id="141"/>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14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专业核心课是面向</w:t>
      </w:r>
      <w:r>
        <w:rPr>
          <w:rFonts w:hint="eastAsia" w:ascii="仿宋_GB2312" w:hAnsi="仿宋_GB2312" w:eastAsia="仿宋_GB2312" w:cs="仿宋_GB2312"/>
          <w:color w:val="auto"/>
          <w:spacing w:val="-2"/>
          <w:sz w:val="32"/>
          <w:szCs w:val="32"/>
          <w:highlight w:val="none"/>
        </w:rPr>
        <w:t>外贸单证员</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外贸跟单员</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外贸业务员</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跨境电子商务</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运营推广员</w:t>
      </w:r>
      <w:r>
        <w:rPr>
          <w:rFonts w:hint="eastAsia" w:ascii="仿宋_GB2312" w:hAnsi="仿宋_GB2312" w:eastAsia="仿宋_GB2312" w:cs="仿宋_GB2312"/>
          <w:color w:val="auto"/>
          <w:sz w:val="32"/>
          <w:szCs w:val="32"/>
          <w:highlight w:val="none"/>
          <w:lang w:val="en-US" w:eastAsia="zh-CN"/>
        </w:rPr>
        <w:t>等岗位（群），结合</w:t>
      </w:r>
      <w:r>
        <w:rPr>
          <w:rFonts w:hint="eastAsia" w:ascii="仿宋_GB2312" w:hAnsi="仿宋_GB2312" w:eastAsia="仿宋_GB2312" w:cs="仿宋_GB2312"/>
          <w:color w:val="auto"/>
          <w:spacing w:val="-2"/>
          <w:sz w:val="32"/>
          <w:szCs w:val="32"/>
          <w:highlight w:val="none"/>
        </w:rPr>
        <w:t>外贸单证员、外贸跟单员、外贸业务员、跨境电子商务、运营推广员等岗位（群）</w:t>
      </w:r>
      <w:r>
        <w:rPr>
          <w:rFonts w:hint="eastAsia" w:ascii="仿宋_GB2312" w:hAnsi="仿宋_GB2312" w:eastAsia="仿宋_GB2312" w:cs="仿宋_GB2312"/>
          <w:color w:val="auto"/>
          <w:sz w:val="32"/>
          <w:szCs w:val="32"/>
          <w:highlight w:val="none"/>
          <w:lang w:val="en-US" w:eastAsia="zh-CN"/>
        </w:rPr>
        <w:t>的就业岗位，建立</w:t>
      </w:r>
      <w:r>
        <w:rPr>
          <w:rFonts w:hint="eastAsia" w:ascii="仿宋_GB2312" w:hAnsi="仿宋_GB2312" w:eastAsia="仿宋_GB2312" w:cs="仿宋_GB2312"/>
          <w:color w:val="auto"/>
          <w:spacing w:val="-2"/>
          <w:sz w:val="32"/>
          <w:szCs w:val="32"/>
          <w:highlight w:val="none"/>
        </w:rPr>
        <w:t>国际经济与贸易</w:t>
      </w:r>
      <w:r>
        <w:rPr>
          <w:rFonts w:hint="eastAsia" w:ascii="仿宋_GB2312" w:hAnsi="仿宋_GB2312" w:eastAsia="仿宋_GB2312" w:cs="仿宋_GB2312"/>
          <w:color w:val="auto"/>
          <w:sz w:val="32"/>
          <w:szCs w:val="32"/>
          <w:highlight w:val="none"/>
          <w:lang w:val="en-US" w:eastAsia="zh-CN"/>
        </w:rPr>
        <w:t>专业核心课程，培养学生</w:t>
      </w:r>
      <w:r>
        <w:rPr>
          <w:rFonts w:hint="eastAsia" w:ascii="仿宋_GB2312" w:hAnsi="仿宋_GB2312" w:eastAsia="仿宋_GB2312" w:cs="仿宋_GB2312"/>
          <w:color w:val="auto"/>
          <w:spacing w:val="-2"/>
          <w:sz w:val="32"/>
          <w:szCs w:val="32"/>
          <w:highlight w:val="none"/>
        </w:rPr>
        <w:t>国际经济与贸易</w:t>
      </w:r>
      <w:r>
        <w:rPr>
          <w:rFonts w:hint="eastAsia" w:ascii="仿宋_GB2312" w:hAnsi="仿宋_GB2312" w:eastAsia="仿宋_GB2312" w:cs="仿宋_GB2312"/>
          <w:color w:val="auto"/>
          <w:sz w:val="32"/>
          <w:szCs w:val="32"/>
          <w:highlight w:val="none"/>
          <w:lang w:val="en-US" w:eastAsia="zh-CN"/>
        </w:rPr>
        <w:t>等方面的能力。包括</w:t>
      </w:r>
      <w:r>
        <w:rPr>
          <w:rFonts w:hint="eastAsia" w:ascii="仿宋_GB2312" w:hAnsi="仿宋_GB2312" w:eastAsia="仿宋_GB2312" w:cs="仿宋_GB2312"/>
          <w:color w:val="auto"/>
          <w:spacing w:val="-2"/>
          <w:sz w:val="32"/>
          <w:szCs w:val="32"/>
          <w:highlight w:val="none"/>
        </w:rPr>
        <w:t>外贸单证操作</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进出口业务操作</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外贸跟单操作</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跨境电商B2B运营</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跨境电商B2B营销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外贸英文函电</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外贸风险管理</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跨境电商B2B销售</w:t>
      </w:r>
      <w:r>
        <w:rPr>
          <w:rFonts w:hint="eastAsia" w:ascii="仿宋_GB2312" w:hAnsi="仿宋_GB2312" w:eastAsia="仿宋_GB2312" w:cs="仿宋_GB2312"/>
          <w:color w:val="auto"/>
          <w:spacing w:val="-4"/>
          <w:sz w:val="32"/>
          <w:szCs w:val="32"/>
          <w:highlight w:val="none"/>
          <w:lang w:eastAsia="zh-CN"/>
        </w:rPr>
        <w:t>。</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100"/>
        <w:gridCol w:w="2592"/>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775"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课程名称</w:t>
            </w:r>
          </w:p>
        </w:tc>
        <w:tc>
          <w:tcPr>
            <w:tcW w:w="4100"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592"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507"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外贸单证</w:t>
            </w:r>
            <w:r>
              <w:rPr>
                <w:rFonts w:hint="eastAsia" w:ascii="仿宋_GB2312" w:hAnsi="仿宋_GB2312" w:eastAsia="仿宋_GB2312" w:cs="仿宋_GB2312"/>
                <w:color w:val="auto"/>
                <w:sz w:val="24"/>
                <w:szCs w:val="24"/>
                <w:highlight w:val="none"/>
                <w:lang w:val="en-US" w:eastAsia="zh-CN"/>
              </w:rPr>
              <w:t>操作</w:t>
            </w:r>
          </w:p>
        </w:tc>
        <w:tc>
          <w:tcPr>
            <w:tcW w:w="4100" w:type="dxa"/>
            <w:vAlign w:val="top"/>
          </w:tcPr>
          <w:p>
            <w:pPr>
              <w:keepNext w:val="0"/>
              <w:keepLines w:val="0"/>
              <w:pageBreakBefore w:val="0"/>
              <w:widowControl w:val="0"/>
              <w:kinsoku/>
              <w:wordWrap/>
              <w:overflowPunct/>
              <w:topLinePunct w:val="0"/>
              <w:autoSpaceDE/>
              <w:autoSpaceDN/>
              <w:bidi w:val="0"/>
              <w:adjustRightInd w:val="0"/>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学生系统掌握外贸单证的基本原理与操作规范，包括信用证条款解读、商业发票/装箱单/提单等核心单证的缮制要点，熟悉国际贸易术语（INCOTERMS 2020）与UCP600规则，理解跨境支付结算流程及各国海关单证的特殊要求，构建完整的单证知识体系。</w:t>
            </w:r>
          </w:p>
          <w:p>
            <w:pPr>
              <w:keepNext w:val="0"/>
              <w:keepLines w:val="0"/>
              <w:pageBreakBefore w:val="0"/>
              <w:widowControl w:val="0"/>
              <w:kinsoku/>
              <w:wordWrap/>
              <w:overflowPunct/>
              <w:topLinePunct w:val="0"/>
              <w:autoSpaceDE/>
              <w:autoSpaceDN/>
              <w:bidi w:val="0"/>
              <w:adjustRightInd w:val="0"/>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学生独立完成全套出口单证制作的能力，包括准确审核信用证、规范填写各类单据、处理单证不符点；通过模拟软件训练电子单证操作技能，提升跨文化沟通能力与突发问题解决能力，达到“零差错”单证处理标准。</w:t>
            </w:r>
          </w:p>
          <w:p>
            <w:pPr>
              <w:keepNext w:val="0"/>
              <w:keepLines w:val="0"/>
              <w:pageBreakBefore w:val="0"/>
              <w:widowControl w:val="0"/>
              <w:kinsoku/>
              <w:wordWrap/>
              <w:overflowPunct/>
              <w:topLinePunct w:val="0"/>
              <w:autoSpaceDE/>
              <w:autoSpaceDN/>
              <w:bidi w:val="0"/>
              <w:adjustRightInd w:val="0"/>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塑造严谨细致的工作态度，强化时间管理与责任意识；培养遵守国际商业惯例的契约精神，树立客户服务理念；通过团队协作完成复杂单证任务，增强抗压能力与职业韧性。</w:t>
            </w:r>
          </w:p>
          <w:p>
            <w:pPr>
              <w:keepNext w:val="0"/>
              <w:keepLines w:val="0"/>
              <w:pageBreakBefore w:val="0"/>
              <w:widowControl w:val="0"/>
              <w:kinsoku/>
              <w:wordWrap/>
              <w:overflowPunct/>
              <w:topLinePunct w:val="0"/>
              <w:autoSpaceDE/>
              <w:autoSpaceDN/>
              <w:bidi w:val="0"/>
              <w:adjustRightInd w:val="0"/>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将社会主义核心价值观融入单证实践，以单证真实性教育培育法治观念，通过外汇管制等教学内容树立国家安全意识；借助中国外贸发展史激发民族自豪感，培养兼具专业能力与社会责任的新时代外贸人才。</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外贸单证概述、信用证、出口商业单据的缮制、出口资金单据的缮制、出口官方单据的缮制、其他出口单据的缮制、进口单据的缮制、外贸单据审核和各种支付条件下外贸单证模拟实训。</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外贸单证课程教学要求清晰，教学目标明确，需让学生掌握外贸单证基本知识、种类、作用及重要性，培养其准确高效处理单证制作、审核和管理的专业技能；教学内容全面，覆盖单证制作、审核、流转，以及国际贸易流程和支付方式等，通过案例分析、模拟实训传授实操技能，并融入职业道德教育，引导树立正确职业观念和价值观；教学方法多样，借助课堂讲授传递知识理论，以实际案例分析攻克要点难点，运用模拟软件或平台提升实操能力，通过课堂讨论、小组合作激发学习兴趣与主动性，促进师生交流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进出口业务操作</w:t>
            </w:r>
          </w:p>
        </w:tc>
        <w:tc>
          <w:tcPr>
            <w:tcW w:w="4100" w:type="dxa"/>
            <w:vAlign w:val="top"/>
          </w:tcPr>
          <w:p>
            <w:pPr>
              <w:keepNext w:val="0"/>
              <w:keepLines w:val="0"/>
              <w:pageBreakBefore w:val="0"/>
              <w:widowControl w:val="0"/>
              <w:kinsoku/>
              <w:wordWrap/>
              <w:overflowPunct/>
              <w:topLinePunct w:val="0"/>
              <w:autoSpaceDE/>
              <w:autoSpaceDN/>
              <w:bidi w:val="0"/>
              <w:adjustRightInd/>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系统掌握国际贸易术语（如Incoterms 2020）、进出口单证（信用证/报关单等）、关税计算、跨境支付等核心知识，熟悉WTO规则与主要国家贸易政策，形成完整的进出口业务知识体系。</w:t>
            </w:r>
          </w:p>
          <w:p>
            <w:pPr>
              <w:keepNext w:val="0"/>
              <w:keepLines w:val="0"/>
              <w:pageBreakBefore w:val="0"/>
              <w:widowControl w:val="0"/>
              <w:kinsoku/>
              <w:wordWrap/>
              <w:overflowPunct/>
              <w:topLinePunct w:val="0"/>
              <w:autoSpaceDE/>
              <w:autoSpaceDN/>
              <w:bidi w:val="0"/>
              <w:adjustRightInd/>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具备独立完成信用证审核、报关报检、国际货运代理等实操能力，能运用贸易模拟软件处理真实业务场景，培养风险识别（如汇率波动）、纠纷解决及跨文化商务沟通等复合型技能。</w:t>
            </w:r>
          </w:p>
          <w:p>
            <w:pPr>
              <w:keepNext w:val="0"/>
              <w:keepLines w:val="0"/>
              <w:pageBreakBefore w:val="0"/>
              <w:widowControl w:val="0"/>
              <w:kinsoku/>
              <w:wordWrap/>
              <w:overflowPunct/>
              <w:topLinePunct w:val="0"/>
              <w:autoSpaceDE/>
              <w:autoSpaceDN/>
              <w:bidi w:val="0"/>
              <w:adjustRightInd/>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强化合规意识与契约精神，培养严谨细致的工作态度（如单证零差错要求）及团队协作能力，树立全球视野下的可持续发展理念，理解绿色贸易、数字贸易等新兴业态的社会价值。</w:t>
            </w:r>
          </w:p>
          <w:p>
            <w:pPr>
              <w:keepNext w:val="0"/>
              <w:keepLines w:val="0"/>
              <w:pageBreakBefore w:val="0"/>
              <w:widowControl w:val="0"/>
              <w:kinsoku/>
              <w:wordWrap/>
              <w:overflowPunct/>
              <w:topLinePunct w:val="0"/>
              <w:autoSpaceDE/>
              <w:autoSpaceDN/>
              <w:bidi w:val="0"/>
              <w:adjustRightInd/>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通过</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一带一路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案例教学强化家国情怀，以华为/比亚迪等企业出海实践培育民族自信；通过反倾销案例分析树立规则意识，引导学生将诚信经营、风险防控等职业道德融入专业实践，培养兼具国际竞争力与社会责任感的新时代外贸人才。</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贸易术语和国际贸易惯例、合同的品质、数量、包装、国际贸易运输、国际货物运输保险、进出口商品的价格、国际贸易结算、检验、索赔、不可抗力和仲裁、进出口合同的商订、进出口合同的履行、国际贸易方式。</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教学目标明确，让学生掌握知识及重要性，培养磋商、术语运用、单证审核管理等专业技能。教学内容全面，含流转程序、流程和支付方式等，借案例与实训授实操技能，融入职业道德教育。教学方法多样，通过讲授传理论，案例破难点，模拟提实操，讨论合作促兴趣与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bookmarkStart w:id="143" w:name="_Toc90734991"/>
            <w:r>
              <w:rPr>
                <w:rFonts w:hint="eastAsia" w:ascii="仿宋_GB2312" w:hAnsi="仿宋_GB2312" w:eastAsia="仿宋_GB2312" w:cs="仿宋_GB2312"/>
                <w:color w:val="auto"/>
                <w:sz w:val="24"/>
                <w:highlight w:val="none"/>
                <w:lang w:val="en-US" w:eastAsia="zh-CN"/>
              </w:rPr>
              <w:t>3</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外贸</w:t>
            </w:r>
            <w:r>
              <w:rPr>
                <w:rFonts w:hint="eastAsia" w:ascii="仿宋_GB2312" w:hAnsi="仿宋_GB2312" w:eastAsia="仿宋_GB2312" w:cs="仿宋_GB2312"/>
                <w:color w:val="auto"/>
                <w:sz w:val="24"/>
                <w:szCs w:val="24"/>
                <w:highlight w:val="none"/>
                <w:lang w:val="en-US" w:eastAsia="zh-CN"/>
              </w:rPr>
              <w:t>跟单操作</w:t>
            </w:r>
          </w:p>
        </w:tc>
        <w:tc>
          <w:tcPr>
            <w:tcW w:w="4100" w:type="dxa"/>
            <w:vAlign w:val="top"/>
          </w:tcPr>
          <w:p>
            <w:pPr>
              <w:keepNext w:val="0"/>
              <w:keepLines w:val="0"/>
              <w:pageBreakBefore w:val="0"/>
              <w:widowControl w:val="0"/>
              <w:kinsoku/>
              <w:wordWrap/>
              <w:overflowPunct/>
              <w:topLinePunct w:val="0"/>
              <w:autoSpaceDE/>
              <w:autoSpaceDN/>
              <w:bidi w:val="0"/>
              <w:adjustRightInd w:val="0"/>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掌握国际贸易术语（如Incoterms 2020）、信用证条款解读、报关报检流程等核心知识，熟悉跨境电商平台操作规则与跨境支付方式，理解不同贸易方式下的单证流转逻辑。</w:t>
            </w:r>
          </w:p>
          <w:p>
            <w:pPr>
              <w:keepNext w:val="0"/>
              <w:keepLines w:val="0"/>
              <w:pageBreakBefore w:val="0"/>
              <w:widowControl w:val="0"/>
              <w:kinsoku/>
              <w:wordWrap/>
              <w:overflowPunct/>
              <w:topLinePunct w:val="0"/>
              <w:autoSpaceDE/>
              <w:autoSpaceDN/>
              <w:bidi w:val="0"/>
              <w:adjustRightInd w:val="0"/>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具备独立完成订单跟踪、单据审核（如提单、发票、装箱单）、物流协调及异常处理的能力，能运用ERP系统进行数据管理，并具备跨文化沟通与客户谈判的实践技能。</w:t>
            </w:r>
          </w:p>
          <w:p>
            <w:pPr>
              <w:keepNext w:val="0"/>
              <w:keepLines w:val="0"/>
              <w:pageBreakBefore w:val="0"/>
              <w:widowControl w:val="0"/>
              <w:kinsoku/>
              <w:wordWrap/>
              <w:overflowPunct/>
              <w:topLinePunct w:val="0"/>
              <w:autoSpaceDE/>
              <w:autoSpaceDN/>
              <w:bidi w:val="0"/>
              <w:adjustRightInd w:val="0"/>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培养严谨细致的工作态度、风险防范意识与时间管理能力，树立诚信守约的职业道德观念，强化团队协作与抗压能力以适应外贸行业快节奏工作环境。</w:t>
            </w:r>
          </w:p>
          <w:p>
            <w:pPr>
              <w:keepNext w:val="0"/>
              <w:keepLines w:val="0"/>
              <w:pageBreakBefore w:val="0"/>
              <w:widowControl w:val="0"/>
              <w:kinsoku/>
              <w:wordWrap/>
              <w:overflowPunct/>
              <w:topLinePunct w:val="0"/>
              <w:autoSpaceDE/>
              <w:autoSpaceDN/>
              <w:bidi w:val="0"/>
              <w:adjustRightInd w:val="0"/>
              <w:snapToGrid w:val="0"/>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引导学生树立文化自信与全球化视野；通过案例教学强化合规意识，培养社会责任感和家国情怀，将社会主义核心价值观贯穿于职业素养塑造全过程。</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围绕外贸跟单全链条展开，涵盖基础理论（如外贸流程、INCOTERMS术语、合同条款解析）、实务操作（订单进度跟踪表制作、生产进度协调、验货与质量把控、货运单据缮制）及风险应对（交货期延误处理、信用证审核要点、纠纷解决策略）。结合典型案例（如跨境电商B2B订单跟单、信用证不符点修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强化从订单接收到货款回收的全流程实操技能。</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利用外贸跟单软件模拟订单处理、单证填制等场景，融入行业真实案例进行角色扮演与小组协作；考核需兼顾理论笔试（如合同条款分析）与实操任务（如完成一套跟单文档）；配套建设外贸实训平台、行业案例库及单证模板资源，确保教学内容与外贸企业岗位需求无缝对接，并紧跟RCEP、跨境电商等新业态发展动态更新课程内容。</w:t>
            </w:r>
          </w:p>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4</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跨境电商B2B运营</w:t>
            </w:r>
          </w:p>
        </w:tc>
        <w:tc>
          <w:tcPr>
            <w:tcW w:w="4100"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使学生系统掌握跨境电商B2B平台规则、国际贸易术语（Incoterms 2020）、跨境支付结算（信用证/PayPal）、海关报关流程及跨境物流体系（FBA/海外仓）等核心知识，具备分析不同国家贸易政策与税收制度的能力，为后续运营实践奠定理论基础。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学生独立完成跨境B2B店铺搭建、多语言产品详情页优化、国际客户询盘处理及订单跟单等实操技能，通过模拟实训掌握市场数据分析、竞品调研及跨境营销推广工具应用，形成解决跨境交易纠纷、规避汇率风险等复杂问题的职业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强化跨文化商务沟通意识与团队协作精神，培养严谨合规的贸易文件处理习惯，树立知识产权保护意识与客户服务理念，通过真实案例教学提升抗压能力与创新思维，养成持续学习行业动态的职业素养。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通过中国品牌出海案例分析，增强学生文化自信与家国情怀；强调诚信经营、数据安全等职业道德，引导学生理解构建人类命运共同体背景下跨境电商从业者的社会责任，培养兼具国际视野与本土情怀的新时代商贸人才。</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课程聚焦跨境电商B2B全链路运营，涵盖平台规则与实操（如阿里巴巴国际站、中国制造网的店铺搭建、产品详情页优化、RFQ商机响应及信保订单管理）、数据化运营策略（行业趋势分析工具应用、关键词优化、客户画像与精准营销）、独立站运营。</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掌握跨境电商 B2B 平台选择与开通、产品发布、平台设计、数据分析与优化操作要领；能熟练开展跨境电商 B2B 平台选择与店铺开通，产品定位和数据选品操作，店铺装修操作，产品管理和发布操作，产品数据分析和优化操作； 熟悉外贸企业自建站店铺的信息化建设和运营操作。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5</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跨境电商B2B营销</w:t>
            </w:r>
          </w:p>
        </w:tc>
        <w:tc>
          <w:tcPr>
            <w:tcW w:w="4100"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掌握跨境电商B2B平台运营规则、国际支付结算流程、跨文化商务沟通理论及数字营销工具应用，理解目标市场国别政策与贸易壁垒特征，构建覆盖产品定位、客户开发、订单履约的全链条知识体系。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具备独立完成B2B平台店铺搭建与维护、多语言产品文案撰写、海外客户需求分析及跨境供应链协调的能力，能运用大数据工具进行市场趋势预测，实现从询盘转化到售后服务的全流程数字化运营。</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培养全球化视野下的职业敏感度，强化知识产权保护意识与契约精神，建立严谨的合规经营观念，形成以客户为中心的跨文化服务理念，具备应对时差、汇率波动等特殊工作场景的心理韧性。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一带一路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倡议融入跨境贸易案例教学，强化学生服务国家战略的使命感；通过对比中外电商发展历程，增强制度自信与民族品牌出海意识；在RCEP等国际规则学习中树立人类命运共同体意识。</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涵盖B2B营销基础（全球市场细分、客户画像建模、竞争分析框架）、数字化营销模块、内容与品牌建设（行业白皮书策划、案例视频制作、品牌故事国际化表达），以及高阶实战（大客户开发流程、询盘转化技巧、供应链协同营销）。</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掌握跨境电商 B2B 平台市场分析、内容营销、引流推广和品牌营销等操作要领；能熟练开展跨境电商市场分析，外贸企业自建站和跨境电商 B2B 平台店铺视觉营销和内容营销，跨境电商 B2B 平台直播规范和操作技巧，国际搜索引擎优化、海外社交媒体营销，品牌规划和推广； 熟悉跨境电商 B2B 平台各类营销方案拟订。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外贸英文函电</w:t>
            </w:r>
          </w:p>
        </w:tc>
        <w:tc>
          <w:tcPr>
            <w:tcW w:w="4100"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掌握外贸函电的格式规范与专业术语，熟练运用询盘、报盘、还盘等核心业务场景的英语表达，熟悉国际贸易惯例（如INCOTERMS 2020）在函电中的应用，并能准确理解信用证、提单等单证的专业表述。</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具备独立撰写结构清晰、用语得体的商务信函能力，能根据客户需求进行跨文化沟通与谈判，熟练运用邮件、即时通讯等数字化工具处理外贸事务，同时培养审单纠错及合同条款解读的实务技能。</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树立诚信守约的职业操守，培养严谨细致的工作态度，强化团队协作意识与时间管理能力，同时保持开放心态应对国际商务中的文化差异。</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通过案例分析渗透契约精神与法律意识（如《联合国国际货物销售合同公约》），在函电撰写中融入文化自信（如中式礼仪的恰当表达），引导学生理解外贸从业者的社会责任，培养兼具国际视野与家国情怀的新时代商务人才。</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学生应掌握国际商务函电写作的基本格式与模式，以及基本的国际商务专业术语。熟悉外贸业务的基本流程，包括建立业务关系、询价、报价、还价、洽谈、签约、付款、交货、装船、保险、索赔和理赔等环节。</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写作训练是外贸函电课程的重要组成部分。教师应安排充足的写作练习机会，包括课堂练习、课后作业及模拟写作等。通过不断的写作实践，提高学生的写作能力和函电质量。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7</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外贸风险管理</w:t>
            </w:r>
          </w:p>
        </w:tc>
        <w:tc>
          <w:tcPr>
            <w:tcW w:w="4100"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‌使学生系统掌握外贸风险管理的核心理论框架，包括国际结算风险（如信用证欺诈）、汇率波动风险、政治与法律风险识别方法，以及贸易术语（Incoterms 2020）中的风险分配规则。通过案例分析理解WTO规则、区域性贸易协定对风险防控的影响，并能运用SWOT分析法评估贸易伙伴的信用风险等级。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培养学生运用风险管理工具解决实际问题的能力，包括独立完成外贸合同风险条款审核、设计汇率对冲方案（如远期结售汇）、通过海关AEO认证降低通关风险等。</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塑造学生的合规意识与跨文化沟通能力，强调在跨境交易中坚守商业伦理，如反商业贿赂、数据保护合规（GDPR）。培养其危机处理中的应变能力，例如遭遇目的港拒收时能快速启动替代物流方案，同时树立</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风险共担</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的契约精神。</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强化学生的国家战略意识与制度自信；以华为供应链风险管理等本土企业实践为切入点，培育家国情怀与全球视野。引导学生理解</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双循环</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格局下，外贸风险防控既是商业行为，更是维护国家经济安全的重要防线。</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 xml:space="preserve"> 围绕风险识别与应对主线，涵盖外贸风险理论框架（政治/市场/操作风险分类、INCOTERMS责任划分）、核心实务模块（客户资信调查、合同风险条款设计、信用证审核技巧、国际货物运输保险选择），结合典型案例（如汇率波动损失、跨境电商退运纠纷）及模拟场景演练（如贸易纠纷谈判、不可抗力处理）；融入数字化工具应用（如大数据风控平台、贸易合规软件），同步解析RCEP等新规对风险管理的动态影响，强化从风险预警到危机化解的全链条实战能力。</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熟悉外贸风险的含义和种类，掌握外贸风险识别、外贸风险估测、外贸风险评价的方法；</w:t>
            </w:r>
          </w:p>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能对宏观环境风险、各交易方风险、合同条款风险、履约过程风险等外贸风险实施有效的控制并妥善处理风险所致的损失。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p>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8</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60" w:lineRule="atLeas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跨境电商B2B销售</w:t>
            </w:r>
          </w:p>
        </w:tc>
        <w:tc>
          <w:tcPr>
            <w:tcW w:w="4100"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使学生系统掌握跨境电商B2B平台（如阿里巴巴国际站、环球资源）的运营规则，包括产品国际认证标准（CE/FDA）、跨境支付工具（PayPal企业账户、TT电汇）的结算流程，以及RCEP等自贸协定下的关税优惠政策。深入理解海外仓备货模式与FBA物流的优劣势对比，并能运用Google Trends进行目标市场选品分析。</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‌培养学生独立完成B2B店铺全流程运营的能力，涵盖多语言产品详情页制作（SEO关键词优化）、RFQ报价策略制定、跨境征信报告解读。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‌塑造学生的数字营销思维与跨文化商务礼仪，强调数据驱动决策（如通过Google Analytics分析流量转化），培养时差协调下的远程谈判能力。树立知识产权保护意识，如应对亚马逊品牌投诉的合规应对流程，同时培养</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中国品牌</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出海的责任担当。</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‌通过分析</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跨境电商综试区</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政策案例，强化学生对国家数字贸易战略的认同；以SHEIN柔性供应链等本土企业实践为切入点，培育文化自信与创新意识。引导学生理解B2B跨境电商不仅是商业行为，更是推动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中国制造</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向</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中国智造</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转型的重要载体，在跨境数据流动中筑牢国家安全防线。</w:t>
            </w: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课程围绕‌市场分析、内容营销、引流推广、品牌营销‌四大模块展开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‌市场分析‌：利用数据工具分析目标市场需求、竞争格局及政策风险，制定精准市场策略；</w:t>
            </w:r>
          </w:p>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‌内容营销‌：通过多语言技术文档、行业白皮书及客户案例库，触达决策者并建立专业信任；</w:t>
            </w:r>
          </w:p>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‌引流推广‌：整合B2B平台运营、独立站SEO优化及社媒广告，结合AI工具提升获客效率；</w:t>
            </w:r>
          </w:p>
          <w:p>
            <w:pPr>
              <w:keepNext w:val="0"/>
              <w:keepLines w:val="0"/>
              <w:pageBreakBefore w:val="0"/>
              <w:widowControl w:val="0"/>
              <w:kinsoku/>
              <w:wordWrap/>
              <w:overflowPunct w:val="0"/>
              <w:topLinePunct w:val="0"/>
              <w:autoSpaceDE/>
              <w:autoSpaceDN/>
              <w:bidi w:val="0"/>
              <w:adjustRightInd w:val="0"/>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‌品牌营销‌：打造国际化品牌定位，借助虚拟展会、ESG报告及客户背书强化长期价值。</w:t>
            </w:r>
          </w:p>
        </w:tc>
        <w:tc>
          <w:tcPr>
            <w:tcW w:w="2507"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掌握商机获取与跟进、客户谈判、合同签订、订单交付与结算、客户管理与服务等操作要领；能熟练开展跨境电商 B2B 平台和外贸企业自建站访客营销、客户数据分析及客户开发、询盘处理与回复、磋商谈判、签订合同、出口履约；熟悉国外客户信息管理、供应商信息管理、信保管理和风险防控。</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143"/>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国际经济与贸易行业发展的趋势，依据企业用人需求调研，企业对国际经济与贸易等方面日益增加的需求，建立了国际经济与贸易专业拓展课，并将辅修方向课程纳入其中。主要包括：数字贸易、跨境电商供应链管理、跨境电商数据分析、“一带一路”贸易概览、国际服务贸易、出口信用保险实务、贸易合规、国际经贸规则与标准、外贸参展实务等领域的内容。</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专业拓展课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1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55"/>
        <w:gridCol w:w="5379"/>
        <w:gridCol w:w="2217"/>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序号</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课程名称</w:t>
            </w:r>
          </w:p>
        </w:tc>
        <w:tc>
          <w:tcPr>
            <w:tcW w:w="537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目标</w:t>
            </w:r>
          </w:p>
        </w:tc>
        <w:tc>
          <w:tcPr>
            <w:tcW w:w="221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内容</w:t>
            </w:r>
          </w:p>
        </w:tc>
        <w:tc>
          <w:tcPr>
            <w:tcW w:w="204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1</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数字贸易</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数字贸易核心业态规则，包括跨境电商（如独立站Shopify建站）、数字内容贸易（NFT版权交易）的合规框架，熟悉DEPA（数字经济伙伴关系协定）中的数据流动条款。深入理解数字支付（数字人民币跨境结算）、区块链溯源技术的应用场景，并能运用TikTok电商算法进行海外市场流量分析。</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学生操作数字贸易全链路的能力，涵盖多语言直播带货脚本撰写、跨境数字营销（Meta广告投放优化）、通过APEC跨境隐私规则（CBPR）认证的数据安全管理，以及利用TradeLens平台完成智能报关。要求学生能运用Tableau可视化分析数字贸易数据，并设计RCEP原产地数字证书申领方案。</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‌塑造学生的数字素养与全球合规意识，强调在元宇宙虚拟交易中遵守WTO电子商务规则，培养AI客服多语种实时交互能力。树立数字主权意识，如应对GDPR数据跨境传输的合规审计，同时培养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数字丝路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建设者的使命感。</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数字自贸港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设案例，强化学生对国家数字主权战略的认同；以华为鸿蒙生态出海等本土实践为切入点，培育科技自立自强意识。引导学生理解数字贸易不仅是商业创新，更是争夺全球数字经济话语权的重要战场，在跨境数据治理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数字贸易的概念、特征与发展历程；数字贸易平台运营模式（如跨境电商平台、数字服务贸易平台）；数字贸易政策与规则（数据跨境流动、数字支付等）。</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理解数字贸易核心理论，能分析数字贸易实际案例，解读数字贸易政策，完成简单的数字贸易模式模拟分析。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2</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跨境电商供应链管理</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跨境电商供应链的全球化运营模式，包括海外仓智能选址算法（如使用Flexport数字孪生技术）、跨境物流通关（9710/9810报关单证数字化）的合规要求，熟悉RCEP框架下原产地累积规则。深入理解区块链溯源在跨境生鲜供应链中的应用，并能运用SAP S/4HANA系统进行全球库存协同分析。</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学生操作智能供应链系统的实战能力，涵盖多式联运方案设计（中欧班列+海外仓）、通过TMS系统优化跨境物流成本、利用数字孪生技术进行供应链风险模拟，以及设计碳足迹可追溯的绿色供应链方案。要求学生能操作菜鸟国际电子关务平台完成智能清关，并运用Power BI进行供应链数据可视化决策。</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‌塑造学生的供应链协同思维与全球合规意识，强调在元宇宙虚拟供应链中遵守WTO电子商务规则，培养AI驱动的多语言供应商谈判能力。树立数字供应链安全意识，如应对CBAM碳关税的合规申报，同时培养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全球链主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企业的责任担当。</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跨境电商综试区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供应链创新案例，强化学生对国家产业链安全战略的认同；以比亚迪全球电池供应链布局等本土实践为切入点，培育自主可控的供应链安全意识。引导学生理解跨境电商供应链不仅是商业网络，更是维护国家经济安全的重要基础设施。</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跨境电商采购管理、物流配送策略（海外仓应用等）、库存管理方法；供应链数字化工具（ERP 系统等）的操作与应用；跨境电商供应链风险防控。</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清晰梳理跨境电商供应链全流程，设计简易的供应链优化方案，熟练使用至少一种供应链管理工具进行模拟操作。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3</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跨境电商数据分析</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‌使学生系统掌握跨境电商数据分析的核心方法论，包括Google Analytics 4流量监测模型、亚马逊商情数据（Brand Analytics）的解读规则，熟悉GDPR框架下的用户行为数据采集规范。深入理解AI选品算法（如BERT语义分析）的应用逻辑，并能运用Power BI构建跨境销售数据看板。</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学生操作跨境电商数据生态的实战能力，涵盖多平台数据聚合（Shopify+亚马逊API对接）、通过Python爬虫合规获取竞品价格数据、利用Tableau制作动态物流时效热力图，以及设计符合CBAM碳关税规则的供应链碳排放监测方案。要求学生能操作阿里云数据中台完成跨境用户画像分析。</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塑造学生的数据思维与全球合规意识，强调在元宇宙虚拟交易中遵守WTO电子商务规则，培养AI驱动的多语言数据报告撰写能力。树立数据主权意识，如应对《数据出境安全评估办法》的合规审计，同时培养“数字丝路”建设者的使命感。</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分析“跨境电商综试区”数据流动创新案例，强化学生对国家数据要素市场化改革战略的认同；引导学生理解跨境电商数据分析不仅是商业工具，更是争夺全球数字经济话语权的重要支撑，在跨境数据治理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跨境电商平台数据指标（流量、转化率、客单价等）分析；Excel、Python 等工具在跨境电商数据处理中的应用；用户行为分析、销售预测模型搭建。</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熟练运用数据分析工具处理跨境电商数据，撰写数据分析报告，基于数据结果提出运营策略优化建议。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4</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“一带一路”贸易概览</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贸易合作框架，包括中欧班列多式联运规则、RCEP与</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叠加效应，熟悉数字丝绸之路（如跨境光缆建设）的基建标准。深入理解绿色贸易（光伏产品出口碳足迹认证）、数字人民币跨境结算的应用场景，并能运用TradeMap分析沿线国家贸易数据。</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‌培养学生参与</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贸易实务的操作能力，涵盖海外园区投资风险评估、通过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单一窗口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完成智能报关，以及设计符合《可持续贸易倡议》的农产品供应链方案。要求学生能操作</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丝路电商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平台完成多语种直播选品。</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‌塑造学生的全球化视野与跨文化沟通能力，培养应对地缘政治风险的商务谈判能力。树立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共商共建共享</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意识，如应对CBAM碳关税的合规申报，同时培养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丝路使者</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的责任担当。</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标志性项目（如雅万高铁）的贸易实践，强化学生对人类命运共同体理念的认同；以宁德时代海外电池供应链布局等本土案例为切入点，培育自主可控的产业链安全意识。引导学生理解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贸易不仅是经济合作，更是中国参与全球治理的重要实践，在数字丝路建设中践行新发展理念。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“一带一路” 贸易发展现状与趋势；沿线国家贸易政策、文化差异与经济合作项目（如基建贸易、能源贸易）；“一带一路” 贸易中的风险与应对策略。</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阐述 “一带一路” 贸易生态，分析特定国家或区域的贸易合作案例，撰写 “一带一路” 贸易机遇分析报告。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5</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国际服务贸易</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‌使学生系统掌握国际服务贸易最新规则体系，包括《服务贸易总协定》（GATS）2025年修订条款、数字服务交付模式的合规要求，熟悉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框架下专业服务的资质互认机制。深入理解元宇宙虚拟会展、AI远程诊疗等新兴服务形态的贸易特征，并能运用UN Comtrade数据库分析服务贸易结构。</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培养学生参与国际服务贸易实务的操作能力，涵盖跨境服务合同（FIDIC银皮书）风险条款解读、通过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单一窗口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完成服务贸易外汇申报、运用CIPS系统处理跨境服务结算，以及设计符合《数字服务贸易北京倡议》的知识产权保护方案。要求学生能操作</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服务贸易创新发展试点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平台完成技术出口备案。</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‌塑造学生的全球化服务意识与跨文化协作能力，强调在海外工程承包中遵守国际仲裁规则，培养应对技术性贸易壁垒（如欧盟AI法案）的合规应对能力。树立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中国服务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品牌意识，如应对CBAM碳关税的绿色服务认证，同时培养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数字丝路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建设者的专业担当。</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中国服务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标杆案例（如北斗导航海外服务），强化学生对国家服务贸易创新发展战略的认同；以华为全球技术服务网络等本土实践为切入点，培育自主可控的产业链安全意识。引导学生理解国际服务贸易不仅是经济合作，更是提升国家软实力的重要途径，在数字服务治理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国际服务贸易的分类（金融、教育、旅游等服务贸易）；服务贸易协定（如 RCEP 服务贸易条款）解读；国际服务贸易竞争力分析方法与案例。</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理解国际服务贸易运作机制，对比不同国家服务贸易政策，分析某一服务贸易领域的发展现状与问题。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6</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出口信用保险实务</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‌使学生系统掌握出口信用保险前沿知识，包括CPTPP框架下的保险条款创新、跨境电商平台（如Temu）订单险的承保规则，熟悉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项目政治风险（如主权担保违约）的评估模型。深入理解AI核保系统（如贸易数据区块链存证）的应用逻辑，并能操作中国信保</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资信红绿灯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系统研判买家风险。</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‌培养学生操作出口信用保险全流程的实战能力，涵盖信用证软条款识别（UCP600修订版）、通过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信保通</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平台在线报损、运用Wind终端分析国别限额数据，以及设计符合《全球供应链韧性倡议》的复合型保险方案。要求学生能完成RCEP原产地规则与保险索赔的关联性分析。</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‌塑造学生的风险防控意识与合规经营理念，强调在新能源设备出口中应对欧盟碳关税（CBAM）的保险策略，培养跨国诉讼中的证据链保全能力。树立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中国信保</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品牌意识，如应对SWIFT制裁的替代性结算方案，同时培养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贸易安全官</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的职业操守。</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‌通过分析中国信保护航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新三样</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出口（光伏、锂电池、新能源汽车）的典型案例，强化学生对国家贸易安全战略的认同；引导学生理解出口信用保险不仅是风险工具，更是维护国家经济主权的重要防线，在全球贸易治理中践行总体国家安全观。</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出口信用保险的类型（短期、中长期）、投保流程、理赔实务；出口信用保险方案设计要点；典型出口信用保险案例分析。</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独立完成出口信用保险投保模拟操作，设计企业出口信用保险方案，处理理赔相关模拟场景。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7</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贸易合规</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b w:val="0"/>
                <w:bCs w:val="0"/>
                <w:color w:val="auto"/>
                <w:sz w:val="24"/>
                <w:szCs w:val="24"/>
                <w:highlight w:val="none"/>
              </w:rPr>
              <w:t>掌握国际贸易合规核心知识，包括RCEP原产地规则、跨境数据流动（如GDPR合规要求）、ESG贸易审查标准，熟悉WTO争端解决机制及“一带一路”特殊监管政策。</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b w:val="0"/>
                <w:bCs w:val="0"/>
                <w:color w:val="auto"/>
                <w:sz w:val="24"/>
                <w:szCs w:val="24"/>
                <w:highlight w:val="none"/>
              </w:rPr>
              <w:t>具备贸易合规风险评估、跨境合同条款审核、AI辅助合规审查等实操能力，能处理出口管制（如美国EAR清单）与反倾销调查中的法律问题。</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b w:val="0"/>
                <w:bCs w:val="0"/>
                <w:color w:val="auto"/>
                <w:sz w:val="24"/>
                <w:szCs w:val="24"/>
                <w:highlight w:val="none"/>
              </w:rPr>
              <w:t>培养跨文化商务谈判能力、数据安全意识与合规底线思维，树立中国企业在全球贸易中的规则制定者意识。</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b w:val="0"/>
                <w:bCs w:val="0"/>
                <w:color w:val="auto"/>
                <w:sz w:val="24"/>
                <w:szCs w:val="24"/>
                <w:highlight w:val="none"/>
              </w:rPr>
              <w:t>通过分析华为全球合规管理体系等案例，强化学生对国家贸易安全战略的认同；以“中国标准出海”实践为切入点，培育产业链合规协同意识，在贸易合规中践行人类命运共同体理念。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国际贸易合规相关法律法规（海关规则、反倾销反补贴政策等）；贸易合规审查流程与方法；贸易合规风险案例分析（如违规报关、贸易制裁应对）。</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解读国际贸易合规规则，完成企业贸易合规审查模拟任务，提出贸易合规风险应对措施。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8</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国际经贸规则与标准</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‌使学生系统掌握国际经贸规则最新体系，包括《数字经济伙伴关系协定》（DEPA）数据流动条款、欧盟《企业可持续发展尽职调查指令》（CSDDD）合规标准，熟悉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沿线国家技术性贸易措施（TBT）通报机制。深入理解AI驱动的标准互认（如区块链产品溯源）技术原理，并能操作WTO/TBT-SPS信息系统进行合规检索。</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‌培养学生运用国际规则解决实际问题的能力，涵盖《区域全面经济伙伴关系协定》（RCEP）原产地规则实操、通过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单一窗口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完成标准符合性声明、运用ISO/TC 328标准体系设计绿色贸易方案。要求学生能完成CPTPP劳工条款与ISO 26000社会责任标准的对标分析。</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‌塑造学生的全球规则意识与跨文化沟通能力，强调在新能源产品出口中应对欧盟碳边境调节机制（CBAM）的标准策略，培养国际标准组织（如ISO/IEC）提案撰写能力。树立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中国标准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输出意识，如参与数字丝绸之路标准体系建设，同时培养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规则谈判代表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的职业素养。</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‌通过分析华为5G标准专利布局等典型案例，强化学生对国家标准化战略的认同；以</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一带一路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基础设施标准互认实践为切入点，培育产业链标准主导权意识。引导学生理解国际规则不仅是技术规范，更是提升全球经济治理话语权的关键路径，在数字贸易标准制定中践行人类命运共同体理念。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WTO 规则体系核心内容；区域贸易协定（如 CPTPP、RCEP）关键条款；国际产品标准（如 ISO 标准）与贸易壁垒。</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分析国际经贸规则对企业贸易的影响，解读区域贸易协定条款，为企业参与国际经贸活动提供规则层面的建议。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9</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外贸参展实务</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‌掌握元宇宙会展、跨境直播等新型参展方式，熟悉RCEP展品通关规则及AI客户画像技术应用。</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‌具备VR展台搭建、数字邀约、绿色布展等实操能力，能处理跨国参展中的合规与纠纷问题。</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‌培养国际商务礼仪、危机处置意识，树立中国品牌输出理念，强化职业素养。</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‌通过广交会等案例强化国家战略认同，培育产业链品牌意识，在会展中践行人类命运共同体理念。</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外贸展会选品策略、展位设计原则；客户洽谈技巧与商务礼仪；参展效果评估指标与方法；国际知名展会案例分析。</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策划完整的外贸参展方案，模拟外贸展会参展全流程，评估参展效果并提出改进措施。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10</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管理学</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‌系统掌握管理学前沿理论，包括数字化转型下的敏捷管理、元宇宙组织架构设计原理，熟悉ESG（环境、社会、治理）评价体系在企业管理中的应用。</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‌培养运用管理工具解决实际问题的能力，涵盖AI驱动的决策分析、通过OKR（目标与关键成果）体系实施战略分解、设计符合《绿色企业管理标准》的可持续发展方案。</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‌塑造跨文化沟通能力与创新思维，强调在全球化团队中应对文化冲突的策略，培养企业社会责任意识与职业伦理素养。</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‌通过分析华为“军团制”管理模式等典型案例，强化学生对国家创新战略的认同；以“一带一路”沿线企业管理实践为切入点，培育产业链协同发展意识，在企业管理中践行社会主义核心价值观。</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管理学经典理论在企业管理中的应用；国际贸易企业组织架构设计、团队管理；企业运营中的计划制定与控制方法；管理案例分析。</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运用管理学理论分析国际贸易企业运营问题，如团队协作、供应链管理优化，提出管理改进方案。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11</w:t>
            </w:r>
          </w:p>
        </w:tc>
        <w:tc>
          <w:tcPr>
            <w:tcW w:w="855" w:type="dxa"/>
            <w:shd w:val="clear" w:color="auto" w:fill="auto"/>
            <w:noWrap w:val="0"/>
            <w:vAlign w:val="center"/>
          </w:tcPr>
          <w:p>
            <w:pPr>
              <w:keepNext w:val="0"/>
              <w:keepLines w:val="0"/>
              <w:pageBreakBefore w:val="0"/>
              <w:kinsoku/>
              <w:wordWrap/>
              <w:overflowPunct w:val="0"/>
              <w:topLinePunct w:val="0"/>
              <w:autoSpaceDE/>
              <w:autoSpaceDN/>
              <w:bidi w:val="0"/>
              <w:adjustRightInd w:val="0"/>
              <w:snapToGrid/>
              <w:spacing w:line="30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电子商务</w:t>
            </w:r>
          </w:p>
        </w:tc>
        <w:tc>
          <w:tcPr>
            <w:tcW w:w="5379" w:type="dxa"/>
            <w:shd w:val="clear" w:color="auto" w:fill="auto"/>
            <w:noWrap w:val="0"/>
            <w:vAlign w:val="top"/>
          </w:tcPr>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‌掌握电子商务前沿知识，包括元宇宙电商（如虚拟购物场景搭建）、跨境电商直播（如TikTok Shop运营规则）、区块链溯源技术应用，熟悉RCEP框架下跨境电商标品合规规范。</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‌具备电商平台运营、数字营销、跨境物流方案设计等实操能力，能运用AI工具（如ChatGPT客服系统）优化用户体验，处理跨国电商中的纠纷与合规问题。</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‌培养数据安全意识、跨文化沟通能力与创新思维，树立“中国智造”电商品牌理念，强化职业伦理素养。</w:t>
            </w:r>
          </w:p>
          <w:p>
            <w:pPr>
              <w:pStyle w:val="17"/>
              <w:keepNext w:val="0"/>
              <w:keepLines w:val="0"/>
              <w:pageBreakBefore w:val="0"/>
              <w:widowControl w:val="0"/>
              <w:kinsoku/>
              <w:wordWrap/>
              <w:overflowPunct/>
              <w:topLinePunct w:val="0"/>
              <w:autoSpaceDE/>
              <w:autoSpaceDN/>
              <w:bidi w:val="0"/>
              <w:adjustRightInd/>
              <w:snapToGrid/>
              <w:spacing w:before="0" w:after="0"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‌通过分析“丝路电商”合作案例，强化学生对国家数字经济战略的认同；培育产业链协同发展意识，在电商发展中践行社会主义核心价值观。</w:t>
            </w:r>
          </w:p>
        </w:tc>
        <w:tc>
          <w:tcPr>
            <w:tcW w:w="2217"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电子商务平台运营（如国际站店铺搭建、产品推广）；电商营销手段（搜索引擎优化、社交媒体营销）；跨境电商客户管理与服务。</w:t>
            </w:r>
          </w:p>
        </w:tc>
        <w:tc>
          <w:tcPr>
            <w:tcW w:w="2046" w:type="dxa"/>
            <w:shd w:val="clear" w:color="auto" w:fill="auto"/>
            <w:noWrap w:val="0"/>
            <w:vAlign w:val="top"/>
          </w:tcPr>
          <w:p>
            <w:pPr>
              <w:pStyle w:val="17"/>
              <w:keepNext w:val="0"/>
              <w:keepLines w:val="0"/>
              <w:pageBreakBefore w:val="0"/>
              <w:widowControl w:val="0"/>
              <w:kinsoku/>
              <w:wordWrap/>
              <w:topLinePunct w:val="0"/>
              <w:autoSpaceDE/>
              <w:autoSpaceDN/>
              <w:bidi w:val="0"/>
              <w:snapToGrid/>
              <w:spacing w:line="300" w:lineRule="auto"/>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操作国际电商平台基础功能，制定电商营销方案，模拟跨境电商客户服务场景。</w:t>
            </w:r>
          </w:p>
        </w:tc>
      </w:tr>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w:t>
      </w:r>
      <w:r>
        <w:rPr>
          <w:rFonts w:hint="eastAsia" w:ascii="仿宋_GB2312" w:hAnsi="仿宋_GB2312" w:eastAsia="仿宋_GB2312" w:cs="仿宋_GB2312"/>
          <w:color w:val="auto"/>
          <w:sz w:val="32"/>
          <w:szCs w:val="32"/>
          <w:highlight w:val="none"/>
          <w:lang w:val="en-US" w:eastAsia="zh-CN"/>
        </w:rPr>
        <w:t>毕业设计、岗位实习。</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28" w:type="dxa"/>
          <w:bottom w:w="80" w:type="dxa"/>
          <w:right w:w="128" w:type="dxa"/>
        </w:tblCellMar>
      </w:tblPr>
      <w:tblGrid>
        <w:gridCol w:w="856"/>
        <w:gridCol w:w="972"/>
        <w:gridCol w:w="3716"/>
        <w:gridCol w:w="280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680" w:hRule="atLeast"/>
          <w:jc w:val="center"/>
        </w:trPr>
        <w:tc>
          <w:tcPr>
            <w:tcW w:w="856" w:type="dxa"/>
            <w:vAlign w:val="center"/>
          </w:tcPr>
          <w:p>
            <w:pPr>
              <w:overflowPunct w:val="0"/>
              <w:adjustRightInd w:val="0"/>
              <w:snapToGrid w:val="0"/>
              <w:spacing w:line="360" w:lineRule="exact"/>
              <w:jc w:val="center"/>
              <w:rPr>
                <w:rFonts w:hint="eastAsia" w:ascii="仿宋_GB2312" w:hAnsi="仿宋_GB2312" w:eastAsia="仿宋_GB2312" w:cs="仿宋_GB2312"/>
                <w:b w:val="0"/>
                <w:bCs/>
                <w:color w:val="auto"/>
                <w:sz w:val="24"/>
                <w:highlight w:val="none"/>
                <w:lang w:eastAsia="zh-CN"/>
              </w:rPr>
            </w:pPr>
            <w:bookmarkStart w:id="144" w:name="OLE_LINK21"/>
            <w:r>
              <w:rPr>
                <w:rFonts w:hint="eastAsia" w:ascii="仿宋_GB2312" w:hAnsi="仿宋_GB2312" w:eastAsia="仿宋_GB2312" w:cs="仿宋_GB2312"/>
                <w:b w:val="0"/>
                <w:bCs/>
                <w:color w:val="auto"/>
                <w:sz w:val="24"/>
                <w:highlight w:val="none"/>
                <w:lang w:eastAsia="zh-CN"/>
              </w:rPr>
              <w:t>序号</w:t>
            </w:r>
          </w:p>
        </w:tc>
        <w:tc>
          <w:tcPr>
            <w:tcW w:w="972" w:type="dxa"/>
            <w:vAlign w:val="center"/>
          </w:tcPr>
          <w:p>
            <w:pPr>
              <w:snapToGrid w:val="0"/>
              <w:spacing w:line="360" w:lineRule="exact"/>
              <w:jc w:val="center"/>
              <w:rPr>
                <w:rFonts w:hint="eastAsia" w:ascii="仿宋_GB2312" w:hAnsi="仿宋_GB2312" w:eastAsia="仿宋_GB2312" w:cs="仿宋_GB2312"/>
                <w:b w:val="0"/>
                <w:bCs/>
                <w:color w:val="auto"/>
                <w:sz w:val="24"/>
                <w:highlight w:val="none"/>
                <w:lang w:eastAsia="zh-CN"/>
              </w:rPr>
            </w:pPr>
            <w:r>
              <w:rPr>
                <w:rFonts w:hint="eastAsia" w:ascii="仿宋_GB2312" w:hAnsi="仿宋_GB2312" w:eastAsia="仿宋_GB2312" w:cs="仿宋_GB2312"/>
                <w:b w:val="0"/>
                <w:bCs/>
                <w:color w:val="auto"/>
                <w:sz w:val="24"/>
                <w:szCs w:val="24"/>
                <w:highlight w:val="none"/>
                <w:lang w:eastAsia="zh-CN"/>
              </w:rPr>
              <w:t>课程名称</w:t>
            </w:r>
          </w:p>
        </w:tc>
        <w:tc>
          <w:tcPr>
            <w:tcW w:w="3716" w:type="dxa"/>
            <w:vAlign w:val="center"/>
          </w:tcPr>
          <w:p>
            <w:pPr>
              <w:keepNext w:val="0"/>
              <w:keepLines w:val="0"/>
              <w:pageBreakBefore w:val="0"/>
              <w:widowControl w:val="0"/>
              <w:kinsoku/>
              <w:wordWrap/>
              <w:topLinePunct w:val="0"/>
              <w:autoSpaceDE/>
              <w:autoSpaceDN/>
              <w:bidi w:val="0"/>
              <w:snapToGrid w:val="0"/>
              <w:spacing w:after="0" w:line="360" w:lineRule="exact"/>
              <w:jc w:val="center"/>
              <w:textAlignment w:val="auto"/>
              <w:rPr>
                <w:rFonts w:hint="eastAsia" w:ascii="仿宋_GB2312" w:hAnsi="仿宋_GB2312" w:eastAsia="仿宋_GB2312" w:cs="仿宋_GB2312"/>
                <w:b w:val="0"/>
                <w:bCs/>
                <w:color w:val="auto"/>
                <w:sz w:val="24"/>
                <w:highlight w:val="none"/>
              </w:rPr>
            </w:pPr>
            <w:r>
              <w:rPr>
                <w:rFonts w:hint="eastAsia" w:ascii="仿宋_GB2312" w:hAnsi="仿宋_GB2312" w:eastAsia="仿宋_GB2312" w:cs="仿宋_GB2312"/>
                <w:b w:val="0"/>
                <w:bCs/>
                <w:color w:val="auto"/>
                <w:sz w:val="24"/>
                <w:szCs w:val="24"/>
                <w:highlight w:val="none"/>
                <w:lang w:val="en-US" w:eastAsia="zh-CN"/>
              </w:rPr>
              <w:t>课程目标</w:t>
            </w:r>
          </w:p>
        </w:tc>
        <w:tc>
          <w:tcPr>
            <w:tcW w:w="2800" w:type="dxa"/>
            <w:vAlign w:val="center"/>
          </w:tcPr>
          <w:p>
            <w:pPr>
              <w:snapToGrid w:val="0"/>
              <w:spacing w:line="360" w:lineRule="exact"/>
              <w:jc w:val="center"/>
              <w:rPr>
                <w:rFonts w:hint="eastAsia" w:ascii="仿宋_GB2312" w:hAnsi="仿宋_GB2312" w:eastAsia="仿宋_GB2312" w:cs="仿宋_GB2312"/>
                <w:b w:val="0"/>
                <w:bCs/>
                <w:color w:val="auto"/>
                <w:sz w:val="24"/>
                <w:highlight w:val="none"/>
              </w:rPr>
            </w:pPr>
            <w:r>
              <w:rPr>
                <w:rFonts w:hint="eastAsia" w:ascii="仿宋_GB2312" w:hAnsi="仿宋_GB2312" w:eastAsia="仿宋_GB2312" w:cs="仿宋_GB2312"/>
                <w:b w:val="0"/>
                <w:bCs/>
                <w:color w:val="auto"/>
                <w:sz w:val="24"/>
                <w:szCs w:val="24"/>
                <w:highlight w:val="none"/>
                <w:lang w:val="en-US" w:eastAsia="zh-CN"/>
              </w:rPr>
              <w:t>主要教学内容</w:t>
            </w:r>
          </w:p>
        </w:tc>
        <w:tc>
          <w:tcPr>
            <w:tcW w:w="2562" w:type="dxa"/>
            <w:vAlign w:val="center"/>
          </w:tcPr>
          <w:p>
            <w:pPr>
              <w:snapToGrid w:val="0"/>
              <w:spacing w:line="360" w:lineRule="exact"/>
              <w:jc w:val="center"/>
              <w:rPr>
                <w:rFonts w:hint="eastAsia" w:ascii="仿宋_GB2312" w:hAnsi="仿宋_GB2312" w:eastAsia="仿宋_GB2312" w:cs="仿宋_GB2312"/>
                <w:b w:val="0"/>
                <w:bCs/>
                <w:color w:val="auto"/>
                <w:sz w:val="24"/>
                <w:highlight w:val="none"/>
                <w:lang w:eastAsia="zh-CN"/>
              </w:rPr>
            </w:pPr>
            <w:r>
              <w:rPr>
                <w:rFonts w:hint="eastAsia" w:ascii="仿宋_GB2312" w:hAnsi="仿宋_GB2312" w:eastAsia="仿宋_GB2312" w:cs="仿宋_GB2312"/>
                <w:b w:val="0"/>
                <w:bCs/>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856"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1</w:t>
            </w:r>
          </w:p>
        </w:tc>
        <w:tc>
          <w:tcPr>
            <w:tcW w:w="972" w:type="dxa"/>
            <w:vAlign w:val="center"/>
          </w:tcPr>
          <w:p>
            <w:pPr>
              <w:overflowPunct w:val="0"/>
              <w:adjustRightInd w:val="0"/>
              <w:snapToGrid w:val="0"/>
              <w:spacing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毕业设计</w:t>
            </w:r>
          </w:p>
        </w:tc>
        <w:tc>
          <w:tcPr>
            <w:tcW w:w="3716"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知识目标：</w:t>
            </w:r>
            <w:r>
              <w:rPr>
                <w:rFonts w:hint="eastAsia" w:ascii="仿宋_GB2312" w:hAnsi="仿宋_GB2312" w:eastAsia="仿宋_GB2312" w:cs="仿宋_GB2312"/>
                <w:color w:val="auto"/>
                <w:kern w:val="2"/>
                <w:sz w:val="24"/>
                <w:szCs w:val="24"/>
                <w:highlight w:val="none"/>
                <w:vertAlign w:val="baseline"/>
                <w:lang w:val="en-US" w:eastAsia="zh-CN" w:bidi="ar-SA"/>
              </w:rPr>
              <w:t>通过这一课程，学生不仅能够深入研究和探讨国际经贸领域的热点问题，还能够通过规范写作和利用合适的研究方法，提高自己的学术研究能力。</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能力目标：</w:t>
            </w:r>
            <w:r>
              <w:rPr>
                <w:rFonts w:hint="eastAsia" w:ascii="仿宋_GB2312" w:hAnsi="仿宋_GB2312" w:eastAsia="仿宋_GB2312" w:cs="仿宋_GB2312"/>
                <w:color w:val="auto"/>
                <w:kern w:val="2"/>
                <w:sz w:val="24"/>
                <w:szCs w:val="24"/>
                <w:highlight w:val="none"/>
                <w:vertAlign w:val="baseline"/>
                <w:lang w:val="en-US" w:eastAsia="zh-CN" w:bidi="ar-SA"/>
              </w:rPr>
              <w:t>此外，该课程还强调学生将理论知识应用于实际问题的能力。</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素质目标：</w:t>
            </w:r>
            <w:r>
              <w:rPr>
                <w:rFonts w:hint="eastAsia" w:ascii="仿宋_GB2312" w:hAnsi="仿宋_GB2312" w:eastAsia="仿宋_GB2312" w:cs="仿宋_GB2312"/>
                <w:color w:val="auto"/>
                <w:kern w:val="2"/>
                <w:sz w:val="24"/>
                <w:szCs w:val="24"/>
                <w:highlight w:val="none"/>
                <w:vertAlign w:val="baseline"/>
                <w:lang w:val="en-US" w:eastAsia="zh-CN" w:bidi="ar-SA"/>
              </w:rPr>
              <w:t>通过选题、文献综述、任务书的撰写等步骤，培养学生的规范写作能力和科学研究的基本方法。</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‌课程思政育人目标：</w:t>
            </w:r>
            <w:r>
              <w:rPr>
                <w:rFonts w:hint="eastAsia" w:ascii="仿宋_GB2312" w:hAnsi="仿宋_GB2312" w:eastAsia="仿宋_GB2312" w:cs="仿宋_GB2312"/>
                <w:color w:val="auto"/>
                <w:kern w:val="2"/>
                <w:sz w:val="24"/>
                <w:szCs w:val="24"/>
                <w:highlight w:val="none"/>
                <w:vertAlign w:val="baseline"/>
                <w:lang w:val="en-US" w:eastAsia="zh-CN" w:bidi="ar-SA"/>
              </w:rPr>
              <w:t>‌培育创新报国情怀与工匠精神，在毕业论文中践行社会主义核心价值观，服务国家经济社会发展需求。</w:t>
            </w:r>
          </w:p>
        </w:tc>
        <w:tc>
          <w:tcPr>
            <w:tcW w:w="2800"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学生需要按照一定的结构组织内容，包括引言部分（引入背景、目的和研究问题、研究意义）、现状分析部分（提供具体案例或数据，分析现状和问题）、问题分析部分（分析原因和对我国的影响）以及对策提出部分（提出解决方案和对策），以确保论文的逻辑性和条理性。</w:t>
            </w:r>
          </w:p>
        </w:tc>
        <w:tc>
          <w:tcPr>
            <w:tcW w:w="2562"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毕业论文的选题必须涉及国际经济和贸易活动方面的理论和现实问题，原则上不应超出本专业的选题范围。通过毕业论文的撰写，培养学生的科学研究能力、增加对国际经济活动的感性认识、了解本领域的研究动态和理论发展前沿、加深对国际经济与贸易专业课基本概念和基本理论的理解、锻炼学生的综合分析能力和写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856"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972" w:type="dxa"/>
            <w:vAlign w:val="center"/>
          </w:tcPr>
          <w:p>
            <w:pPr>
              <w:overflowPunct w:val="0"/>
              <w:adjustRightInd w:val="0"/>
              <w:snapToGrid w:val="0"/>
              <w:spacing w:line="30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岗位实习</w:t>
            </w:r>
          </w:p>
        </w:tc>
        <w:tc>
          <w:tcPr>
            <w:tcW w:w="3716"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知识目标：</w:t>
            </w:r>
            <w:r>
              <w:rPr>
                <w:rFonts w:hint="eastAsia" w:ascii="仿宋_GB2312" w:hAnsi="仿宋_GB2312" w:eastAsia="仿宋_GB2312" w:cs="仿宋_GB2312"/>
                <w:color w:val="auto"/>
                <w:kern w:val="2"/>
                <w:sz w:val="24"/>
                <w:szCs w:val="24"/>
                <w:highlight w:val="none"/>
                <w:vertAlign w:val="baseline"/>
                <w:lang w:val="en-US" w:eastAsia="zh-CN" w:bidi="ar-SA"/>
              </w:rPr>
              <w:t>掌握外贸单证处理、跟单流程、业务拓展、跨境电商运营及推广的核心知识，明晰各岗位业务标准与行业规范，理解社会对本专业人才的知识需求。</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能力目标：</w:t>
            </w:r>
            <w:r>
              <w:rPr>
                <w:rFonts w:hint="eastAsia" w:ascii="仿宋_GB2312" w:hAnsi="仿宋_GB2312" w:eastAsia="仿宋_GB2312" w:cs="仿宋_GB2312"/>
                <w:color w:val="auto"/>
                <w:kern w:val="2"/>
                <w:sz w:val="24"/>
                <w:szCs w:val="24"/>
                <w:highlight w:val="none"/>
                <w:vertAlign w:val="baseline"/>
                <w:lang w:val="en-US" w:eastAsia="zh-CN" w:bidi="ar-SA"/>
              </w:rPr>
              <w:t>提升外贸单证制作、订单跟进、客户开发、跨境电商平台操作及运营推广的实际操作能力，增强专业应用与岗位适应能力，强化动手与创新能力。</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素质目标</w:t>
            </w:r>
            <w:r>
              <w:rPr>
                <w:rFonts w:hint="eastAsia" w:ascii="仿宋_GB2312" w:hAnsi="仿宋_GB2312" w:eastAsia="仿宋_GB2312" w:cs="仿宋_GB2312"/>
                <w:color w:val="auto"/>
                <w:kern w:val="2"/>
                <w:sz w:val="24"/>
                <w:szCs w:val="24"/>
                <w:highlight w:val="none"/>
                <w:vertAlign w:val="baseline"/>
                <w:lang w:val="en-US" w:eastAsia="zh-CN" w:bidi="ar-SA"/>
              </w:rPr>
              <w:t>：培养吃苦耐劳、团结合作的精神品质，树立正确处事原则，明确自我提升方向，具备适应外贸行业发展的职业素养。</w:t>
            </w:r>
          </w:p>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kern w:val="2"/>
                <w:sz w:val="24"/>
                <w:szCs w:val="24"/>
                <w:highlight w:val="none"/>
                <w:vertAlign w:val="baseline"/>
                <w:lang w:val="en-US" w:eastAsia="zh-CN" w:bidi="ar-SA"/>
              </w:rPr>
              <w:t>课程思政育人目标</w:t>
            </w:r>
            <w:r>
              <w:rPr>
                <w:rFonts w:hint="eastAsia" w:ascii="仿宋_GB2312" w:hAnsi="仿宋_GB2312" w:eastAsia="仿宋_GB2312" w:cs="仿宋_GB2312"/>
                <w:color w:val="auto"/>
                <w:kern w:val="2"/>
                <w:sz w:val="24"/>
                <w:szCs w:val="24"/>
                <w:highlight w:val="none"/>
                <w:vertAlign w:val="baseline"/>
                <w:lang w:val="en-US" w:eastAsia="zh-CN" w:bidi="ar-SA"/>
              </w:rPr>
              <w:t>：引导学生树立诚信经营、合规从业的职业观，增强行业责任感与社会使命感，助力学生以专业能力服务外贸事业，实现个人价值与行业发展同频</w:t>
            </w:r>
            <w:r>
              <w:rPr>
                <w:rFonts w:hint="eastAsia" w:ascii="仿宋_GB2312" w:hAnsi="仿宋_GB2312" w:eastAsia="仿宋_GB2312" w:cs="仿宋_GB2312"/>
                <w:color w:val="auto"/>
                <w:sz w:val="24"/>
                <w:highlight w:val="none"/>
              </w:rPr>
              <w:t>。</w:t>
            </w:r>
          </w:p>
        </w:tc>
        <w:tc>
          <w:tcPr>
            <w:tcW w:w="2800"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外贸单证员岗位实习、外贸跟单员岗位实习、外贸业务员岗位实习、跨境电子商务岗位实习、运营推广员岗位实习。</w:t>
            </w:r>
          </w:p>
        </w:tc>
        <w:tc>
          <w:tcPr>
            <w:tcW w:w="2562" w:type="dxa"/>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lef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实习课程不仅注重学生专业技能的培养，还强调创新能力的培养。通过实习，学生可以明晰社会对本专业人才的需要，明确提升知识与技能的努力方向，强化认识能力、动手能力、创新能力，为今后的工作打下坚实的基础。‌</w:t>
            </w:r>
          </w:p>
        </w:tc>
      </w:tr>
      <w:bookmarkEnd w:id="144"/>
    </w:tbl>
    <w:p>
      <w:pPr>
        <w:pStyle w:val="3"/>
        <w:pageBreakBefore w:val="0"/>
        <w:widowControl w:val="0"/>
        <w:kinsoku/>
        <w:wordWrap/>
        <w:topLinePunct w:val="0"/>
        <w:autoSpaceDE/>
        <w:autoSpaceDN/>
        <w:bidi w:val="0"/>
        <w:snapToGrid/>
        <w:spacing w:beforeLines="0" w:after="0" w:afterLines="0" w:line="520" w:lineRule="exact"/>
        <w:textAlignment w:val="auto"/>
        <w:rPr>
          <w:rFonts w:hint="eastAsia" w:ascii="楷体" w:hAnsi="楷体" w:eastAsia="楷体" w:cs="楷体"/>
          <w:color w:val="auto"/>
          <w:szCs w:val="32"/>
          <w:highlight w:val="none"/>
        </w:rPr>
      </w:pPr>
      <w:bookmarkStart w:id="145" w:name="_Toc22220"/>
      <w:bookmarkStart w:id="146" w:name="_Toc29172"/>
      <w:r>
        <w:rPr>
          <w:rFonts w:hint="eastAsia"/>
        </w:rPr>
        <w:t>（三）</w:t>
      </w:r>
      <w:bookmarkEnd w:id="145"/>
      <w:r>
        <w:rPr>
          <w:rFonts w:hint="eastAsia"/>
        </w:rPr>
        <w:t>第二课堂</w:t>
      </w:r>
      <w:r>
        <w:rPr>
          <w:rFonts w:hint="eastAsia"/>
          <w:lang w:val="en-US" w:eastAsia="zh-CN"/>
        </w:rPr>
        <w:t>素质教育课</w:t>
      </w:r>
      <w:bookmarkEnd w:id="14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highlight w:val="none"/>
        </w:rPr>
      </w:pPr>
      <w:bookmarkStart w:id="147" w:name="_Toc2319"/>
      <w:bookmarkStart w:id="148" w:name="_Toc1123"/>
      <w:bookmarkStart w:id="149" w:name="_Toc16334"/>
      <w:bookmarkStart w:id="150" w:name="_Toc16277"/>
      <w:bookmarkStart w:id="151" w:name="_Toc3378"/>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bookmarkEnd w:id="147"/>
      <w:bookmarkEnd w:id="148"/>
      <w:bookmarkEnd w:id="149"/>
      <w:bookmarkEnd w:id="150"/>
      <w:bookmarkEnd w:id="151"/>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0"/>
        <w:rPr>
          <w:rFonts w:hint="eastAsia" w:ascii="仿宋_GB2312" w:hAnsi="仿宋_GB2312" w:eastAsia="仿宋_GB2312" w:cs="仿宋_GB2312"/>
          <w:color w:val="auto"/>
          <w:sz w:val="32"/>
          <w:szCs w:val="32"/>
          <w:highlight w:val="none"/>
          <w:lang w:val="en-US" w:eastAsia="zh-CN"/>
        </w:rPr>
      </w:pPr>
      <w:bookmarkStart w:id="152" w:name="_Toc9083"/>
      <w:bookmarkStart w:id="153" w:name="_Toc22350"/>
      <w:bookmarkStart w:id="154" w:name="_Toc32038"/>
      <w:bookmarkStart w:id="155" w:name="_Toc1869"/>
      <w:bookmarkStart w:id="156" w:name="_Toc13411"/>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bookmarkEnd w:id="152"/>
      <w:bookmarkEnd w:id="153"/>
      <w:bookmarkEnd w:id="154"/>
      <w:bookmarkEnd w:id="155"/>
      <w:bookmarkEnd w:id="156"/>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eastAsia="zh-CN"/>
              </w:rPr>
            </w:pPr>
            <w:bookmarkStart w:id="157" w:name="_Toc9746"/>
            <w:bookmarkStart w:id="158" w:name="_Toc27383"/>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bookmarkStart w:id="159" w:name="OLE_LINK4"/>
            <w:r>
              <w:rPr>
                <w:rFonts w:hint="eastAsia" w:ascii="仿宋_GB2312" w:hAnsi="仿宋_GB2312" w:eastAsia="仿宋_GB2312" w:cs="仿宋_GB2312"/>
                <w:color w:val="auto"/>
                <w:sz w:val="24"/>
                <w:szCs w:val="24"/>
                <w:lang w:val="en-US" w:eastAsia="zh-CN"/>
              </w:rPr>
              <w:t>经济管理学院党支部、经济管理学院分团委</w:t>
            </w:r>
            <w:bookmarkEnd w:id="159"/>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 xml:space="preserve">网络管理系 统（到梦 空间）实 时记录，学生在大一、 </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 xml:space="preserve">暑期“三下乡”社会实践活动 </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pStyle w:val="2"/>
        <w:pageBreakBefore w:val="0"/>
        <w:widowControl w:val="0"/>
        <w:kinsoku/>
        <w:wordWrap/>
        <w:overflowPunct/>
        <w:topLinePunct w:val="0"/>
        <w:autoSpaceDE/>
        <w:autoSpaceDN/>
        <w:bidi w:val="0"/>
        <w:adjustRightInd/>
        <w:snapToGrid/>
        <w:spacing w:beforeLines="0" w:after="0" w:afterLines="0" w:line="520" w:lineRule="exact"/>
        <w:textAlignment w:val="auto"/>
        <w:rPr>
          <w:rFonts w:hint="eastAsia"/>
        </w:rPr>
      </w:pPr>
      <w:bookmarkStart w:id="160" w:name="_Toc28061"/>
      <w:bookmarkStart w:id="161" w:name="_Toc17177"/>
      <w:r>
        <w:rPr>
          <w:rFonts w:hint="eastAsia"/>
          <w:lang w:val="en-US" w:eastAsia="zh-CN"/>
        </w:rPr>
        <w:t>八</w:t>
      </w:r>
      <w:r>
        <w:t>、教学进程总体安排</w:t>
      </w:r>
      <w:bookmarkEnd w:id="157"/>
      <w:bookmarkEnd w:id="158"/>
      <w:bookmarkEnd w:id="160"/>
      <w:bookmarkEnd w:id="161"/>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楷体" w:hAnsi="楷体" w:eastAsia="楷体" w:cs="楷体"/>
          <w:color w:val="auto"/>
          <w:sz w:val="32"/>
          <w:szCs w:val="32"/>
          <w:highlight w:val="none"/>
        </w:rPr>
      </w:pPr>
      <w:bookmarkStart w:id="162" w:name="_Toc8138"/>
      <w:bookmarkStart w:id="163" w:name="_Toc22825"/>
      <w:r>
        <w:rPr>
          <w:rStyle w:val="19"/>
          <w:rFonts w:hint="eastAsia"/>
        </w:rPr>
        <w:t>（一）</w:t>
      </w:r>
      <w:bookmarkEnd w:id="162"/>
      <w:bookmarkEnd w:id="163"/>
      <w:r>
        <w:rPr>
          <w:rFonts w:hint="eastAsia" w:ascii="楷体" w:hAnsi="楷体" w:eastAsia="楷体" w:cs="楷体"/>
          <w:color w:val="auto"/>
          <w:sz w:val="32"/>
          <w:szCs w:val="32"/>
          <w:highlight w:val="none"/>
        </w:rPr>
        <w:t xml:space="preserve">教学环节分配表 </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rPr>
            </w:pPr>
          </w:p>
          <w:p>
            <w:pPr>
              <w:spacing w:after="0" w:line="24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spacing w:after="0" w:line="240" w:lineRule="auto"/>
              <w:rPr>
                <w:rFonts w:hint="eastAsia" w:ascii="仿宋_GB2312" w:hAnsi="仿宋_GB2312" w:eastAsia="仿宋_GB2312" w:cs="仿宋_GB2312"/>
                <w:color w:val="auto"/>
                <w:sz w:val="24"/>
                <w:szCs w:val="24"/>
                <w:highlight w:val="none"/>
              </w:rPr>
            </w:pP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课堂教学</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考试</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军训</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入学教育</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毕业设计</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岗位实习</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毕业教育</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学期教学总周数</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r>
    </w:tbl>
    <w:p>
      <w:pPr>
        <w:pStyle w:val="3"/>
        <w:pageBreakBefore w:val="0"/>
        <w:widowControl w:val="0"/>
        <w:kinsoku/>
        <w:wordWrap/>
        <w:overflowPunct/>
        <w:topLinePunct w:val="0"/>
        <w:autoSpaceDE/>
        <w:autoSpaceDN/>
        <w:bidi w:val="0"/>
        <w:adjustRightInd/>
        <w:snapToGrid/>
        <w:spacing w:beforeLines="0" w:after="0" w:afterLines="0" w:line="520" w:lineRule="exact"/>
        <w:textAlignment w:val="auto"/>
        <w:rPr>
          <w:rFonts w:hint="eastAsia"/>
        </w:rPr>
      </w:pPr>
      <w:bookmarkStart w:id="164" w:name="_Toc30299"/>
      <w:r>
        <w:rPr>
          <w:rFonts w:hint="eastAsia"/>
          <w:lang w:eastAsia="zh-CN"/>
        </w:rPr>
        <w:t>（</w:t>
      </w:r>
      <w:r>
        <w:rPr>
          <w:rFonts w:hint="eastAsia"/>
          <w:lang w:val="en-US" w:eastAsia="zh-CN"/>
        </w:rPr>
        <w:t>二</w:t>
      </w:r>
      <w:r>
        <w:rPr>
          <w:rFonts w:hint="eastAsia"/>
          <w:lang w:eastAsia="zh-CN"/>
        </w:rPr>
        <w:t>）</w:t>
      </w:r>
      <w:r>
        <w:rPr>
          <w:rFonts w:hint="eastAsia"/>
        </w:rPr>
        <w:t>课程结构与学时、学分分配</w:t>
      </w:r>
      <w:bookmarkEnd w:id="164"/>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color w:val="auto"/>
          <w:spacing w:val="-2"/>
          <w:sz w:val="32"/>
          <w:szCs w:val="32"/>
          <w:highlight w:val="none"/>
          <w:lang w:val="en-US" w:eastAsia="zh-CN"/>
        </w:rPr>
        <w:t>2714</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lang w:val="en-US" w:eastAsia="zh-CN"/>
        </w:rPr>
        <w:t>1274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46.94</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color w:val="auto"/>
          <w:spacing w:val="-2"/>
          <w:sz w:val="32"/>
          <w:szCs w:val="32"/>
          <w:highlight w:val="none"/>
          <w:lang w:val="en-US" w:eastAsia="zh-CN"/>
        </w:rPr>
        <w:t>1440</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53.06</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lang w:val="en-US" w:eastAsia="zh-CN"/>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color w:val="auto"/>
          <w:spacing w:val="-2"/>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35.15</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color w:val="auto"/>
          <w:spacing w:val="-2"/>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10.02</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pacing w:val="-2"/>
          <w:sz w:val="32"/>
          <w:szCs w:val="32"/>
          <w:highlight w:val="none"/>
        </w:rPr>
        <w:t>课程学时、学分分配表</w:t>
      </w:r>
    </w:p>
    <w:tbl>
      <w:tblPr>
        <w:tblStyle w:val="11"/>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628"/>
        <w:gridCol w:w="1280"/>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课程类别</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29.93%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16.43%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4"/>
                <w:szCs w:val="24"/>
                <w:highlight w:val="none"/>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4"/>
                <w:szCs w:val="24"/>
                <w:highlight w:val="none"/>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35.37%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19.38%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专业课</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344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12.68%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4"/>
                <w:szCs w:val="24"/>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专业核心课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312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11.50%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9.73%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4"/>
                <w:szCs w:val="24"/>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专业拓展课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color w:val="auto"/>
                <w:highlight w:val="none"/>
              </w:rPr>
            </w:pPr>
            <w:r>
              <w:rPr>
                <w:rFonts w:hint="eastAsia" w:ascii="仿宋_GB2312" w:hAnsi="仿宋_GB2312" w:eastAsia="仿宋_GB2312" w:cs="仿宋_GB2312"/>
                <w:i w:val="0"/>
                <w:iCs w:val="0"/>
                <w:color w:val="auto"/>
                <w:sz w:val="20"/>
                <w:szCs w:val="20"/>
                <w:highlight w:val="none"/>
                <w:u w:val="none"/>
              </w:rPr>
              <w:t>实践</w:t>
            </w:r>
            <w:r>
              <w:rPr>
                <w:rFonts w:hint="eastAsia" w:ascii="仿宋_GB2312" w:hAnsi="仿宋_GB2312" w:eastAsia="仿宋_GB2312" w:cs="仿宋_GB2312"/>
                <w:i w:val="0"/>
                <w:iCs w:val="0"/>
                <w:color w:val="auto"/>
                <w:sz w:val="20"/>
                <w:szCs w:val="20"/>
                <w:highlight w:val="none"/>
                <w:u w:val="none"/>
                <w:lang w:val="en-US" w:eastAsia="zh-CN"/>
              </w:rPr>
              <w:t>性</w:t>
            </w:r>
            <w:r>
              <w:rPr>
                <w:rFonts w:hint="eastAsia" w:ascii="仿宋_GB2312" w:hAnsi="仿宋_GB2312" w:eastAsia="仿宋_GB2312" w:cs="仿宋_GB2312"/>
                <w:i w:val="0"/>
                <w:iCs w:val="0"/>
                <w:color w:val="auto"/>
                <w:sz w:val="20"/>
                <w:szCs w:val="20"/>
                <w:highlight w:val="none"/>
                <w:u w:val="none"/>
              </w:rPr>
              <w:t>教学环节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15.65%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2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color w:val="auto"/>
                <w:highlight w:val="none"/>
              </w:rPr>
            </w:pPr>
            <w:r>
              <w:rPr>
                <w:rFonts w:hint="eastAsia" w:ascii="仿宋_GB2312" w:hAnsi="仿宋_GB2312" w:eastAsia="仿宋_GB2312" w:cs="仿宋_GB2312"/>
                <w:i w:val="0"/>
                <w:color w:val="auto"/>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64.63%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1760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748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27.56%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1012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37.29%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color w:val="auto"/>
                <w:highlight w:val="none"/>
              </w:rPr>
            </w:pPr>
            <w:r>
              <w:rPr>
                <w:rFonts w:hint="eastAsia" w:ascii="仿宋_GB2312" w:hAnsi="仿宋_GB2312" w:eastAsia="仿宋_GB2312" w:cs="仿宋_GB2312"/>
                <w:i w:val="0"/>
                <w:color w:val="auto"/>
                <w:kern w:val="0"/>
                <w:sz w:val="20"/>
                <w:szCs w:val="20"/>
                <w:highlight w:val="none"/>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2714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1274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46.94%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1440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53.06%</w:t>
            </w:r>
          </w:p>
        </w:tc>
      </w:tr>
    </w:tbl>
    <w:p>
      <w:pPr>
        <w:pStyle w:val="3"/>
        <w:keepNext/>
        <w:keepLines/>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rPr>
      </w:pPr>
      <w:bookmarkStart w:id="165" w:name="_Toc28204"/>
      <w:bookmarkStart w:id="166" w:name="_Toc1590"/>
      <w:r>
        <w:rPr>
          <w:rFonts w:hint="eastAsia"/>
          <w:lang w:eastAsia="zh-CN"/>
        </w:rPr>
        <w:t>（</w:t>
      </w:r>
      <w:r>
        <w:rPr>
          <w:rFonts w:hint="eastAsia"/>
          <w:lang w:val="en-US" w:eastAsia="zh-CN"/>
        </w:rPr>
        <w:t>三</w:t>
      </w:r>
      <w:r>
        <w:rPr>
          <w:rFonts w:hint="eastAsia"/>
          <w:lang w:eastAsia="zh-CN"/>
        </w:rPr>
        <w:t>）</w:t>
      </w:r>
      <w:bookmarkEnd w:id="165"/>
      <w:r>
        <w:rPr>
          <w:rFonts w:hint="eastAsia"/>
        </w:rPr>
        <w:t>教学计划进程</w:t>
      </w:r>
      <w:bookmarkEnd w:id="166"/>
    </w:p>
    <w:p>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仿宋_GB2312" w:hAnsi="仿宋_GB2312" w:eastAsia="仿宋_GB2312" w:cs="仿宋_GB2312"/>
          <w:color w:val="auto"/>
          <w:sz w:val="32"/>
          <w:szCs w:val="32"/>
          <w:highlight w:val="none"/>
          <w:shd w:val="clear" w:color="auto" w:fill="FFFFFF"/>
          <w:lang w:bidi="ar"/>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11"/>
        <w:tblW w:w="5707" w:type="pct"/>
        <w:tblInd w:w="-6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1"/>
        <w:gridCol w:w="371"/>
        <w:gridCol w:w="406"/>
        <w:gridCol w:w="495"/>
        <w:gridCol w:w="1240"/>
        <w:gridCol w:w="1545"/>
        <w:gridCol w:w="685"/>
        <w:gridCol w:w="685"/>
        <w:gridCol w:w="685"/>
        <w:gridCol w:w="687"/>
        <w:gridCol w:w="371"/>
        <w:gridCol w:w="371"/>
        <w:gridCol w:w="371"/>
        <w:gridCol w:w="372"/>
        <w:gridCol w:w="372"/>
        <w:gridCol w:w="383"/>
        <w:gridCol w:w="11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4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课程类型</w:t>
            </w:r>
          </w:p>
        </w:tc>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序号</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课程代码</w:t>
            </w:r>
          </w:p>
        </w:tc>
        <w:tc>
          <w:tcPr>
            <w:tcW w:w="7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课程名称</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学分</w:t>
            </w:r>
          </w:p>
        </w:tc>
        <w:tc>
          <w:tcPr>
            <w:tcW w:w="97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教学学时数</w:t>
            </w:r>
          </w:p>
        </w:tc>
        <w:tc>
          <w:tcPr>
            <w:tcW w:w="1056"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开课学期和周学时</w:t>
            </w:r>
          </w:p>
        </w:tc>
        <w:tc>
          <w:tcPr>
            <w:tcW w:w="5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4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highlight w:val="none"/>
                <w:u w:val="none"/>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97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highlight w:val="none"/>
                <w:u w:val="none"/>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合计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理论学时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实践学时</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一</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二</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三</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四</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五</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六</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34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公共基础课</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必修</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1B410101101</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思想道德与法治</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1A410101102</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形势与政策</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1到4学期开课，每学期8学时。</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1A410101103</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国家安全教育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1A410101104</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军事理论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1C410101105</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军训</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112</w:t>
            </w:r>
          </w:p>
        </w:tc>
        <w:tc>
          <w:tcPr>
            <w:tcW w:w="105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第1学期，实际训练时间不少于14天</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1B410101106</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计算机基础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1B410101107</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高等数学</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1B410101108</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大学英语</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104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1C410101109</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大学体育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144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144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2</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1B410101110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大学生职业发展与就业指导</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1B410101111</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大学生心理健康教育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1C410101112</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劳动教育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1B410101113</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毛泽东思想和中国特色社会主义理论体系概论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1B410101114</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创新创业教育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1B410101115</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习近平新时代中国特色社会主义思想概论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选修</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1B410101201</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中国民俗剪纸技法</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056"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公共选修课最低学分要求为8学分，其中要求2个学分为思政选修课学分。</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1B410101202</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影视与鉴赏</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1A410101203</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中华优秀传统文化</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1A410101204</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中国共产党简史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1A410101205</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改革开放简史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1A410101206</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中华人民共和国简史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1A410101207</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社会主义发展简史</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1A410101208</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中华民族共同体概论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9</w:t>
            </w:r>
          </w:p>
        </w:tc>
        <w:tc>
          <w:tcPr>
            <w:tcW w:w="58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1A410101210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语文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10</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val="0"/>
                <w:bCs w:val="0"/>
                <w:i w:val="0"/>
                <w:iCs w:val="0"/>
                <w:color w:val="auto"/>
                <w:spacing w:val="-11"/>
                <w:kern w:val="0"/>
                <w:sz w:val="20"/>
                <w:szCs w:val="20"/>
                <w:highlight w:val="none"/>
                <w:u w:val="none"/>
                <w:lang w:val="en-US" w:eastAsia="zh-CN" w:bidi="ar"/>
              </w:rPr>
            </w:pPr>
            <w:r>
              <w:rPr>
                <w:rFonts w:hint="eastAsia" w:ascii="仿宋_GB2312" w:hAnsi="仿宋_GB2312" w:eastAsia="仿宋_GB2312" w:cs="仿宋_GB2312"/>
                <w:b w:val="0"/>
                <w:bCs w:val="0"/>
                <w:i w:val="0"/>
                <w:iCs w:val="0"/>
                <w:color w:val="auto"/>
                <w:spacing w:val="-11"/>
                <w:kern w:val="0"/>
                <w:sz w:val="20"/>
                <w:szCs w:val="20"/>
                <w:highlight w:val="none"/>
                <w:u w:val="none"/>
                <w:lang w:val="en-US" w:eastAsia="zh-CN" w:bidi="ar"/>
              </w:rPr>
              <w:t>1A410101215</w:t>
            </w:r>
          </w:p>
        </w:tc>
        <w:tc>
          <w:tcPr>
            <w:tcW w:w="728"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社会责任</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11</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val="0"/>
                <w:bCs w:val="0"/>
                <w:i w:val="0"/>
                <w:iCs w:val="0"/>
                <w:color w:val="auto"/>
                <w:spacing w:val="-11"/>
                <w:kern w:val="0"/>
                <w:sz w:val="20"/>
                <w:szCs w:val="20"/>
                <w:highlight w:val="none"/>
                <w:u w:val="none"/>
                <w:lang w:val="en-US" w:eastAsia="zh-CN" w:bidi="ar"/>
              </w:rPr>
            </w:pPr>
            <w:r>
              <w:rPr>
                <w:rFonts w:hint="eastAsia" w:ascii="仿宋_GB2312" w:hAnsi="仿宋_GB2312" w:eastAsia="仿宋_GB2312" w:cs="仿宋_GB2312"/>
                <w:b w:val="0"/>
                <w:bCs w:val="0"/>
                <w:i w:val="0"/>
                <w:iCs w:val="0"/>
                <w:color w:val="auto"/>
                <w:spacing w:val="-11"/>
                <w:kern w:val="0"/>
                <w:sz w:val="20"/>
                <w:szCs w:val="20"/>
                <w:highlight w:val="none"/>
                <w:u w:val="none"/>
                <w:lang w:val="en-US" w:eastAsia="zh-CN" w:bidi="ar"/>
              </w:rPr>
              <w:t>1A410101216</w:t>
            </w:r>
          </w:p>
        </w:tc>
        <w:tc>
          <w:tcPr>
            <w:tcW w:w="728"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金融知识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056"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公共必修课程学分、学时小计</w:t>
            </w:r>
          </w:p>
        </w:tc>
        <w:tc>
          <w:tcPr>
            <w:tcW w:w="32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44</w:t>
            </w:r>
          </w:p>
        </w:tc>
        <w:tc>
          <w:tcPr>
            <w:tcW w:w="32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826</w:t>
            </w:r>
          </w:p>
        </w:tc>
        <w:tc>
          <w:tcPr>
            <w:tcW w:w="32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446</w:t>
            </w:r>
          </w:p>
        </w:tc>
        <w:tc>
          <w:tcPr>
            <w:tcW w:w="32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380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公共必修课程学分、学时占比</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34"/>
                <w:kern w:val="0"/>
                <w:sz w:val="20"/>
                <w:szCs w:val="20"/>
                <w:highlight w:val="none"/>
                <w:u w:val="none"/>
                <w:lang w:val="en-US" w:eastAsia="zh-CN" w:bidi="ar"/>
              </w:rPr>
            </w:pPr>
            <w:r>
              <w:rPr>
                <w:rFonts w:hint="eastAsia" w:ascii="仿宋_GB2312" w:hAnsi="仿宋_GB2312" w:eastAsia="仿宋_GB2312" w:cs="仿宋_GB2312"/>
                <w:i w:val="0"/>
                <w:iCs w:val="0"/>
                <w:color w:val="auto"/>
                <w:spacing w:val="-34"/>
                <w:kern w:val="0"/>
                <w:sz w:val="20"/>
                <w:szCs w:val="20"/>
                <w:highlight w:val="none"/>
                <w:u w:val="none"/>
                <w:lang w:val="en-US" w:eastAsia="zh-CN" w:bidi="ar"/>
              </w:rPr>
              <w:t>29.93%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34"/>
                <w:kern w:val="0"/>
                <w:sz w:val="20"/>
                <w:szCs w:val="20"/>
                <w:highlight w:val="none"/>
                <w:u w:val="none"/>
                <w:lang w:val="en-US" w:eastAsia="zh-CN" w:bidi="ar"/>
              </w:rPr>
            </w:pPr>
            <w:r>
              <w:rPr>
                <w:rFonts w:hint="eastAsia" w:ascii="仿宋_GB2312" w:hAnsi="仿宋_GB2312" w:eastAsia="仿宋_GB2312" w:cs="仿宋_GB2312"/>
                <w:i w:val="0"/>
                <w:iCs w:val="0"/>
                <w:color w:val="auto"/>
                <w:spacing w:val="-34"/>
                <w:kern w:val="0"/>
                <w:sz w:val="20"/>
                <w:szCs w:val="20"/>
                <w:highlight w:val="none"/>
                <w:u w:val="none"/>
                <w:lang w:val="en-US" w:eastAsia="zh-CN" w:bidi="ar"/>
              </w:rPr>
              <w:t>30.43%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34"/>
                <w:kern w:val="0"/>
                <w:sz w:val="20"/>
                <w:szCs w:val="20"/>
                <w:highlight w:val="none"/>
                <w:u w:val="none"/>
                <w:lang w:val="en-US" w:eastAsia="zh-CN" w:bidi="ar"/>
              </w:rPr>
            </w:pPr>
            <w:r>
              <w:rPr>
                <w:rFonts w:hint="eastAsia" w:ascii="仿宋_GB2312" w:hAnsi="仿宋_GB2312" w:eastAsia="仿宋_GB2312" w:cs="仿宋_GB2312"/>
                <w:i w:val="0"/>
                <w:iCs w:val="0"/>
                <w:color w:val="auto"/>
                <w:spacing w:val="-34"/>
                <w:kern w:val="0"/>
                <w:sz w:val="20"/>
                <w:szCs w:val="20"/>
                <w:highlight w:val="none"/>
                <w:u w:val="none"/>
                <w:lang w:val="en-US" w:eastAsia="zh-CN" w:bidi="ar"/>
              </w:rPr>
              <w:t>16.43%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34"/>
                <w:kern w:val="0"/>
                <w:sz w:val="20"/>
                <w:szCs w:val="20"/>
                <w:highlight w:val="none"/>
                <w:u w:val="none"/>
                <w:lang w:val="en-US" w:eastAsia="zh-CN" w:bidi="ar"/>
              </w:rPr>
            </w:pPr>
            <w:r>
              <w:rPr>
                <w:rFonts w:hint="eastAsia" w:ascii="仿宋_GB2312" w:hAnsi="仿宋_GB2312" w:eastAsia="仿宋_GB2312" w:cs="仿宋_GB2312"/>
                <w:i w:val="0"/>
                <w:iCs w:val="0"/>
                <w:color w:val="auto"/>
                <w:spacing w:val="-34"/>
                <w:kern w:val="0"/>
                <w:sz w:val="20"/>
                <w:szCs w:val="20"/>
                <w:highlight w:val="none"/>
                <w:u w:val="none"/>
                <w:lang w:val="en-US" w:eastAsia="zh-CN" w:bidi="ar"/>
              </w:rPr>
              <w:t>14.00%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3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公共选修课程学分、学时小计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3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公共选修课程学分、学时占比</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5.44%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4.72%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2.95%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1.77%</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专业课</w:t>
            </w:r>
          </w:p>
        </w:tc>
        <w:tc>
          <w:tcPr>
            <w:tcW w:w="174"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专业基础课</w:t>
            </w:r>
          </w:p>
        </w:tc>
        <w:tc>
          <w:tcPr>
            <w:tcW w:w="191"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必修</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5B530501302</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国际贸易基础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5A530605304</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经济学基础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5B530501301</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会计基础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5B530501304</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跨境电商基础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5B530501305</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外贸英语口语</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5B530501306</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国际商务礼仪</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56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5B530501307</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国际商法</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5B530501308</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国际贸易结算</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9</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5B530302309</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习近平经济思想概论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2</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专业核心课</w:t>
            </w:r>
          </w:p>
        </w:tc>
        <w:tc>
          <w:tcPr>
            <w:tcW w:w="191"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必修</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5B530501401</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外贸单证操作</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5B530501402</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进出口业务操作</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5B530501403</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外贸跟单操作</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5B530501404</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跨境电商B2B运营</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5B530501405</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跨境电商B2B营销</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5B530501406</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外贸英文函电</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5B530501407</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外贸风险管理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24</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5B530501408</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跨境电商B2B销售</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专业拓展课</w:t>
            </w:r>
          </w:p>
        </w:tc>
        <w:tc>
          <w:tcPr>
            <w:tcW w:w="19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选修</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5B530501501</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数字贸易</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专业拓展课最低学分要求为8学分</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5B530501502</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跨境电商供应链管理</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5B530501503</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跨境电商数据分析</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5B530501504</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“一带一路”贸易概览</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5B530501505</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国际服务贸易</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5B530501506</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出口信用保险实务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5B530501507</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贸易合规</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5B530501508</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国际经贸规则与标准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9</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5B530501509</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外贸参展实务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10</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5B530302510</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管理学</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11</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5B530302511</w:t>
            </w:r>
          </w:p>
        </w:tc>
        <w:tc>
          <w:tcPr>
            <w:tcW w:w="7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电子商务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36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pct"/>
            <w:gridSpan w:val="2"/>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17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实践性教学环节</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必修</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1B410101601</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毕业设计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80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60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20</w:t>
            </w:r>
          </w:p>
        </w:tc>
        <w:tc>
          <w:tcPr>
            <w:tcW w:w="18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4"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11"/>
                <w:kern w:val="0"/>
                <w:sz w:val="20"/>
                <w:szCs w:val="20"/>
                <w:highlight w:val="none"/>
                <w:u w:val="none"/>
                <w:lang w:val="en-US" w:eastAsia="zh-CN" w:bidi="ar"/>
              </w:rPr>
            </w:pPr>
            <w:r>
              <w:rPr>
                <w:rFonts w:hint="eastAsia" w:ascii="仿宋_GB2312" w:hAnsi="仿宋_GB2312" w:eastAsia="仿宋_GB2312" w:cs="仿宋_GB2312"/>
                <w:i w:val="0"/>
                <w:iCs w:val="0"/>
                <w:color w:val="auto"/>
                <w:spacing w:val="-11"/>
                <w:kern w:val="0"/>
                <w:sz w:val="20"/>
                <w:szCs w:val="20"/>
                <w:highlight w:val="none"/>
                <w:u w:val="none"/>
                <w:lang w:val="en-US" w:eastAsia="zh-CN" w:bidi="ar"/>
              </w:rPr>
              <w:t>1C410101602</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岗位实习</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432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432</w:t>
            </w:r>
          </w:p>
        </w:tc>
        <w:tc>
          <w:tcPr>
            <w:tcW w:w="17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nil"/>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562"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20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专业必修课程学分、学时小计</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87</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1616</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676</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940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20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专业必修课程学分、学时占比</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8"/>
                <w:kern w:val="0"/>
                <w:sz w:val="20"/>
                <w:szCs w:val="20"/>
                <w:highlight w:val="none"/>
                <w:u w:val="none"/>
                <w:lang w:val="en-US" w:eastAsia="zh-CN" w:bidi="ar"/>
              </w:rPr>
            </w:pPr>
            <w:r>
              <w:rPr>
                <w:rFonts w:hint="eastAsia" w:ascii="仿宋_GB2312" w:hAnsi="仿宋_GB2312" w:eastAsia="仿宋_GB2312" w:cs="仿宋_GB2312"/>
                <w:i w:val="0"/>
                <w:iCs w:val="0"/>
                <w:color w:val="auto"/>
                <w:spacing w:val="-28"/>
                <w:kern w:val="0"/>
                <w:sz w:val="20"/>
                <w:szCs w:val="20"/>
                <w:highlight w:val="none"/>
                <w:u w:val="none"/>
                <w:lang w:val="en-US" w:eastAsia="zh-CN" w:bidi="ar"/>
              </w:rPr>
              <w:t>59.18%</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8"/>
                <w:kern w:val="0"/>
                <w:sz w:val="20"/>
                <w:szCs w:val="20"/>
                <w:highlight w:val="none"/>
                <w:u w:val="none"/>
                <w:lang w:val="en-US" w:eastAsia="zh-CN" w:bidi="ar"/>
              </w:rPr>
            </w:pPr>
            <w:r>
              <w:rPr>
                <w:rFonts w:hint="eastAsia" w:ascii="仿宋_GB2312" w:hAnsi="仿宋_GB2312" w:eastAsia="仿宋_GB2312" w:cs="仿宋_GB2312"/>
                <w:i w:val="0"/>
                <w:iCs w:val="0"/>
                <w:color w:val="auto"/>
                <w:spacing w:val="-28"/>
                <w:kern w:val="0"/>
                <w:sz w:val="20"/>
                <w:szCs w:val="20"/>
                <w:highlight w:val="none"/>
                <w:u w:val="none"/>
                <w:lang w:val="en-US" w:eastAsia="zh-CN" w:bidi="ar"/>
              </w:rPr>
              <w:t>59.54%</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8"/>
                <w:kern w:val="0"/>
                <w:sz w:val="20"/>
                <w:szCs w:val="20"/>
                <w:highlight w:val="none"/>
                <w:u w:val="none"/>
                <w:lang w:val="en-US" w:eastAsia="zh-CN" w:bidi="ar"/>
              </w:rPr>
            </w:pPr>
            <w:r>
              <w:rPr>
                <w:rFonts w:hint="eastAsia" w:ascii="仿宋_GB2312" w:hAnsi="仿宋_GB2312" w:eastAsia="仿宋_GB2312" w:cs="仿宋_GB2312"/>
                <w:i w:val="0"/>
                <w:iCs w:val="0"/>
                <w:color w:val="auto"/>
                <w:spacing w:val="-28"/>
                <w:kern w:val="0"/>
                <w:sz w:val="20"/>
                <w:szCs w:val="20"/>
                <w:highlight w:val="none"/>
                <w:u w:val="none"/>
                <w:lang w:val="en-US" w:eastAsia="zh-CN" w:bidi="ar"/>
              </w:rPr>
              <w:t>24.91%</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8"/>
                <w:kern w:val="0"/>
                <w:sz w:val="20"/>
                <w:szCs w:val="20"/>
                <w:highlight w:val="none"/>
                <w:u w:val="none"/>
                <w:lang w:val="en-US" w:eastAsia="zh-CN" w:bidi="ar"/>
              </w:rPr>
            </w:pPr>
            <w:r>
              <w:rPr>
                <w:rFonts w:hint="eastAsia" w:ascii="仿宋_GB2312" w:hAnsi="仿宋_GB2312" w:eastAsia="仿宋_GB2312" w:cs="仿宋_GB2312"/>
                <w:i w:val="0"/>
                <w:iCs w:val="0"/>
                <w:color w:val="auto"/>
                <w:spacing w:val="-28"/>
                <w:kern w:val="0"/>
                <w:sz w:val="20"/>
                <w:szCs w:val="20"/>
                <w:highlight w:val="none"/>
                <w:u w:val="none"/>
                <w:lang w:val="en-US" w:eastAsia="zh-CN" w:bidi="ar"/>
              </w:rPr>
              <w:t>34.64%</w:t>
            </w:r>
          </w:p>
        </w:tc>
        <w:tc>
          <w:tcPr>
            <w:tcW w:w="17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专业拓展课程学分、学时小计</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8</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144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72</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专业拓展课程学分、学时占比</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5.44%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5.31%</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2.65%</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pacing w:val="-20"/>
                <w:kern w:val="0"/>
                <w:sz w:val="20"/>
                <w:szCs w:val="20"/>
                <w:highlight w:val="none"/>
                <w:u w:val="none"/>
                <w:lang w:val="en-US" w:eastAsia="zh-CN" w:bidi="ar"/>
              </w:rPr>
            </w:pPr>
            <w:r>
              <w:rPr>
                <w:rFonts w:hint="eastAsia" w:ascii="仿宋_GB2312" w:hAnsi="仿宋_GB2312" w:eastAsia="仿宋_GB2312" w:cs="仿宋_GB2312"/>
                <w:i w:val="0"/>
                <w:iCs w:val="0"/>
                <w:color w:val="auto"/>
                <w:spacing w:val="-20"/>
                <w:kern w:val="0"/>
                <w:sz w:val="20"/>
                <w:szCs w:val="20"/>
                <w:highlight w:val="none"/>
                <w:u w:val="none"/>
                <w:lang w:val="en-US" w:eastAsia="zh-CN" w:bidi="ar"/>
              </w:rPr>
              <w:t>2.65%</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20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总学分、学时合计</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147</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2714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1274</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1440</w:t>
            </w: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highlight w:val="none"/>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r>
    </w:tbl>
    <w:p>
      <w:pPr>
        <w:pStyle w:val="2"/>
        <w:pageBreakBefore w:val="0"/>
        <w:widowControl w:val="0"/>
        <w:kinsoku/>
        <w:wordWrap/>
        <w:topLinePunct w:val="0"/>
        <w:autoSpaceDE/>
        <w:autoSpaceDN/>
        <w:bidi w:val="0"/>
        <w:spacing w:beforeLines="0" w:after="0" w:afterLines="0" w:line="520" w:lineRule="exact"/>
        <w:textAlignment w:val="auto"/>
        <w:rPr>
          <w:rFonts w:hint="default" w:ascii="黑体" w:hAnsi="黑体" w:eastAsia="黑体" w:cs="黑体"/>
          <w:color w:val="auto"/>
          <w:szCs w:val="32"/>
          <w:highlight w:val="none"/>
          <w:lang w:val="en-US" w:eastAsia="zh-CN"/>
        </w:rPr>
      </w:pPr>
      <w:bookmarkStart w:id="167" w:name="_Toc30185"/>
      <w:bookmarkStart w:id="168" w:name="_Toc22006"/>
      <w:bookmarkStart w:id="169" w:name="_Toc6353"/>
      <w:bookmarkStart w:id="170" w:name="_Toc19331"/>
      <w:r>
        <w:rPr>
          <w:rFonts w:hint="eastAsia"/>
          <w:lang w:val="en-US" w:eastAsia="zh-CN"/>
        </w:rPr>
        <w:t>九</w:t>
      </w:r>
      <w:r>
        <w:rPr>
          <w:rFonts w:hint="eastAsia"/>
        </w:rPr>
        <w:t>、</w:t>
      </w:r>
      <w:r>
        <w:rPr>
          <w:rFonts w:hint="eastAsia"/>
          <w:lang w:val="en-US" w:eastAsia="zh-CN"/>
        </w:rPr>
        <w:t>师资队伍</w:t>
      </w:r>
      <w:bookmarkEnd w:id="167"/>
      <w:bookmarkEnd w:id="168"/>
      <w:bookmarkEnd w:id="169"/>
      <w:bookmarkEnd w:id="17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pStyle w:val="3"/>
        <w:pageBreakBefore w:val="0"/>
        <w:widowControl w:val="0"/>
        <w:numPr>
          <w:ilvl w:val="0"/>
          <w:numId w:val="2"/>
        </w:numPr>
        <w:kinsoku/>
        <w:wordWrap/>
        <w:topLinePunct w:val="0"/>
        <w:autoSpaceDE/>
        <w:autoSpaceDN/>
        <w:bidi w:val="0"/>
        <w:spacing w:beforeLines="0" w:after="0" w:afterLines="0" w:line="520" w:lineRule="exact"/>
        <w:textAlignment w:val="auto"/>
        <w:rPr>
          <w:rFonts w:hint="default"/>
          <w:lang w:val="en-US" w:eastAsia="zh-CN"/>
        </w:rPr>
      </w:pPr>
      <w:bookmarkStart w:id="171" w:name="_Toc23412"/>
      <w:bookmarkStart w:id="172" w:name="_Toc19953"/>
      <w:r>
        <w:rPr>
          <w:rFonts w:hint="eastAsia"/>
          <w:lang w:val="en-US" w:eastAsia="zh-CN"/>
        </w:rPr>
        <w:t>队伍结构</w:t>
      </w:r>
      <w:bookmarkEnd w:id="171"/>
      <w:bookmarkEnd w:id="172"/>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firstLine="640" w:firstLineChars="200"/>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专业教师团队现有专任教师4人，获取职称人数为3人。其中副高及以上职称1人，中级职称1人，初级职称1人。双师型专任教师1人，</w:t>
      </w:r>
      <w:r>
        <w:rPr>
          <w:rFonts w:hint="eastAsia" w:ascii="仿宋_GB2312" w:hAnsi="仿宋_GB2312" w:eastAsia="仿宋_GB2312" w:cs="仿宋_GB2312"/>
          <w:b w:val="0"/>
          <w:bCs w:val="0"/>
          <w:color w:val="auto"/>
          <w:sz w:val="32"/>
          <w:szCs w:val="32"/>
          <w:highlight w:val="none"/>
        </w:rPr>
        <w:t>具有研究生学位教师</w:t>
      </w:r>
      <w:r>
        <w:rPr>
          <w:rFonts w:hint="eastAsia" w:ascii="仿宋_GB2312" w:hAnsi="仿宋_GB2312" w:eastAsia="仿宋_GB2312" w:cs="仿宋_GB2312"/>
          <w:b w:val="0"/>
          <w:bCs w:val="0"/>
          <w:color w:val="auto"/>
          <w:sz w:val="32"/>
          <w:szCs w:val="32"/>
          <w:highlight w:val="none"/>
          <w:lang w:val="en-US" w:eastAsia="zh-CN"/>
        </w:rPr>
        <w:t>1人。</w:t>
      </w:r>
      <w:r>
        <w:rPr>
          <w:rFonts w:hint="eastAsia" w:ascii="仿宋_GB2312" w:hAnsi="仿宋_GB2312" w:eastAsia="仿宋_GB2312" w:cs="仿宋_GB2312"/>
          <w:b w:val="0"/>
          <w:bCs w:val="0"/>
          <w:color w:val="auto"/>
          <w:sz w:val="32"/>
          <w:szCs w:val="32"/>
          <w:highlight w:val="none"/>
          <w:lang w:eastAsia="zh-CN"/>
        </w:rPr>
        <w:t>本专业还会不断完善专任教师的学历结构和职称结构；增强专任教师的实践能力，提高教学效果；积极开展教学和科研经验、成果、动态方面的交流探讨，实现科研与教学之间的良性互动，在科研中进一步提升教师的专业素养和学术水平。</w:t>
      </w:r>
    </w:p>
    <w:p>
      <w:pPr>
        <w:pStyle w:val="3"/>
        <w:pageBreakBefore w:val="0"/>
        <w:widowControl w:val="0"/>
        <w:numPr>
          <w:ilvl w:val="0"/>
          <w:numId w:val="2"/>
        </w:numPr>
        <w:kinsoku/>
        <w:wordWrap/>
        <w:topLinePunct w:val="0"/>
        <w:autoSpaceDE/>
        <w:autoSpaceDN/>
        <w:bidi w:val="0"/>
        <w:spacing w:beforeLines="0" w:after="0" w:afterLines="0" w:line="520" w:lineRule="exact"/>
        <w:textAlignment w:val="auto"/>
        <w:rPr>
          <w:rFonts w:hint="eastAsia"/>
        </w:rPr>
      </w:pPr>
      <w:bookmarkStart w:id="173" w:name="_Toc4292"/>
      <w:r>
        <w:rPr>
          <w:rFonts w:hint="eastAsia"/>
        </w:rPr>
        <w:t>专业带头人</w:t>
      </w:r>
      <w:bookmarkEnd w:id="173"/>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firstLine="640" w:firstLineChars="200"/>
        <w:textAlignment w:val="auto"/>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经济发展现状，国际经济与贸易专业发展趋势，能广泛联系行业企业，了解行业企业对本专业人才的需求实际，主持专业建设、开展教育教学改革、教科研工作和社会服务能力强，在本专业改革发展中起引领作用。国际经济与贸易专业带头人应立足“四有好老师”标准，以扎实的国际贸易理论功底和跨境电商等前沿实践能力，通过RCEP案例分析等教学创新培养学生国际视野；践行“四个引路人”要求，在数字贸易课程中植入商业伦理教育，组织WTO模拟谈判训练批判思维；落实“四个相统一”，将自贸区政策研究与国家安全教育相结合，实现教书与育人、言传与身教的有机融合，最终培养出适应“双循环”新格局的高素质经贸人才。</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Style w:val="19"/>
          <w:rFonts w:hint="eastAsia"/>
          <w:lang w:eastAsia="zh-CN"/>
        </w:rPr>
        <w:t>（</w:t>
      </w:r>
      <w:r>
        <w:rPr>
          <w:rStyle w:val="19"/>
          <w:rFonts w:hint="eastAsia"/>
          <w:lang w:val="en-US" w:eastAsia="zh-CN"/>
        </w:rPr>
        <w:t>三</w:t>
      </w:r>
      <w:r>
        <w:rPr>
          <w:rStyle w:val="19"/>
          <w:rFonts w:hint="eastAsia"/>
          <w:lang w:eastAsia="zh-CN"/>
        </w:rPr>
        <w:t>）</w:t>
      </w:r>
      <w:r>
        <w:rPr>
          <w:rFonts w:hint="eastAsia" w:ascii="楷体" w:hAnsi="楷体" w:eastAsia="楷体" w:cs="楷体"/>
          <w:color w:val="auto"/>
          <w:sz w:val="32"/>
          <w:szCs w:val="32"/>
          <w:highlight w:val="none"/>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firstLine="640" w:firstLineChars="200"/>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b w:val="0"/>
          <w:bCs w:val="0"/>
          <w:color w:val="auto"/>
          <w:sz w:val="32"/>
          <w:szCs w:val="32"/>
          <w:highlight w:val="none"/>
        </w:rPr>
        <w:t>国际经济与贸易专业专任教师应自觉践行</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四有好老师</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标准，以深厚的国际贸易理论素养和跨境电商实务能力，通过</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一带一路</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案例教学培育学生家国情怀；落实</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四个引路人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要求，开展RCEP规则模拟谈判训练创新思维；坚持</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四个相统一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 xml:space="preserve">，将自贸区政策研究与贸易安全审查相结合，实现理论教学与实践指导、专业能力与职业素养的协同发展。专任教师应具有高校教师资格；原则上具有国际经济与贸易、国际商务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 </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Style w:val="19"/>
          <w:rFonts w:hint="eastAsia"/>
        </w:rPr>
        <w:t xml:space="preserve"> </w:t>
      </w:r>
      <w:r>
        <w:rPr>
          <w:rStyle w:val="19"/>
          <w:rFonts w:hint="eastAsia"/>
          <w:lang w:eastAsia="zh-CN"/>
        </w:rPr>
        <w:t>（</w:t>
      </w:r>
      <w:r>
        <w:rPr>
          <w:rStyle w:val="19"/>
          <w:rFonts w:hint="eastAsia"/>
          <w:lang w:val="en-US" w:eastAsia="zh-CN"/>
        </w:rPr>
        <w:t>四</w:t>
      </w:r>
      <w:r>
        <w:rPr>
          <w:rStyle w:val="19"/>
          <w:rFonts w:hint="eastAsia"/>
          <w:lang w:eastAsia="zh-CN"/>
        </w:rPr>
        <w:t>）</w:t>
      </w:r>
      <w:r>
        <w:rPr>
          <w:rStyle w:val="19"/>
          <w:rFonts w:hint="eastAsia"/>
        </w:rPr>
        <w:t>兼职教师</w:t>
      </w:r>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firstLine="640" w:firstLineChars="200"/>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pStyle w:val="2"/>
        <w:pageBreakBefore w:val="0"/>
        <w:widowControl w:val="0"/>
        <w:kinsoku/>
        <w:wordWrap/>
        <w:topLinePunct w:val="0"/>
        <w:autoSpaceDE/>
        <w:autoSpaceDN/>
        <w:bidi w:val="0"/>
        <w:spacing w:beforeLines="0" w:after="0" w:afterLines="0" w:line="520" w:lineRule="exact"/>
        <w:textAlignment w:val="auto"/>
        <w:rPr>
          <w:rFonts w:hint="eastAsia"/>
        </w:rPr>
      </w:pPr>
      <w:bookmarkStart w:id="174" w:name="_Toc17939"/>
      <w:bookmarkStart w:id="175" w:name="_Toc27668"/>
      <w:bookmarkStart w:id="176" w:name="_Toc29528"/>
      <w:bookmarkStart w:id="177" w:name="_Toc22429"/>
      <w:r>
        <w:rPr>
          <w:rFonts w:hint="eastAsia"/>
          <w:lang w:val="en-US" w:eastAsia="zh-CN"/>
        </w:rPr>
        <w:t>十、教学条件</w:t>
      </w:r>
      <w:bookmarkEnd w:id="174"/>
      <w:bookmarkEnd w:id="175"/>
      <w:bookmarkEnd w:id="176"/>
      <w:bookmarkEnd w:id="177"/>
    </w:p>
    <w:p>
      <w:pPr>
        <w:pStyle w:val="3"/>
        <w:pageBreakBefore w:val="0"/>
        <w:widowControl w:val="0"/>
        <w:kinsoku/>
        <w:wordWrap/>
        <w:topLinePunct w:val="0"/>
        <w:autoSpaceDE/>
        <w:autoSpaceDN/>
        <w:bidi w:val="0"/>
        <w:spacing w:beforeLines="0" w:after="0" w:afterLines="0" w:line="520" w:lineRule="exact"/>
        <w:textAlignment w:val="auto"/>
        <w:rPr>
          <w:rFonts w:hint="eastAsia"/>
        </w:rPr>
      </w:pPr>
      <w:bookmarkStart w:id="178" w:name="_Toc790"/>
      <w:bookmarkStart w:id="179" w:name="_Toc28223"/>
      <w:r>
        <w:rPr>
          <w:rFonts w:hint="eastAsia"/>
        </w:rPr>
        <w:t>（</w:t>
      </w:r>
      <w:r>
        <w:rPr>
          <w:rFonts w:hint="eastAsia"/>
          <w:lang w:val="en-US" w:eastAsia="zh-CN"/>
        </w:rPr>
        <w:t>一</w:t>
      </w:r>
      <w:r>
        <w:rPr>
          <w:rFonts w:hint="eastAsia"/>
        </w:rPr>
        <w:t>）</w:t>
      </w:r>
      <w:bookmarkEnd w:id="178"/>
      <w:r>
        <w:rPr>
          <w:rFonts w:hint="eastAsia"/>
        </w:rPr>
        <w:t>教学设施</w:t>
      </w:r>
      <w:bookmarkEnd w:id="179"/>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配有黑板、多媒体计算机、投影设备、音响设备，安装应急照明装置并保持良好状态，符合紧急疏散要求，标志明显，逃生通道畅通无阻。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12"/>
        <w:tblW w:w="10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
        <w:gridCol w:w="1230"/>
        <w:gridCol w:w="1915"/>
        <w:gridCol w:w="4330"/>
        <w:gridCol w:w="1570"/>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518"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序号</w:t>
            </w:r>
          </w:p>
        </w:tc>
        <w:tc>
          <w:tcPr>
            <w:tcW w:w="1230"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实验实训室名称</w:t>
            </w:r>
          </w:p>
        </w:tc>
        <w:tc>
          <w:tcPr>
            <w:tcW w:w="1915"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实训适用课程</w:t>
            </w:r>
          </w:p>
        </w:tc>
        <w:tc>
          <w:tcPr>
            <w:tcW w:w="4330"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实训项目</w:t>
            </w:r>
          </w:p>
        </w:tc>
        <w:tc>
          <w:tcPr>
            <w:tcW w:w="1570"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b w:val="0"/>
                <w:bCs w:val="0"/>
                <w:color w:val="auto"/>
                <w:sz w:val="24"/>
                <w:szCs w:val="24"/>
                <w:highlight w:val="none"/>
                <w:vertAlign w:val="baseline"/>
              </w:rPr>
              <w:t>主</w:t>
            </w:r>
            <w:r>
              <w:rPr>
                <w:rFonts w:hint="eastAsia" w:ascii="仿宋_GB2312" w:hAnsi="仿宋_GB2312" w:eastAsia="仿宋_GB2312" w:cs="仿宋_GB2312"/>
                <w:b w:val="0"/>
                <w:bCs w:val="0"/>
                <w:color w:val="auto"/>
                <w:sz w:val="24"/>
                <w:szCs w:val="24"/>
                <w:highlight w:val="none"/>
                <w:vertAlign w:val="baseline"/>
                <w:lang w:eastAsia="zh-CN"/>
              </w:rPr>
              <w:t>要设备名称及配置数量</w:t>
            </w:r>
          </w:p>
        </w:tc>
        <w:tc>
          <w:tcPr>
            <w:tcW w:w="737"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noWrap w:val="0"/>
            <w:vAlign w:val="top"/>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1</w:t>
            </w:r>
          </w:p>
        </w:tc>
        <w:tc>
          <w:tcPr>
            <w:tcW w:w="1230" w:type="dxa"/>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市场营销，国际经济与贸易模拟实训室</w:t>
            </w:r>
          </w:p>
        </w:tc>
        <w:tc>
          <w:tcPr>
            <w:tcW w:w="1915"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val="en-US"/>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进出口业务操作、外贸单证操作、跨境电商B2B运营</w:t>
            </w:r>
          </w:p>
        </w:tc>
        <w:tc>
          <w:tcPr>
            <w:tcW w:w="4330" w:type="dxa"/>
            <w:noWrap w:val="0"/>
            <w:vAlign w:val="top"/>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淘宝店铺操作</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网页设计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电子交易</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网络营销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电子商务信函写作</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H.S.编码归类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7.海关关税税则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报关相关单证缮制</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征税</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外贸合同发票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信用证票据</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运输保险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报关、报检、产地证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单证认知缮制</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结算工具</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结算方式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报盘、询盘、还盘</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商业合同。</w:t>
            </w:r>
          </w:p>
        </w:tc>
        <w:tc>
          <w:tcPr>
            <w:tcW w:w="1570"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电脑</w:t>
            </w:r>
            <w:r>
              <w:rPr>
                <w:rFonts w:hint="eastAsia" w:ascii="仿宋_GB2312" w:hAnsi="仿宋_GB2312" w:eastAsia="仿宋_GB2312" w:cs="仿宋_GB2312"/>
                <w:b w:val="0"/>
                <w:bCs w:val="0"/>
                <w:color w:val="auto"/>
                <w:sz w:val="24"/>
                <w:szCs w:val="24"/>
                <w:highlight w:val="none"/>
                <w:vertAlign w:val="baseline"/>
                <w:lang w:val="en-US" w:eastAsia="zh-CN"/>
              </w:rPr>
              <w:t>60台</w:t>
            </w:r>
          </w:p>
        </w:tc>
        <w:tc>
          <w:tcPr>
            <w:tcW w:w="737"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noWrap w:val="0"/>
            <w:vAlign w:val="top"/>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2</w:t>
            </w:r>
          </w:p>
        </w:tc>
        <w:tc>
          <w:tcPr>
            <w:tcW w:w="1230" w:type="dxa"/>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商务谈判模拟室</w:t>
            </w:r>
          </w:p>
        </w:tc>
        <w:tc>
          <w:tcPr>
            <w:tcW w:w="1915"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国际商务礼仪</w:t>
            </w:r>
          </w:p>
        </w:tc>
        <w:tc>
          <w:tcPr>
            <w:tcW w:w="4330" w:type="dxa"/>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color w:val="auto"/>
                <w:sz w:val="24"/>
                <w:szCs w:val="24"/>
                <w:highlight w:val="none"/>
              </w:rPr>
              <w:t>国际商务谈判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商务谈判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商务谈判人员的心理素质能力分析</w:t>
            </w:r>
            <w:r>
              <w:rPr>
                <w:rFonts w:hint="eastAsia" w:ascii="仿宋_GB2312" w:hAnsi="仿宋_GB2312" w:eastAsia="仿宋_GB2312" w:cs="仿宋_GB2312"/>
                <w:color w:val="auto"/>
                <w:sz w:val="24"/>
                <w:szCs w:val="24"/>
                <w:highlight w:val="none"/>
                <w:lang w:eastAsia="zh-CN"/>
              </w:rPr>
              <w:t>。</w:t>
            </w:r>
          </w:p>
        </w:tc>
        <w:tc>
          <w:tcPr>
            <w:tcW w:w="1570"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电脑</w:t>
            </w:r>
            <w:r>
              <w:rPr>
                <w:rFonts w:hint="eastAsia" w:ascii="仿宋_GB2312" w:hAnsi="仿宋_GB2312" w:eastAsia="仿宋_GB2312" w:cs="仿宋_GB2312"/>
                <w:color w:val="auto"/>
                <w:sz w:val="24"/>
                <w:szCs w:val="24"/>
                <w:highlight w:val="none"/>
                <w:lang w:val="en-US" w:eastAsia="zh-CN"/>
              </w:rPr>
              <w:t>1台</w:t>
            </w:r>
            <w:r>
              <w:rPr>
                <w:rFonts w:hint="eastAsia" w:ascii="仿宋_GB2312" w:hAnsi="仿宋_GB2312" w:eastAsia="仿宋_GB2312" w:cs="仿宋_GB2312"/>
                <w:color w:val="auto"/>
                <w:sz w:val="24"/>
                <w:szCs w:val="24"/>
                <w:highlight w:val="none"/>
              </w:rPr>
              <w:t>，会议桌</w:t>
            </w:r>
            <w:r>
              <w:rPr>
                <w:rFonts w:hint="eastAsia" w:ascii="仿宋_GB2312" w:hAnsi="仿宋_GB2312" w:eastAsia="仿宋_GB2312" w:cs="仿宋_GB2312"/>
                <w:color w:val="auto"/>
                <w:sz w:val="24"/>
                <w:szCs w:val="24"/>
                <w:highlight w:val="none"/>
                <w:lang w:eastAsia="zh-CN"/>
              </w:rPr>
              <w:t>、多媒体设备</w:t>
            </w:r>
            <w:r>
              <w:rPr>
                <w:rFonts w:hint="eastAsia" w:ascii="仿宋_GB2312" w:hAnsi="仿宋_GB2312" w:eastAsia="仿宋_GB2312" w:cs="仿宋_GB2312"/>
                <w:color w:val="auto"/>
                <w:sz w:val="24"/>
                <w:szCs w:val="24"/>
                <w:highlight w:val="none"/>
                <w:lang w:val="en-US" w:eastAsia="zh-CN"/>
              </w:rPr>
              <w:t>1套</w:t>
            </w:r>
          </w:p>
        </w:tc>
        <w:tc>
          <w:tcPr>
            <w:tcW w:w="737"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noWrap w:val="0"/>
            <w:vAlign w:val="top"/>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3</w:t>
            </w:r>
          </w:p>
        </w:tc>
        <w:tc>
          <w:tcPr>
            <w:tcW w:w="1230" w:type="dxa"/>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洽谈签约室</w:t>
            </w:r>
          </w:p>
        </w:tc>
        <w:tc>
          <w:tcPr>
            <w:tcW w:w="1915"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val="en-US"/>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国际商务礼仪、跨境电商B2B销售</w:t>
            </w:r>
          </w:p>
        </w:tc>
        <w:tc>
          <w:tcPr>
            <w:tcW w:w="4330" w:type="dxa"/>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color w:val="auto"/>
                <w:sz w:val="24"/>
                <w:szCs w:val="24"/>
                <w:highlight w:val="none"/>
              </w:rPr>
              <w:t>商务礼仪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商务洽谈</w:t>
            </w:r>
            <w:r>
              <w:rPr>
                <w:rFonts w:hint="eastAsia" w:ascii="仿宋_GB2312" w:hAnsi="仿宋_GB2312" w:eastAsia="仿宋_GB2312" w:cs="仿宋_GB2312"/>
                <w:color w:val="auto"/>
                <w:sz w:val="24"/>
                <w:szCs w:val="24"/>
                <w:highlight w:val="none"/>
                <w:lang w:eastAsia="zh-CN"/>
              </w:rPr>
              <w:t>。</w:t>
            </w:r>
          </w:p>
        </w:tc>
        <w:tc>
          <w:tcPr>
            <w:tcW w:w="1570"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eastAsia="zh-CN"/>
              </w:rPr>
              <w:t>多媒体设备</w:t>
            </w:r>
            <w:r>
              <w:rPr>
                <w:rFonts w:hint="eastAsia" w:ascii="仿宋_GB2312" w:hAnsi="仿宋_GB2312" w:eastAsia="仿宋_GB2312" w:cs="仿宋_GB2312"/>
                <w:color w:val="auto"/>
                <w:sz w:val="24"/>
                <w:szCs w:val="24"/>
                <w:highlight w:val="none"/>
                <w:lang w:val="en-US" w:eastAsia="zh-CN"/>
              </w:rPr>
              <w:t>1套、</w:t>
            </w:r>
            <w:r>
              <w:rPr>
                <w:rFonts w:hint="eastAsia" w:ascii="仿宋_GB2312" w:hAnsi="仿宋_GB2312" w:eastAsia="仿宋_GB2312" w:cs="仿宋_GB2312"/>
                <w:color w:val="auto"/>
                <w:sz w:val="24"/>
                <w:szCs w:val="24"/>
                <w:highlight w:val="none"/>
              </w:rPr>
              <w:t>会议桌</w:t>
            </w:r>
          </w:p>
        </w:tc>
        <w:tc>
          <w:tcPr>
            <w:tcW w:w="737"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lang w:val="en-US" w:eastAsia="zh-CN"/>
              </w:rPr>
              <w:t>4</w:t>
            </w:r>
          </w:p>
        </w:tc>
        <w:tc>
          <w:tcPr>
            <w:tcW w:w="1230" w:type="dxa"/>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color w:val="auto"/>
                <w:sz w:val="24"/>
                <w:szCs w:val="24"/>
                <w:highlight w:val="none"/>
              </w:rPr>
              <w:t>商务会议室</w:t>
            </w:r>
          </w:p>
        </w:tc>
        <w:tc>
          <w:tcPr>
            <w:tcW w:w="1915" w:type="dxa"/>
            <w:noWrap w:val="0"/>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lang w:val="en-US"/>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国际商务礼仪、跨境电商B2B营销</w:t>
            </w:r>
          </w:p>
        </w:tc>
        <w:tc>
          <w:tcPr>
            <w:tcW w:w="4330" w:type="dxa"/>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商务</w:t>
            </w:r>
            <w:r>
              <w:rPr>
                <w:rFonts w:hint="eastAsia" w:ascii="仿宋_GB2312" w:hAnsi="仿宋_GB2312" w:eastAsia="仿宋_GB2312" w:cs="仿宋_GB2312"/>
                <w:color w:val="auto"/>
                <w:sz w:val="24"/>
                <w:szCs w:val="24"/>
                <w:highlight w:val="none"/>
              </w:rPr>
              <w:t>活动策划</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学生实训内容讨论研究基地</w:t>
            </w:r>
            <w:r>
              <w:rPr>
                <w:rFonts w:hint="eastAsia" w:ascii="仿宋_GB2312" w:hAnsi="仿宋_GB2312" w:eastAsia="仿宋_GB2312" w:cs="仿宋_GB2312"/>
                <w:color w:val="auto"/>
                <w:sz w:val="24"/>
                <w:szCs w:val="24"/>
                <w:highlight w:val="none"/>
                <w:lang w:eastAsia="zh-CN"/>
              </w:rPr>
              <w:t>。</w:t>
            </w:r>
          </w:p>
        </w:tc>
        <w:tc>
          <w:tcPr>
            <w:tcW w:w="1570"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eastAsia="zh-CN"/>
              </w:rPr>
              <w:t>多媒体设备</w:t>
            </w:r>
            <w:r>
              <w:rPr>
                <w:rFonts w:hint="eastAsia" w:ascii="仿宋_GB2312" w:hAnsi="仿宋_GB2312" w:eastAsia="仿宋_GB2312" w:cs="仿宋_GB2312"/>
                <w:color w:val="auto"/>
                <w:sz w:val="24"/>
                <w:szCs w:val="24"/>
                <w:highlight w:val="none"/>
                <w:lang w:val="en-US" w:eastAsia="zh-CN"/>
              </w:rPr>
              <w:t>1套、</w:t>
            </w:r>
            <w:r>
              <w:rPr>
                <w:rFonts w:hint="eastAsia" w:ascii="仿宋_GB2312" w:hAnsi="仿宋_GB2312" w:eastAsia="仿宋_GB2312" w:cs="仿宋_GB2312"/>
                <w:color w:val="auto"/>
                <w:sz w:val="24"/>
                <w:szCs w:val="24"/>
                <w:highlight w:val="none"/>
              </w:rPr>
              <w:t>会议桌</w:t>
            </w:r>
          </w:p>
        </w:tc>
        <w:tc>
          <w:tcPr>
            <w:tcW w:w="737" w:type="dxa"/>
            <w:shd w:val="clear" w:color="auto" w:fill="auto"/>
            <w:noWrap w:val="0"/>
            <w:vAlign w:val="center"/>
          </w:tcPr>
          <w:p>
            <w:pPr>
              <w:keepNext w:val="0"/>
              <w:keepLines w:val="0"/>
              <w:pageBreakBefore w:val="0"/>
              <w:widowControl w:val="0"/>
              <w:kinsoku/>
              <w:wordWrap/>
              <w:topLinePunct w:val="0"/>
              <w:autoSpaceDE/>
              <w:autoSpaceDN/>
              <w:bidi w:val="0"/>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16</w:t>
            </w:r>
          </w:p>
        </w:tc>
      </w:tr>
    </w:tbl>
    <w:p>
      <w:pPr>
        <w:pStyle w:val="4"/>
        <w:pageBreakBefore w:val="0"/>
        <w:widowControl/>
        <w:kinsoku/>
        <w:wordWrap/>
        <w:topLinePunct w:val="0"/>
        <w:autoSpaceDE/>
        <w:autoSpaceDN/>
        <w:bidi w:val="0"/>
        <w:adjustRightInd/>
        <w:snapToGrid w:val="0"/>
        <w:spacing w:before="0"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keepNext w:val="0"/>
        <w:keepLines w:val="0"/>
        <w:pageBreakBefore w:val="0"/>
        <w:widowControl w:val="0"/>
        <w:kinsoku/>
        <w:wordWrap/>
        <w:overflowPunct w:val="0"/>
        <w:topLinePunct w:val="0"/>
        <w:autoSpaceDE/>
        <w:autoSpaceDN/>
        <w:bidi w:val="0"/>
        <w:adjustRightInd/>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keepNext w:val="0"/>
        <w:keepLines w:val="0"/>
        <w:pageBreakBefore w:val="0"/>
        <w:widowControl w:val="0"/>
        <w:numPr>
          <w:ilvl w:val="0"/>
          <w:numId w:val="0"/>
        </w:numPr>
        <w:kinsoku/>
        <w:wordWrap/>
        <w:overflowPunct w:val="0"/>
        <w:topLinePunct w:val="0"/>
        <w:autoSpaceDE/>
        <w:autoSpaceDN/>
        <w:bidi w:val="0"/>
        <w:adjustRightInd/>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具有稳定的校外实训基地2个以上；能够开展外贸单证填报等实训活动；实训设施齐备，实训岗位、实训指导教师确定，实训管理及实施规章制度齐全。</w:t>
      </w:r>
    </w:p>
    <w:p>
      <w:pPr>
        <w:keepNext w:val="0"/>
        <w:keepLines w:val="0"/>
        <w:pageBreakBefore w:val="0"/>
        <w:widowControl w:val="0"/>
        <w:numPr>
          <w:ilvl w:val="0"/>
          <w:numId w:val="0"/>
        </w:numPr>
        <w:kinsoku/>
        <w:wordWrap/>
        <w:overflowPunct w:val="0"/>
        <w:topLinePunct w:val="0"/>
        <w:autoSpaceDE/>
        <w:autoSpaceDN/>
        <w:bidi w:val="0"/>
        <w:adjustRightInd/>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p>
    <w:p>
      <w:pPr>
        <w:keepNext w:val="0"/>
        <w:keepLines w:val="0"/>
        <w:pageBreakBefore w:val="0"/>
        <w:widowControl w:val="0"/>
        <w:numPr>
          <w:ilvl w:val="0"/>
          <w:numId w:val="3"/>
        </w:numPr>
        <w:kinsoku/>
        <w:wordWrap/>
        <w:overflowPunct w:val="0"/>
        <w:topLinePunct w:val="0"/>
        <w:autoSpaceDE/>
        <w:autoSpaceDN/>
        <w:bidi w:val="0"/>
        <w:adjustRightInd/>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keepNext w:val="0"/>
        <w:keepLines w:val="0"/>
        <w:pageBreakBefore w:val="0"/>
        <w:widowControl w:val="0"/>
        <w:numPr>
          <w:ilvl w:val="0"/>
          <w:numId w:val="0"/>
        </w:numPr>
        <w:kinsoku/>
        <w:wordWrap/>
        <w:overflowPunct w:val="0"/>
        <w:topLinePunct w:val="0"/>
        <w:autoSpaceDE/>
        <w:autoSpaceDN/>
        <w:bidi w:val="0"/>
        <w:adjustRightInd/>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具有稳定的校外实习基地2个以上；能提供外贸业务员、 跨境电商运营专员等相关实习岗位，能涵盖当前相关产业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12"/>
        <w:tblW w:w="9761"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3225"/>
        <w:gridCol w:w="1863"/>
        <w:gridCol w:w="26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32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186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267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合作</w:t>
            </w:r>
            <w:r>
              <w:rPr>
                <w:rFonts w:hint="eastAsia" w:ascii="仿宋_GB2312" w:hAnsi="仿宋_GB2312" w:eastAsia="仿宋_GB2312" w:cs="仿宋_GB2312"/>
                <w:color w:val="auto"/>
                <w:sz w:val="24"/>
                <w:highlight w:val="none"/>
                <w:lang w:val="en-US" w:eastAsia="zh-CN"/>
              </w:rPr>
              <w:t>内容</w:t>
            </w:r>
          </w:p>
        </w:tc>
        <w:tc>
          <w:tcPr>
            <w:tcW w:w="153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vertAlign w:val="baseline"/>
                <w:lang w:val="en-US" w:eastAsia="zh-CN"/>
              </w:rPr>
              <w:t>1</w:t>
            </w:r>
          </w:p>
        </w:tc>
        <w:tc>
          <w:tcPr>
            <w:tcW w:w="3225"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rPr>
              <w:t>国际经济与贸易</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1863"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vertAlign w:val="baseline"/>
              </w:rPr>
              <w:t>平果富晟新材料科技有限公司</w:t>
            </w:r>
          </w:p>
        </w:tc>
        <w:tc>
          <w:tcPr>
            <w:tcW w:w="2670"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vertAlign w:val="baseline"/>
                <w:lang w:eastAsia="zh-CN"/>
              </w:rPr>
              <w:t>共同研究专业设置、共同研究人才培养方案、共同研究人才评价标准、共同组建教学团队、共同建设实训实习平台、共同开发课程、共同开发教材</w:t>
            </w:r>
          </w:p>
        </w:tc>
        <w:tc>
          <w:tcPr>
            <w:tcW w:w="1530"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2</w:t>
            </w:r>
          </w:p>
        </w:tc>
        <w:tc>
          <w:tcPr>
            <w:tcW w:w="3225"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rPr>
              <w:t>国际经济与贸易</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1863"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rPr>
              <w:t>广西百色红城发展集团有限公司</w:t>
            </w:r>
          </w:p>
        </w:tc>
        <w:tc>
          <w:tcPr>
            <w:tcW w:w="267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共同研究专业设置、共同研究人才培养方案、共同研究人才评价标准、共同组建教学团队、共同建设实训实习平台、共同开发课程、共同开发教材</w:t>
            </w:r>
          </w:p>
        </w:tc>
        <w:tc>
          <w:tcPr>
            <w:tcW w:w="153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3</w:t>
            </w:r>
          </w:p>
        </w:tc>
        <w:tc>
          <w:tcPr>
            <w:tcW w:w="3225"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rPr>
              <w:t>国际经济与贸易</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1863"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rPr>
              <w:t>平果县皓远商贸有限公司</w:t>
            </w:r>
          </w:p>
        </w:tc>
        <w:tc>
          <w:tcPr>
            <w:tcW w:w="267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共同研究专业设置、共同研究人才培养方案、共同研究人才评价标准、共同组建教学团队、共同建设实训实习平台、共同开发课程、共同开发教材</w:t>
            </w:r>
          </w:p>
        </w:tc>
        <w:tc>
          <w:tcPr>
            <w:tcW w:w="153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4</w:t>
            </w:r>
          </w:p>
        </w:tc>
        <w:tc>
          <w:tcPr>
            <w:tcW w:w="3225"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rPr>
              <w:t>国际经济与贸易</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1863"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rPr>
              <w:t>国海证券股份有限公司百色平果市教育路证券营业部</w:t>
            </w:r>
          </w:p>
        </w:tc>
        <w:tc>
          <w:tcPr>
            <w:tcW w:w="267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eastAsia="zh-CN"/>
              </w:rPr>
              <w:t>共同研究专业设置、共同研究人才培养方案、共同研究人才评价标准、共同组建教学团队、共同建设实训实习平台、共同开发课程、共同开发教材</w:t>
            </w:r>
          </w:p>
        </w:tc>
        <w:tc>
          <w:tcPr>
            <w:tcW w:w="1530"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20</w:t>
            </w:r>
          </w:p>
        </w:tc>
      </w:tr>
    </w:tbl>
    <w:p>
      <w:pPr>
        <w:pStyle w:val="3"/>
        <w:pageBreakBefore w:val="0"/>
        <w:widowControl w:val="0"/>
        <w:kinsoku/>
        <w:wordWrap/>
        <w:topLinePunct w:val="0"/>
        <w:autoSpaceDE/>
        <w:autoSpaceDN/>
        <w:bidi w:val="0"/>
        <w:snapToGrid/>
        <w:spacing w:beforeLines="0" w:after="0" w:afterLines="0" w:line="520" w:lineRule="exact"/>
        <w:textAlignment w:val="auto"/>
        <w:rPr>
          <w:rFonts w:hint="eastAsia"/>
        </w:rPr>
      </w:pPr>
      <w:bookmarkStart w:id="180" w:name="_Toc11263"/>
      <w:bookmarkStart w:id="181" w:name="_Toc22294"/>
      <w:r>
        <w:rPr>
          <w:rFonts w:hint="eastAsia"/>
        </w:rPr>
        <w:t>（</w:t>
      </w:r>
      <w:r>
        <w:rPr>
          <w:rFonts w:hint="eastAsia"/>
          <w:lang w:val="en-US" w:eastAsia="zh-CN"/>
        </w:rPr>
        <w:t>二</w:t>
      </w:r>
      <w:r>
        <w:rPr>
          <w:rFonts w:hint="eastAsia"/>
        </w:rPr>
        <w:t>）</w:t>
      </w:r>
      <w:bookmarkEnd w:id="180"/>
      <w:r>
        <w:rPr>
          <w:rFonts w:hint="eastAsia"/>
        </w:rPr>
        <w:t>教学资源</w:t>
      </w:r>
      <w:bookmarkEnd w:id="18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教学资源主要包括能满足学生专业学习、教师专业教学研究和教学实施所需的教材、图书文献及数字教学资源等。</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1.教材选用基本要求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2.图书文献配备基本要求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图书文献配备能满足人才培养、专业建设、教科研等工作的需要，方便师生查询、借阅。专业类文献主要包括：国际经济与贸易相关行业政策法规、行业标准、技术规范以及国际经济与贸易等与服务相关专业类图书和实务案例类图书。专业图书资料（含电子图书）不低于500册，5 种以上国际经济与贸易类专业学术期刊，并能保持每年更新。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3.数字教学资源配置基本要求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建设、配备与专业相关的音视频素材、教学课件、数字化教学案例库、虚拟仿真软件、数字教材等专业教学资源库，应种类丰富、形式多样、使用便捷、动态更新，能满足教学要求。</w:t>
      </w:r>
    </w:p>
    <w:p>
      <w:pPr>
        <w:pStyle w:val="3"/>
        <w:pageBreakBefore w:val="0"/>
        <w:widowControl w:val="0"/>
        <w:numPr>
          <w:ilvl w:val="0"/>
          <w:numId w:val="2"/>
        </w:numPr>
        <w:kinsoku/>
        <w:wordWrap/>
        <w:topLinePunct w:val="0"/>
        <w:autoSpaceDE/>
        <w:autoSpaceDN/>
        <w:bidi w:val="0"/>
        <w:snapToGrid/>
        <w:spacing w:beforeLines="0" w:after="0" w:afterLines="0" w:line="520" w:lineRule="exact"/>
        <w:textAlignment w:val="auto"/>
        <w:rPr>
          <w:rFonts w:hint="eastAsia"/>
        </w:rPr>
      </w:pPr>
      <w:bookmarkStart w:id="182" w:name="_Toc2975"/>
      <w:bookmarkStart w:id="183" w:name="_Toc24805"/>
      <w:r>
        <w:rPr>
          <w:rFonts w:hint="eastAsia"/>
        </w:rPr>
        <w:t>教学方法</w:t>
      </w:r>
      <w:bookmarkEnd w:id="182"/>
      <w:bookmarkEnd w:id="18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default" w:ascii="仿宋_GB2312" w:hAnsi="仿宋_GB2312" w:eastAsia="仿宋_GB2312" w:cs="仿宋_GB2312"/>
          <w:b w:val="0"/>
          <w:bCs w:val="0"/>
          <w:color w:val="auto"/>
          <w:sz w:val="32"/>
          <w:szCs w:val="32"/>
          <w:highlight w:val="none"/>
          <w:lang w:val="en-US" w:eastAsia="zh-CN"/>
        </w:rPr>
        <w:t>根据不同课程的性质</w:t>
      </w:r>
      <w:r>
        <w:rPr>
          <w:rFonts w:hint="eastAsia" w:ascii="仿宋_GB2312" w:hAnsi="仿宋_GB2312" w:eastAsia="仿宋_GB2312" w:cs="仿宋_GB2312"/>
          <w:b w:val="0"/>
          <w:bCs w:val="0"/>
          <w:color w:val="auto"/>
          <w:sz w:val="32"/>
          <w:szCs w:val="32"/>
          <w:highlight w:val="none"/>
          <w:lang w:val="en-US" w:eastAsia="zh-CN"/>
        </w:rPr>
        <w:t>特点</w:t>
      </w:r>
      <w:r>
        <w:rPr>
          <w:rFonts w:hint="default" w:ascii="仿宋_GB2312" w:hAnsi="仿宋_GB2312" w:eastAsia="仿宋_GB2312" w:cs="仿宋_GB2312"/>
          <w:b w:val="0"/>
          <w:bCs w:val="0"/>
          <w:color w:val="auto"/>
          <w:sz w:val="32"/>
          <w:szCs w:val="32"/>
          <w:highlight w:val="none"/>
          <w:lang w:val="en-US" w:eastAsia="zh-CN"/>
        </w:rPr>
        <w:t>，在保留传统讲授法、演示法、讨论法、问答法、案例分析法等的基础上</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pPr>
        <w:pStyle w:val="3"/>
        <w:pageBreakBefore w:val="0"/>
        <w:widowControl w:val="0"/>
        <w:kinsoku/>
        <w:wordWrap/>
        <w:topLinePunct w:val="0"/>
        <w:autoSpaceDE/>
        <w:autoSpaceDN/>
        <w:bidi w:val="0"/>
        <w:snapToGrid/>
        <w:spacing w:beforeLines="0" w:after="0" w:afterLines="0" w:line="520" w:lineRule="exact"/>
        <w:ind w:left="0"/>
        <w:textAlignment w:val="auto"/>
        <w:rPr>
          <w:rFonts w:hint="eastAsia"/>
        </w:rPr>
      </w:pPr>
      <w:bookmarkStart w:id="184" w:name="_Toc1793"/>
      <w:bookmarkStart w:id="185" w:name="_Toc28104"/>
      <w:r>
        <w:rPr>
          <w:rFonts w:hint="eastAsia"/>
        </w:rPr>
        <w:t>（</w:t>
      </w:r>
      <w:r>
        <w:rPr>
          <w:rFonts w:hint="eastAsia"/>
          <w:lang w:val="en-US" w:eastAsia="zh-CN"/>
        </w:rPr>
        <w:t>四</w:t>
      </w:r>
      <w:r>
        <w:rPr>
          <w:rFonts w:hint="eastAsia"/>
        </w:rPr>
        <w:t>）</w:t>
      </w:r>
      <w:bookmarkEnd w:id="184"/>
      <w:r>
        <w:rPr>
          <w:rFonts w:hint="eastAsia"/>
        </w:rPr>
        <w:t>学习评价</w:t>
      </w:r>
      <w:bookmarkEnd w:id="185"/>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b w:val="0"/>
          <w:bCs w:val="0"/>
          <w:color w:val="auto"/>
          <w:sz w:val="32"/>
          <w:szCs w:val="32"/>
          <w:highlight w:val="none"/>
          <w:lang w:eastAsia="zh-CN"/>
        </w:rPr>
        <w:t>以</w:t>
      </w:r>
      <w:r>
        <w:rPr>
          <w:rFonts w:hint="eastAsia" w:ascii="仿宋_GB2312" w:hAnsi="仿宋_GB2312" w:eastAsia="仿宋_GB2312" w:cs="仿宋_GB2312"/>
          <w:b w:val="0"/>
          <w:bCs w:val="0"/>
          <w:color w:val="auto"/>
          <w:sz w:val="32"/>
          <w:szCs w:val="32"/>
          <w:highlight w:val="none"/>
        </w:rPr>
        <w:t>学科成绩为核心，改变到以岗位能力为核心的轨道上来。本着为行业企业服务的原则，努力缩小或消除学校评价与企业评价之间的差异。</w:t>
      </w:r>
    </w:p>
    <w:p>
      <w:pPr>
        <w:pStyle w:val="2"/>
        <w:pageBreakBefore w:val="0"/>
        <w:widowControl w:val="0"/>
        <w:kinsoku/>
        <w:wordWrap/>
        <w:topLinePunct w:val="0"/>
        <w:autoSpaceDE/>
        <w:autoSpaceDN/>
        <w:bidi w:val="0"/>
        <w:snapToGrid/>
        <w:spacing w:beforeLines="0" w:after="0" w:afterLines="0" w:line="520" w:lineRule="exact"/>
        <w:ind w:left="0"/>
        <w:textAlignment w:val="auto"/>
        <w:rPr>
          <w:rFonts w:hint="eastAsia"/>
          <w:lang w:val="en-US" w:eastAsia="zh-CN"/>
        </w:rPr>
      </w:pPr>
      <w:bookmarkStart w:id="186" w:name="_Toc2871"/>
      <w:bookmarkStart w:id="187" w:name="_Toc8495"/>
      <w:bookmarkStart w:id="188" w:name="_Toc15587"/>
      <w:bookmarkStart w:id="189" w:name="_Toc30729"/>
      <w:r>
        <w:rPr>
          <w:rFonts w:hint="eastAsia"/>
          <w:lang w:val="en-US" w:eastAsia="zh-CN"/>
        </w:rPr>
        <w:t>十一、</w:t>
      </w:r>
      <w:r>
        <w:rPr>
          <w:rFonts w:hint="eastAsia"/>
        </w:rPr>
        <w:t>质量</w:t>
      </w:r>
      <w:r>
        <w:rPr>
          <w:rFonts w:hint="eastAsia"/>
          <w:lang w:val="en-US" w:eastAsia="zh-CN"/>
        </w:rPr>
        <w:t>保障</w:t>
      </w:r>
      <w:bookmarkEnd w:id="186"/>
      <w:bookmarkEnd w:id="187"/>
      <w:bookmarkEnd w:id="188"/>
      <w:bookmarkEnd w:id="189"/>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3.专业教研室建立线上线下相结合的集中备课制度，定期召开教学研讨会议，利用评价分析结果有效改进专业教学，持续提高人才培养质量。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5.充分利用评价分析结果有效改进专业教学，持续提高人才培养质量。</w:t>
      </w:r>
    </w:p>
    <w:p>
      <w:pPr>
        <w:pStyle w:val="2"/>
        <w:pageBreakBefore w:val="0"/>
        <w:widowControl w:val="0"/>
        <w:kinsoku/>
        <w:wordWrap/>
        <w:topLinePunct w:val="0"/>
        <w:autoSpaceDE/>
        <w:autoSpaceDN/>
        <w:bidi w:val="0"/>
        <w:snapToGrid/>
        <w:spacing w:beforeLines="0" w:after="0" w:afterLines="0" w:line="520" w:lineRule="exact"/>
        <w:ind w:left="0"/>
        <w:textAlignment w:val="auto"/>
        <w:rPr>
          <w:rFonts w:hint="eastAsia" w:ascii="黑体" w:hAnsi="黑体" w:eastAsia="黑体" w:cs="黑体"/>
          <w:b w:val="0"/>
          <w:bCs w:val="0"/>
          <w:color w:val="auto"/>
          <w:szCs w:val="32"/>
          <w:highlight w:val="none"/>
          <w:lang w:eastAsia="zh-CN"/>
        </w:rPr>
      </w:pPr>
      <w:bookmarkStart w:id="190" w:name="_Toc11714"/>
      <w:bookmarkStart w:id="191" w:name="_Toc13264"/>
      <w:bookmarkStart w:id="192" w:name="_Toc23161"/>
      <w:bookmarkStart w:id="193" w:name="_Toc3109"/>
      <w:r>
        <w:rPr>
          <w:rFonts w:hint="eastAsia"/>
          <w:lang w:val="en-US" w:eastAsia="zh-CN"/>
        </w:rPr>
        <w:t>十二、</w:t>
      </w:r>
      <w:r>
        <w:rPr>
          <w:rFonts w:hint="eastAsia"/>
        </w:rPr>
        <w:t>毕业要求</w:t>
      </w:r>
      <w:bookmarkEnd w:id="190"/>
      <w:bookmarkEnd w:id="191"/>
      <w:bookmarkEnd w:id="192"/>
      <w:bookmarkEnd w:id="193"/>
    </w:p>
    <w:p>
      <w:pPr>
        <w:pStyle w:val="3"/>
        <w:keepNext/>
        <w:keepLines/>
        <w:pageBreakBefore w:val="0"/>
        <w:widowControl w:val="0"/>
        <w:numPr>
          <w:ilvl w:val="0"/>
          <w:numId w:val="4"/>
        </w:numPr>
        <w:kinsoku/>
        <w:wordWrap/>
        <w:overflowPunct/>
        <w:topLinePunct w:val="0"/>
        <w:autoSpaceDE/>
        <w:autoSpaceDN/>
        <w:bidi w:val="0"/>
        <w:adjustRightInd/>
        <w:snapToGrid/>
        <w:spacing w:beforeLines="0" w:after="0" w:afterLines="0" w:line="520" w:lineRule="exact"/>
        <w:ind w:left="0"/>
        <w:textAlignment w:val="auto"/>
        <w:rPr>
          <w:rFonts w:hint="eastAsia"/>
          <w:lang w:val="en-US" w:eastAsia="zh-CN"/>
        </w:rPr>
      </w:pPr>
      <w:bookmarkStart w:id="194" w:name="_Toc27424"/>
      <w:bookmarkStart w:id="195" w:name="_Toc13919"/>
      <w:bookmarkStart w:id="196" w:name="_Toc19738"/>
      <w:bookmarkStart w:id="197" w:name="_Toc27257"/>
      <w:r>
        <w:rPr>
          <w:rFonts w:hint="eastAsia"/>
          <w:lang w:val="en-US" w:eastAsia="zh-CN"/>
        </w:rPr>
        <w:t>学分要求</w:t>
      </w:r>
      <w:bookmarkEnd w:id="194"/>
      <w:bookmarkEnd w:id="195"/>
      <w:bookmarkEnd w:id="196"/>
      <w:bookmarkEnd w:id="19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bookmarkStart w:id="198" w:name="_Toc16509"/>
      <w:bookmarkStart w:id="199" w:name="_Toc28282"/>
      <w:bookmarkStart w:id="200" w:name="_Toc1311"/>
      <w:bookmarkStart w:id="201" w:name="_Toc14768"/>
      <w:bookmarkStart w:id="202" w:name="_Toc27000"/>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本专业要求学生根据人才培养方案确定的目标和培养规格，完成规定的实习实训，全部课程考核合格且修满至少147学分。其中，必修课 131学分，选修课 16学分。公共必修课44学分，公共选修课8学分。专业必修课87学分，专业选修课8学分。</w:t>
      </w:r>
      <w:bookmarkEnd w:id="198"/>
      <w:bookmarkEnd w:id="199"/>
      <w:bookmarkEnd w:id="200"/>
      <w:bookmarkEnd w:id="201"/>
      <w:bookmarkEnd w:id="202"/>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0" w:leftChars="0" w:firstLine="0" w:firstLineChars="0"/>
        <w:textAlignment w:val="auto"/>
        <w:outlineLvl w:val="0"/>
        <w:rPr>
          <w:rFonts w:hint="eastAsia" w:ascii="楷体" w:hAnsi="楷体" w:eastAsia="楷体" w:cs="楷体"/>
          <w:color w:val="auto"/>
          <w:kern w:val="2"/>
          <w:sz w:val="32"/>
          <w:szCs w:val="32"/>
          <w:highlight w:val="none"/>
          <w:lang w:val="en-US" w:eastAsia="zh-CN" w:bidi="ar-SA"/>
        </w:rPr>
      </w:pPr>
      <w:bookmarkStart w:id="203" w:name="_Toc8588"/>
      <w:bookmarkStart w:id="204" w:name="_Toc13700"/>
      <w:r>
        <w:rPr>
          <w:rFonts w:hint="eastAsia" w:ascii="楷体" w:hAnsi="楷体" w:eastAsia="楷体" w:cs="楷体"/>
          <w:color w:val="auto"/>
          <w:kern w:val="2"/>
          <w:sz w:val="32"/>
          <w:szCs w:val="32"/>
          <w:highlight w:val="none"/>
          <w:lang w:val="en-US" w:eastAsia="zh-CN" w:bidi="ar-SA"/>
        </w:rPr>
        <w:t>职业类证书要求</w:t>
      </w:r>
      <w:bookmarkEnd w:id="203"/>
      <w:bookmarkEnd w:id="204"/>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大学英语B级证书</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国际经济与贸易专业职业证书一览表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285"/>
        <w:gridCol w:w="2983"/>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285"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983"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2983"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2983"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w:t>
            </w:r>
          </w:p>
        </w:tc>
        <w:tc>
          <w:tcPr>
            <w:tcW w:w="2983"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2983"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大学英语四级（CET-4）</w:t>
            </w:r>
          </w:p>
        </w:tc>
        <w:tc>
          <w:tcPr>
            <w:tcW w:w="2983"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2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电子商务（中级）</w:t>
            </w:r>
          </w:p>
        </w:tc>
        <w:tc>
          <w:tcPr>
            <w:tcW w:w="2983"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bookmarkStart w:id="205" w:name="_Toc7332"/>
      <w:bookmarkStart w:id="206" w:name="_Toc19828"/>
      <w:r>
        <w:rPr>
          <w:rStyle w:val="19"/>
          <w:rFonts w:hint="eastAsia"/>
          <w:lang w:val="en-US" w:eastAsia="zh-CN"/>
        </w:rPr>
        <w:t>（三）</w:t>
      </w:r>
      <w:r>
        <w:rPr>
          <w:rFonts w:hint="eastAsia" w:ascii="楷体" w:hAnsi="楷体" w:eastAsia="楷体" w:cs="楷体"/>
          <w:color w:val="auto"/>
          <w:kern w:val="2"/>
          <w:sz w:val="32"/>
          <w:szCs w:val="32"/>
          <w:lang w:val="en-US" w:eastAsia="zh-CN" w:bidi="ar-SA"/>
        </w:rPr>
        <w:t>综合素质要求</w:t>
      </w:r>
      <w:bookmarkEnd w:id="205"/>
      <w:bookmarkEnd w:id="206"/>
    </w:p>
    <w:p>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坚定理想信念、践行社会主义核心价值观，树立正确劳动观，弘扬劳模精神、劳动精神和工匠精神，恪守职业道德与社会责任感，国家学生体质健康测试合格。具备适配行业岗位的综合素养，掌握专业相关法律法规、绿色生产等职业合规知识，具备一定的文化基础；熟练掌握外贸单证、国际结算等专业核心知识，拥有良好沟通能力；能独立完成进出口贸易全流程、外贸单证处理及跟单工作，具备跨境电商运营、数字应用能力，拥有终身学习和问题解决能力。</w:t>
      </w: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8D33EE6-B9CA-4471-8322-F016E3BC7D2F}"/>
  </w:font>
  <w:font w:name="黑体">
    <w:panose1 w:val="02010609060101010101"/>
    <w:charset w:val="86"/>
    <w:family w:val="auto"/>
    <w:pitch w:val="default"/>
    <w:sig w:usb0="800002BF" w:usb1="38CF7CFA" w:usb2="00000016" w:usb3="00000000" w:csb0="00040001" w:csb1="00000000"/>
    <w:embedRegular r:id="rId2" w:fontKey="{6168FC5F-C7B7-457E-95F5-81151F886C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3" w:fontKey="{78E80AC4-C6ED-423D-9C78-AB62650379DC}"/>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4" w:fontKey="{D76D188E-A842-41A4-A21D-478C490BE4D3}"/>
  </w:font>
  <w:font w:name="华文新魏">
    <w:panose1 w:val="02010800040101010101"/>
    <w:charset w:val="86"/>
    <w:family w:val="auto"/>
    <w:pitch w:val="default"/>
    <w:sig w:usb0="00000001" w:usb1="080F0000" w:usb2="00000000" w:usb3="00000000" w:csb0="00040000" w:csb1="00000000"/>
    <w:embedRegular r:id="rId5" w:fontKey="{EF16C0F9-1648-4580-89E8-A7CC7D42DFD1}"/>
  </w:font>
  <w:font w:name="方正小标宋简体">
    <w:panose1 w:val="02010601030101010101"/>
    <w:charset w:val="86"/>
    <w:family w:val="script"/>
    <w:pitch w:val="default"/>
    <w:sig w:usb0="00000001" w:usb1="080E0000" w:usb2="00000000" w:usb3="00000000" w:csb0="00040000" w:csb1="00000000"/>
    <w:embedRegular r:id="rId6" w:fontKey="{D0EA14A2-294D-4E7F-AB65-8619A4A1E286}"/>
  </w:font>
  <w:font w:name="仿宋_GB2312">
    <w:panose1 w:val="02010609030101010101"/>
    <w:charset w:val="86"/>
    <w:family w:val="modern"/>
    <w:pitch w:val="default"/>
    <w:sig w:usb0="00000001" w:usb1="080E0000" w:usb2="00000000" w:usb3="00000000" w:csb0="00040000" w:csb1="00000000"/>
    <w:embedRegular r:id="rId7" w:fontKey="{89A97E44-021D-4D45-B183-58040CD52C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91541D"/>
    <w:multiLevelType w:val="singleLevel"/>
    <w:tmpl w:val="B691541D"/>
    <w:lvl w:ilvl="0" w:tentative="0">
      <w:start w:val="2"/>
      <w:numFmt w:val="decimal"/>
      <w:suff w:val="nothing"/>
      <w:lvlText w:val="（%1）"/>
      <w:lvlJc w:val="left"/>
    </w:lvl>
  </w:abstractNum>
  <w:abstractNum w:abstractNumId="1">
    <w:nsid w:val="CAC8AF89"/>
    <w:multiLevelType w:val="singleLevel"/>
    <w:tmpl w:val="CAC8AF89"/>
    <w:lvl w:ilvl="0" w:tentative="0">
      <w:start w:val="1"/>
      <w:numFmt w:val="chineseCounting"/>
      <w:suff w:val="nothing"/>
      <w:lvlText w:val="（%1）"/>
      <w:lvlJc w:val="left"/>
      <w:rPr>
        <w:rFonts w:hint="eastAsia"/>
      </w:rPr>
    </w:lvl>
  </w:abstractNum>
  <w:abstractNum w:abstractNumId="2">
    <w:nsid w:val="EB2D466B"/>
    <w:multiLevelType w:val="singleLevel"/>
    <w:tmpl w:val="EB2D466B"/>
    <w:lvl w:ilvl="0" w:tentative="0">
      <w:start w:val="1"/>
      <w:numFmt w:val="chineseCounting"/>
      <w:suff w:val="nothing"/>
      <w:lvlText w:val="（%1）"/>
      <w:lvlJc w:val="left"/>
      <w:rPr>
        <w:rFonts w:hint="eastAsia"/>
      </w:rPr>
    </w:lvl>
  </w:abstractNum>
  <w:abstractNum w:abstractNumId="3">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9F097D"/>
    <w:rsid w:val="00A12741"/>
    <w:rsid w:val="00A165B0"/>
    <w:rsid w:val="00A23811"/>
    <w:rsid w:val="00AB71CC"/>
    <w:rsid w:val="00B14C0C"/>
    <w:rsid w:val="00B46AB6"/>
    <w:rsid w:val="00B91791"/>
    <w:rsid w:val="00BE35DE"/>
    <w:rsid w:val="00C3446C"/>
    <w:rsid w:val="00C4271B"/>
    <w:rsid w:val="00D03D56"/>
    <w:rsid w:val="00E2700A"/>
    <w:rsid w:val="00ED3BD8"/>
    <w:rsid w:val="00F52A8D"/>
    <w:rsid w:val="00F63617"/>
    <w:rsid w:val="00F82685"/>
    <w:rsid w:val="00FA77F6"/>
    <w:rsid w:val="00FB052B"/>
    <w:rsid w:val="01514167"/>
    <w:rsid w:val="01782FC9"/>
    <w:rsid w:val="01786F4B"/>
    <w:rsid w:val="01AA3877"/>
    <w:rsid w:val="02661E94"/>
    <w:rsid w:val="02CD5374"/>
    <w:rsid w:val="02D5292F"/>
    <w:rsid w:val="03304250"/>
    <w:rsid w:val="03745814"/>
    <w:rsid w:val="03A07894"/>
    <w:rsid w:val="048C3708"/>
    <w:rsid w:val="04BC3FEE"/>
    <w:rsid w:val="051223C4"/>
    <w:rsid w:val="062E0F1B"/>
    <w:rsid w:val="0646035D"/>
    <w:rsid w:val="06471FDD"/>
    <w:rsid w:val="06C90C44"/>
    <w:rsid w:val="070954E4"/>
    <w:rsid w:val="07322345"/>
    <w:rsid w:val="082F2519"/>
    <w:rsid w:val="084C7436"/>
    <w:rsid w:val="08DA7138"/>
    <w:rsid w:val="08F70DAF"/>
    <w:rsid w:val="09075A53"/>
    <w:rsid w:val="094D790A"/>
    <w:rsid w:val="095347F5"/>
    <w:rsid w:val="09CB082F"/>
    <w:rsid w:val="09D45935"/>
    <w:rsid w:val="0A1E4E03"/>
    <w:rsid w:val="0A634F0B"/>
    <w:rsid w:val="0AC91212"/>
    <w:rsid w:val="0AFF69E2"/>
    <w:rsid w:val="0B64718D"/>
    <w:rsid w:val="0B9E269F"/>
    <w:rsid w:val="0BB93035"/>
    <w:rsid w:val="0C0A3BA0"/>
    <w:rsid w:val="0CE642FD"/>
    <w:rsid w:val="0D3000CB"/>
    <w:rsid w:val="0D5521C5"/>
    <w:rsid w:val="0DE924A0"/>
    <w:rsid w:val="0DF63BA9"/>
    <w:rsid w:val="0E2350DD"/>
    <w:rsid w:val="0E5E6115"/>
    <w:rsid w:val="0ED4462A"/>
    <w:rsid w:val="0F386966"/>
    <w:rsid w:val="0F576449"/>
    <w:rsid w:val="0F812D6A"/>
    <w:rsid w:val="0FA47B58"/>
    <w:rsid w:val="0FA67D74"/>
    <w:rsid w:val="0FD20B69"/>
    <w:rsid w:val="0FE4089C"/>
    <w:rsid w:val="10093E5F"/>
    <w:rsid w:val="10152804"/>
    <w:rsid w:val="10234F21"/>
    <w:rsid w:val="1069447E"/>
    <w:rsid w:val="10914580"/>
    <w:rsid w:val="10EE36A0"/>
    <w:rsid w:val="116752E1"/>
    <w:rsid w:val="11EB6E22"/>
    <w:rsid w:val="12485112"/>
    <w:rsid w:val="127F665A"/>
    <w:rsid w:val="12DC3AAD"/>
    <w:rsid w:val="12F708E7"/>
    <w:rsid w:val="13203999"/>
    <w:rsid w:val="135C5E82"/>
    <w:rsid w:val="137422CC"/>
    <w:rsid w:val="139B5716"/>
    <w:rsid w:val="13C77F07"/>
    <w:rsid w:val="13F454F6"/>
    <w:rsid w:val="14A800EA"/>
    <w:rsid w:val="15001CD4"/>
    <w:rsid w:val="150317C5"/>
    <w:rsid w:val="15202377"/>
    <w:rsid w:val="15542020"/>
    <w:rsid w:val="160207E7"/>
    <w:rsid w:val="165F0C7D"/>
    <w:rsid w:val="1699418F"/>
    <w:rsid w:val="16995FBA"/>
    <w:rsid w:val="16A42B33"/>
    <w:rsid w:val="16DC051F"/>
    <w:rsid w:val="170B4961"/>
    <w:rsid w:val="1740285C"/>
    <w:rsid w:val="1749510D"/>
    <w:rsid w:val="1796247C"/>
    <w:rsid w:val="18CB084B"/>
    <w:rsid w:val="19481E9C"/>
    <w:rsid w:val="19AF3CC9"/>
    <w:rsid w:val="1A262FB5"/>
    <w:rsid w:val="1AA0083B"/>
    <w:rsid w:val="1AE45BF4"/>
    <w:rsid w:val="1BAE7956"/>
    <w:rsid w:val="1BCC19A4"/>
    <w:rsid w:val="1BF93A5C"/>
    <w:rsid w:val="1C27223D"/>
    <w:rsid w:val="1C6F14EE"/>
    <w:rsid w:val="1CB25FAA"/>
    <w:rsid w:val="1D0377EB"/>
    <w:rsid w:val="1D24677C"/>
    <w:rsid w:val="1D90796E"/>
    <w:rsid w:val="1DBF59D4"/>
    <w:rsid w:val="1DD51824"/>
    <w:rsid w:val="1E2C0849"/>
    <w:rsid w:val="1E4B3DFE"/>
    <w:rsid w:val="1E91399D"/>
    <w:rsid w:val="1EA77665"/>
    <w:rsid w:val="1ECC6B87"/>
    <w:rsid w:val="1F3A7811"/>
    <w:rsid w:val="1F5350F7"/>
    <w:rsid w:val="1FB17C46"/>
    <w:rsid w:val="1FB21E1D"/>
    <w:rsid w:val="1FBC2C9C"/>
    <w:rsid w:val="207417C9"/>
    <w:rsid w:val="20AA343C"/>
    <w:rsid w:val="20AD7038"/>
    <w:rsid w:val="20BE4D41"/>
    <w:rsid w:val="20E56222"/>
    <w:rsid w:val="210E0F0E"/>
    <w:rsid w:val="216D1C2B"/>
    <w:rsid w:val="2170143C"/>
    <w:rsid w:val="21EB3D26"/>
    <w:rsid w:val="22123047"/>
    <w:rsid w:val="223461B5"/>
    <w:rsid w:val="22967FAA"/>
    <w:rsid w:val="22A00653"/>
    <w:rsid w:val="2338088B"/>
    <w:rsid w:val="236773C3"/>
    <w:rsid w:val="237D0994"/>
    <w:rsid w:val="23954DD6"/>
    <w:rsid w:val="23D42CAA"/>
    <w:rsid w:val="242B03F0"/>
    <w:rsid w:val="247934AE"/>
    <w:rsid w:val="249D12EE"/>
    <w:rsid w:val="24E76143"/>
    <w:rsid w:val="24EA2020"/>
    <w:rsid w:val="24F353B2"/>
    <w:rsid w:val="25386DBD"/>
    <w:rsid w:val="267A11BB"/>
    <w:rsid w:val="267D7507"/>
    <w:rsid w:val="27075144"/>
    <w:rsid w:val="27441EF5"/>
    <w:rsid w:val="2775503D"/>
    <w:rsid w:val="27AE3812"/>
    <w:rsid w:val="27F5401D"/>
    <w:rsid w:val="282668DD"/>
    <w:rsid w:val="28557849"/>
    <w:rsid w:val="285A12A4"/>
    <w:rsid w:val="289A5B44"/>
    <w:rsid w:val="28BD30CD"/>
    <w:rsid w:val="29604312"/>
    <w:rsid w:val="296E1A2F"/>
    <w:rsid w:val="29943CA6"/>
    <w:rsid w:val="29B449E4"/>
    <w:rsid w:val="29C72B81"/>
    <w:rsid w:val="29F55728"/>
    <w:rsid w:val="2ADA0ABE"/>
    <w:rsid w:val="2AED3B5C"/>
    <w:rsid w:val="2B0F281A"/>
    <w:rsid w:val="2B8D373E"/>
    <w:rsid w:val="2BF11F1F"/>
    <w:rsid w:val="2C802418"/>
    <w:rsid w:val="2CB341C7"/>
    <w:rsid w:val="2CC66F08"/>
    <w:rsid w:val="2CEB2E12"/>
    <w:rsid w:val="2D5704A8"/>
    <w:rsid w:val="2D8165B1"/>
    <w:rsid w:val="2D8454C6"/>
    <w:rsid w:val="2D964B2C"/>
    <w:rsid w:val="2DAC4350"/>
    <w:rsid w:val="2DE47F8D"/>
    <w:rsid w:val="2E0A6A77"/>
    <w:rsid w:val="2E810528"/>
    <w:rsid w:val="2F083808"/>
    <w:rsid w:val="2F34284F"/>
    <w:rsid w:val="2F436F36"/>
    <w:rsid w:val="2F7A2E0A"/>
    <w:rsid w:val="2F896FB8"/>
    <w:rsid w:val="2F8D1F5F"/>
    <w:rsid w:val="2FA96B3D"/>
    <w:rsid w:val="2FD933F6"/>
    <w:rsid w:val="30042360"/>
    <w:rsid w:val="30330A2F"/>
    <w:rsid w:val="30835A3B"/>
    <w:rsid w:val="30A6152A"/>
    <w:rsid w:val="30A77050"/>
    <w:rsid w:val="30B92745"/>
    <w:rsid w:val="30DC27D6"/>
    <w:rsid w:val="3115220C"/>
    <w:rsid w:val="31342FDA"/>
    <w:rsid w:val="318A49A8"/>
    <w:rsid w:val="31A83FF1"/>
    <w:rsid w:val="31AA329C"/>
    <w:rsid w:val="31D2634F"/>
    <w:rsid w:val="32102C1C"/>
    <w:rsid w:val="321D581C"/>
    <w:rsid w:val="32F32A21"/>
    <w:rsid w:val="32F92E4C"/>
    <w:rsid w:val="32FA3DAF"/>
    <w:rsid w:val="33260700"/>
    <w:rsid w:val="33266952"/>
    <w:rsid w:val="33AE06F6"/>
    <w:rsid w:val="33B93C14"/>
    <w:rsid w:val="33BB425F"/>
    <w:rsid w:val="34713AC5"/>
    <w:rsid w:val="348B3F97"/>
    <w:rsid w:val="34B65AB4"/>
    <w:rsid w:val="34B97B86"/>
    <w:rsid w:val="34C46423"/>
    <w:rsid w:val="34EA50C0"/>
    <w:rsid w:val="357449D1"/>
    <w:rsid w:val="35E93C67"/>
    <w:rsid w:val="364315C9"/>
    <w:rsid w:val="36657792"/>
    <w:rsid w:val="36A01DF8"/>
    <w:rsid w:val="370E7E29"/>
    <w:rsid w:val="376B0DD8"/>
    <w:rsid w:val="3770165B"/>
    <w:rsid w:val="37960DB8"/>
    <w:rsid w:val="37AD2573"/>
    <w:rsid w:val="37C01B91"/>
    <w:rsid w:val="37DD0F30"/>
    <w:rsid w:val="37F01228"/>
    <w:rsid w:val="381153F4"/>
    <w:rsid w:val="38481119"/>
    <w:rsid w:val="38877EE4"/>
    <w:rsid w:val="38C22C79"/>
    <w:rsid w:val="39372651"/>
    <w:rsid w:val="39A700C1"/>
    <w:rsid w:val="3A451367"/>
    <w:rsid w:val="3A60099C"/>
    <w:rsid w:val="3A6D5E34"/>
    <w:rsid w:val="3A7A7584"/>
    <w:rsid w:val="3A995C5C"/>
    <w:rsid w:val="3AAF774C"/>
    <w:rsid w:val="3AEA4709"/>
    <w:rsid w:val="3B4007CD"/>
    <w:rsid w:val="3C17152E"/>
    <w:rsid w:val="3D0047E4"/>
    <w:rsid w:val="3D766728"/>
    <w:rsid w:val="3D9F7A2D"/>
    <w:rsid w:val="3DAD2030"/>
    <w:rsid w:val="3E4D7489"/>
    <w:rsid w:val="3E6531DE"/>
    <w:rsid w:val="3E6B790F"/>
    <w:rsid w:val="3E725142"/>
    <w:rsid w:val="3EB92D70"/>
    <w:rsid w:val="3F6A4DBB"/>
    <w:rsid w:val="3F785DC7"/>
    <w:rsid w:val="3FF86C17"/>
    <w:rsid w:val="3FFC1167"/>
    <w:rsid w:val="40077B0C"/>
    <w:rsid w:val="404B5C4A"/>
    <w:rsid w:val="40664832"/>
    <w:rsid w:val="4084115C"/>
    <w:rsid w:val="4099592E"/>
    <w:rsid w:val="40B53BBC"/>
    <w:rsid w:val="40B557B9"/>
    <w:rsid w:val="40C8470D"/>
    <w:rsid w:val="413D6362"/>
    <w:rsid w:val="41540B2E"/>
    <w:rsid w:val="415648A7"/>
    <w:rsid w:val="41727207"/>
    <w:rsid w:val="41982DB1"/>
    <w:rsid w:val="41A42FA1"/>
    <w:rsid w:val="41BB6E00"/>
    <w:rsid w:val="41CF62FB"/>
    <w:rsid w:val="41DE5079"/>
    <w:rsid w:val="422A57D8"/>
    <w:rsid w:val="42817701"/>
    <w:rsid w:val="428611BC"/>
    <w:rsid w:val="42B86E9B"/>
    <w:rsid w:val="43105F3B"/>
    <w:rsid w:val="436463B1"/>
    <w:rsid w:val="43713C1A"/>
    <w:rsid w:val="43792ACE"/>
    <w:rsid w:val="43A538C3"/>
    <w:rsid w:val="43C755E8"/>
    <w:rsid w:val="44380293"/>
    <w:rsid w:val="447D65EE"/>
    <w:rsid w:val="44A43B7B"/>
    <w:rsid w:val="44B71B00"/>
    <w:rsid w:val="44B862E9"/>
    <w:rsid w:val="455530C7"/>
    <w:rsid w:val="45C34B6E"/>
    <w:rsid w:val="4602706C"/>
    <w:rsid w:val="46733805"/>
    <w:rsid w:val="46885910"/>
    <w:rsid w:val="46B856BC"/>
    <w:rsid w:val="46EE10DD"/>
    <w:rsid w:val="46F661E4"/>
    <w:rsid w:val="47103740"/>
    <w:rsid w:val="471C3E9C"/>
    <w:rsid w:val="4803505C"/>
    <w:rsid w:val="480A0199"/>
    <w:rsid w:val="48A57EC2"/>
    <w:rsid w:val="48AE4FC8"/>
    <w:rsid w:val="48BA396D"/>
    <w:rsid w:val="48BD16AF"/>
    <w:rsid w:val="48DF1625"/>
    <w:rsid w:val="48E56510"/>
    <w:rsid w:val="49395702"/>
    <w:rsid w:val="49843F7B"/>
    <w:rsid w:val="49A63EF1"/>
    <w:rsid w:val="4A3C6604"/>
    <w:rsid w:val="4AA20B5D"/>
    <w:rsid w:val="4AD8632C"/>
    <w:rsid w:val="4AF15640"/>
    <w:rsid w:val="4AFA62A3"/>
    <w:rsid w:val="4B1A3087"/>
    <w:rsid w:val="4B726781"/>
    <w:rsid w:val="4C0272E2"/>
    <w:rsid w:val="4C0C0983"/>
    <w:rsid w:val="4C1149B8"/>
    <w:rsid w:val="4C675BBA"/>
    <w:rsid w:val="4CC8446D"/>
    <w:rsid w:val="4D135D42"/>
    <w:rsid w:val="4D1473C4"/>
    <w:rsid w:val="4DDE6EBC"/>
    <w:rsid w:val="4E514358"/>
    <w:rsid w:val="4E5C7274"/>
    <w:rsid w:val="4F585C8E"/>
    <w:rsid w:val="4F6B3C13"/>
    <w:rsid w:val="4F7D56F4"/>
    <w:rsid w:val="509C4C8B"/>
    <w:rsid w:val="5135219E"/>
    <w:rsid w:val="51C30881"/>
    <w:rsid w:val="51D535C6"/>
    <w:rsid w:val="51FE1E87"/>
    <w:rsid w:val="522105B9"/>
    <w:rsid w:val="5259656B"/>
    <w:rsid w:val="52692EA3"/>
    <w:rsid w:val="535B634F"/>
    <w:rsid w:val="53807561"/>
    <w:rsid w:val="53BA55A7"/>
    <w:rsid w:val="53C71634"/>
    <w:rsid w:val="542919A7"/>
    <w:rsid w:val="55D607AC"/>
    <w:rsid w:val="55D87B28"/>
    <w:rsid w:val="55E62245"/>
    <w:rsid w:val="56397652"/>
    <w:rsid w:val="565C2507"/>
    <w:rsid w:val="566118CC"/>
    <w:rsid w:val="56A23A63"/>
    <w:rsid w:val="56F95FA8"/>
    <w:rsid w:val="572D5C52"/>
    <w:rsid w:val="580E0882"/>
    <w:rsid w:val="58337298"/>
    <w:rsid w:val="58680DC2"/>
    <w:rsid w:val="588673C8"/>
    <w:rsid w:val="58E02A3F"/>
    <w:rsid w:val="5900361E"/>
    <w:rsid w:val="59221995"/>
    <w:rsid w:val="592F7A5F"/>
    <w:rsid w:val="59345076"/>
    <w:rsid w:val="59575208"/>
    <w:rsid w:val="595C12A3"/>
    <w:rsid w:val="5996188C"/>
    <w:rsid w:val="59C77C98"/>
    <w:rsid w:val="59DE1485"/>
    <w:rsid w:val="5A156465"/>
    <w:rsid w:val="5A9F0C15"/>
    <w:rsid w:val="5AD36B10"/>
    <w:rsid w:val="5AE64A95"/>
    <w:rsid w:val="5B137EF8"/>
    <w:rsid w:val="5B1F1DFE"/>
    <w:rsid w:val="5B322D65"/>
    <w:rsid w:val="5B9C1FF6"/>
    <w:rsid w:val="5BBC75A4"/>
    <w:rsid w:val="5BCC4E68"/>
    <w:rsid w:val="5C0E6052"/>
    <w:rsid w:val="5C2F421A"/>
    <w:rsid w:val="5C38700F"/>
    <w:rsid w:val="5C4E644E"/>
    <w:rsid w:val="5C606182"/>
    <w:rsid w:val="5C8C341B"/>
    <w:rsid w:val="5C9B365E"/>
    <w:rsid w:val="5CD1707F"/>
    <w:rsid w:val="5D01298C"/>
    <w:rsid w:val="5D206DB4"/>
    <w:rsid w:val="5D292A17"/>
    <w:rsid w:val="5D7F56A6"/>
    <w:rsid w:val="5DBE5DE3"/>
    <w:rsid w:val="5DCF53BC"/>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3462B2"/>
    <w:rsid w:val="608D150F"/>
    <w:rsid w:val="611D2893"/>
    <w:rsid w:val="613D1187"/>
    <w:rsid w:val="614442C4"/>
    <w:rsid w:val="61750921"/>
    <w:rsid w:val="617A5F38"/>
    <w:rsid w:val="61926DDD"/>
    <w:rsid w:val="622C26F6"/>
    <w:rsid w:val="62386256"/>
    <w:rsid w:val="62D11B87"/>
    <w:rsid w:val="62E80EC0"/>
    <w:rsid w:val="62F33E03"/>
    <w:rsid w:val="631D301E"/>
    <w:rsid w:val="631F49AF"/>
    <w:rsid w:val="632717A7"/>
    <w:rsid w:val="6384309D"/>
    <w:rsid w:val="638D0589"/>
    <w:rsid w:val="63CE39A4"/>
    <w:rsid w:val="63D27965"/>
    <w:rsid w:val="64025D70"/>
    <w:rsid w:val="643017E4"/>
    <w:rsid w:val="644840CB"/>
    <w:rsid w:val="64871DF6"/>
    <w:rsid w:val="64922B39"/>
    <w:rsid w:val="64966BE4"/>
    <w:rsid w:val="64D3731B"/>
    <w:rsid w:val="65165F77"/>
    <w:rsid w:val="65FE0EE5"/>
    <w:rsid w:val="663F14FE"/>
    <w:rsid w:val="66707909"/>
    <w:rsid w:val="66B141AA"/>
    <w:rsid w:val="67470A9D"/>
    <w:rsid w:val="6773145F"/>
    <w:rsid w:val="67B90B06"/>
    <w:rsid w:val="67FA56DC"/>
    <w:rsid w:val="681A3FD0"/>
    <w:rsid w:val="6888718C"/>
    <w:rsid w:val="68B25FB7"/>
    <w:rsid w:val="68EF2D67"/>
    <w:rsid w:val="69164798"/>
    <w:rsid w:val="69D837FB"/>
    <w:rsid w:val="6A246A40"/>
    <w:rsid w:val="6A9C6F1F"/>
    <w:rsid w:val="6ABA1153"/>
    <w:rsid w:val="6AF16C5A"/>
    <w:rsid w:val="6AF44665"/>
    <w:rsid w:val="6BDB75D3"/>
    <w:rsid w:val="6BF80185"/>
    <w:rsid w:val="6C2B055A"/>
    <w:rsid w:val="6C423AF6"/>
    <w:rsid w:val="6C8A72E3"/>
    <w:rsid w:val="6C923EBF"/>
    <w:rsid w:val="6D1D49F8"/>
    <w:rsid w:val="6D480C98"/>
    <w:rsid w:val="6D8F2D6B"/>
    <w:rsid w:val="6E0C43BB"/>
    <w:rsid w:val="6E873A42"/>
    <w:rsid w:val="6E9C29A2"/>
    <w:rsid w:val="6EF07839"/>
    <w:rsid w:val="6F2F65B3"/>
    <w:rsid w:val="6FB37566"/>
    <w:rsid w:val="6FC4358D"/>
    <w:rsid w:val="6FEF5EFE"/>
    <w:rsid w:val="6FF128C8"/>
    <w:rsid w:val="6FF60E7F"/>
    <w:rsid w:val="70187047"/>
    <w:rsid w:val="70737788"/>
    <w:rsid w:val="713C6D66"/>
    <w:rsid w:val="71DD2CB4"/>
    <w:rsid w:val="72011973"/>
    <w:rsid w:val="72563E57"/>
    <w:rsid w:val="72AD2C16"/>
    <w:rsid w:val="72DA6836"/>
    <w:rsid w:val="72F21DD2"/>
    <w:rsid w:val="72FF629D"/>
    <w:rsid w:val="730022F6"/>
    <w:rsid w:val="732301DD"/>
    <w:rsid w:val="732950C8"/>
    <w:rsid w:val="735E76C4"/>
    <w:rsid w:val="73C372CA"/>
    <w:rsid w:val="73C60B68"/>
    <w:rsid w:val="73FD2CDB"/>
    <w:rsid w:val="74024296"/>
    <w:rsid w:val="74185868"/>
    <w:rsid w:val="742510D0"/>
    <w:rsid w:val="74257F85"/>
    <w:rsid w:val="744F0B5E"/>
    <w:rsid w:val="747223CA"/>
    <w:rsid w:val="749A44CF"/>
    <w:rsid w:val="74F55BA9"/>
    <w:rsid w:val="74F6722B"/>
    <w:rsid w:val="751A53DD"/>
    <w:rsid w:val="75504B8E"/>
    <w:rsid w:val="75D36506"/>
    <w:rsid w:val="76191423"/>
    <w:rsid w:val="76326989"/>
    <w:rsid w:val="76562678"/>
    <w:rsid w:val="7718792D"/>
    <w:rsid w:val="771E3AEF"/>
    <w:rsid w:val="77D965A0"/>
    <w:rsid w:val="77FC484A"/>
    <w:rsid w:val="782C5979"/>
    <w:rsid w:val="7847671C"/>
    <w:rsid w:val="789254BD"/>
    <w:rsid w:val="79002D6F"/>
    <w:rsid w:val="791660EE"/>
    <w:rsid w:val="79751DE3"/>
    <w:rsid w:val="7A1E674C"/>
    <w:rsid w:val="7A965FF5"/>
    <w:rsid w:val="7ACD2A7B"/>
    <w:rsid w:val="7B821819"/>
    <w:rsid w:val="7BAC4AE8"/>
    <w:rsid w:val="7C9C690A"/>
    <w:rsid w:val="7D1172F8"/>
    <w:rsid w:val="7D7B6E68"/>
    <w:rsid w:val="7DAC0DCF"/>
    <w:rsid w:val="7E372159"/>
    <w:rsid w:val="7E6F518E"/>
    <w:rsid w:val="7EAF501B"/>
    <w:rsid w:val="7EDA3881"/>
    <w:rsid w:val="7F080287"/>
    <w:rsid w:val="7F0D5154"/>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480" w:firstLineChars="200"/>
      <w:outlineLvl w:val="0"/>
    </w:pPr>
    <w:rPr>
      <w:rFonts w:ascii="Times New Roman" w:hAnsi="Times New Roman" w:eastAsia="黑体"/>
      <w:kern w:val="44"/>
      <w:sz w:val="32"/>
    </w:rPr>
  </w:style>
  <w:style w:type="paragraph" w:styleId="3">
    <w:name w:val="heading 2"/>
    <w:basedOn w:val="1"/>
    <w:next w:val="1"/>
    <w:link w:val="19"/>
    <w:unhideWhenUsed/>
    <w:qFormat/>
    <w:uiPriority w:val="0"/>
    <w:pPr>
      <w:keepNext/>
      <w:keepLines/>
      <w:spacing w:beforeLines="0" w:beforeAutospacing="0" w:afterLines="0" w:afterAutospacing="0" w:line="540" w:lineRule="exact"/>
      <w:ind w:firstLine="420" w:firstLineChars="200"/>
      <w:outlineLvl w:val="1"/>
    </w:pPr>
    <w:rPr>
      <w:rFonts w:ascii="Arial" w:hAnsi="Arial" w:eastAsia="楷体"/>
      <w:sz w:val="32"/>
    </w:rPr>
  </w:style>
  <w:style w:type="paragraph" w:styleId="4">
    <w:name w:val="heading 3"/>
    <w:basedOn w:val="1"/>
    <w:next w:val="1"/>
    <w:link w:val="18"/>
    <w:qFormat/>
    <w:uiPriority w:val="9"/>
    <w:pPr>
      <w:keepNext/>
      <w:keepLines/>
      <w:spacing w:before="40"/>
      <w:outlineLvl w:val="2"/>
    </w:pPr>
    <w:rPr>
      <w:rFonts w:ascii="Calibri Light" w:hAnsi="Calibri Light"/>
      <w:color w:val="0D0D0D"/>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_Style 13"/>
    <w:qFormat/>
    <w:uiPriority w:val="0"/>
    <w:pPr>
      <w:spacing w:before="120" w:after="120" w:line="288" w:lineRule="auto"/>
      <w:ind w:left="0"/>
      <w:jc w:val="left"/>
    </w:pPr>
    <w:rPr>
      <w:rFonts w:ascii="Arial" w:hAnsi="Arial" w:eastAsia="等线" w:cs="Arial"/>
      <w:sz w:val="22"/>
      <w:szCs w:val="22"/>
    </w:rPr>
  </w:style>
  <w:style w:type="character" w:customStyle="1" w:styleId="18">
    <w:name w:val="标题 3 Char"/>
    <w:link w:val="4"/>
    <w:qFormat/>
    <w:uiPriority w:val="9"/>
    <w:rPr>
      <w:rFonts w:ascii="Calibri Light" w:hAnsi="Calibri Light"/>
      <w:color w:val="0D0D0D"/>
      <w:sz w:val="24"/>
    </w:rPr>
  </w:style>
  <w:style w:type="character" w:customStyle="1" w:styleId="19">
    <w:name w:val="标题 2 Char"/>
    <w:link w:val="3"/>
    <w:qFormat/>
    <w:uiPriority w:val="0"/>
    <w:rPr>
      <w:rFonts w:ascii="Arial" w:hAnsi="Arial" w:eastAsia="楷体"/>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513f4d3a-53af-4963-b3c1-c985a22b71c7</errorID>
      <errorWord>适于</errorWord>
      <group>L1_AI</group>
      <groupName>深度校对</groupName>
      <ability>L2_AI_Word</ability>
      <abilityName>字词纠错</abilityName>
      <candidateList>
        <item>适用于</item>
      </candidateList>
      <explain/>
      <paraID>7F153B69</paraID>
      <start>9</start>
      <end>11</end>
      <status>unmodified</status>
      <modifiedWord/>
      <trackRevisions>false</trackRevisions>
    </reviewItem>
    <reviewItem>
      <errorID>4a3afaed-d14e-42d4-9386-6a0fbfd6e3ee</errorID>
      <errorWord>有限公司公司</errorWord>
      <group>L1_AI</group>
      <groupName>深度校对</groupName>
      <ability>L2_AI_Grammar</ability>
      <abilityName>语法纠错</abilityName>
      <candidateList>
        <item>有限公司</item>
      </candidateList>
      <explain/>
      <paraID>7F153B69</paraID>
      <start>54</start>
      <end>58</end>
      <status>modified</status>
      <modifiedWord>有限公司</modifiedWord>
      <trackRevisions>false</trackRevisions>
    </reviewItem>
    <reviewItem>
      <errorID>6956506a-d0ce-40ab-9ce5-ebc2aa24d0f3</errorID>
      <errorWord>同等学力</errorWord>
      <group>L1_Word</group>
      <groupName>字词问题</groupName>
      <ability>L2_Typo</ability>
      <abilityName>字词错误</abilityName>
      <candidateList>
        <item>同等学历</item>
      </candidateList>
      <explain/>
      <paraID>4199AFF7</paraID>
      <start>20</start>
      <end>24</end>
      <status>modified</status>
      <modifiedWord>同等学历</modifiedWord>
      <trackRevisions>false</trackRevisions>
    </reviewItem>
    <reviewItem>
      <errorID>90964fa5-72a0-4653-85cc-80f65739ce46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6872EC6</paraID>
      <start>22</start>
      <end>23</end>
      <status>unmodified</status>
      <modifiedWord/>
      <trackRevisions>false</trackRevisions>
    </reviewItem>
    <reviewItem>
      <errorID>83dc2742-9e34-40de-9359-b8056b7601c9</errorID>
      <errorWord>，培养</errorWord>
      <group>L1_AI</group>
      <groupName>深度校对</groupName>
      <ability>L2_AI_Grammar</ability>
      <abilityName>语法纠错</abilityName>
      <candidateList>
        <item>，</item>
      </candidateList>
      <explain/>
      <paraID>3C3D2752</paraID>
      <start>50</start>
      <end>53</end>
      <status>unmodified</status>
      <modifiedWord/>
      <trackRevisions>false</trackRevisions>
    </reviewItem>
    <reviewItem>
      <errorID>21644d5f-0fa6-490f-b383-a858437e7ca3</errorID>
      <errorWord>发展的</errorWord>
      <group>L1_Word</group>
      <groupName>字词问题</groupName>
      <ability>L2_Typo</ability>
      <abilityName>字词错误</abilityName>
      <candidateList>
        <item>发展</item>
      </candidateList>
      <explain>〈动〉❶事物由小到大、由简单到复杂、由低级到高级的变化：事态还在～｜社会～规律。❷扩大（组织、规模等）：～新会员｜～轻纺工业。</explain>
      <paraID>3C3D2752</paraID>
      <start>157</start>
      <end>160</end>
      <status>unmodified</status>
      <modifiedWord/>
      <trackRevisions>false</trackRevisions>
    </reviewItem>
    <reviewItem>
      <errorID>0ab17b99-eddf-4d04-be9a-6faf1db1ef50</errorID>
      <errorWord>基础课</errorWord>
      <group>L1_AI</group>
      <groupName>深度校对</groupName>
      <ability>L2_AI_Word</ability>
      <abilityName>字词纠错</abilityName>
      <candidateList>
        <item>基础</item>
      </candidateList>
      <explain/>
      <paraID>36C55D4D</paraID>
      <start>5</start>
      <end>8</end>
      <status>unmodified</status>
      <modifiedWord/>
      <trackRevisions>false</trackRevisions>
    </reviewItem>
    <reviewItem>
      <errorID>00563c8b-c255-48a9-8687-edf4afae1d75</errorID>
      <errorWord>判断上</errorWord>
      <group>L1_Word</group>
      <groupName>字词问题</groupName>
      <ability>L2_Typo</ability>
      <abilityName>字词错误</abilityName>
      <candidateList>
        <item>判断</item>
      </candidateList>
      <explain/>
      <paraID>2608B49B</paraID>
      <start>47</start>
      <end>50</end>
      <status>unmodified</status>
      <modifiedWord/>
      <trackRevisions>false</trackRevisions>
    </reviewItem>
    <reviewItem>
      <errorID>a79cf0aa-0d75-4e94-8ca0-d837b42bc16f</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780D640C</paraID>
      <start>94</start>
      <end>101</end>
      <status>unmodified</status>
      <modifiedWord/>
      <trackRevisions>false</trackRevisions>
    </reviewItem>
    <reviewItem>
      <errorID>56f87ead-3b74-4d24-9bb5-116b9ae356d0</errorID>
      <errorWord>围绕在</errorWord>
      <group>L1_Word</group>
      <groupName>字词问题</groupName>
      <ability>L2_Typo</ability>
      <abilityName>字词错误</abilityName>
      <candidateList>
        <item>围绕</item>
      </candidateList>
      <explain/>
      <paraID>780D640C</paraID>
      <start>104</start>
      <end>107</end>
      <status>unmodified</status>
      <modifiedWord/>
      <trackRevisions>false</trackRevisions>
    </reviewItem>
    <reviewItem>
      <errorID>1928e158-e84e-4c56-bbb3-8c98f033d5c4</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7D5D36A8</paraID>
      <start>133</start>
      <end>138</end>
      <status>unmodified</status>
      <modifiedWord/>
      <trackRevisions>false</trackRevisions>
    </reviewItem>
    <reviewItem>
      <errorID>fec8d4a1-6c90-42ba-9365-82b108381340</errorID>
      <errorWord>情景教学法</errorWord>
      <group>L1_Knowledge</group>
      <groupName>知识性问题</groupName>
      <ability>L2_Term</ability>
      <abilityName>专业术语</abilityName>
      <candidateList>
        <item>情境教学法</item>
      </candidateList>
      <explain/>
      <paraID>69DB1DDF</paraID>
      <start>9</start>
      <end>14</end>
      <status>unmodified</status>
      <modifiedWord/>
      <trackRevisions>false</trackRevisions>
    </reviewItem>
    <reviewItem>
      <errorID>972aeb09-ba8c-4a29-aef9-5f6acc9d858f</errorID>
      <errorWord>；</errorWord>
      <group>L1_Word</group>
      <groupName>字词问题</groupName>
      <ability>L2_Typo</ability>
      <abilityName>字词错误</abilityName>
      <candidateList>
        <item>；在</item>
      </candidateList>
      <explain/>
      <paraID>101DF2C3</paraID>
      <start>18</start>
      <end>19</end>
      <status>unmodified</status>
      <modifiedWord/>
      <trackRevisions>false</trackRevisions>
    </reviewItem>
    <reviewItem>
      <errorID>abbe96ef-d867-4592-b628-9f3547e043b5</errorID>
      <errorWord>时代化的</errorWord>
      <group>L1_Word</group>
      <groupName>字词问题</groupName>
      <ability>L2_Typo</ability>
      <abilityName>字词错误</abilityName>
      <candidateList>
        <item>时代化</item>
      </candidateList>
      <explain/>
      <paraID>5B801552</paraID>
      <start>113</start>
      <end>117</end>
      <status>unmodified</status>
      <modifiedWord/>
      <trackRevisions>false</trackRevisions>
    </reviewItem>
    <reviewItem>
      <errorID>c039c431-ff21-43ff-b696-d51156fbdb4e</errorID>
      <errorWord>扩大</errorWord>
      <group>L1_Word</group>
      <groupName>字词问题</groupName>
      <ability>L2_Typo</ability>
      <abilityName>字词错误</abilityName>
      <candidateList>
        <item>扩宽</item>
      </candidateList>
      <explain/>
      <paraID>3704E5F6</paraID>
      <start>119</start>
      <end>121</end>
      <status>unmodified</status>
      <modifiedWord/>
      <trackRevisions>false</trackRevisions>
    </reviewItem>
    <reviewItem>
      <errorID>cf189879-1e8b-4765-bd71-5a58fd8603bb</errorID>
      <errorWord>坚持和加强党的领导</errorWord>
      <group>L1_Word</group>
      <groupName>字词问题</groupName>
      <ability>L2_Typo</ability>
      <abilityName>字词错误</abilityName>
      <candidateList>
        <item>坚持和加强党的全面领导</item>
      </candidateList>
      <explain/>
      <paraID> A78FC5E</paraID>
      <start>101</start>
      <end>110</end>
      <status>unmodified</status>
      <modifiedWord/>
      <trackRevisions>false</trackRevisions>
    </reviewItem>
    <reviewItem>
      <errorID>be6a8613-37ba-4521-a599-651012fda21b</errorID>
      <errorWord>，</errorWord>
      <group>L1_Word</group>
      <groupName>字词问题</groupName>
      <ability>L2_Typo</ability>
      <abilityName>字词错误</abilityName>
      <candidateList>
        <item>，及</item>
      </candidateList>
      <explain/>
      <paraID>5A3DE8E8</paraID>
      <start>35</start>
      <end>36</end>
      <status>unmodified</status>
      <modifiedWord/>
      <trackRevisions>false</trackRevisions>
    </reviewItem>
    <reviewItem>
      <errorID>2f43dd48-bb83-46c1-bc19-e11fe856d1ce</errorID>
      <errorWord>的</errorWord>
      <group>L1_Word</group>
      <groupName>字词问题</groupName>
      <ability>L2_Typo</ability>
      <abilityName>字词错误</abilityName>
      <candidateList>
        <item>的国</item>
      </candidateList>
      <explain/>
      <paraID>5A3DE8E8</paraID>
      <start>154</start>
      <end>155</end>
      <status>unmodified</status>
      <modifiedWord/>
      <trackRevisions>false</trackRevisions>
    </reviewItem>
    <reviewItem>
      <errorID>a696560c-1b93-46f5-9452-61a77ce426dc</errorID>
      <errorWord>全面建设小康社会</errorWord>
      <group>L1_Word</group>
      <groupName>字词问题</groupName>
      <ability>L2_Typo</ability>
      <abilityName>字词错误</abilityName>
      <candidateList>
        <item>全面建成小康社会</item>
      </candidateList>
      <explain/>
      <paraID> 485F0D0</paraID>
      <start>90</start>
      <end>98</end>
      <status>unmodified</status>
      <modifiedWord/>
      <trackRevisions>false</trackRevisions>
    </reviewItem>
    <reviewItem>
      <errorID>a5ddcc7e-498d-4398-95c8-f606887d0dc5</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34688E5D</paraID>
      <start>116</start>
      <end>129</end>
      <status>unmodified</status>
      <modifiedWord/>
      <trackRevisions>false</trackRevisions>
    </reviewItem>
    <reviewItem>
      <errorID>955d7e07-1497-44e5-9199-e627f79bfc91</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6B3EC935</paraID>
      <start>0</start>
      <end>8</end>
      <status>unmodified</status>
      <modifiedWord/>
      <trackRevisions>false</trackRevisions>
    </reviewItem>
    <reviewItem>
      <errorID>8f559b0b-5d47-4604-9c0f-7ab6ef9f5a47</errorID>
      <errorWord>增强</errorWord>
      <group>L1_Grammar</group>
      <groupName>语法问题</groupName>
      <ability>L2_Grammar</ability>
      <abilityName>语法错误</abilityName>
      <candidateList>
        <item>加深</item>
      </candidateList>
      <explain>“增强～认识”搭配不当，建议修改为“加深～认识”。</explain>
      <paraID>74368EC9</paraID>
      <start>92</start>
      <end>94</end>
      <status>unmodified</status>
      <modifiedWord/>
      <trackRevisions>false</trackRevisions>
    </reviewItem>
    <reviewItem>
      <errorID>7ca09da1-8a91-41ca-a953-1ae7350342ab</errorID>
      <errorWord>界线</errorWord>
      <group>L1_Word</group>
      <groupName>字词问题</groupName>
      <ability>L2_Typo</ability>
      <abilityName>字词错误</abilityName>
      <candidateList>
        <item>界限</item>
      </candidateList>
      <explain/>
      <paraID>6879CD2A</paraID>
      <start>161</start>
      <end>163</end>
      <status>unmodified</status>
      <modifiedWord/>
      <trackRevisions>false</trackRevisions>
    </reviewItem>
    <reviewItem>
      <errorID>a1af940e-83ee-4aed-8c3a-7e59f2499d44</errorID>
      <errorWord>了解了</errorWord>
      <group>L1_Word</group>
      <groupName>字词问题</groupName>
      <ability>L2_Typo</ability>
      <abilityName>字词错误</abilityName>
      <candidateList>
        <item>了解</item>
      </candidateList>
      <explain/>
      <paraID> FFCDF4C</paraID>
      <start>34</start>
      <end>37</end>
      <status>unmodified</status>
      <modifiedWord/>
      <trackRevisions>false</trackRevisions>
    </reviewItem>
    <reviewItem>
      <errorID>882dc16f-23e2-4e20-a609-18e356823f1b</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5F8E02E3</paraID>
      <start>163</start>
      <end>174</end>
      <status>unmodified</status>
      <modifiedWord/>
      <trackRevisions>false</trackRevisions>
    </reviewItem>
    <reviewItem>
      <errorID>3ddea500-b2bc-4970-a661-fbf7db5fcb72</errorID>
      <errorWord>会计法</errorWord>
      <group>L1_Knowledge</group>
      <groupName>知识性问题</groupName>
      <ability>L2_Knowledge</ability>
      <abilityName>其他知识</abilityName>
      <candidateList>
        <item>中华人民共和国会计法</item>
      </candidateList>
      <explain>当前法律法规名称使用简称，请注意是否应当使用全称。</explain>
      <paraID>1C06F31F</paraID>
      <start>56</start>
      <end>59</end>
      <status>unmodified</status>
      <modifiedWord/>
      <trackRevisions>false</trackRevisions>
    </reviewItem>
    <reviewItem>
      <errorID>408accb5-a236-45f5-aff2-f13f9bdfac44</errorID>
      <errorWord>电子商务法</errorWord>
      <group>L1_Knowledge</group>
      <groupName>知识性问题</groupName>
      <ability>L2_Knowledge</ability>
      <abilityName>其他知识</abilityName>
      <candidateList>
        <item>中华人民共和国电子商务法</item>
      </candidateList>
      <explain>当前法律法规名称使用简称，请注意是否应当使用全称。</explain>
      <paraID>36FB1CBD</paraID>
      <start>71</start>
      <end>76</end>
      <status>unmodified</status>
      <modifiedWord/>
      <trackRevisions>false</trackRevisions>
    </reviewItem>
    <reviewItem>
      <errorID>61205feb-5675-4e76-8a84-a6fd895d2138</errorID>
      <errorWord>APEC式</errorWord>
      <group>L1_Word</group>
      <groupName>字词问题</groupName>
      <ability>L2_Typo</ability>
      <abilityName>字词错误</abilityName>
      <candidateList>
        <item>APEC</item>
      </candidateList>
      <explain/>
      <paraID>1529E9C9</paraID>
      <start>45</start>
      <end>50</end>
      <status>unmodified</status>
      <modifiedWord/>
      <trackRevisions>false</trackRevisions>
    </reviewItem>
    <reviewItem>
      <errorID>f64cd917-53ee-481f-bb66-a17a0e9167b4</errorID>
      <errorWord>拟定</errorWord>
      <group>L1_Word</group>
      <groupName>字词问题</groupName>
      <ability>L2_Typo</ability>
      <abilityName>字词错误</abilityName>
      <candidateList>
        <item>拟订</item>
      </candidateList>
      <explain>〈动〉草拟：～计划｜～方案。</explain>
      <paraID>3A729D8E</paraID>
      <start>76</start>
      <end>78</end>
      <status>unmodified</status>
      <modifiedWord/>
      <trackRevisions>false</trackRevisions>
    </reviewItem>
    <reviewItem>
      <errorID>2014f25f-f8f8-4b52-b0ac-01242bfd4d6a</errorID>
      <errorWord>反外国制裁法</errorWord>
      <group>L1_Knowledge</group>
      <groupName>知识性问题</groupName>
      <ability>L2_Knowledge</ability>
      <abilityName>其他知识</abilityName>
      <candidateList>
        <item>中华人民共和国反外国制裁法</item>
      </candidateList>
      <explain>当前法律法规名称使用简称，请注意是否应当使用全称。</explain>
      <paraID>11034931</paraID>
      <start>38</start>
      <end>44</end>
      <status>unmodified</status>
      <modifiedWord/>
      <trackRevisions>false</trackRevisions>
    </reviewItem>
    <reviewItem>
      <errorID>2fbb481b-3f26-4061-a282-078ffc1a5097</errorID>
      <errorWord>合同法</errorWord>
      <group>L1_Knowledge</group>
      <groupName>知识性问题</groupName>
      <ability>L2_Knowledge</ability>
      <abilityName>其他知识</abilityName>
      <candidateList/>
      <explain>已废止</explain>
      <paraID>3B143064</paraID>
      <start>28</start>
      <end>31</end>
      <status>unmodified</status>
      <modifiedWord/>
      <trackRevisions>false</trackRevisions>
    </reviewItem>
    <reviewItem>
      <errorID>45085fdf-8005-4f7f-be22-ecf3367f167f</errorID>
      <errorWord>出口管制法</errorWord>
      <group>L1_Knowledge</group>
      <groupName>知识性问题</groupName>
      <ability>L2_Knowledge</ability>
      <abilityName>其他知识</abilityName>
      <candidateList>
        <item>中华人民共和国出口管制法</item>
      </candidateList>
      <explain>当前法律法规名称使用简称，请注意是否应当使用全称。</explain>
      <paraID> E53AA2E</paraID>
      <start>65</start>
      <end>70</end>
      <status>unmodified</status>
      <modifiedWord/>
      <trackRevisions>false</trackRevisions>
    </reviewItem>
    <reviewItem>
      <errorID>af327968-c949-4398-868f-f2473ac66de3</errorID>
      <errorWord>，</errorWord>
      <group>L1_Word</group>
      <groupName>字词问题</groupName>
      <ability>L2_Typo</ability>
      <abilityName>字词错误</abilityName>
      <candidateList>
        <item>，包</item>
      </candidateList>
      <explain/>
      <paraID>53C93AB4</paraID>
      <start>47</start>
      <end>48</end>
      <status>unmodified</status>
      <modifiedWord/>
      <trackRevisions>false</trackRevisions>
    </reviewItem>
    <reviewItem>
      <errorID>fc1f0bd6-85c0-4c0f-9e32-9db7ac1ffc5f</errorID>
      <errorWord>能</errorWord>
      <group>L1_Word</group>
      <groupName>字词问题</groupName>
      <ability>L2_Typo</ability>
      <abilityName>字词错误</abilityName>
      <candidateList>
        <item>能够</item>
      </candidateList>
      <explain/>
      <paraID>4D0F03ED</paraID>
      <start>54</start>
      <end>55</end>
      <status>unmodified</status>
      <modifiedWord/>
      <trackRevisions>false</trackRevisions>
    </reviewItem>
    <reviewItem>
      <errorID>7cedb828-1343-4bd3-a3f4-6204c7b48653</errorID>
      <errorWord>、还</errorWord>
      <group>L1_Punc</group>
      <groupName>标点问题</groupName>
      <ability>L2_Punc</ability>
      <abilityName>标点符号检查</abilityName>
      <candidateList>
        <item>，还</item>
      </candidateList>
      <explain>连接词前后不宜使用顿号，建议使用逗号。</explain>
      <paraID>1B3EDB54</paraID>
      <start>31</start>
      <end>33</end>
      <status>unmodified</status>
      <modifiedWord/>
      <trackRevisions>false</trackRevisions>
    </reviewItem>
    <reviewItem>
      <errorID>0379d423-cc8c-4057-a405-5efaddc8e6d2</errorID>
      <errorWord>即时通讯</errorWord>
      <group>L1_Word</group>
      <groupName>字词问题</groupName>
      <ability>L2_Typo</ability>
      <abilityName>字词错误</abilityName>
      <candidateList>
        <item>即时通信</item>
      </candidateList>
      <explain/>
      <paraID>625D7B3D</paraID>
      <start>53</start>
      <end>57</end>
      <status>unmodified</status>
      <modifiedWord/>
      <trackRevisions>false</trackRevisions>
    </reviewItem>
    <reviewItem>
      <errorID>4301c0e5-5e65-4bea-a71b-45d055a87e18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625B0AEB</paraID>
      <start>56</start>
      <end>57</end>
      <status>unmodified</status>
      <modifiedWord/>
      <trackRevisions>false</trackRevisions>
    </reviewItem>
    <reviewItem>
      <errorID>df053176-4773-4fc9-b55c-e1e657fff9af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5E78F31D</paraID>
      <start>38</start>
      <end>39</end>
      <status>unmodified</status>
      <modifiedWord/>
      <trackRevisions>false</trackRevisions>
    </reviewItem>
    <reviewItem>
      <errorID>0ab0d120-3bea-4ee9-91aa-0b3aa2427684</errorID>
      <errorWord>能</errorWord>
      <group>L1_Word</group>
      <groupName>字词问题</groupName>
      <ability>L2_Typo</ability>
      <abilityName>字词错误</abilityName>
      <candidateList>
        <item>能够</item>
      </candidateList>
      <explain/>
      <paraID>3379739A</paraID>
      <start>41</start>
      <end>42</end>
      <status>unmodified</status>
      <modifiedWord/>
      <trackRevisions>false</trackRevisions>
    </reviewItem>
    <reviewItem>
      <errorID>ce3092f1-1251-48a7-8099-111ed4091451</errorID>
      <errorWord>国际标准组织</errorWord>
      <group>L1_Word</group>
      <groupName>字词问题</groupName>
      <ability>L2_Typo</ability>
      <abilityName>字词错误</abilityName>
      <candidateList>
        <item>国际标准化组织</item>
      </candidateList>
      <explain/>
      <paraID>1E8F64BC</paraID>
      <start>63</start>
      <end>69</end>
      <status>unmodified</status>
      <modifiedWord/>
      <trackRevisions>false</trackRevisions>
    </reviewItem>
    <reviewItem>
      <errorID>2e57bbc6-0391-4322-a81d-e89916b93bc7</errorID>
      <errorWord>能</errorWord>
      <group>L1_Word</group>
      <groupName>字词问题</groupName>
      <ability>L2_Typo</ability>
      <abilityName>字词错误</abilityName>
      <candidateList>
        <item>能够</item>
      </candidateList>
      <explain/>
      <paraID>15279DFF</paraID>
      <start>31</start>
      <end>32</end>
      <status>unmodified</status>
      <modifiedWord/>
      <trackRevisions>false</trackRevisions>
    </reviewItem>
    <reviewItem>
      <errorID>38f3eb92-31ce-473a-86ce-7981192f66ad</errorID>
      <errorWord>能</errorWord>
      <group>L1_Word</group>
      <groupName>字词问题</groupName>
      <ability>L2_Typo</ability>
      <abilityName>字词错误</abilityName>
      <candidateList>
        <item>能够</item>
      </candidateList>
      <explain/>
      <paraID>1FEB9B0C</paraID>
      <start>35</start>
      <end>36</end>
      <status>unmodified</status>
      <modifiedWord/>
      <trackRevisions>false</trackRevisions>
    </reviewItem>
    <reviewItem>
      <errorID>22c7ee46-f31f-4341-a694-a909c2f449cb</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4D2A1C7A</paraID>
      <start>0</start>
      <end>8</end>
      <status>unmodified</status>
      <modifiedWord/>
      <trackRevisions>false</trackRevisions>
    </reviewItem>
    <reviewItem>
      <errorID>f8eed673-5561-4708-9b7e-8373d7ed037d</errorID>
      <errorWord>起</errorWord>
      <group>L1_Word</group>
      <groupName>字词问题</groupName>
      <ability>L2_Typo</ability>
      <abilityName>字词错误</abilityName>
      <candidateList>
        <item>起到</item>
      </candidateList>
      <explain/>
      <paraID>656D3900</paraID>
      <start>133</start>
      <end>134</end>
      <status>unmodified</status>
      <modifiedWord/>
      <trackRevisions>false</trackRevisions>
    </reviewItem>
    <reviewItem>
      <errorID>933180ed-a0de-42c5-898e-74676a1ab4fa</errorID>
      <errorWord>、还</errorWord>
      <group>L1_Punc</group>
      <groupName>标点问题</groupName>
      <ability>L2_Punc</ability>
      <abilityName>标点符号检查</abilityName>
      <candidateList>
        <item>，还</item>
      </candidateList>
      <explain>连接词前后不宜使用顿号，建议使用逗号。</explain>
      <paraID>4D953E33</paraID>
      <start>111</start>
      <end>113</end>
      <status>unmodified</status>
      <modifiedWord/>
      <trackRevisions>false</trackRevisions>
    </reviewItem>
    <reviewItem>
      <errorID>0af08e1b-e13b-4aa2-b3d8-eb5ba875eb2c</errorID>
      <errorWord>质</errorWord>
      <group>L1_Word</group>
      <groupName>字词问题</groupName>
      <ability>L2_Typo</ability>
      <abilityName>字词错误</abilityName>
      <candidateList>
        <item>质和</item>
      </candidateList>
      <explain/>
      <paraID> 6D41E7F</paraID>
      <start>22</start>
      <end>23</end>
      <status>unmodified</status>
      <modifiedWord/>
      <trackRevisions>false</trackRevisions>
    </reviewItem>
    <reviewItem>
      <errorID>5af273de-5265-4c3f-b82c-fe7d4e8c5858</errorID>
      <errorWord>、</errorWord>
      <group>L1_Word</group>
      <groupName>字词问题</groupName>
      <ability>L2_Typo</ability>
      <abilityName>字词错误</abilityName>
      <candidateList>
        <item>、跨</item>
      </candidateList>
      <explain/>
      <paraID>7E473103</paraID>
      <start>6</start>
      <end>8</end>
      <status>modified</status>
      <modifiedWord>、跨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1334e-a239-498f-86d4-e5a4cc8da3d1}">
  <ds:schemaRefs/>
</ds:datastoreItem>
</file>

<file path=docProps/app.xml><?xml version="1.0" encoding="utf-8"?>
<Properties xmlns="http://schemas.openxmlformats.org/officeDocument/2006/extended-properties" xmlns:vt="http://schemas.openxmlformats.org/officeDocument/2006/docPropsVTypes">
  <Template>Normal</Template>
  <Pages>60</Pages>
  <Words>3673</Words>
  <Characters>3832</Characters>
  <Lines>1850</Lines>
  <Paragraphs>1270</Paragraphs>
  <TotalTime>19</TotalTime>
  <ScaleCrop>false</ScaleCrop>
  <LinksUpToDate>false</LinksUpToDate>
  <CharactersWithSpaces>4078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2026-03-24T14:04:35Z</cp:lastPrinted>
  <dcterms:modified xsi:type="dcterms:W3CDTF">2026-03-24T14:08:19Z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1D0BB61D69F545C8BCE0F564CA7E96F3_13</vt:lpwstr>
  </property>
  <property fmtid="{D5CDD505-2E9C-101B-9397-08002B2CF9AE}" pid="4" name="KSOTemplateDocerSaveRecord">
    <vt:lpwstr>eyJoZGlkIjoiOTlkYjc2ZWYyMDRiNWJjZTRkYjI2Yzk5M2I2MDljMjYiLCJ1c2VySWQiOiIyOTg5OTU1NTEifQ==</vt:lpwstr>
  </property>
</Properties>
</file>