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000000" w:themeColor="text1"/>
          <w:sz w:val="72"/>
          <w:szCs w:val="72"/>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t>202</w:t>
      </w:r>
      <w:r>
        <w:rPr>
          <w:rFonts w:hint="eastAsia" w:ascii="方正小标宋简体" w:hAnsi="方正小标宋简体" w:eastAsia="方正小标宋简体" w:cs="方正小标宋简体"/>
          <w:b w:val="0"/>
          <w:bCs/>
          <w:color w:val="000000" w:themeColor="text1"/>
          <w:sz w:val="72"/>
          <w:szCs w:val="72"/>
          <w:lang w:val="en-US" w:eastAsia="zh-CN"/>
          <w14:textFill>
            <w14:solidFill>
              <w14:schemeClr w14:val="tx1"/>
            </w14:solidFill>
          </w14:textFill>
        </w:rPr>
        <w:t>5</w:t>
      </w:r>
      <w:r>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pPr>
    </w:p>
    <w:p>
      <w:pPr>
        <w:widowControl/>
        <w:spacing w:before="100" w:beforeAutospacing="1" w:after="160" w:line="500" w:lineRule="exact"/>
        <w:ind w:firstLine="640" w:firstLineChars="200"/>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专  业  名  称</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大数据与会计</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专  业</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  代  码</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14:textFill>
            <w14:solidFill>
              <w14:schemeClr w14:val="tx1"/>
            </w14:solidFill>
          </w14:textFill>
        </w:rPr>
        <w:t>530302</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widowControl/>
        <w:spacing w:before="100" w:beforeAutospacing="1" w:after="160" w:line="500" w:lineRule="exact"/>
        <w:ind w:firstLine="640" w:firstLineChars="200"/>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专  业</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 xml:space="preserve">  学  制：</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三年制</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widowControl/>
        <w:spacing w:before="100" w:beforeAutospacing="1" w:after="160" w:line="500" w:lineRule="exact"/>
        <w:ind w:firstLine="640" w:firstLineChars="200"/>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制  定  时  间：</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2025年4月</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p>
    <w:p>
      <w:pPr>
        <w:widowControl/>
        <w:spacing w:before="100" w:beforeAutospacing="1" w:after="160" w:line="500" w:lineRule="exact"/>
        <w:ind w:firstLine="640" w:firstLineChars="200"/>
        <w:jc w:val="left"/>
        <w:rPr>
          <w:rFonts w:hint="eastAsia" w:ascii="仿宋_GB2312" w:hAnsi="仿宋_GB2312" w:eastAsia="仿宋_GB2312" w:cs="仿宋_GB2312"/>
          <w:color w:val="000000" w:themeColor="text1"/>
          <w:kern w:val="0"/>
          <w:sz w:val="32"/>
          <w:szCs w:val="32"/>
          <w:u w:val="single"/>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所</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属</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学  院</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经济管理学院</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p>
    <w:p>
      <w:pP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pPr>
    </w:p>
    <w:p>
      <w:pPr>
        <w:rPr>
          <w:rFonts w:hint="eastAsia" w:ascii="仿宋_GB2312" w:hAnsi="仿宋_GB2312" w:eastAsia="仿宋_GB2312" w:cs="仿宋_GB2312"/>
          <w:color w:val="FF0000"/>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广西工程职业学院</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2025年4月</w:t>
      </w:r>
    </w:p>
    <w:p>
      <w:pPr>
        <w:jc w:val="center"/>
        <w:rPr>
          <w:rFonts w:hint="eastAsia" w:ascii="黑体" w:hAnsi="黑体" w:eastAsia="黑体" w:cs="黑体"/>
          <w:b w:val="0"/>
          <w:bCs/>
          <w:color w:val="000000" w:themeColor="text1"/>
          <w:sz w:val="44"/>
          <w:szCs w:val="44"/>
          <w14:textFill>
            <w14:solidFill>
              <w14:schemeClr w14:val="tx1"/>
            </w14:solidFill>
          </w14:textFill>
        </w:rPr>
        <w:sectPr>
          <w:headerReference r:id="rId3" w:type="default"/>
          <w:pgSz w:w="11906" w:h="16838"/>
          <w:pgMar w:top="1417" w:right="1417" w:bottom="1417" w:left="1417" w:header="851" w:footer="992" w:gutter="0"/>
          <w:pgNumType w:start="1"/>
          <w:cols w:space="425" w:num="1"/>
          <w:docGrid w:type="lines" w:linePitch="312" w:charSpace="0"/>
        </w:sect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jc w:val="center"/>
        <w:rPr>
          <w:rFonts w:hint="eastAsia" w:ascii="黑体" w:hAnsi="黑体" w:eastAsia="黑体" w:cs="黑体"/>
          <w:b w:val="0"/>
          <w:bCs/>
          <w:color w:val="000000" w:themeColor="text1"/>
          <w:sz w:val="44"/>
          <w:szCs w:val="4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黑体" w:hAnsi="黑体" w:eastAsia="黑体" w:cs="黑体"/>
          <w:b w:val="0"/>
          <w:bCs/>
          <w:color w:val="000000" w:themeColor="text1"/>
          <w:sz w:val="44"/>
          <w:szCs w:val="44"/>
          <w14:textFill>
            <w14:solidFill>
              <w14:schemeClr w14:val="tx1"/>
            </w14:solidFill>
          </w14:textFill>
        </w:rPr>
      </w:pPr>
      <w:r>
        <w:rPr>
          <w:rFonts w:hint="eastAsia" w:ascii="黑体" w:hAnsi="黑体" w:eastAsia="黑体" w:cs="黑体"/>
          <w:b w:val="0"/>
          <w:bCs/>
          <w:color w:val="000000" w:themeColor="text1"/>
          <w:sz w:val="44"/>
          <w:szCs w:val="44"/>
          <w14:textFill>
            <w14:solidFill>
              <w14:schemeClr w14:val="tx1"/>
            </w14:solidFill>
          </w14:textFill>
        </w:rPr>
        <w:t>编制说明</w:t>
      </w:r>
    </w:p>
    <w:p>
      <w:pPr>
        <w:keepNext w:val="0"/>
        <w:keepLines w:val="0"/>
        <w:pageBreakBefore w:val="0"/>
        <w:widowControl w:val="0"/>
        <w:kinsoku/>
        <w:wordWrap/>
        <w:overflowPunct/>
        <w:topLinePunct w:val="0"/>
        <w:autoSpaceDE/>
        <w:autoSpaceDN/>
        <w:bidi w:val="0"/>
        <w:adjustRightInd/>
        <w:snapToGrid/>
        <w:spacing w:after="0" w:line="279" w:lineRule="auto"/>
        <w:ind w:firstLine="880" w:firstLineChars="200"/>
        <w:textAlignment w:val="auto"/>
        <w:rPr>
          <w:rFonts w:hint="eastAsia" w:ascii="黑体" w:hAnsi="黑体" w:eastAsia="黑体" w:cs="黑体"/>
          <w:b w:val="0"/>
          <w:bCs/>
          <w:color w:val="000000" w:themeColor="text1"/>
          <w:sz w:val="44"/>
          <w:szCs w:val="4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本专业人才培养方案适于</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我校</w:t>
      </w:r>
      <w:r>
        <w:rPr>
          <w:rFonts w:hint="eastAsia" w:ascii="仿宋_GB2312" w:hAnsi="仿宋_GB2312" w:eastAsia="仿宋_GB2312" w:cs="仿宋_GB2312"/>
          <w:b w:val="0"/>
          <w:bCs/>
          <w:color w:val="000000" w:themeColor="text1"/>
          <w:sz w:val="32"/>
          <w:szCs w:val="32"/>
          <w14:textFill>
            <w14:solidFill>
              <w14:schemeClr w14:val="tx1"/>
            </w14:solidFill>
          </w14:textFill>
        </w:rPr>
        <w:t>三年全日制高职专科，由广西</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工程职业学院大数据与会计</w:t>
      </w:r>
      <w:r>
        <w:rPr>
          <w:rFonts w:hint="eastAsia" w:ascii="仿宋_GB2312" w:hAnsi="仿宋_GB2312" w:eastAsia="仿宋_GB2312" w:cs="仿宋_GB2312"/>
          <w:b w:val="0"/>
          <w:bCs/>
          <w:color w:val="000000" w:themeColor="text1"/>
          <w:sz w:val="32"/>
          <w:szCs w:val="32"/>
          <w14:textFill>
            <w14:solidFill>
              <w14:schemeClr w14:val="tx1"/>
            </w14:solidFill>
          </w14:textFill>
        </w:rPr>
        <w:t>专业团队与</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广西聚峰投资有限</w:t>
      </w:r>
      <w:r>
        <w:rPr>
          <w:rFonts w:hint="eastAsia" w:ascii="仿宋_GB2312" w:hAnsi="仿宋_GB2312" w:eastAsia="仿宋_GB2312" w:cs="仿宋_GB2312"/>
          <w:b w:val="0"/>
          <w:bCs/>
          <w:color w:val="000000" w:themeColor="text1"/>
          <w:sz w:val="32"/>
          <w:szCs w:val="32"/>
          <w14:textFill>
            <w14:solidFill>
              <w14:schemeClr w14:val="tx1"/>
            </w14:solidFill>
          </w14:textFill>
        </w:rPr>
        <w:t>公司</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等</w:t>
      </w:r>
      <w:r>
        <w:rPr>
          <w:rFonts w:hint="eastAsia" w:ascii="仿宋_GB2312" w:hAnsi="仿宋_GB2312" w:eastAsia="仿宋_GB2312" w:cs="仿宋_GB2312"/>
          <w:b w:val="0"/>
          <w:bCs/>
          <w:color w:val="000000" w:themeColor="text1"/>
          <w:sz w:val="32"/>
          <w:szCs w:val="32"/>
          <w14:textFill>
            <w14:solidFill>
              <w14:schemeClr w14:val="tx1"/>
            </w14:solidFill>
          </w14:textFill>
        </w:rPr>
        <w:t>共同制订，并经</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二级学院党政联席会审定、</w:t>
      </w:r>
      <w:r>
        <w:rPr>
          <w:rFonts w:hint="eastAsia" w:ascii="仿宋_GB2312" w:hAnsi="仿宋_GB2312" w:eastAsia="仿宋_GB2312" w:cs="仿宋_GB2312"/>
          <w:b w:val="0"/>
          <w:bCs/>
          <w:color w:val="000000" w:themeColor="text1"/>
          <w:sz w:val="32"/>
          <w:szCs w:val="32"/>
          <w14:textFill>
            <w14:solidFill>
              <w14:schemeClr w14:val="tx1"/>
            </w14:solidFill>
          </w14:textFill>
        </w:rPr>
        <w:t>学校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专业建设</w:t>
      </w:r>
      <w:r>
        <w:rPr>
          <w:rFonts w:hint="eastAsia" w:ascii="仿宋_GB2312" w:hAnsi="仿宋_GB2312" w:eastAsia="仿宋_GB2312" w:cs="仿宋_GB2312"/>
          <w:b w:val="0"/>
          <w:bCs/>
          <w:color w:val="000000" w:themeColor="text1"/>
          <w:sz w:val="32"/>
          <w:szCs w:val="32"/>
          <w14:textFill>
            <w14:solidFill>
              <w14:schemeClr w14:val="tx1"/>
            </w14:solidFill>
          </w14:textFill>
        </w:rPr>
        <w:t>指导委员会</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论证</w:t>
      </w:r>
      <w:r>
        <w:rPr>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校长办公</w:t>
      </w:r>
      <w:r>
        <w:rPr>
          <w:rFonts w:hint="eastAsia" w:ascii="仿宋_GB2312" w:hAnsi="仿宋_GB2312" w:eastAsia="仿宋_GB2312" w:cs="仿宋_GB2312"/>
          <w:b w:val="0"/>
          <w:bCs/>
          <w:color w:val="000000" w:themeColor="text1"/>
          <w:sz w:val="32"/>
          <w:szCs w:val="32"/>
          <w14:textFill>
            <w14:solidFill>
              <w14:schemeClr w14:val="tx1"/>
            </w14:solidFill>
          </w14:textFill>
        </w:rPr>
        <w:t>会</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审议</w:t>
      </w:r>
      <w:r>
        <w:rPr>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学</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校</w:t>
      </w:r>
      <w:r>
        <w:rPr>
          <w:rFonts w:hint="eastAsia" w:ascii="仿宋_GB2312" w:hAnsi="仿宋_GB2312" w:eastAsia="仿宋_GB2312" w:cs="仿宋_GB2312"/>
          <w:b w:val="0"/>
          <w:bCs/>
          <w:color w:val="000000" w:themeColor="text1"/>
          <w:sz w:val="32"/>
          <w:szCs w:val="32"/>
          <w14:textFill>
            <w14:solidFill>
              <w14:schemeClr w14:val="tx1"/>
            </w14:solidFill>
          </w14:textFill>
        </w:rPr>
        <w:t>党委会审定，批准实施。</w:t>
      </w:r>
    </w:p>
    <w:p>
      <w:pPr>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主要编制人：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3563"/>
        <w:gridCol w:w="156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序号</w:t>
            </w:r>
          </w:p>
        </w:tc>
        <w:tc>
          <w:tcPr>
            <w:tcW w:w="1450" w:type="dxa"/>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姓名</w:t>
            </w:r>
          </w:p>
        </w:tc>
        <w:tc>
          <w:tcPr>
            <w:tcW w:w="3563" w:type="dxa"/>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单位名称</w:t>
            </w:r>
          </w:p>
        </w:tc>
        <w:tc>
          <w:tcPr>
            <w:tcW w:w="1562" w:type="dxa"/>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职务</w:t>
            </w:r>
          </w:p>
        </w:tc>
        <w:tc>
          <w:tcPr>
            <w:tcW w:w="1235" w:type="dxa"/>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908" w:type="dxa"/>
          </w:tcPr>
          <w:p>
            <w:pP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1</w:t>
            </w:r>
          </w:p>
        </w:tc>
        <w:tc>
          <w:tcPr>
            <w:tcW w:w="1450"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梁叶露</w:t>
            </w:r>
          </w:p>
        </w:tc>
        <w:tc>
          <w:tcPr>
            <w:tcW w:w="3563" w:type="dxa"/>
            <w:vAlign w:val="center"/>
          </w:tcPr>
          <w:p>
            <w:pPr>
              <w:jc w:val="cente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t>广西聚峰投资有限公司</w:t>
            </w:r>
          </w:p>
        </w:tc>
        <w:tc>
          <w:tcPr>
            <w:tcW w:w="1562"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项目经理</w:t>
            </w:r>
          </w:p>
        </w:tc>
        <w:tc>
          <w:tcPr>
            <w:tcW w:w="1235" w:type="dxa"/>
            <w:vAlign w:val="center"/>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2</w:t>
            </w:r>
          </w:p>
        </w:tc>
        <w:tc>
          <w:tcPr>
            <w:tcW w:w="1450"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农李菱</w:t>
            </w:r>
          </w:p>
        </w:tc>
        <w:tc>
          <w:tcPr>
            <w:tcW w:w="3563"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广西工程职业学院</w:t>
            </w:r>
          </w:p>
        </w:tc>
        <w:tc>
          <w:tcPr>
            <w:tcW w:w="1562"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专任教师</w:t>
            </w:r>
          </w:p>
        </w:tc>
        <w:tc>
          <w:tcPr>
            <w:tcW w:w="1235" w:type="dxa"/>
            <w:vAlign w:val="center"/>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908" w:type="dxa"/>
          </w:tcPr>
          <w:p>
            <w:pP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3</w:t>
            </w:r>
          </w:p>
        </w:tc>
        <w:tc>
          <w:tcPr>
            <w:tcW w:w="1450" w:type="dxa"/>
            <w:vAlign w:val="center"/>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黄艺</w:t>
            </w:r>
          </w:p>
        </w:tc>
        <w:tc>
          <w:tcPr>
            <w:tcW w:w="3563"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广西工程职业学院</w:t>
            </w:r>
          </w:p>
        </w:tc>
        <w:tc>
          <w:tcPr>
            <w:tcW w:w="1562"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专任教师</w:t>
            </w:r>
          </w:p>
        </w:tc>
        <w:tc>
          <w:tcPr>
            <w:tcW w:w="1235" w:type="dxa"/>
            <w:vAlign w:val="center"/>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4</w:t>
            </w:r>
          </w:p>
        </w:tc>
        <w:tc>
          <w:tcPr>
            <w:tcW w:w="1450" w:type="dxa"/>
            <w:vAlign w:val="center"/>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潘莹莹</w:t>
            </w:r>
          </w:p>
        </w:tc>
        <w:tc>
          <w:tcPr>
            <w:tcW w:w="3563"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广西工程职业学院</w:t>
            </w:r>
          </w:p>
        </w:tc>
        <w:tc>
          <w:tcPr>
            <w:tcW w:w="1562"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专任教师</w:t>
            </w:r>
          </w:p>
        </w:tc>
        <w:tc>
          <w:tcPr>
            <w:tcW w:w="1235"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5</w:t>
            </w:r>
          </w:p>
        </w:tc>
        <w:tc>
          <w:tcPr>
            <w:tcW w:w="1450" w:type="dxa"/>
            <w:vAlign w:val="center"/>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吕艳丽</w:t>
            </w:r>
          </w:p>
        </w:tc>
        <w:tc>
          <w:tcPr>
            <w:tcW w:w="3563"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广西工程职业学院</w:t>
            </w:r>
          </w:p>
        </w:tc>
        <w:tc>
          <w:tcPr>
            <w:tcW w:w="1562"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专任教师</w:t>
            </w:r>
          </w:p>
        </w:tc>
        <w:tc>
          <w:tcPr>
            <w:tcW w:w="1235"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助教</w:t>
            </w:r>
          </w:p>
        </w:tc>
      </w:tr>
    </w:tbl>
    <w:p>
      <w:pPr>
        <w:widowControl/>
        <w:overflowPunct w:val="0"/>
        <w:adjustRightInd w:val="0"/>
        <w:snapToGrid w:val="0"/>
        <w:jc w:val="center"/>
        <w:rPr>
          <w:rFonts w:hint="eastAsia" w:ascii="黑体" w:hAnsi="黑体" w:eastAsia="黑体" w:cs="黑体"/>
          <w:b/>
          <w:bCs/>
          <w:color w:val="auto"/>
          <w:kern w:val="0"/>
          <w:sz w:val="52"/>
          <w:szCs w:val="52"/>
        </w:rPr>
        <w:sectPr>
          <w:footerReference r:id="rId4" w:type="default"/>
          <w:pgSz w:w="11906" w:h="16838"/>
          <w:pgMar w:top="1417" w:right="1417" w:bottom="1417" w:left="1417" w:header="851" w:footer="992" w:gutter="0"/>
          <w:pgNumType w:start="1"/>
          <w:cols w:space="425" w:num="1"/>
          <w:docGrid w:type="lines" w:linePitch="312" w:charSpace="0"/>
        </w:sectPr>
      </w:pPr>
    </w:p>
    <w:p>
      <w:pPr>
        <w:widowControl/>
        <w:overflowPunct w:val="0"/>
        <w:adjustRightInd w:val="0"/>
        <w:snapToGrid w:val="0"/>
        <w:jc w:val="both"/>
        <w:rPr>
          <w:rFonts w:hint="eastAsia" w:ascii="黑体" w:hAnsi="黑体" w:eastAsia="黑体" w:cs="黑体"/>
          <w:b/>
          <w:bCs/>
          <w:color w:val="auto"/>
          <w:kern w:val="0"/>
          <w:sz w:val="52"/>
          <w:szCs w:val="52"/>
        </w:rPr>
      </w:pPr>
    </w:p>
    <w:p>
      <w:pPr>
        <w:widowControl/>
        <w:overflowPunct w:val="0"/>
        <w:adjustRightInd w:val="0"/>
        <w:snapToGrid w:val="0"/>
        <w:jc w:val="center"/>
        <w:rPr>
          <w:rFonts w:hint="eastAsia" w:ascii="黑体" w:hAnsi="黑体" w:eastAsia="黑体" w:cs="黑体"/>
          <w:b/>
          <w:bCs/>
          <w:color w:val="auto"/>
          <w:kern w:val="0"/>
          <w:sz w:val="52"/>
          <w:szCs w:val="52"/>
        </w:rPr>
      </w:pPr>
    </w:p>
    <w:p>
      <w:pPr>
        <w:widowControl/>
        <w:overflowPunct w:val="0"/>
        <w:adjustRightInd w:val="0"/>
        <w:snapToGrid w:val="0"/>
        <w:jc w:val="center"/>
        <w:rPr>
          <w:rFonts w:hint="eastAsia" w:ascii="黑体" w:hAnsi="黑体" w:eastAsia="黑体" w:cs="黑体"/>
          <w:b/>
          <w:bCs/>
          <w:color w:val="auto"/>
          <w:kern w:val="0"/>
          <w:sz w:val="52"/>
          <w:szCs w:val="52"/>
        </w:rPr>
      </w:pPr>
    </w:p>
    <w:p>
      <w:pPr>
        <w:widowControl/>
        <w:overflowPunct w:val="0"/>
        <w:adjustRightInd w:val="0"/>
        <w:snapToGrid w:val="0"/>
        <w:jc w:val="center"/>
        <w:rPr>
          <w:rFonts w:hint="eastAsia" w:ascii="黑体" w:hAnsi="黑体" w:eastAsia="黑体" w:cs="黑体"/>
          <w:b/>
          <w:bCs/>
          <w:color w:val="auto"/>
          <w:kern w:val="0"/>
          <w:sz w:val="52"/>
          <w:szCs w:val="52"/>
        </w:rPr>
        <w:sectPr>
          <w:pgSz w:w="11906" w:h="16838"/>
          <w:pgMar w:top="1417" w:right="1417" w:bottom="1417" w:left="1417" w:header="851" w:footer="992" w:gutter="0"/>
          <w:pgNumType w:start="1"/>
          <w:cols w:space="425" w:num="1"/>
          <w:docGrid w:type="lines" w:linePitch="312" w:charSpace="0"/>
        </w:sectPr>
      </w:pPr>
    </w:p>
    <w:sdt>
      <w:sdtPr>
        <w:rPr>
          <w:rFonts w:hint="eastAsia" w:ascii="方正仿宋_GB2312" w:hAnsi="方正仿宋_GB2312" w:eastAsia="方正仿宋_GB2312" w:cs="方正仿宋_GB2312"/>
          <w:kern w:val="2"/>
          <w:sz w:val="36"/>
          <w:szCs w:val="44"/>
          <w:lang w:val="en-US" w:eastAsia="zh-CN" w:bidi="ar-SA"/>
        </w:rPr>
        <w:id w:val="147463628"/>
        <w15:color w:val="DBDBDB"/>
        <w:docPartObj>
          <w:docPartGallery w:val="Table of Contents"/>
          <w:docPartUnique/>
        </w:docPartObj>
      </w:sdtPr>
      <w:sdtEndPr>
        <w:rPr>
          <w:rFonts w:hint="eastAsia" w:ascii="黑体" w:hAnsi="黑体" w:eastAsia="黑体" w:cs="黑体"/>
          <w:bCs/>
          <w:color w:val="auto"/>
          <w:kern w:val="0"/>
          <w:sz w:val="21"/>
          <w:szCs w:val="52"/>
          <w:lang w:val="en-US" w:eastAsia="zh-CN" w:bidi="ar-SA"/>
        </w:rPr>
      </w:sdtEndPr>
      <w:sdtContent>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jc w:val="center"/>
            <w:textAlignment w:val="auto"/>
            <w:rPr>
              <w:rFonts w:hint="eastAsia" w:ascii="黑体" w:hAnsi="黑体" w:eastAsia="黑体" w:cs="黑体"/>
              <w:b w:val="0"/>
              <w:bCs w:val="0"/>
              <w:color w:val="auto"/>
              <w:kern w:val="0"/>
              <w:sz w:val="44"/>
              <w:szCs w:val="44"/>
              <w:highlight w:val="none"/>
              <w:lang w:val="en-US" w:eastAsia="zh-CN"/>
            </w:rPr>
          </w:pPr>
          <w:r>
            <w:rPr>
              <w:rFonts w:hint="eastAsia" w:ascii="黑体" w:hAnsi="黑体" w:eastAsia="黑体" w:cs="黑体"/>
              <w:b w:val="0"/>
              <w:bCs w:val="0"/>
              <w:color w:val="auto"/>
              <w:kern w:val="0"/>
              <w:sz w:val="44"/>
              <w:szCs w:val="44"/>
              <w:highlight w:val="none"/>
              <w:lang w:val="en-US" w:eastAsia="zh-CN"/>
            </w:rPr>
            <w:t>目  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lang w:val="en-US" w:eastAsia="zh-CN"/>
            </w:rPr>
          </w:pP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"1-2"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一、专业名称及代码</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_Toc16898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_Toc17498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二、入学要求</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_Toc17498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_Toc14935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三、</w:t>
          </w:r>
          <w:r>
            <w:rPr>
              <w:rFonts w:hint="eastAsia" w:ascii="仿宋_GB2312" w:hAnsi="仿宋_GB2312" w:eastAsia="仿宋_GB2312" w:cs="仿宋_GB2312"/>
              <w:sz w:val="32"/>
              <w:szCs w:val="32"/>
              <w:highlight w:val="none"/>
              <w:lang w:val="en-US" w:eastAsia="zh-CN"/>
            </w:rPr>
            <w:t>基本</w:t>
          </w:r>
          <w:r>
            <w:rPr>
              <w:rFonts w:hint="eastAsia" w:ascii="仿宋_GB2312" w:hAnsi="仿宋_GB2312" w:eastAsia="仿宋_GB2312" w:cs="仿宋_GB2312"/>
              <w:sz w:val="32"/>
              <w:szCs w:val="32"/>
              <w:highlight w:val="none"/>
            </w:rPr>
            <w:t>修业年限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_Toc14935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四、职业面向</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_Toc11648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五、培养目标</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_Toc12310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_Toc16853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六</w:t>
          </w:r>
          <w:r>
            <w:rPr>
              <w:rFonts w:hint="eastAsia" w:ascii="仿宋_GB2312" w:hAnsi="仿宋_GB2312" w:eastAsia="仿宋_GB2312" w:cs="仿宋_GB2312"/>
              <w:sz w:val="32"/>
              <w:szCs w:val="32"/>
              <w:highlight w:val="none"/>
            </w:rPr>
            <w:t>、培养</w:t>
          </w:r>
          <w:r>
            <w:rPr>
              <w:rFonts w:hint="eastAsia" w:ascii="仿宋_GB2312" w:hAnsi="仿宋_GB2312" w:eastAsia="仿宋_GB2312" w:cs="仿宋_GB2312"/>
              <w:sz w:val="32"/>
              <w:szCs w:val="32"/>
              <w:highlight w:val="none"/>
              <w:lang w:val="en-US" w:eastAsia="zh-CN"/>
            </w:rPr>
            <w:t>规格</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_Toc16853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_Toc30470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知识</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_Toc30470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_Toc13148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能力</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_Toc13148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素质</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_Toc22798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_Toc19592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七</w:t>
          </w:r>
          <w:r>
            <w:rPr>
              <w:rFonts w:hint="eastAsia" w:ascii="仿宋_GB2312" w:hAnsi="仿宋_GB2312" w:eastAsia="仿宋_GB2312" w:cs="仿宋_GB2312"/>
              <w:sz w:val="32"/>
              <w:szCs w:val="32"/>
              <w:highlight w:val="none"/>
            </w:rPr>
            <w:t>、课程设置</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_Toc19592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_Toc9820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（一）公共基础课程</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_Toc9820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_Toc5709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八</w:t>
          </w:r>
          <w:r>
            <w:rPr>
              <w:rFonts w:hint="eastAsia" w:ascii="仿宋_GB2312" w:hAnsi="仿宋_GB2312" w:eastAsia="仿宋_GB2312" w:cs="仿宋_GB2312"/>
              <w:sz w:val="32"/>
              <w:szCs w:val="32"/>
              <w:highlight w:val="none"/>
            </w:rPr>
            <w:t>、教学进程总体安排</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_Toc5709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35</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_Toc16287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（一）教学环节分配表</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_Toc16287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35</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_Toc17381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课程结构与学时、学分分配</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_Toc17381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_Toc13139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教学计划进程</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_Toc13139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_Toc14711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九</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师资队伍</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_Toc14711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39</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_Toc3633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十、教学条件</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_Toc3633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40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_Toc27973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）教学设施</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_Toc27973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40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bookmarkStart w:id="127" w:name="_GoBack"/>
          <w:bookmarkEnd w:id="127"/>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_Toc16436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）教学资源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_Toc16436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43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_Toc7956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）教学方法</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_Toc7956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44</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_Toc17122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）学习评价</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_Toc17122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44</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_Toc32731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 xml:space="preserve">十一、 </w:t>
          </w:r>
          <w:r>
            <w:rPr>
              <w:rFonts w:hint="eastAsia" w:ascii="仿宋_GB2312" w:hAnsi="仿宋_GB2312" w:eastAsia="仿宋_GB2312" w:cs="仿宋_GB2312"/>
              <w:sz w:val="32"/>
              <w:szCs w:val="32"/>
              <w:highlight w:val="none"/>
            </w:rPr>
            <w:t>质量</w:t>
          </w:r>
          <w:r>
            <w:rPr>
              <w:rFonts w:hint="eastAsia" w:ascii="仿宋_GB2312" w:hAnsi="仿宋_GB2312" w:eastAsia="仿宋_GB2312" w:cs="仿宋_GB2312"/>
              <w:sz w:val="32"/>
              <w:szCs w:val="32"/>
              <w:highlight w:val="none"/>
              <w:lang w:val="en-US" w:eastAsia="zh-CN"/>
            </w:rPr>
            <w:t>保障</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_Toc32731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45</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_Toc21173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十二、</w:t>
          </w:r>
          <w:r>
            <w:rPr>
              <w:rFonts w:hint="eastAsia" w:ascii="仿宋_GB2312" w:hAnsi="仿宋_GB2312" w:eastAsia="仿宋_GB2312" w:cs="仿宋_GB2312"/>
              <w:sz w:val="32"/>
              <w:szCs w:val="32"/>
              <w:highlight w:val="none"/>
            </w:rPr>
            <w:t>毕业要求</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_Toc21173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46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_Toc29706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（一） 学分要求</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_Toc29706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46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_Toc23758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（二）综合素质要求</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_Toc23758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46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hint="eastAsia" w:ascii="仿宋_GB2312" w:hAnsi="仿宋_GB2312" w:eastAsia="仿宋_GB2312" w:cs="仿宋_GB2312"/>
              <w:sz w:val="32"/>
              <w:szCs w:val="32"/>
              <w:highlight w:val="none"/>
            </w:rPr>
            <w:sectPr>
              <w:footerReference r:id="rId5" w:type="default"/>
              <w:pgSz w:w="11906" w:h="16838"/>
              <w:pgMar w:top="1417" w:right="1417" w:bottom="1417" w:left="1417" w:header="851" w:footer="992" w:gutter="0"/>
              <w:pgNumType w:fmt="decimal" w:start="1"/>
              <w:cols w:space="425" w:num="1"/>
              <w:docGrid w:type="lines" w:linePitch="312" w:charSpace="0"/>
            </w:sectPr>
          </w:pPr>
        </w:p>
        <w:p>
          <w:pPr>
            <w:pStyle w:val="6"/>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pPr>
          <w:r>
            <w:rPr>
              <w:rFonts w:hint="eastAsia" w:ascii="仿宋_GB2312" w:hAnsi="仿宋_GB2312" w:eastAsia="仿宋_GB2312" w:cs="仿宋_GB2312"/>
              <w:sz w:val="32"/>
              <w:szCs w:val="32"/>
              <w:highlight w:val="none"/>
            </w:rPr>
            <w:fldChar w:fldCharType="end"/>
          </w:r>
          <w:bookmarkStart w:id="0" w:name="_Toc20962"/>
          <w:bookmarkStart w:id="1" w:name="_Toc20217"/>
        </w:p>
      </w:sdtContent>
    </w:sdt>
    <w:p>
      <w:pPr>
        <w:pStyle w:val="6"/>
        <w:keepNext w:val="0"/>
        <w:keepLines w:val="0"/>
        <w:pageBreakBefore w:val="0"/>
        <w:tabs>
          <w:tab w:val="right" w:leader="dot" w:pos="8505"/>
        </w:tabs>
        <w:kinsoku/>
        <w:wordWrap/>
        <w:topLinePunct w:val="0"/>
        <w:autoSpaceDE/>
        <w:autoSpaceDN/>
        <w:bidi w:val="0"/>
        <w:spacing w:after="0" w:line="520" w:lineRule="exact"/>
        <w:ind w:firstLine="1320" w:firstLineChars="300"/>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大数据与会计专业人才培养方案</w:t>
      </w:r>
      <w:bookmarkEnd w:id="0"/>
      <w:bookmarkEnd w:id="1"/>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2" w:name="_Toc23295"/>
      <w:bookmarkStart w:id="3" w:name="_Toc16898"/>
      <w:r>
        <w:rPr>
          <w:rFonts w:hint="eastAsia" w:ascii="黑体" w:hAnsi="黑体" w:eastAsia="黑体" w:cs="黑体"/>
          <w:color w:val="auto"/>
          <w:sz w:val="32"/>
          <w:szCs w:val="32"/>
        </w:rPr>
        <w:t>一、专业名称及代码</w:t>
      </w:r>
      <w:bookmarkEnd w:id="2"/>
      <w:bookmarkEnd w:id="3"/>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专业名称：</w:t>
      </w:r>
      <w:r>
        <w:rPr>
          <w:rFonts w:hint="eastAsia" w:ascii="仿宋_GB2312" w:hAnsi="仿宋_GB2312" w:eastAsia="仿宋_GB2312" w:cs="仿宋_GB2312"/>
          <w:color w:val="auto"/>
          <w:sz w:val="32"/>
          <w:szCs w:val="32"/>
          <w:lang w:val="en-US" w:eastAsia="zh-CN"/>
        </w:rPr>
        <w:t>大数据与会计</w:t>
      </w:r>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专业代码：530302</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4" w:name="_Toc5297"/>
      <w:bookmarkStart w:id="5" w:name="_Toc17498"/>
      <w:r>
        <w:rPr>
          <w:rFonts w:hint="eastAsia" w:ascii="黑体" w:hAnsi="黑体" w:eastAsia="黑体" w:cs="黑体"/>
          <w:color w:val="auto"/>
          <w:sz w:val="32"/>
          <w:szCs w:val="32"/>
        </w:rPr>
        <w:t>二、入学要求</w:t>
      </w:r>
      <w:bookmarkEnd w:id="4"/>
      <w:bookmarkEnd w:id="5"/>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w:t>
      </w:r>
      <w:r>
        <w:rPr>
          <w:rFonts w:hint="eastAsia" w:ascii="仿宋_GB2312" w:hAnsi="仿宋_GB2312" w:eastAsia="仿宋_GB2312" w:cs="仿宋_GB2312"/>
          <w:color w:val="auto"/>
          <w:sz w:val="32"/>
          <w:szCs w:val="32"/>
          <w:lang w:eastAsia="zh-CN"/>
        </w:rPr>
        <w:t>同等学</w:t>
      </w:r>
      <w:r>
        <w:rPr>
          <w:rFonts w:hint="eastAsia" w:ascii="仿宋_GB2312" w:hAnsi="仿宋_GB2312" w:eastAsia="仿宋_GB2312" w:cs="仿宋_GB2312"/>
          <w:color w:val="auto"/>
          <w:sz w:val="32"/>
          <w:szCs w:val="32"/>
          <w:lang w:val="en-US" w:eastAsia="zh-CN"/>
        </w:rPr>
        <w:t>力</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6" w:name="_Toc14935"/>
      <w:bookmarkStart w:id="7" w:name="_Toc16124"/>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6"/>
      <w:bookmarkEnd w:id="7"/>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标准修业年限为3年，弹性学分有效修业年限为2</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8" w:name="_Toc11648"/>
      <w:bookmarkStart w:id="9" w:name="_Toc10211"/>
      <w:r>
        <w:rPr>
          <w:rFonts w:hint="eastAsia" w:ascii="黑体" w:hAnsi="黑体" w:eastAsia="黑体" w:cs="黑体"/>
          <w:color w:val="auto"/>
          <w:sz w:val="32"/>
          <w:szCs w:val="32"/>
        </w:rPr>
        <w:t>四、职业面向</w:t>
      </w:r>
      <w:bookmarkEnd w:id="8"/>
      <w:bookmarkEnd w:id="9"/>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职业岗位分析表</w:t>
      </w:r>
    </w:p>
    <w:tbl>
      <w:tblPr>
        <w:tblStyle w:val="10"/>
        <w:tblW w:w="10237"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1575"/>
        <w:gridCol w:w="1327"/>
        <w:gridCol w:w="1786"/>
        <w:gridCol w:w="2257"/>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136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5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3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225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192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136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bookmarkStart w:id="10" w:name="OLE_LINK1" w:colFirst="0" w:colLast="5"/>
            <w:r>
              <w:rPr>
                <w:rFonts w:hint="eastAsia" w:ascii="仿宋_GB2312" w:hAnsi="仿宋_GB2312" w:eastAsia="仿宋_GB2312" w:cs="仿宋_GB2312"/>
                <w:color w:val="auto"/>
                <w:sz w:val="24"/>
                <w:szCs w:val="24"/>
              </w:rPr>
              <w:t>财经商贸大类（53）</w:t>
            </w:r>
          </w:p>
        </w:tc>
        <w:tc>
          <w:tcPr>
            <w:tcW w:w="15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财务会计类（</w:t>
            </w:r>
            <w:r>
              <w:rPr>
                <w:rFonts w:hint="eastAsia" w:ascii="仿宋_GB2312" w:hAnsi="仿宋_GB2312" w:eastAsia="仿宋_GB2312" w:cs="仿宋_GB2312"/>
                <w:color w:val="auto"/>
                <w:sz w:val="24"/>
                <w:szCs w:val="24"/>
                <w:lang w:val="en-US" w:eastAsia="zh-CN"/>
              </w:rPr>
              <w:t>53</w:t>
            </w:r>
            <w:r>
              <w:rPr>
                <w:rFonts w:hint="eastAsia" w:ascii="仿宋_GB2312" w:hAnsi="仿宋_GB2312" w:eastAsia="仿宋_GB2312" w:cs="仿宋_GB2312"/>
                <w:color w:val="auto"/>
                <w:sz w:val="24"/>
                <w:szCs w:val="24"/>
              </w:rPr>
              <w:t>03）</w:t>
            </w:r>
          </w:p>
        </w:tc>
        <w:tc>
          <w:tcPr>
            <w:tcW w:w="13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会计、审计及税务服务（7241）</w:t>
            </w: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会计专业人员（2-06-03）、审计专业人员（2-06-04）、</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税务专业人员（2-06-05）</w:t>
            </w:r>
          </w:p>
        </w:tc>
        <w:tc>
          <w:tcPr>
            <w:tcW w:w="225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企业会计核算、注册会计师事务所助理、企业财务大数据分析、企业会计信息管理、企业税务管理</w:t>
            </w:r>
          </w:p>
        </w:tc>
        <w:tc>
          <w:tcPr>
            <w:tcW w:w="192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会计专业技术资格、审计专业技术资格、业财一体信息化应用、智能财税、财务共享服务</w:t>
            </w:r>
          </w:p>
        </w:tc>
      </w:tr>
      <w:bookmarkEnd w:id="10"/>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rPr>
      </w:pPr>
      <w:bookmarkStart w:id="11" w:name="_Toc11270"/>
      <w:bookmarkStart w:id="12" w:name="_Toc12310"/>
      <w:r>
        <w:rPr>
          <w:rFonts w:hint="eastAsia" w:ascii="黑体" w:hAnsi="黑体" w:eastAsia="黑体" w:cs="黑体"/>
          <w:color w:val="auto"/>
          <w:sz w:val="32"/>
          <w:szCs w:val="32"/>
        </w:rPr>
        <w:t>五、培养目标</w:t>
      </w:r>
      <w:bookmarkEnd w:id="11"/>
      <w:bookmarkEnd w:id="12"/>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pacing w:val="0"/>
          <w:sz w:val="32"/>
          <w:szCs w:val="32"/>
          <w:lang w:val="en-US" w:eastAsia="zh-CN"/>
        </w:rPr>
      </w:pPr>
      <w:bookmarkStart w:id="13" w:name="_Toc24874"/>
      <w:bookmarkStart w:id="14" w:name="_Toc16516"/>
      <w:r>
        <w:rPr>
          <w:rFonts w:hint="eastAsia" w:ascii="仿宋_GB2312" w:hAnsi="仿宋_GB2312" w:eastAsia="仿宋_GB2312" w:cs="仿宋_GB2312"/>
          <w:color w:val="auto"/>
          <w:spacing w:val="0"/>
          <w:sz w:val="32"/>
          <w:szCs w:val="32"/>
        </w:rPr>
        <w:t>本专业培养面向各类中小微企业、金融机构、行政事业单位、会计师事务所及税务服务机构，立足广西区域经济发展需求，培养能够践行社会主义核心价值观，德智体美劳全面发展，具备良好的人文素养、科学素养、职业道德、创新意识和精益求精的工匠精神，掌握大数据技术在会计核算、税务管理、审计实务中的核心应用技能，具备传统会计业务处理与智能化财务操作的复合能力</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rPr>
        <w:t>掌握本专业知识和技术技能，具备职业综合素质和行动能力，面向会计、审计及税务服务行业的会计类岗位（群），能够从事财税审计服务工作的高技能人才。</w:t>
      </w:r>
      <w:bookmarkEnd w:id="13"/>
      <w:bookmarkEnd w:id="1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eastAsia="zh-CN"/>
        </w:rPr>
      </w:pPr>
      <w:bookmarkStart w:id="15" w:name="_Toc16853"/>
      <w:bookmarkStart w:id="16" w:name="_Toc18440"/>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15"/>
      <w:bookmarkEnd w:id="16"/>
    </w:p>
    <w:p>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本专业</w:t>
      </w:r>
      <w:r>
        <w:rPr>
          <w:rFonts w:hint="eastAsia" w:ascii="仿宋_GB2312" w:hAnsi="仿宋_GB2312" w:eastAsia="仿宋_GB2312" w:cs="仿宋_GB2312"/>
          <w:color w:val="auto"/>
          <w:sz w:val="32"/>
          <w:szCs w:val="32"/>
          <w:lang w:val="en-US" w:eastAsia="zh-CN"/>
        </w:rPr>
        <w:t>学</w:t>
      </w:r>
      <w:r>
        <w:rPr>
          <w:rFonts w:hint="eastAsia" w:ascii="仿宋_GB2312" w:hAnsi="仿宋_GB2312" w:eastAsia="仿宋_GB2312" w:cs="仿宋_GB2312"/>
          <w:color w:val="auto"/>
          <w:sz w:val="32"/>
          <w:szCs w:val="32"/>
          <w:lang w:eastAsia="zh-CN"/>
        </w:rPr>
        <w:t>生应在系统学习专业知识并完成有关实习实训基础上，全面提升知识、能力、素质，掌握并实际运用岗位（群）需要的专业核心技术技能，实现德智体美劳全面发展，总体上须达到以下要求：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楷体" w:hAnsi="楷体" w:eastAsia="楷体" w:cs="楷体"/>
          <w:color w:val="auto"/>
          <w:sz w:val="32"/>
          <w:szCs w:val="32"/>
          <w:lang w:val="en-US" w:eastAsia="zh-CN"/>
        </w:rPr>
      </w:pPr>
      <w:bookmarkStart w:id="17" w:name="_Toc30470"/>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知识</w:t>
      </w:r>
      <w:r>
        <w:rPr>
          <w:rFonts w:hint="eastAsia" w:ascii="楷体" w:hAnsi="楷体" w:eastAsia="楷体" w:cs="楷体"/>
          <w:color w:val="auto"/>
          <w:sz w:val="32"/>
          <w:szCs w:val="32"/>
          <w:lang w:val="en-US" w:eastAsia="zh-CN"/>
        </w:rPr>
        <w:t>目标</w:t>
      </w:r>
      <w:bookmarkEnd w:id="17"/>
    </w:p>
    <w:p>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掌握与本专业对应职业活动相关的国家法律、行业规定，掌握绿色生产、环境保护、安全防护、质量管理等相关知识与技能，了解相关行业文化，具有爱岗敬业的职业精神，增强法律意识，确保会计工作在法律框架内合规开展，遵守职业道德准则和行为规范，具备社会责任感和担当精神；</w:t>
      </w:r>
    </w:p>
    <w:p>
      <w:pPr>
        <w:pStyle w:val="3"/>
        <w:keepNext w:val="0"/>
        <w:keepLines w:val="0"/>
        <w:pageBreakBefore w:val="0"/>
        <w:widowControl w:val="0"/>
        <w:kinsoku/>
        <w:wordWrap/>
        <w:overflowPunct/>
        <w:topLinePunct w:val="0"/>
        <w:autoSpaceDE/>
        <w:autoSpaceDN/>
        <w:bidi w:val="0"/>
        <w:adjustRightInd/>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掌握支撑本专业学习和可持续发展必备的语文、数学、外语（英语等）、信息技术等文化基础知识，熟练掌握公文写作的规范和技巧，能够准确、清晰地撰写各类会计相关公文，如财务报告、审计报告、工作汇报等，</w:t>
      </w:r>
      <w:r>
        <w:rPr>
          <w:rFonts w:hint="eastAsia" w:ascii="仿宋_GB2312" w:hAnsi="仿宋_GB2312" w:eastAsia="仿宋_GB2312" w:cs="仿宋_GB2312"/>
          <w:color w:val="auto"/>
          <w:sz w:val="32"/>
          <w:szCs w:val="32"/>
          <w:lang w:val="en-US" w:eastAsia="zh-CN"/>
        </w:rPr>
        <w:t>同时，</w:t>
      </w:r>
      <w:r>
        <w:rPr>
          <w:rFonts w:hint="eastAsia" w:ascii="仿宋_GB2312" w:hAnsi="仿宋_GB2312" w:eastAsia="仿宋_GB2312" w:cs="仿宋_GB2312"/>
          <w:color w:val="auto"/>
          <w:sz w:val="32"/>
          <w:szCs w:val="32"/>
          <w:lang w:eastAsia="zh-CN"/>
        </w:rPr>
        <w:t>具有良好的人文素养与科学素养，具备职业生涯规划能力；</w:t>
      </w:r>
    </w:p>
    <w:p>
      <w:pPr>
        <w:pStyle w:val="3"/>
        <w:keepNext w:val="0"/>
        <w:keepLines w:val="0"/>
        <w:pageBreakBefore w:val="0"/>
        <w:widowControl w:val="0"/>
        <w:kinsoku/>
        <w:wordWrap/>
        <w:overflowPunct/>
        <w:topLinePunct w:val="0"/>
        <w:autoSpaceDE/>
        <w:autoSpaceDN/>
        <w:bidi w:val="0"/>
        <w:adjustRightInd/>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具有良好的语言表达能力、文字表达能力、沟通合作能力，具有较强的集体意识和团队合作意识，学习1门外语并结合本专业加以运用，能够阅读和理解会计专业相关的英文文献、资料，能够用英语进行简单的商务交流，了解国际会计领域的最新动态和发展趋势；</w:t>
      </w:r>
    </w:p>
    <w:p>
      <w:pPr>
        <w:pStyle w:val="3"/>
        <w:keepNext w:val="0"/>
        <w:keepLines w:val="0"/>
        <w:pageBreakBefore w:val="0"/>
        <w:widowControl w:val="0"/>
        <w:kinsoku/>
        <w:wordWrap/>
        <w:overflowPunct/>
        <w:topLinePunct w:val="0"/>
        <w:autoSpaceDE/>
        <w:autoSpaceDN/>
        <w:bidi w:val="0"/>
        <w:adjustRightInd/>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掌握现代信息技术、会计核算、经济管理、财务分析等方面的专业基础理论知识，具体包括：</w:t>
      </w:r>
    </w:p>
    <w:p>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掌握经济、统计、财政金融、市场营销、企业管理等基础知识，</w:t>
      </w:r>
      <w:r>
        <w:rPr>
          <w:rFonts w:hint="eastAsia" w:ascii="仿宋_GB2312" w:hAnsi="仿宋_GB2312" w:eastAsia="仿宋_GB2312" w:cs="仿宋_GB2312"/>
          <w:color w:val="auto"/>
          <w:sz w:val="32"/>
          <w:szCs w:val="32"/>
          <w:lang w:val="en-US" w:eastAsia="zh-CN"/>
        </w:rPr>
        <w:t>具备</w:t>
      </w:r>
      <w:r>
        <w:rPr>
          <w:rFonts w:hint="eastAsia" w:ascii="仿宋_GB2312" w:hAnsi="仿宋_GB2312" w:eastAsia="仿宋_GB2312" w:cs="仿宋_GB2312"/>
          <w:color w:val="auto"/>
          <w:sz w:val="32"/>
          <w:szCs w:val="32"/>
          <w:lang w:eastAsia="zh-CN"/>
        </w:rPr>
        <w:t>跨学科知识整合的</w:t>
      </w:r>
      <w:r>
        <w:rPr>
          <w:rFonts w:hint="eastAsia" w:ascii="仿宋_GB2312" w:hAnsi="仿宋_GB2312" w:eastAsia="仿宋_GB2312" w:cs="仿宋_GB2312"/>
          <w:color w:val="auto"/>
          <w:sz w:val="32"/>
          <w:szCs w:val="32"/>
          <w:lang w:val="en-US" w:eastAsia="zh-CN"/>
        </w:rPr>
        <w:t>能力</w:t>
      </w:r>
      <w:r>
        <w:rPr>
          <w:rFonts w:hint="eastAsia" w:ascii="仿宋_GB2312" w:hAnsi="仿宋_GB2312" w:eastAsia="仿宋_GB2312" w:cs="仿宋_GB2312"/>
          <w:color w:val="auto"/>
          <w:sz w:val="32"/>
          <w:szCs w:val="32"/>
          <w:lang w:eastAsia="zh-CN"/>
        </w:rPr>
        <w:t>，突破单一财务视角，形成“宏观洞察—数据驱动—运营协同”的综合能力；</w:t>
      </w:r>
    </w:p>
    <w:p>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掌握会计核算、成本计算、成本管理、税费申报与管理、管理会计、财务分析、企业内部控制等理论知识，熟悉会计凭证的填制与审核、账簿的登记、财务报表的编制等会计核算流程；</w:t>
      </w:r>
    </w:p>
    <w:p>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掌握大数据技术、数据库技术等基础知识，了解大数据统计方法在会计数据处理中的应用，能够运用大数据技术对海量会计数据进行收集、整理、分析和挖掘，为会计决策提供数据支持；</w:t>
      </w:r>
    </w:p>
    <w:p>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outlineLvl w:val="9"/>
        <w:rPr>
          <w:rFonts w:hint="eastAsia" w:ascii="楷体" w:hAnsi="楷体" w:eastAsia="楷体" w:cs="楷体"/>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掌握社会审计与内部审计等基础知识，能运用审计基础理论识别企业财务报表潜在风险，通过对比社会审计的独立性与内部审计的灵活性，分析不同审计类型在企业治理中的协同价值，为后续学习</w:t>
      </w:r>
      <w:r>
        <w:rPr>
          <w:rFonts w:hint="eastAsia" w:ascii="仿宋_GB2312" w:hAnsi="仿宋_GB2312" w:eastAsia="仿宋_GB2312" w:cs="仿宋_GB2312"/>
          <w:color w:val="auto"/>
          <w:sz w:val="32"/>
          <w:szCs w:val="32"/>
          <w:lang w:val="en-US" w:eastAsia="zh-CN"/>
        </w:rPr>
        <w:t>和工作</w:t>
      </w:r>
      <w:r>
        <w:rPr>
          <w:rFonts w:hint="eastAsia" w:ascii="仿宋_GB2312" w:hAnsi="仿宋_GB2312" w:eastAsia="仿宋_GB2312" w:cs="仿宋_GB2312"/>
          <w:color w:val="auto"/>
          <w:sz w:val="32"/>
          <w:szCs w:val="32"/>
          <w:lang w:eastAsia="zh-CN"/>
        </w:rPr>
        <w:t>奠定</w:t>
      </w:r>
      <w:r>
        <w:rPr>
          <w:rFonts w:hint="eastAsia" w:ascii="仿宋_GB2312" w:hAnsi="仿宋_GB2312" w:eastAsia="仿宋_GB2312" w:cs="仿宋_GB2312"/>
          <w:color w:val="auto"/>
          <w:sz w:val="32"/>
          <w:szCs w:val="32"/>
          <w:lang w:val="en-US" w:eastAsia="zh-CN"/>
        </w:rPr>
        <w:t>扎实的</w:t>
      </w:r>
      <w:r>
        <w:rPr>
          <w:rFonts w:hint="eastAsia" w:ascii="仿宋_GB2312" w:hAnsi="仿宋_GB2312" w:eastAsia="仿宋_GB2312" w:cs="仿宋_GB2312"/>
          <w:color w:val="auto"/>
          <w:sz w:val="32"/>
          <w:szCs w:val="32"/>
          <w:lang w:eastAsia="zh-CN"/>
        </w:rPr>
        <w:t>基础。</w:t>
      </w:r>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1"/>
        <w:rPr>
          <w:rFonts w:hint="eastAsia" w:ascii="楷体" w:hAnsi="楷体" w:eastAsia="楷体" w:cs="楷体"/>
          <w:color w:val="auto"/>
          <w:sz w:val="32"/>
          <w:szCs w:val="32"/>
        </w:rPr>
      </w:pPr>
      <w:bookmarkStart w:id="18" w:name="_Toc13148"/>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能力</w:t>
      </w:r>
      <w:r>
        <w:rPr>
          <w:rFonts w:hint="eastAsia" w:ascii="楷体" w:hAnsi="楷体" w:eastAsia="楷体" w:cs="楷体"/>
          <w:color w:val="auto"/>
          <w:sz w:val="32"/>
          <w:szCs w:val="32"/>
          <w:lang w:val="en-US" w:eastAsia="zh-CN"/>
        </w:rPr>
        <w:t>目标</w:t>
      </w:r>
      <w:bookmarkEnd w:id="18"/>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19" w:name="_Toc11123"/>
      <w:bookmarkStart w:id="20" w:name="_Toc1368"/>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掌握现代信息技术、会计核算、经济管理、财务分析等方面的专业基础理论知识，具体包括：</w:t>
      </w:r>
      <w:bookmarkEnd w:id="19"/>
      <w:bookmarkEnd w:id="20"/>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21" w:name="_Toc30843"/>
      <w:bookmarkStart w:id="22" w:name="_Toc17183"/>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掌握经济、统计、财政金融、市场营销、企业管理等基础知识；</w:t>
      </w:r>
      <w:bookmarkEnd w:id="21"/>
      <w:bookmarkEnd w:id="22"/>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23" w:name="_Toc15351"/>
      <w:bookmarkStart w:id="24" w:name="_Toc1602"/>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掌握会计核算、成本计算、成本管理、税费申报与管理、管理会计、财务分析、企业内部控制等理论知识；</w:t>
      </w:r>
      <w:bookmarkEnd w:id="23"/>
      <w:bookmarkEnd w:id="24"/>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25" w:name="_Toc18786"/>
      <w:bookmarkStart w:id="26" w:name="_Toc119"/>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掌握大数据技术、数据库技术等基础知识；</w:t>
      </w:r>
      <w:bookmarkEnd w:id="25"/>
      <w:bookmarkEnd w:id="26"/>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bookmarkStart w:id="27" w:name="_Toc6668"/>
      <w:bookmarkStart w:id="28" w:name="_Toc5273"/>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掌握社会审计与内部审计等基础知识</w:t>
      </w:r>
      <w:r>
        <w:rPr>
          <w:rFonts w:hint="eastAsia" w:ascii="仿宋_GB2312" w:hAnsi="仿宋_GB2312" w:eastAsia="仿宋_GB2312" w:cs="仿宋_GB2312"/>
          <w:color w:val="auto"/>
          <w:sz w:val="32"/>
          <w:szCs w:val="32"/>
          <w:lang w:eastAsia="zh-CN"/>
        </w:rPr>
        <w:t>。</w:t>
      </w:r>
      <w:bookmarkEnd w:id="27"/>
      <w:bookmarkEnd w:id="28"/>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29" w:name="_Toc7233"/>
      <w:bookmarkStart w:id="30" w:name="_Toc1699"/>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掌握本专业技术技能，具有相关的业务处理能力或实践能力，包括：</w:t>
      </w:r>
      <w:bookmarkEnd w:id="29"/>
      <w:bookmarkEnd w:id="30"/>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31" w:name="_Toc16678"/>
      <w:bookmarkStart w:id="32" w:name="_Toc23600"/>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掌握出纳岗位工作技能，具有选择合理结算方式，完成资金收付结算的能力；</w:t>
      </w:r>
      <w:bookmarkEnd w:id="31"/>
      <w:bookmarkEnd w:id="32"/>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33" w:name="_Toc31909"/>
      <w:bookmarkStart w:id="34" w:name="_Toc28267"/>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掌握企业会计核算技能，具有对会计要素进行确认、计量，熟练审核与编制会计凭证、登记账簿以及编制财务报告的能力；</w:t>
      </w:r>
      <w:bookmarkEnd w:id="33"/>
      <w:bookmarkEnd w:id="34"/>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35" w:name="_Toc29247"/>
      <w:bookmarkStart w:id="36" w:name="_Toc4244"/>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掌握产品成本核算、成本控制和成本管理的技能；</w:t>
      </w:r>
      <w:bookmarkEnd w:id="35"/>
      <w:bookmarkEnd w:id="36"/>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bookmarkStart w:id="37" w:name="_Toc29369"/>
      <w:bookmarkStart w:id="38" w:name="_Toc7583"/>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具有熟练应用智慧税控系统进行各种税费计算与申报的能力，以及基本的纳税筹划和纳税风险控制的能力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能够准确进行纳税申报，及时缴纳税款，避免税务风险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同时，掌握税务分析和筹划技巧，通过合理的税务安排，降低企业税务成本，提高企业经济效益</w:t>
      </w:r>
      <w:r>
        <w:rPr>
          <w:rFonts w:hint="eastAsia" w:ascii="仿宋_GB2312" w:hAnsi="仿宋_GB2312" w:eastAsia="仿宋_GB2312" w:cs="仿宋_GB2312"/>
          <w:color w:val="auto"/>
          <w:sz w:val="32"/>
          <w:szCs w:val="32"/>
          <w:lang w:eastAsia="zh-CN"/>
        </w:rPr>
        <w:t>；</w:t>
      </w:r>
      <w:bookmarkEnd w:id="37"/>
      <w:bookmarkEnd w:id="38"/>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bookmarkStart w:id="39" w:name="_Toc14557"/>
      <w:bookmarkStart w:id="40" w:name="_Toc10663"/>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掌握运用云财务智能会计平台、财务共享服务平台、业务财务一体化信息系统以及财务机器人进行业务财务处理的技能</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能够运用财务软件高效完成账务处理、凭证录入、报表生成等工作，及时准确地反映企业财务状况</w:t>
      </w:r>
      <w:r>
        <w:rPr>
          <w:rFonts w:hint="eastAsia" w:ascii="仿宋_GB2312" w:hAnsi="仿宋_GB2312" w:eastAsia="仿宋_GB2312" w:cs="仿宋_GB2312"/>
          <w:color w:val="auto"/>
          <w:sz w:val="32"/>
          <w:szCs w:val="32"/>
          <w:lang w:eastAsia="zh-CN"/>
        </w:rPr>
        <w:t>；</w:t>
      </w:r>
      <w:bookmarkEnd w:id="39"/>
      <w:bookmarkEnd w:id="40"/>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41" w:name="_Toc773"/>
      <w:bookmarkStart w:id="42" w:name="_Toc3432"/>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具有运用ERP系统进行业务财务流程、内容和制度一体化设计的基本能力；</w:t>
      </w:r>
      <w:bookmarkEnd w:id="41"/>
      <w:bookmarkEnd w:id="42"/>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43" w:name="_Toc18109"/>
      <w:bookmarkStart w:id="44" w:name="_Toc5332"/>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具有运用管理会计的基本方法和工具进行资金管理、成本管理、营运管理、绩效管理的基本能力；</w:t>
      </w:r>
      <w:bookmarkEnd w:id="43"/>
      <w:bookmarkEnd w:id="44"/>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rPr>
      </w:pPr>
      <w:bookmarkStart w:id="45" w:name="_Toc16787"/>
      <w:bookmarkStart w:id="46" w:name="_Toc29579"/>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具有撰写财务与成本分析报告的能力，能应用大数据技术进行业务财务数据收集、清洗、整理、挖掘和可视化输出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能够运用财务软件编制各类财务报告，为企业内部管理和外部信息披露提供规范、准确的财务信息；</w:t>
      </w:r>
      <w:bookmarkEnd w:id="45"/>
      <w:bookmarkEnd w:id="46"/>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bookmarkStart w:id="47" w:name="_Toc3822"/>
      <w:bookmarkStart w:id="48" w:name="_Toc15292"/>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具有运用内部控制方法和技术，识别企业风险、实施内部会计控制及内部控制审计的能</w:t>
      </w:r>
      <w:r>
        <w:rPr>
          <w:rFonts w:hint="eastAsia" w:ascii="仿宋_GB2312" w:hAnsi="仿宋_GB2312" w:eastAsia="仿宋_GB2312" w:cs="仿宋_GB2312"/>
          <w:color w:val="auto"/>
          <w:sz w:val="32"/>
          <w:szCs w:val="32"/>
          <w:highlight w:val="none"/>
        </w:rPr>
        <w:t>力</w:t>
      </w:r>
      <w:r>
        <w:rPr>
          <w:rFonts w:hint="eastAsia" w:ascii="仿宋_GB2312" w:hAnsi="仿宋_GB2312" w:eastAsia="仿宋_GB2312" w:cs="仿宋_GB2312"/>
          <w:color w:val="auto"/>
          <w:sz w:val="32"/>
          <w:szCs w:val="32"/>
          <w:highlight w:val="none"/>
          <w:lang w:eastAsia="zh-CN"/>
        </w:rPr>
        <w:t>，能</w:t>
      </w:r>
      <w:r>
        <w:rPr>
          <w:rFonts w:hint="eastAsia" w:ascii="仿宋_GB2312" w:hAnsi="仿宋_GB2312" w:eastAsia="仿宋_GB2312" w:cs="仿宋_GB2312"/>
          <w:color w:val="auto"/>
          <w:sz w:val="32"/>
          <w:szCs w:val="32"/>
          <w:highlight w:val="none"/>
        </w:rPr>
        <w:t>够</w:t>
      </w:r>
      <w:r>
        <w:rPr>
          <w:rFonts w:hint="eastAsia" w:ascii="仿宋_GB2312" w:hAnsi="仿宋_GB2312" w:eastAsia="仿宋_GB2312" w:cs="仿宋_GB2312"/>
          <w:color w:val="auto"/>
          <w:sz w:val="32"/>
          <w:szCs w:val="32"/>
        </w:rPr>
        <w:t>根据审计发现的问题，提出切实可行的审计意见，并撰写规范、专业的审计报告，为企业改进财务管理、加强内部控制提供有力支持</w:t>
      </w:r>
      <w:r>
        <w:rPr>
          <w:rFonts w:hint="eastAsia" w:ascii="仿宋_GB2312" w:hAnsi="仿宋_GB2312" w:eastAsia="仿宋_GB2312" w:cs="仿宋_GB2312"/>
          <w:color w:val="auto"/>
          <w:sz w:val="32"/>
          <w:szCs w:val="32"/>
          <w:lang w:eastAsia="zh-CN"/>
        </w:rPr>
        <w:t>；</w:t>
      </w:r>
      <w:bookmarkEnd w:id="47"/>
      <w:bookmarkEnd w:id="48"/>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9"/>
        <w:rPr>
          <w:rFonts w:hint="eastAsia" w:ascii="仿宋_GB2312" w:hAnsi="仿宋_GB2312" w:eastAsia="仿宋_GB2312" w:cs="仿宋_GB2312"/>
          <w:color w:val="auto"/>
          <w:sz w:val="32"/>
          <w:szCs w:val="32"/>
          <w:lang w:eastAsia="zh-CN"/>
        </w:rPr>
      </w:pPr>
      <w:bookmarkStart w:id="49" w:name="_Toc31313"/>
      <w:bookmarkStart w:id="50" w:name="_Toc12225"/>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具有收集整理审计证据和有关审计信息，编制审计工作底稿，协助审计人员编制审计报告的审计工作能力</w:t>
      </w:r>
      <w:r>
        <w:rPr>
          <w:rFonts w:hint="eastAsia" w:ascii="仿宋_GB2312" w:hAnsi="仿宋_GB2312" w:eastAsia="仿宋_GB2312" w:cs="仿宋_GB2312"/>
          <w:color w:val="auto"/>
          <w:sz w:val="32"/>
          <w:szCs w:val="32"/>
          <w:lang w:eastAsia="zh-CN"/>
        </w:rPr>
        <w:t>。</w:t>
      </w:r>
      <w:bookmarkEnd w:id="49"/>
      <w:bookmarkEnd w:id="5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eastAsia="zh-CN"/>
        </w:rPr>
      </w:pPr>
      <w:bookmarkStart w:id="51" w:name="_Toc16674"/>
      <w:bookmarkStart w:id="52" w:name="_Toc22196"/>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掌握信息技术基础知识，具有适应本领域数字化和智能化发展需求的数字技能</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提升信息处理、数字应用能力，能够根据会计专业领域的实际需要，运用多种媒介和多种方式采集、提炼、加工、整理信息</w:t>
      </w:r>
      <w:r>
        <w:rPr>
          <w:rFonts w:hint="eastAsia" w:ascii="仿宋_GB2312" w:hAnsi="仿宋_GB2312" w:eastAsia="仿宋_GB2312" w:cs="仿宋_GB2312"/>
          <w:color w:val="auto"/>
          <w:sz w:val="32"/>
          <w:szCs w:val="32"/>
          <w:lang w:eastAsia="zh-CN"/>
        </w:rPr>
        <w:t>。</w:t>
      </w:r>
      <w:bookmarkEnd w:id="51"/>
      <w:bookmarkEnd w:id="5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eastAsia="zh-CN"/>
        </w:rPr>
      </w:pPr>
      <w:bookmarkStart w:id="53" w:name="_Toc8280"/>
      <w:bookmarkStart w:id="54" w:name="_Toc17892"/>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具有探究学习、终身学习和可持续发展的能力，具有整合知识和综合运用知识分析问题和解决问题的能力</w:t>
      </w:r>
      <w:bookmarkEnd w:id="53"/>
      <w:r>
        <w:rPr>
          <w:rFonts w:hint="eastAsia" w:ascii="仿宋_GB2312" w:hAnsi="仿宋_GB2312" w:eastAsia="仿宋_GB2312" w:cs="仿宋_GB2312"/>
          <w:color w:val="auto"/>
          <w:sz w:val="32"/>
          <w:szCs w:val="32"/>
          <w:lang w:eastAsia="zh-CN"/>
        </w:rPr>
        <w:t>；</w:t>
      </w:r>
      <w:bookmarkEnd w:id="5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lang w:val="en-US" w:eastAsia="zh-CN"/>
        </w:rPr>
      </w:pPr>
      <w:bookmarkStart w:id="55" w:name="_Toc18785"/>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highlight w:val="none"/>
        </w:rPr>
        <w:t>根据人才培养，专业方向课程分别对标不同的学生专业技能竞赛和不同的1+X职业技能等级证书标准，培养的学生根据专长参加不同的专业技能竞赛和1+X职能能力等级证书考试。</w:t>
      </w:r>
      <w:bookmarkEnd w:id="5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bookmarkStart w:id="56" w:name="_Toc22798"/>
      <w:bookmarkStart w:id="57" w:name="_Toc14261"/>
      <w:bookmarkStart w:id="58" w:name="_Toc5200"/>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素质</w:t>
      </w:r>
      <w:r>
        <w:rPr>
          <w:rFonts w:hint="eastAsia" w:ascii="楷体" w:hAnsi="楷体" w:eastAsia="楷体" w:cs="楷体"/>
          <w:color w:val="auto"/>
          <w:sz w:val="32"/>
          <w:szCs w:val="32"/>
          <w:lang w:val="en-US" w:eastAsia="zh-CN"/>
        </w:rPr>
        <w:t>目标</w:t>
      </w:r>
      <w:bookmarkEnd w:id="56"/>
      <w:bookmarkEnd w:id="57"/>
      <w:bookmarkEnd w:id="5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eastAsia="zh-CN"/>
        </w:rPr>
      </w:pPr>
      <w:bookmarkStart w:id="59" w:name="_Toc21309"/>
      <w:bookmarkStart w:id="60" w:name="_Toc8879"/>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坚定拥护中国共产党领导和我国社会主义制度，在习近平新时代中国特色社会主义思想指引下，践行社会主义核心价值观，具有深厚的爱国情感和中华民族自豪感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具备</w:t>
      </w:r>
      <w:r>
        <w:rPr>
          <w:rFonts w:hint="eastAsia" w:ascii="仿宋_GB2312" w:hAnsi="仿宋_GB2312" w:eastAsia="仿宋_GB2312" w:cs="仿宋_GB2312"/>
          <w:color w:val="auto"/>
          <w:sz w:val="32"/>
          <w:szCs w:val="32"/>
        </w:rPr>
        <w:t>较高的政治素养，积极传播正能量，维护国家和集体利益</w:t>
      </w:r>
      <w:r>
        <w:rPr>
          <w:rFonts w:hint="eastAsia" w:ascii="仿宋_GB2312" w:hAnsi="仿宋_GB2312" w:eastAsia="仿宋_GB2312" w:cs="仿宋_GB2312"/>
          <w:color w:val="auto"/>
          <w:sz w:val="32"/>
          <w:szCs w:val="32"/>
          <w:lang w:eastAsia="zh-CN"/>
        </w:rPr>
        <w:t>。</w:t>
      </w:r>
      <w:bookmarkEnd w:id="59"/>
      <w:bookmarkEnd w:id="6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eastAsia="zh-CN"/>
        </w:rPr>
      </w:pPr>
      <w:bookmarkStart w:id="61" w:name="_Toc6008"/>
      <w:bookmarkStart w:id="62" w:name="_Toc25793"/>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掌握身体运动的基本知识和至少1项体育运动技能，达到国家大学生体质健康测试合格标准，养成良好的运动习惯、卫生习惯和行为习惯；具备一定的心理调适能力；养成良好的运动习惯，如定期参加跑步、篮球、羽毛球等体</w:t>
      </w:r>
      <w:r>
        <w:rPr>
          <w:rFonts w:hint="eastAsia" w:ascii="仿宋_GB2312" w:hAnsi="仿宋_GB2312" w:eastAsia="仿宋_GB2312" w:cs="仿宋_GB2312"/>
          <w:color w:val="auto"/>
          <w:spacing w:val="-6"/>
          <w:sz w:val="32"/>
          <w:szCs w:val="32"/>
        </w:rPr>
        <w:t>育活动，增强体质，为学习和</w:t>
      </w:r>
      <w:r>
        <w:rPr>
          <w:rFonts w:hint="eastAsia" w:ascii="仿宋_GB2312" w:hAnsi="仿宋_GB2312" w:eastAsia="仿宋_GB2312" w:cs="仿宋_GB2312"/>
          <w:color w:val="auto"/>
          <w:spacing w:val="-6"/>
          <w:sz w:val="32"/>
          <w:szCs w:val="32"/>
          <w:lang w:val="en-US" w:eastAsia="zh-CN"/>
        </w:rPr>
        <w:t>未来的</w:t>
      </w:r>
      <w:r>
        <w:rPr>
          <w:rFonts w:hint="eastAsia" w:ascii="仿宋_GB2312" w:hAnsi="仿宋_GB2312" w:eastAsia="仿宋_GB2312" w:cs="仿宋_GB2312"/>
          <w:color w:val="auto"/>
          <w:spacing w:val="-6"/>
          <w:sz w:val="32"/>
          <w:szCs w:val="32"/>
        </w:rPr>
        <w:t>工作奠定坚实的身体基础</w:t>
      </w:r>
      <w:r>
        <w:rPr>
          <w:rFonts w:hint="eastAsia" w:ascii="仿宋_GB2312" w:hAnsi="仿宋_GB2312" w:eastAsia="仿宋_GB2312" w:cs="仿宋_GB2312"/>
          <w:color w:val="auto"/>
          <w:spacing w:val="-6"/>
          <w:sz w:val="32"/>
          <w:szCs w:val="32"/>
          <w:lang w:eastAsia="zh-CN"/>
        </w:rPr>
        <w:t>。</w:t>
      </w:r>
      <w:bookmarkEnd w:id="61"/>
      <w:bookmarkEnd w:id="6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eastAsia="zh-CN"/>
        </w:rPr>
      </w:pPr>
      <w:bookmarkStart w:id="63" w:name="_Toc26420"/>
      <w:bookmarkStart w:id="64" w:name="_Toc4857"/>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掌握必备的美育知识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具有一定的文化修养、审美能力，形成至少1项艺术特长或爱好</w:t>
      </w:r>
      <w:r>
        <w:rPr>
          <w:rFonts w:hint="eastAsia" w:ascii="仿宋_GB2312" w:hAnsi="仿宋_GB2312" w:eastAsia="仿宋_GB2312" w:cs="仿宋_GB2312"/>
          <w:color w:val="auto"/>
          <w:sz w:val="32"/>
          <w:szCs w:val="32"/>
          <w:lang w:eastAsia="zh-CN"/>
        </w:rPr>
        <w:t>，提升文化修养与审美，</w:t>
      </w:r>
      <w:r>
        <w:rPr>
          <w:rFonts w:hint="eastAsia" w:ascii="仿宋_GB2312" w:hAnsi="仿宋_GB2312" w:eastAsia="仿宋_GB2312" w:cs="仿宋_GB2312"/>
          <w:color w:val="auto"/>
          <w:sz w:val="32"/>
          <w:szCs w:val="32"/>
          <w:lang w:val="en-US" w:eastAsia="zh-CN"/>
        </w:rPr>
        <w:t>能够</w:t>
      </w:r>
      <w:r>
        <w:rPr>
          <w:rFonts w:hint="eastAsia" w:ascii="仿宋_GB2312" w:hAnsi="仿宋_GB2312" w:eastAsia="仿宋_GB2312" w:cs="仿宋_GB2312"/>
          <w:color w:val="auto"/>
          <w:sz w:val="32"/>
          <w:szCs w:val="32"/>
          <w:lang w:eastAsia="zh-CN"/>
        </w:rPr>
        <w:t>以“美的视角”洞察财务工作中的规律与创新点，成为兼具专业能力与人文情怀的新时代财经人才。</w:t>
      </w:r>
      <w:bookmarkEnd w:id="63"/>
      <w:bookmarkEnd w:id="6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黑体" w:hAnsi="黑体" w:eastAsia="黑体" w:cs="黑体"/>
          <w:color w:val="auto"/>
          <w:sz w:val="32"/>
          <w:szCs w:val="32"/>
          <w:lang w:val="en-US" w:eastAsia="zh-CN"/>
        </w:rPr>
      </w:pPr>
      <w:bookmarkStart w:id="65" w:name="_Toc1130"/>
      <w:bookmarkStart w:id="66" w:name="_Toc29367"/>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树立正确的劳动观，尊重劳动，热爱劳动，具备与本专业职业发展相适应的劳动素养，弘扬劳模精神、劳动精神、工匠精神，</w:t>
      </w:r>
      <w:r>
        <w:rPr>
          <w:rFonts w:hint="eastAsia" w:ascii="仿宋_GB2312" w:hAnsi="仿宋_GB2312" w:eastAsia="仿宋_GB2312" w:cs="仿宋_GB2312"/>
          <w:color w:val="auto"/>
          <w:sz w:val="32"/>
          <w:szCs w:val="32"/>
          <w:lang w:val="en-US" w:eastAsia="zh-CN"/>
        </w:rPr>
        <w:t>对待</w:t>
      </w:r>
      <w:r>
        <w:rPr>
          <w:rFonts w:hint="eastAsia" w:ascii="仿宋_GB2312" w:hAnsi="仿宋_GB2312" w:eastAsia="仿宋_GB2312" w:cs="仿宋_GB2312"/>
          <w:color w:val="auto"/>
          <w:sz w:val="32"/>
          <w:szCs w:val="32"/>
        </w:rPr>
        <w:t>工作踏实稳重，勤奋努力，不投机取巧。在数据处理、账目核算等工作环节，思维严谨，注重细节，确保每一个数据的准确性和每一笔账目的清晰无误，以一丝不苟的态度对待会计工作，维护会计信息的真实性和可靠性</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弘扬劳动光荣、技能宝贵、创造伟大的时代风尚。</w:t>
      </w:r>
      <w:bookmarkEnd w:id="65"/>
      <w:bookmarkEnd w:id="66"/>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67" w:name="_Toc8824"/>
      <w:bookmarkStart w:id="68" w:name="_Toc19592"/>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67"/>
      <w:bookmarkEnd w:id="6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bookmarkStart w:id="69" w:name="_Toc22121"/>
      <w:bookmarkStart w:id="70" w:name="_Toc26010"/>
      <w:r>
        <w:rPr>
          <w:rFonts w:hint="eastAsia" w:ascii="仿宋_GB2312" w:hAnsi="仿宋_GB2312" w:eastAsia="仿宋_GB2312" w:cs="仿宋_GB2312"/>
          <w:color w:val="auto"/>
          <w:sz w:val="32"/>
          <w:szCs w:val="32"/>
        </w:rPr>
        <w:t>主要包括公共基础课程和专业课程。</w:t>
      </w:r>
      <w:bookmarkEnd w:id="69"/>
      <w:bookmarkEnd w:id="7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bookmarkStart w:id="71" w:name="_Toc17698"/>
      <w:bookmarkStart w:id="72" w:name="_Toc697"/>
      <w:bookmarkStart w:id="73" w:name="_Toc9820"/>
      <w:r>
        <w:rPr>
          <w:rFonts w:hint="eastAsia" w:ascii="楷体" w:hAnsi="楷体" w:eastAsia="楷体" w:cs="楷体"/>
          <w:color w:val="auto"/>
          <w:sz w:val="32"/>
          <w:szCs w:val="32"/>
        </w:rPr>
        <w:t>（一）公共基础课程</w:t>
      </w:r>
      <w:bookmarkEnd w:id="71"/>
      <w:bookmarkEnd w:id="72"/>
      <w:bookmarkEnd w:id="7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74" w:name="_Toc3602"/>
      <w:bookmarkStart w:id="75"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bookmarkEnd w:id="7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76" w:name="_Toc16667"/>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75"/>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bookmarkEnd w:id="7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77" w:name="_Toc22256"/>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语文、物理、化学、职业素养</w:t>
      </w:r>
      <w:r>
        <w:rPr>
          <w:rFonts w:hint="eastAsia" w:ascii="仿宋_GB2312" w:hAnsi="仿宋_GB2312" w:eastAsia="仿宋_GB2312" w:cs="仿宋_GB2312"/>
          <w:b w:val="0"/>
          <w:bCs w:val="0"/>
          <w:color w:val="auto"/>
          <w:sz w:val="32"/>
          <w:szCs w:val="32"/>
          <w:highlight w:val="none"/>
          <w:lang w:eastAsia="zh-CN"/>
        </w:rPr>
        <w:t>。</w:t>
      </w:r>
      <w:bookmarkEnd w:id="77"/>
    </w:p>
    <w:p>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bookmarkStart w:id="78" w:name="_Toc23632"/>
      <w:bookmarkStart w:id="79" w:name="_Toc15892"/>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公共基础课</w:t>
      </w:r>
      <w:r>
        <w:rPr>
          <w:rFonts w:hint="eastAsia" w:ascii="仿宋_GB2312" w:hAnsi="仿宋_GB2312" w:eastAsia="仿宋_GB2312" w:cs="仿宋_GB2312"/>
          <w:color w:val="auto"/>
          <w:sz w:val="32"/>
          <w:szCs w:val="32"/>
          <w:highlight w:val="none"/>
          <w:lang w:val="en-US" w:eastAsia="zh-CN"/>
        </w:rPr>
        <w:t>课程目标、主要教学内容与要求</w:t>
      </w:r>
      <w:bookmarkEnd w:id="78"/>
      <w:bookmarkEnd w:id="79"/>
    </w:p>
    <w:tbl>
      <w:tblPr>
        <w:tblStyle w:val="9"/>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80" w:name="_Toc90734979"/>
            <w:bookmarkStart w:id="81" w:name="_Toc2022"/>
            <w:r>
              <w:rPr>
                <w:rFonts w:hint="eastAsia" w:ascii="仿宋_GB2312" w:hAnsi="仿宋_GB2312" w:eastAsia="仿宋_GB2312" w:cs="仿宋_GB2312"/>
                <w:color w:val="000000" w:themeColor="text1"/>
                <w:sz w:val="24"/>
                <w:szCs w:val="24"/>
                <w:highlight w:val="none"/>
                <w14:textFill>
                  <w14:solidFill>
                    <w14:schemeClr w14:val="tx1"/>
                  </w14:solidFill>
                </w14:textFill>
              </w:rPr>
              <w:t>序号</w:t>
            </w:r>
            <w:bookmarkEnd w:id="80"/>
            <w:bookmarkEnd w:id="81"/>
          </w:p>
        </w:tc>
        <w:tc>
          <w:tcPr>
            <w:tcW w:w="752"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82" w:name="_Toc2635"/>
            <w:bookmarkStart w:id="83" w:name="_Toc90734980"/>
            <w:r>
              <w:rPr>
                <w:rFonts w:hint="eastAsia" w:ascii="仿宋_GB2312" w:hAnsi="仿宋_GB2312" w:eastAsia="仿宋_GB2312" w:cs="仿宋_GB2312"/>
                <w:color w:val="000000" w:themeColor="text1"/>
                <w:sz w:val="24"/>
                <w:szCs w:val="24"/>
                <w:highlight w:val="none"/>
                <w14:textFill>
                  <w14:solidFill>
                    <w14:schemeClr w14:val="tx1"/>
                  </w14:solidFill>
                </w14:textFill>
              </w:rPr>
              <w:t>课程名称</w:t>
            </w:r>
            <w:bookmarkEnd w:id="82"/>
            <w:bookmarkEnd w:id="83"/>
          </w:p>
        </w:tc>
        <w:tc>
          <w:tcPr>
            <w:tcW w:w="3928"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84" w:name="_Toc24608"/>
            <w:bookmarkStart w:id="85" w:name="_Toc90734981"/>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color w:val="000000" w:themeColor="text1"/>
                <w:sz w:val="24"/>
                <w:szCs w:val="24"/>
                <w:highlight w:val="none"/>
                <w14:textFill>
                  <w14:solidFill>
                    <w14:schemeClr w14:val="tx1"/>
                  </w14:solidFill>
                </w14:textFill>
              </w:rPr>
              <w:t>目标</w:t>
            </w:r>
            <w:bookmarkEnd w:id="84"/>
            <w:bookmarkEnd w:id="85"/>
          </w:p>
        </w:tc>
        <w:tc>
          <w:tcPr>
            <w:tcW w:w="2960"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86" w:name="_Toc23051"/>
            <w:bookmarkStart w:id="87" w:name="_Toc90734982"/>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w:t>
            </w:r>
            <w:r>
              <w:rPr>
                <w:rFonts w:hint="eastAsia" w:ascii="仿宋_GB2312" w:hAnsi="仿宋_GB2312" w:eastAsia="仿宋_GB2312" w:cs="仿宋_GB2312"/>
                <w:color w:val="000000" w:themeColor="text1"/>
                <w:sz w:val="24"/>
                <w:szCs w:val="24"/>
                <w:highlight w:val="none"/>
                <w14:textFill>
                  <w14:solidFill>
                    <w14:schemeClr w14:val="tx1"/>
                  </w14:solidFill>
                </w14:textFill>
              </w:rPr>
              <w:t>教学内容</w:t>
            </w:r>
            <w:bookmarkEnd w:id="86"/>
            <w:bookmarkEnd w:id="87"/>
          </w:p>
        </w:tc>
        <w:tc>
          <w:tcPr>
            <w:tcW w:w="2626"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pPr>
              <w:pStyle w:val="8"/>
              <w:keepNext w:val="0"/>
              <w:keepLines w:val="0"/>
              <w:pageBreakBefore w:val="0"/>
              <w:widowControl/>
              <w:suppressLineNumbers w:val="0"/>
              <w:kinsoku/>
              <w:wordWrap/>
              <w:overflowPunct/>
              <w:topLinePunct w:val="0"/>
              <w:autoSpaceDE/>
              <w:autoSpaceDN/>
              <w:bidi w:val="0"/>
              <w:adjustRightInd/>
              <w:snapToGrid/>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3928" w:type="dxa"/>
            <w:shd w:val="clear" w:color="auto" w:fill="auto"/>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仿宋_GB2312" w:hAnsi="仿宋_GB2312" w:eastAsia="仿宋_GB2312" w:cs="仿宋_GB2312"/>
                <w:b w:val="0"/>
                <w:bCs w:val="0"/>
                <w:color w:val="auto"/>
                <w:kern w:val="2"/>
                <w:sz w:val="24"/>
                <w:szCs w:val="24"/>
                <w:highlight w:val="none"/>
                <w:lang w:val="en-US" w:eastAsia="zh-CN" w:bidi="ar-SA"/>
              </w:rPr>
              <w:t>“以人民为中心”的发展理念，切实</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增强对国家保就业、稳增长工作的信心，充分感知国家在相关领域的坚实能力。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2"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物理</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通过物理学史和科学家故事，弘扬科学精神和爱国情怀，培养职业道德、团队协作意识与社会责任感。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化学</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通过我国古代化工成就与现代科技发展案例，增强民族自豪感，培养绿色化学理念、社会责任感和职业道德。</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职业素养</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系统</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的</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了解职业道德、职业礼仪、沟通协作、时间管理等基本规范与要求，理解职业角色定位与责任。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能够有效进行职场沟通与团队协作，具备解决职场常见矛盾、管理情绪与压力及进行职业规划的实践能力。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内化敬业、诚信、责任、专注的工匠精神，塑造阳光积极的职业心态，实现从“学生”到“职业人”的角色转变。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培育社会主义核心价值观，强化劳动精神、劳模精神和工匠精神教育，树立正确的职业观、事业观和成才观。</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tbl>
    <w:p>
      <w:pPr>
        <w:pStyle w:val="2"/>
        <w:pageBreakBefore w:val="0"/>
        <w:widowControl/>
        <w:kinsoku/>
        <w:wordWrap/>
        <w:topLinePunct w:val="0"/>
        <w:autoSpaceDE/>
        <w:autoSpaceDN/>
        <w:bidi w:val="0"/>
        <w:snapToGrid/>
        <w:spacing w:before="0" w:after="0" w:line="520" w:lineRule="exact"/>
        <w:ind w:firstLine="640" w:firstLineChars="200"/>
        <w:jc w:val="left"/>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（二）专业课程</w:t>
      </w:r>
    </w:p>
    <w:p>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专业（技能）课程包括专业基础课程、专业核心课程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专业拓展课程，并涵盖有关实践性教学环节。</w:t>
      </w:r>
    </w:p>
    <w:p>
      <w:pPr>
        <w:pageBreakBefore w:val="0"/>
        <w:kinsoku/>
        <w:wordWrap/>
        <w:overflowPunct w:val="0"/>
        <w:topLinePunct w:val="0"/>
        <w:autoSpaceDE/>
        <w:autoSpaceDN/>
        <w:bidi w:val="0"/>
        <w:adjustRightInd w:val="0"/>
        <w:snapToGrid/>
        <w:spacing w:after="0" w:line="520" w:lineRule="exact"/>
        <w:ind w:firstLine="960" w:firstLineChars="300"/>
        <w:textAlignment w:val="auto"/>
        <w:rPr>
          <w:rFonts w:hint="eastAsia" w:ascii="仿宋_GB2312" w:hAnsi="仿宋_GB2312" w:eastAsia="仿宋_GB2312" w:cs="仿宋_GB2312"/>
          <w:color w:val="auto"/>
          <w:sz w:val="32"/>
          <w:szCs w:val="32"/>
        </w:rPr>
      </w:pPr>
      <w:bookmarkStart w:id="88" w:name="_Toc90734975"/>
      <w:r>
        <w:rPr>
          <w:rFonts w:hint="eastAsia" w:ascii="仿宋_GB2312" w:hAnsi="仿宋_GB2312" w:eastAsia="仿宋_GB2312" w:cs="仿宋_GB2312"/>
          <w:color w:val="auto"/>
          <w:sz w:val="32"/>
          <w:szCs w:val="32"/>
        </w:rPr>
        <w:t>1.专业基础课程</w:t>
      </w:r>
      <w:bookmarkEnd w:id="88"/>
    </w:p>
    <w:p>
      <w:pPr>
        <w:pageBreakBefore w:val="0"/>
        <w:kinsoku/>
        <w:wordWrap/>
        <w:overflowPunct w:val="0"/>
        <w:topLinePunct w:val="0"/>
        <w:autoSpaceDE/>
        <w:autoSpaceDN/>
        <w:bidi w:val="0"/>
        <w:adjustRightInd w:val="0"/>
        <w:snapToGrid/>
        <w:spacing w:after="0"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专业基础课是为后续专业课程学习打基础的课程。包括：经济学原理、经济法基础、会计基础、企业管理基础、出纳业务操作、大数据技术应用基础、统计基础、财务机器人应用与开发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习近平经济思想概论</w:t>
      </w:r>
      <w:r>
        <w:rPr>
          <w:rFonts w:hint="eastAsia" w:ascii="仿宋_GB2312" w:hAnsi="仿宋_GB2312" w:eastAsia="仿宋_GB2312" w:cs="仿宋_GB2312"/>
          <w:color w:val="auto"/>
          <w:sz w:val="32"/>
          <w:szCs w:val="32"/>
        </w:rPr>
        <w:t>等课程。</w:t>
      </w:r>
    </w:p>
    <w:p>
      <w:pPr>
        <w:overflowPunct w:val="0"/>
        <w:adjustRightInd w:val="0"/>
        <w:spacing w:line="520" w:lineRule="exact"/>
        <w:jc w:val="center"/>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0"/>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96"/>
        <w:gridCol w:w="3888"/>
        <w:gridCol w:w="2533"/>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序号</w:t>
            </w:r>
          </w:p>
        </w:tc>
        <w:tc>
          <w:tcPr>
            <w:tcW w:w="896"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课程名称</w:t>
            </w:r>
          </w:p>
        </w:tc>
        <w:tc>
          <w:tcPr>
            <w:tcW w:w="3888"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2533"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2491"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default"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eastAsia="zh-CN"/>
              </w:rPr>
              <w:t>经济学原理</w:t>
            </w:r>
          </w:p>
        </w:tc>
        <w:tc>
          <w:tcPr>
            <w:tcW w:w="388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系统掌握供求理论、市场机制等核心知识，理解宏微观经济运行逻辑，明晰经济政策的基本内涵与影响。</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能运用经济学理论分析生活中的经济现象，具备初步数据解读能力，为简单经济决策提供思路。</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培养理性分析、辩证看待经济问题的思维，树立尊重市场规律的意识。</w:t>
            </w:r>
          </w:p>
          <w:p>
            <w:pPr>
              <w:keepNext w:val="0"/>
              <w:keepLines w:val="0"/>
              <w:pageBreakBefore w:val="0"/>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结合我国经济发展实践，厚植家国情怀，引导学生树立正确的财富观与社会责任意识。</w:t>
            </w:r>
          </w:p>
        </w:tc>
        <w:tc>
          <w:tcPr>
            <w:tcW w:w="2533" w:type="dxa"/>
            <w:vAlign w:val="top"/>
          </w:tcPr>
          <w:p>
            <w:pPr>
              <w:keepNext w:val="0"/>
              <w:keepLines w:val="0"/>
              <w:pageBreakBefore w:val="0"/>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color w:val="auto"/>
                <w:sz w:val="24"/>
                <w:szCs w:val="24"/>
                <w:lang w:val="en-US" w:eastAsia="zh-CN"/>
              </w:rPr>
              <w:t>导论、需求、供给和均衡价格决定理论、消费者行为理论、生产者理论、成本理论、市场理论</w:t>
            </w:r>
            <w:r>
              <w:rPr>
                <w:rFonts w:hint="eastAsia" w:ascii="仿宋_GB2312" w:hAnsi="仿宋_GB2312" w:eastAsia="仿宋_GB2312" w:cs="仿宋_GB2312"/>
                <w:color w:val="auto"/>
                <w:sz w:val="24"/>
                <w:szCs w:val="24"/>
                <w:lang w:val="en-US" w:eastAsia="zh-CN"/>
              </w:rPr>
              <w:softHyphen/>
            </w:r>
            <w:r>
              <w:rPr>
                <w:rFonts w:hint="eastAsia" w:ascii="仿宋_GB2312" w:hAnsi="仿宋_GB2312" w:eastAsia="仿宋_GB2312" w:cs="仿宋_GB2312"/>
                <w:color w:val="auto"/>
                <w:sz w:val="24"/>
                <w:szCs w:val="24"/>
                <w:lang w:val="en-US" w:eastAsia="zh-CN"/>
              </w:rPr>
              <w:t>、分配理论、市场失灵和政府、国民收入核算理论、国民收入决定理论、失业与通货膨胀理论</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lang w:val="en-US" w:eastAsia="zh-CN"/>
              </w:rPr>
              <w:t>经济周期理论、宏观经济政策等。</w:t>
            </w:r>
          </w:p>
        </w:tc>
        <w:tc>
          <w:tcPr>
            <w:tcW w:w="2491" w:type="dxa"/>
            <w:vAlign w:val="top"/>
          </w:tcPr>
          <w:p>
            <w:pPr>
              <w:keepNext w:val="0"/>
              <w:keepLines w:val="0"/>
              <w:pageBreakBefore w:val="0"/>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color w:val="auto"/>
                <w:sz w:val="24"/>
                <w:szCs w:val="24"/>
                <w:lang w:val="en-US" w:eastAsia="zh-CN"/>
              </w:rPr>
              <w:t>采用教材结合多媒体教学手段，结合生动具体的经济案例，帮助学生理解抽象的经济理论。教学中组织小组讨论，鼓励学生积极参与，促进思想碰撞，深化对经济学原理的理解。推荐经济学经典读物和前沿研究论文，鼓励学生拓展知识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lang w:val="en-US" w:eastAsia="zh-CN"/>
              </w:rPr>
            </w:pPr>
            <w:bookmarkStart w:id="89" w:name="_Hlk194587108"/>
            <w:r>
              <w:rPr>
                <w:rFonts w:hint="eastAsia" w:ascii="仿宋_GB2312" w:hAnsi="仿宋_GB2312" w:eastAsia="仿宋_GB2312" w:cs="仿宋_GB2312"/>
                <w:color w:val="auto"/>
                <w:sz w:val="24"/>
                <w:szCs w:val="24"/>
              </w:rPr>
              <w:t>2</w:t>
            </w:r>
          </w:p>
        </w:tc>
        <w:tc>
          <w:tcPr>
            <w:tcW w:w="896"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rPr>
              <w:t>经济法基础</w:t>
            </w:r>
          </w:p>
        </w:tc>
        <w:tc>
          <w:tcPr>
            <w:tcW w:w="3888"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掌握经济法核心范畴、法律体系及关键规则，理解市场监管、财税等领域法律逻辑，明晰法律适用基本前提。</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能运用经济法原理分析实务案例，具备初步法律风险识别能力，可撰写简单法律分析意见。</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培养严谨的法律思维与规则意识，树立依法办事的职业素养，提升问题解决的逻辑性。</w:t>
            </w:r>
          </w:p>
          <w:p>
            <w:pPr>
              <w:keepNext w:val="0"/>
              <w:keepLines w:val="0"/>
              <w:pageBreakBefore w:val="0"/>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结合法治实践案例，强化法治信仰，引导学生树立公平正义理念与社会责任感。</w:t>
            </w:r>
          </w:p>
        </w:tc>
        <w:tc>
          <w:tcPr>
            <w:tcW w:w="2533"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color w:val="auto"/>
                <w:sz w:val="24"/>
                <w:szCs w:val="24"/>
                <w:lang w:val="en-US" w:eastAsia="zh-CN"/>
              </w:rPr>
              <w:t>经济法基础理论、公司企业法律制度、</w:t>
            </w:r>
            <w:r>
              <w:rPr>
                <w:rFonts w:hint="eastAsia" w:ascii="仿宋_GB2312" w:hAnsi="仿宋_GB2312" w:eastAsia="仿宋_GB2312" w:cs="仿宋_GB2312"/>
                <w:color w:val="auto"/>
                <w:sz w:val="24"/>
                <w:szCs w:val="24"/>
                <w:highlight w:val="none"/>
                <w:lang w:val="en-US" w:eastAsia="zh-CN"/>
              </w:rPr>
              <w:t>合同法</w:t>
            </w:r>
            <w:r>
              <w:rPr>
                <w:rFonts w:hint="eastAsia" w:ascii="仿宋_GB2312" w:hAnsi="仿宋_GB2312" w:eastAsia="仿宋_GB2312" w:cs="仿宋_GB2312"/>
                <w:color w:val="auto"/>
                <w:sz w:val="24"/>
                <w:szCs w:val="24"/>
                <w:lang w:val="en-US" w:eastAsia="zh-CN"/>
              </w:rPr>
              <w:t>、市场规制法律制度、工业产权法律制度、金融法律制度、劳动法律制度、经济仲裁与诉讼法律制度。</w:t>
            </w:r>
          </w:p>
        </w:tc>
        <w:tc>
          <w:tcPr>
            <w:tcW w:w="2491"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采用教师讲授为主，辅以课堂讨论、案例分析等形式，激发学生学习兴趣，促进师生互动。结合经济生活中的热点问题，引入真实案例进行教学，增强学生的实践应用能力。其次利用多媒体教学资源和网络平台，开展线上预习、复习、测试等环节，提高教学效率和学习效果。最后在学生掌握经济法基础理论知识的基础上模拟法庭与实训，组织模拟法庭、法律诊所等活动，让学生在模拟实践中加深对法律条文的理解和应用。</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lang w:val="en-US" w:eastAsia="zh-CN"/>
              </w:rPr>
            </w:pPr>
            <w:bookmarkStart w:id="90" w:name="_Toc90734977"/>
            <w:r>
              <w:rPr>
                <w:rFonts w:hint="eastAsia" w:ascii="仿宋_GB2312" w:hAnsi="仿宋_GB2312" w:eastAsia="仿宋_GB2312" w:cs="仿宋_GB2312"/>
                <w:color w:val="auto"/>
                <w:sz w:val="24"/>
                <w:szCs w:val="24"/>
              </w:rPr>
              <w:t>3</w:t>
            </w:r>
          </w:p>
        </w:tc>
        <w:tc>
          <w:tcPr>
            <w:tcW w:w="896"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会计基础</w:t>
            </w:r>
          </w:p>
        </w:tc>
        <w:tc>
          <w:tcPr>
            <w:tcW w:w="3888"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掌握会计要素、借贷记账法等核心知识，理解凭证、账簿、报表的关联逻辑，明晰会计核算的基本流程与规范要求。</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能独立完成会计凭证填制、账簿登记，具备初步财务报表编制能力，可运用基础会计方法处理简单经济业务。</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培养严谨细致的工作态度与数据求真意识，树立会计职业规范认知，提升处理会计事务的责任素养。</w:t>
            </w:r>
          </w:p>
          <w:p>
            <w:pPr>
              <w:keepNext w:val="0"/>
              <w:keepLines w:val="0"/>
              <w:pageBreakBefore w:val="0"/>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结合会计诚信案例，强化职业操守教育，引导学生树立“不做假账”理念与服务经济发展的社会责任。</w:t>
            </w:r>
          </w:p>
        </w:tc>
        <w:tc>
          <w:tcPr>
            <w:tcW w:w="2533"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color w:val="auto"/>
                <w:sz w:val="24"/>
                <w:szCs w:val="24"/>
                <w:lang w:val="zh-CN" w:eastAsia="zh-CN"/>
              </w:rPr>
              <w:t>总论、会计科目与账户复式记账、主要经济业务的核算、会计账户分类、会计凭证、会计账簿财产清查、会计核算组织程序、财务会计报告、会计工作组织。</w:t>
            </w:r>
          </w:p>
        </w:tc>
        <w:tc>
          <w:tcPr>
            <w:tcW w:w="2491"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color w:val="auto"/>
                <w:sz w:val="24"/>
                <w:szCs w:val="24"/>
                <w:lang w:val="zh-CN" w:eastAsia="zh-CN"/>
              </w:rPr>
              <w:t>通过多媒体结合教材系统讲解会计学原理的基本概念、理论和方法，注重理论与实践相结合。选取具有代表性的经济业务案例，引导学生进行分析讨论，加深对会计理论的理解和应用。其次利用会计软件或手工模拟账套，进行会计凭证填制、账簿登记、报表编制等实操训练，提高学生的动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4</w:t>
            </w:r>
          </w:p>
        </w:tc>
        <w:tc>
          <w:tcPr>
            <w:tcW w:w="896"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企业管理基础</w:t>
            </w:r>
          </w:p>
        </w:tc>
        <w:tc>
          <w:tcPr>
            <w:tcW w:w="3888"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掌握企业组织、战略、运营等核心管理模块知识，理解各职能协同逻辑，明晰管理理论在实践中的基本应用场景。</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能运用基础管理工具分析企业运营问题，具备初步团队协调与决策建议能力，可设计简单管理优化方案。</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：培养系统思维与责任意识，树立效率与创新并重的管理认知，提升应对企业复杂问题的应变素养。</w:t>
            </w:r>
          </w:p>
          <w:p>
            <w:pPr>
              <w:keepNext w:val="0"/>
              <w:keepLines w:val="0"/>
              <w:pageBreakBefore w:val="0"/>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结合优秀企业案例，厚植企业家精神与家国情怀，引导学生树立诚信经营、社会责任优先的价值观。</w:t>
            </w:r>
          </w:p>
        </w:tc>
        <w:tc>
          <w:tcPr>
            <w:tcW w:w="2533"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color w:val="auto"/>
                <w:sz w:val="24"/>
                <w:szCs w:val="24"/>
                <w:lang w:val="zh-CN" w:eastAsia="zh-CN"/>
              </w:rPr>
              <w:t>企业管理概述（企业类型、管理职能、管理者角色）、管理思想史、战略管理、组织设计与人力资源管理、财务管理、市场营销、运营管理、数字化转型（大数据与AI在管理中的应用）、企业社会责任（ESG理念）</w:t>
            </w:r>
          </w:p>
        </w:tc>
        <w:tc>
          <w:tcPr>
            <w:tcW w:w="2491"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color w:val="auto"/>
                <w:sz w:val="24"/>
                <w:szCs w:val="24"/>
                <w:lang w:val="zh-CN" w:eastAsia="zh-CN"/>
              </w:rPr>
              <w:t>采用“理论讲授+案例分析+小组讨论”混合模式，强化互动式学习。利用多媒体工具（如管理类纪录片、企业数据库）辅助教学。鼓励学生参与创新创业项目或商业计划书撰写。平时通过课堂参与度、小组作业（如案例分析报告）、模拟实训等完成企业管理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896"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出纳业务操作</w:t>
            </w:r>
          </w:p>
        </w:tc>
        <w:tc>
          <w:tcPr>
            <w:tcW w:w="3888"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熟悉出纳岗位工作制度、职业素质，掌握数字书写、票据填制、现金与银行存款管理及清查等知识。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能够规范完成出纳各项业务操作，如点钞验钞、凭证填制审核、日记账登记、错账更正及资金清查等工作。</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树立爱岗敬业、诚实守信、廉洁自律、客观公正等职业道德，培养吃苦耐劳、勇于挑战、尊重他人的素养。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强化学生法律意识，培养严谨认真的工作态度，树立正确价值观，使其明白遵守准则、保守秘密的重要性。</w:t>
            </w:r>
          </w:p>
        </w:tc>
        <w:tc>
          <w:tcPr>
            <w:tcW w:w="2533"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color w:val="auto"/>
                <w:sz w:val="24"/>
                <w:szCs w:val="24"/>
                <w:lang w:val="zh-CN" w:eastAsia="zh-CN"/>
              </w:rPr>
              <w:t>认识出纳、出纳岗位基本能力训练、现金业务办理银行业务办理、会计凭证、账簿与出纳报表的填写、出纳的交接工作等。</w:t>
            </w:r>
          </w:p>
        </w:tc>
        <w:tc>
          <w:tcPr>
            <w:tcW w:w="2491"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color w:val="auto"/>
                <w:sz w:val="24"/>
                <w:szCs w:val="24"/>
                <w:lang w:val="zh-CN" w:eastAsia="zh-CN"/>
              </w:rPr>
              <w:t>采用多媒体教学手段，结合板书、PPT等教学工具，系统讲解出纳实务的理论知识。选取典型出纳业务案例，引导学生进行分析讨论，加深对知识点的理解和应用。其次设置仿真出纳工作环境，通过模拟现金收付、银行结算、票据处理等业务流程，增强学生的实践能力。同时在课堂上组织学生分组讨论出纳工作中遇到的问题及解决方案，培养学生的团队协作能力和沟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896"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大数据技术应用基础</w:t>
            </w:r>
          </w:p>
        </w:tc>
        <w:tc>
          <w:tcPr>
            <w:tcW w:w="3888"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掌握财务机器人原理、开发工具及财务流程，理解其在会计、审计等场景的应用逻辑。</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能运用工具开发简单财务机器人，解决凭证处理、报表生成等实际财务问题。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培养严谨的数据思维与创新意识，提升财务数字化场景下的适应与协作能力。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树立财务数据安全与职业道德意识，践行科技赋能财务的责任担当。</w:t>
            </w:r>
          </w:p>
        </w:tc>
        <w:tc>
          <w:tcPr>
            <w:tcW w:w="2533"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color w:val="auto"/>
                <w:sz w:val="24"/>
                <w:szCs w:val="24"/>
                <w:lang w:val="zh-CN" w:eastAsia="zh-CN"/>
              </w:rPr>
              <w:t>讲解大数据概念、特征，介绍行业发展历程与趋势；教授Hadoop、Spark等核心技术，开展数据采集、存储与分析实践；剖析金融、医疗等行业案例，探索大数据应用场景。</w:t>
            </w:r>
          </w:p>
        </w:tc>
        <w:tc>
          <w:tcPr>
            <w:tcW w:w="2491"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color w:val="auto"/>
                <w:sz w:val="24"/>
                <w:szCs w:val="24"/>
                <w:lang w:val="zh-CN" w:eastAsia="zh-CN"/>
              </w:rPr>
              <w:t>认真学习理论知识，夯实大数据技术基础；积极参与实验，提升大数据实操能力；在项目中学会沟通协作，共同完成大数据分析任务；主动关注行业动态，培养自主学习习惯。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p>
        </w:tc>
        <w:tc>
          <w:tcPr>
            <w:tcW w:w="896" w:type="dxa"/>
            <w:vAlign w:val="center"/>
          </w:tcPr>
          <w:p>
            <w:pPr>
              <w:keepNext w:val="0"/>
              <w:keepLines w:val="0"/>
              <w:pageBreakBefore w:val="0"/>
              <w:widowControl/>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统计基础</w:t>
            </w:r>
          </w:p>
        </w:tc>
        <w:tc>
          <w:tcPr>
            <w:tcW w:w="388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lang w:val="en-US" w:eastAsia="zh-CN"/>
              </w:rPr>
              <w:t>掌握统计调查、数据整理、分析等核心方法，理解均值、方差等指标含义，明晰统计推断的基本逻辑与适用场景。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能运用统计工具收集处理数据，具备初步数据分析与报告撰写能力，可通过数据解读简单现实问题。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培养严谨的数据思维与客观求实态度，树立尊重数据、科学分析的意识，提升数据解读的准确性。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结合数据反映的国家发展成就，厚植家国情怀，引导学生树立数据诚信与用数据服务社会的责任感。</w:t>
            </w:r>
          </w:p>
        </w:tc>
        <w:tc>
          <w:tcPr>
            <w:tcW w:w="2533"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color w:val="auto"/>
                <w:sz w:val="24"/>
                <w:szCs w:val="24"/>
                <w:lang w:val="zh-CN" w:eastAsia="zh-CN"/>
              </w:rPr>
              <w:t>导论、统计设计、统计调查、统计整理、综合指标时间数列、统计指数、抽样推断、相关与回归分析。</w:t>
            </w:r>
          </w:p>
        </w:tc>
        <w:tc>
          <w:tcPr>
            <w:tcW w:w="2491"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color w:val="auto"/>
                <w:sz w:val="24"/>
                <w:szCs w:val="24"/>
                <w:lang w:val="zh-CN" w:eastAsia="zh-CN"/>
              </w:rPr>
              <w:t>通过多媒体结合教材系统讲解统计学原理的基础知识，注重理论联系实际。教学中通过实际案例，引导学生运用统计学原理分析问题，加深理解。在课堂上组织小组讨论，促进学生之间的交流与合作，共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财务机器人应用与开发</w:t>
            </w:r>
          </w:p>
        </w:tc>
        <w:tc>
          <w:tcPr>
            <w:tcW w:w="3888"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掌握财务机器人原理、开发工具及财务流程，理解其在会计、审计等场景的应用逻辑。</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能运用工具开发简单财务机器人，解决凭证处理、报表生成等实际财务问题。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培养严谨的数据思维与创新意识，提升财务数字化场景下的适应与协作能力。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树立财务数据安全与职业道德意识，践行科技赋能财务的责任担当。</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tc>
        <w:tc>
          <w:tcPr>
            <w:tcW w:w="2533"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color w:val="auto"/>
                <w:sz w:val="24"/>
                <w:szCs w:val="24"/>
                <w:lang w:val="zh-CN" w:eastAsia="zh-CN"/>
              </w:rPr>
              <w:t>RPA技术原理与发展趋势：财务自动化应用场景；RPA与财务数字化转型的关系：流程自动化设计模式；数据抓取与处理技术；RPA与AI融合；财务数据安全规范；RPA实施中的内控要点。</w:t>
            </w:r>
          </w:p>
        </w:tc>
        <w:tc>
          <w:tcPr>
            <w:tcW w:w="2491" w:type="dxa"/>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color w:val="auto"/>
                <w:sz w:val="24"/>
                <w:szCs w:val="24"/>
                <w:lang w:val="zh-CN" w:eastAsia="zh-CN"/>
              </w:rPr>
              <w:t>项目驱动教学：以真实财务业务流程为任务，分阶段完成需求分析→流程设计→开发→测试→部署。案例教学：引入企业案例（如德勤财务机器人、四大会计师事务所实践）。沙盒环境：提供虚拟财务系统（如模拟ERP环境）供学生实操演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9</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1"/>
                <w:szCs w:val="21"/>
                <w:highlight w:val="none"/>
                <w:lang w:val="en-US" w:eastAsia="zh-CN"/>
              </w:rPr>
              <w:t>习近平经济思想概论</w:t>
            </w:r>
          </w:p>
        </w:tc>
        <w:tc>
          <w:tcPr>
            <w:tcW w:w="388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2"/>
                <w:rFonts w:hint="eastAsia" w:ascii="仿宋_GB2312" w:hAnsi="仿宋_GB2312" w:eastAsia="仿宋_GB2312" w:cs="仿宋_GB2312"/>
                <w:b/>
                <w:bCs/>
                <w:color w:val="000000"/>
                <w:sz w:val="24"/>
                <w:szCs w:val="24"/>
              </w:rPr>
              <w:t>知识目标</w:t>
            </w:r>
            <w:r>
              <w:rPr>
                <w:rFonts w:hint="eastAsia" w:ascii="仿宋_GB2312" w:hAnsi="仿宋_GB2312" w:eastAsia="仿宋_GB2312" w:cs="仿宋_GB2312"/>
                <w:sz w:val="24"/>
                <w:szCs w:val="24"/>
              </w:rPr>
              <w:t>：掌握习近平经济思想的形成背景、科学体系、核心要义和实践要求，理解</w:t>
            </w:r>
            <w:r>
              <w:rPr>
                <w:rFonts w:hint="eastAsia" w:ascii="仿宋_GB2312" w:hAnsi="仿宋_GB2312" w:eastAsia="仿宋_GB2312" w:cs="仿宋_GB2312"/>
                <w:sz w:val="24"/>
                <w:szCs w:val="24"/>
                <w:lang w:eastAsia="zh-CN"/>
              </w:rPr>
              <w:t>新发展理念引领高质量发展</w:t>
            </w:r>
            <w:r>
              <w:rPr>
                <w:rFonts w:hint="eastAsia" w:ascii="仿宋_GB2312" w:hAnsi="仿宋_GB2312" w:eastAsia="仿宋_GB2312" w:cs="仿宋_GB2312"/>
                <w:sz w:val="24"/>
                <w:szCs w:val="24"/>
              </w:rPr>
              <w:t>、新发展格局等重要理论。</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2"/>
                <w:rFonts w:hint="eastAsia" w:ascii="仿宋_GB2312" w:hAnsi="仿宋_GB2312" w:eastAsia="仿宋_GB2312" w:cs="仿宋_GB2312"/>
                <w:b/>
                <w:bCs/>
                <w:color w:val="000000"/>
                <w:sz w:val="24"/>
                <w:szCs w:val="24"/>
              </w:rPr>
              <w:t>能力目标</w:t>
            </w:r>
            <w:r>
              <w:rPr>
                <w:rFonts w:hint="eastAsia" w:ascii="仿宋_GB2312" w:hAnsi="仿宋_GB2312" w:eastAsia="仿宋_GB2312" w:cs="仿宋_GB2312"/>
                <w:sz w:val="24"/>
                <w:szCs w:val="24"/>
              </w:rPr>
              <w:t>：提升运用习近平经济思想分析现实经济问题、解读国家经济政策、服务发展实践的能力。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2"/>
                <w:rFonts w:hint="eastAsia" w:ascii="仿宋_GB2312" w:hAnsi="仿宋_GB2312" w:eastAsia="仿宋_GB2312" w:cs="仿宋_GB2312"/>
                <w:b/>
                <w:bCs/>
                <w:color w:val="000000"/>
                <w:sz w:val="24"/>
                <w:szCs w:val="24"/>
              </w:rPr>
              <w:t>素质目标</w:t>
            </w:r>
            <w:r>
              <w:rPr>
                <w:rFonts w:hint="eastAsia" w:ascii="仿宋_GB2312" w:hAnsi="仿宋_GB2312" w:eastAsia="仿宋_GB2312" w:cs="仿宋_GB2312"/>
                <w:sz w:val="24"/>
                <w:szCs w:val="24"/>
              </w:rPr>
              <w:t>：坚定中国特色社会主义道路自信、理论自信、制度自信、文化自信，树立正确发展观、现代化观。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highlight w:val="none"/>
              </w:rPr>
            </w:pPr>
            <w:r>
              <w:rPr>
                <w:rStyle w:val="12"/>
                <w:rFonts w:hint="eastAsia" w:ascii="仿宋_GB2312" w:hAnsi="仿宋_GB2312" w:eastAsia="仿宋_GB2312" w:cs="仿宋_GB2312"/>
                <w:b/>
                <w:bCs/>
                <w:color w:val="000000"/>
                <w:sz w:val="24"/>
                <w:szCs w:val="24"/>
              </w:rPr>
              <w:t>课程思政育人目标</w:t>
            </w:r>
            <w:r>
              <w:rPr>
                <w:rFonts w:hint="eastAsia" w:ascii="仿宋_GB2312" w:hAnsi="仿宋_GB2312" w:eastAsia="仿宋_GB2312" w:cs="仿宋_GB2312"/>
                <w:sz w:val="24"/>
                <w:szCs w:val="24"/>
              </w:rPr>
              <w:t>：厚植家国情怀与责任担当，强化以人民为中心的价值立场，自觉把个人发展融入中国式现代化建设。</w:t>
            </w:r>
          </w:p>
        </w:tc>
        <w:tc>
          <w:tcPr>
            <w:tcW w:w="25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sz w:val="21"/>
                <w:szCs w:val="21"/>
                <w:highlight w:val="none"/>
              </w:rPr>
              <w:t>重点讲授习近平经济思想的根本立场、根本保证、重大原则、实践路径，阐释高质量发展、新质生产力、统筹发展和安全等关键内容，把握理论逻辑、历史逻辑与实践逻辑。</w:t>
            </w:r>
          </w:p>
        </w:tc>
        <w:tc>
          <w:tcPr>
            <w:tcW w:w="249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zh-CN" w:eastAsia="zh-CN"/>
              </w:rPr>
            </w:pPr>
            <w:r>
              <w:rPr>
                <w:rFonts w:hint="eastAsia" w:ascii="仿宋_GB2312" w:hAnsi="仿宋_GB2312" w:eastAsia="仿宋_GB2312" w:cs="仿宋_GB2312"/>
                <w:sz w:val="21"/>
                <w:szCs w:val="21"/>
                <w:highlight w:val="none"/>
              </w:rPr>
              <w:t>坚持理论联系实际，读原著、学原文、悟原理，突出课程思政引领。做到学思用贯通、知信行统一，引导学生深刻领会思想精髓，提升理论素养与政治觉悟，增强服务国家发展的自觉性。</w:t>
            </w:r>
          </w:p>
        </w:tc>
      </w:tr>
      <w:bookmarkEnd w:id="89"/>
    </w:tbl>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2.专业核心课程</w:t>
      </w:r>
      <w:bookmarkEnd w:id="90"/>
    </w:p>
    <w:p>
      <w:pPr>
        <w:keepNext w:val="0"/>
        <w:keepLines w:val="0"/>
        <w:pageBreakBefore w:val="0"/>
        <w:widowControl w:val="0"/>
        <w:kinsoku/>
        <w:wordWrap/>
        <w:overflowPunct/>
        <w:topLinePunct w:val="0"/>
        <w:autoSpaceDE/>
        <w:autoSpaceDN/>
        <w:bidi w:val="0"/>
        <w:adjustRightInd w:val="0"/>
        <w:snapToGrid w:val="0"/>
        <w:spacing w:after="0" w:line="520" w:lineRule="exact"/>
        <w:ind w:firstLine="616" w:firstLineChars="200"/>
        <w:textAlignment w:val="auto"/>
        <w:rPr>
          <w:rFonts w:hint="eastAsia" w:ascii="仿宋_GB2312" w:hAnsi="仿宋_GB2312" w:eastAsia="仿宋_GB2312" w:cs="仿宋_GB2312"/>
          <w:color w:val="auto"/>
          <w:sz w:val="32"/>
          <w:szCs w:val="32"/>
          <w:highlight w:val="none"/>
        </w:rPr>
      </w:pPr>
      <w:bookmarkStart w:id="91" w:name="OLE_LINK7"/>
      <w:r>
        <w:rPr>
          <w:rFonts w:hint="eastAsia" w:ascii="仿宋_GB2312" w:hAnsi="仿宋_GB2312" w:eastAsia="仿宋_GB2312" w:cs="仿宋_GB2312"/>
          <w:color w:val="auto"/>
          <w:spacing w:val="-6"/>
          <w:sz w:val="32"/>
          <w:szCs w:val="32"/>
        </w:rPr>
        <w:t>专业核心课是面向各类中小企业、金融机构、行政事业单位的会计专业人员、税务专业人员等岗位（群）</w:t>
      </w:r>
      <w:bookmarkEnd w:id="91"/>
      <w:r>
        <w:rPr>
          <w:rFonts w:hint="eastAsia" w:ascii="仿宋_GB2312" w:hAnsi="仿宋_GB2312" w:eastAsia="仿宋_GB2312" w:cs="仿宋_GB2312"/>
          <w:color w:val="auto"/>
          <w:spacing w:val="-6"/>
          <w:sz w:val="32"/>
          <w:szCs w:val="32"/>
        </w:rPr>
        <w:t>，会计、出纳等就业岗位，建立大数据与会计专业核心课程，培养学生财务账务处理，成本核算等方面的能力。包括大数据技术在财务中的应用、企业财务</w:t>
      </w:r>
      <w:r>
        <w:rPr>
          <w:rFonts w:hint="eastAsia" w:ascii="仿宋_GB2312" w:hAnsi="仿宋_GB2312" w:eastAsia="仿宋_GB2312" w:cs="仿宋_GB2312"/>
          <w:color w:val="auto"/>
          <w:spacing w:val="-6"/>
          <w:sz w:val="32"/>
          <w:szCs w:val="32"/>
          <w:highlight w:val="none"/>
        </w:rPr>
        <w:t>会计、智能化成本核算与管理、智慧化税费申报与管理、企业内部控制、会计信息系统应用、管理会计实务、财务大数据分析等课程。</w:t>
      </w:r>
    </w:p>
    <w:p>
      <w:pPr>
        <w:overflowPunct w:val="0"/>
        <w:adjustRightInd w:val="0"/>
        <w:spacing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3873"/>
        <w:gridCol w:w="2496"/>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序号</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课程名称</w:t>
            </w:r>
          </w:p>
        </w:tc>
        <w:tc>
          <w:tcPr>
            <w:tcW w:w="3873"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496"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83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大数据技术在财务中的应用</w:t>
            </w:r>
          </w:p>
        </w:tc>
        <w:tc>
          <w:tcPr>
            <w:tcW w:w="3873"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掌握大数据技术基础与财务融合逻辑，理解其在预算、风控等场景的应用原理。</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能运用大数据工具处理财务数据，具备分析财务问题、优化决策的实操能力。</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培养数据思维与严谨态度，增强财务工作中的创新意识和风险预判素养。</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树立财务数据诚信观，强化合规意识，践行科技赋能财务的责任担当。</w:t>
            </w:r>
          </w:p>
        </w:tc>
        <w:tc>
          <w:tcPr>
            <w:tcW w:w="249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大数据财务应用理论与发展趋势，Python编程与实践，财务数据采集与清洗；财务分析、风险管理分析；大数据建模与分析实践，数据可视化方法；大数据在财务领域合规应用的方法。</w:t>
            </w:r>
          </w:p>
        </w:tc>
        <w:tc>
          <w:tcPr>
            <w:tcW w:w="2830" w:type="dxa"/>
            <w:vAlign w:val="top"/>
          </w:tcPr>
          <w:p>
            <w:pPr>
              <w:keepNext w:val="0"/>
              <w:keepLines w:val="0"/>
              <w:pageBreakBefore w:val="0"/>
              <w:widowControl w:val="0"/>
              <w:kinsoku/>
              <w:wordWrap/>
              <w:topLinePunct w:val="0"/>
              <w:autoSpaceDE/>
              <w:autoSpaceDN/>
              <w:bidi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理解大数据财务应用的核心原理；实操中，能独立完成工具操作与项目任务；具备沟通协作能力；树立数据安全意识。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2</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企业财务会计</w:t>
            </w:r>
          </w:p>
        </w:tc>
        <w:tc>
          <w:tcPr>
            <w:tcW w:w="387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掌握企业资产、负债、权益等核算规范，理解收入费用确认原则，明晰财务报告编制与披露的核心要求。</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能独立处理存货、固定资产等实务核算，具备初步财务报表分析能力，可解决简单企业会计实务问题。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培养精准核算的职业素养与财务风险意识，树立遵循会计准则的严谨态度，提升会计处理规范性。</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：结合会计诚信案例，强化职业道德教育，引导学生树立合规执业理念与服务企业发展的责任意识。</w:t>
            </w:r>
          </w:p>
        </w:tc>
        <w:tc>
          <w:tcPr>
            <w:tcW w:w="249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财务会计概述、财务会计概述，财务会计工作内容；货币资金的核算；应收及预付款项的核算；存货的核算；金融资产的核算；长期股权投资的核算；固定资产的核算；投资性房地产的核算；无形资产的核算；负债的核算；所有者权益的核算；收入、费用、利润；财务报表编报。</w:t>
            </w:r>
          </w:p>
        </w:tc>
        <w:tc>
          <w:tcPr>
            <w:tcW w:w="2830"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通过系统讲解财务会计基础理论、会计准则及实务操作，培养学生掌握企业经济业务的会计处理方法，熟练编制与分析财务报表（如资产负债表、利润表、现金流量表），理解会计要素确认、计量与披露的核心规则；结合信息化工具（如财务软件、Excel）强化实践能力，注重职业道德与诚信教育，使学生具备独立处理日常账务、解读财务数据及应对复杂会计问题的综合素养，为其适应企业财务岗位和数字化转型需求奠定扎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bookmarkStart w:id="92" w:name="_Toc90734991"/>
            <w:r>
              <w:rPr>
                <w:rFonts w:hint="eastAsia" w:ascii="仿宋_GB2312" w:hAnsi="仿宋_GB2312" w:eastAsia="仿宋_GB2312" w:cs="仿宋_GB2312"/>
                <w:color w:val="auto"/>
                <w:sz w:val="24"/>
                <w:szCs w:val="24"/>
                <w:highlight w:val="none"/>
              </w:rPr>
              <w:t>3</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智能化成本核算与管理</w:t>
            </w:r>
          </w:p>
        </w:tc>
        <w:tc>
          <w:tcPr>
            <w:tcW w:w="387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掌握智能化工具在成本归集、分配中的应用，理解智能成本核算流程，明晰成本管控与企业决策的关联逻辑。</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能运用智能系统处理成本数据，具备成本差异分析与优化建议能力，可设计简单智能化成本管理方案。</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培养数据驱动的成本思维与创新意识，树立精准高效的成本管控理念，提升应对智能环境的适应素养。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结合智能成本管理实践案例，强化诚信核算意识，引导学生树立降本增效、服务企业高质量发展的责任感。</w:t>
            </w:r>
          </w:p>
        </w:tc>
        <w:tc>
          <w:tcPr>
            <w:tcW w:w="249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智能化成本核算与管理基础；智能化成本核算方法与应用；智能化成本管理工具与实践；智能化成本管理案例分析与项目实践</w:t>
            </w:r>
          </w:p>
        </w:tc>
        <w:tc>
          <w:tcPr>
            <w:tcW w:w="283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综合运用多种教学方法，激发学生学习兴趣。采用案例教学法，引入不同行业的实际案例，引导学生分析并解决问题；通过项目驱动教学法，让学生分组完成特定项目，提升团队协作和实践能力；开展小组讨论，鼓励学生分享观点，培养批判性思维。教学中针对热点问题或难点内容组织小组讨论，促进学生之间的交流与合作。同时设计贴近实际的成本核算、成本控制等模拟实训项目，增强学生的动手能力和问题解决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智慧化税费申报与管理</w:t>
            </w:r>
          </w:p>
        </w:tc>
        <w:tc>
          <w:tcPr>
            <w:tcW w:w="3873"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全面掌握各类税费申报与管理知识，熟悉智慧化工具应用原理，理解税收法规政策要点。</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熟练运用智慧化系统完成税费申报，精准计算税额，有效管理税务风险，具备实操与应变能力。</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养成严谨细致、诚信负责的职业素养，具备团队协作、沟通交流能力，适应税务工作要求。</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培养依法纳税意识，树立正确价值观，厚植爱国情怀，增强服务社会与担当精神。</w:t>
            </w:r>
          </w:p>
        </w:tc>
        <w:tc>
          <w:tcPr>
            <w:tcW w:w="249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税收基础知识与政策解读：深入讲解增值税、企业所得税、个人所得税、消费税等主要税种的政策法规；智能化税费申报系统操作：按照税费申报的业务流程，逐步指导学生进行税务数据采集，申报表的填写与审核，税款缴纳操作，以及完税凭证的生成与管理；智能化税务数据管理与分析：教授学生运用数据采集工具，从企业的财务系统、业务系统中获取税务相关数据，并进行清洗、整合，确保数据的准确性和完整性；税务筹划与案例分析。</w:t>
            </w:r>
          </w:p>
        </w:tc>
        <w:tc>
          <w:tcPr>
            <w:tcW w:w="2830" w:type="dxa"/>
            <w:vAlign w:val="top"/>
          </w:tcPr>
          <w:p>
            <w:pPr>
              <w:keepNext w:val="0"/>
              <w:keepLines w:val="0"/>
              <w:pageBreakBefore w:val="0"/>
              <w:widowControl w:val="0"/>
              <w:kinsoku/>
              <w:wordWrap/>
              <w:topLinePunct w:val="0"/>
              <w:autoSpaceDE/>
              <w:autoSpaceDN/>
              <w:bidi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采用多样化的教学方法，如案例教学、项目驱动教学、模拟实训等，激发学生的学习兴趣和主动性。运用信息化教学手段，如在线教学平台、虚拟仿真系统等，丰富教学资源，提高教学效果。学生要深入理解课程中的税收知识和智能化操作技能，能够将所学知识应用到实际案例中，解决实际问题。积极参加模拟实训和项目实践，提升自己的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firstLine="480" w:firstLineChars="200"/>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5</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企业内部控制</w:t>
            </w:r>
          </w:p>
        </w:tc>
        <w:tc>
          <w:tcPr>
            <w:tcW w:w="387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掌握内部控制五要素框架、风险识别与评估方法，理解企业各业务环节风控逻辑，明晰风控体系构建的核心规范。</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能运用内控工具分析企业风险点，具备初步风控方案设计能力，可对简单业务的内控有效性进行评估。</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培养风险预判思维与合规意识，树立“全员风控”的责任认知，提升应对复杂风险问题的审慎素养。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结合企业风控合规案例，强化诚信经营理念，引导学生树立守规尽责、维护企业与社会利益的价值观。</w:t>
            </w:r>
          </w:p>
        </w:tc>
        <w:tc>
          <w:tcPr>
            <w:tcW w:w="249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企业内部控制理论、企业内部控制目标与风险管理、企业内部控制环境与风险评估、控制活动与信息传递、内部监督、人员与组织行为风险控制、资金活动与财务风险控制、信息传递与信息风险控制等。</w:t>
            </w:r>
          </w:p>
        </w:tc>
        <w:tc>
          <w:tcPr>
            <w:tcW w:w="2830" w:type="dxa"/>
            <w:vAlign w:val="top"/>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通过多媒体教学手段，系统讲授内部控制理论知识。教学中采用小组讨论、角色扮演等形式，对典型案例进行分析，促进学生理解与应用。课堂中学生通过内部控制设计、测试与评价等模拟实训项目，增强学生的实践能力。利用网络平台提供丰富的教学资源，支持学生自主学习和互动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6</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会计信息系统应用</w:t>
            </w:r>
          </w:p>
        </w:tc>
        <w:tc>
          <w:tcPr>
            <w:tcW w:w="387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掌握会计信息系统构成与操作流程，理解数据处理原理，能清晰区分系统各模块功能与关联逻辑。</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能独立完成账务处理、报表生成等操作，具备系统故障排查与数据安全维护的基础能力。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养成严谨细致的工作态度，树立数据保密意识，提升团队协作中会计信息沟通效率。</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强化诚信执业理念，培育法治思维，树立符合会计职业道德与国家财经法规的价值观。</w:t>
            </w:r>
          </w:p>
        </w:tc>
        <w:tc>
          <w:tcPr>
            <w:tcW w:w="249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金蝶KIS专业版-软件概述；系统管理与基础设置；总账管理；报表管理；固定资产管理；应收应付管理；薪资管理；供应链管理。</w:t>
            </w:r>
          </w:p>
        </w:tc>
        <w:tc>
          <w:tcPr>
            <w:tcW w:w="2830" w:type="dxa"/>
            <w:vAlign w:val="center"/>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多媒体课件、案例分析等形式，系统讲授会计电算化理论与知识要点。教学中安排充足的上机时间，让学生在模拟或真实的会计软件环境中进行实际操作练习。在学生掌握基本操作的基础上，设计综合性项目任务，如完成一套完整的账务处理与报表编制流程，以任务为导向，增强学习的针对性和实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7</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管理会计实务</w:t>
            </w:r>
          </w:p>
        </w:tc>
        <w:tc>
          <w:tcPr>
            <w:tcW w:w="387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掌握成本性态分析、预算编制、责任会计等核心内容，理解管理会计为决策服务的逻辑，明晰其在企业管理中的应用规范。</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能力目标</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能运用管理会计工具开展成本核算与控制，具备初步经营决策分析能力，可编制简单企业内部管理报告。</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培养面向管理的战略思维与数据洞察素养，树立精准高效的决策支持意识，提升解决企业经营问题的主动性。</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结合管理会计实践案例，强化责任意识教育，引导学生树立合规决策、服务企业可持续发展的价值观。</w:t>
            </w:r>
          </w:p>
        </w:tc>
        <w:tc>
          <w:tcPr>
            <w:tcW w:w="249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成本性态分析、变动成本法、本量利分析原理、预测分析、短期经营决策、长期投资决策、全面预算、成本控制、责任会计等。</w:t>
            </w:r>
          </w:p>
        </w:tc>
        <w:tc>
          <w:tcPr>
            <w:tcW w:w="2830" w:type="dxa"/>
            <w:vAlign w:val="top"/>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通过讲授结合PPT系统讲解</w:t>
            </w:r>
            <w:r>
              <w:rPr>
                <w:rFonts w:hint="eastAsia" w:ascii="仿宋_GB2312" w:hAnsi="仿宋_GB2312" w:eastAsia="仿宋_GB2312" w:cs="仿宋_GB2312"/>
                <w:sz w:val="24"/>
                <w:szCs w:val="24"/>
                <w:highlight w:val="none"/>
                <w:lang w:eastAsia="zh-CN"/>
              </w:rPr>
              <w:t>财务大数据分析与可视化</w:t>
            </w:r>
            <w:r>
              <w:rPr>
                <w:rFonts w:hint="eastAsia" w:ascii="仿宋_GB2312" w:hAnsi="仿宋_GB2312" w:eastAsia="仿宋_GB2312" w:cs="仿宋_GB2312"/>
                <w:sz w:val="24"/>
                <w:szCs w:val="24"/>
                <w:highlight w:val="none"/>
              </w:rPr>
              <w:t>的基本理论和方法，注重理论与</w:t>
            </w:r>
            <w:r>
              <w:rPr>
                <w:rFonts w:hint="eastAsia" w:ascii="仿宋_GB2312" w:hAnsi="仿宋_GB2312" w:eastAsia="仿宋_GB2312" w:cs="仿宋_GB2312"/>
                <w:sz w:val="24"/>
                <w:szCs w:val="24"/>
                <w:highlight w:val="none"/>
                <w:lang w:val="en-US" w:eastAsia="zh-CN"/>
              </w:rPr>
              <w:t>实践</w:t>
            </w:r>
            <w:r>
              <w:rPr>
                <w:rFonts w:hint="eastAsia" w:ascii="仿宋_GB2312" w:hAnsi="仿宋_GB2312" w:eastAsia="仿宋_GB2312" w:cs="仿宋_GB2312"/>
                <w:sz w:val="24"/>
                <w:szCs w:val="24"/>
                <w:highlight w:val="none"/>
              </w:rPr>
              <w:t>相结合。通过实际案例的剖析，引导学生运用所学知识进行问题分析和解决，增强实践能力。课堂上组织学生进行小组讨论，促进学生之间的交流与合作，培养其团队协作能力和批判性思维。同时鼓励学生阅读相关书籍、期刊文章，关注财经新闻，拓宽知识面，提升专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8</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财务大数据分析</w:t>
            </w:r>
          </w:p>
        </w:tc>
        <w:tc>
          <w:tcPr>
            <w:tcW w:w="387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掌握财务大数据采集、清洗及分析模型，理解其在预算、风控等财务场景的应用原理。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能运用工具处理财务数据，完成分析报告，解决成本核算、风险识别等实际财务问题。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培养数据思维与严谨态度，提升财务数据解读的客观性、准确性及创新应用意识。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树立财务数据伦理观，强化诚信执业、合规操作意识，践行财务岗位的责任与担当。</w:t>
            </w:r>
          </w:p>
        </w:tc>
        <w:tc>
          <w:tcPr>
            <w:tcW w:w="249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介绍财务大数据分析概念、发展趋势与理论基础；教授Python、SQL及专业分析工具操作；开展数据收集、清洗、建模与可视化实践；结合预算、风控等场景，讲解分析模型应用。</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扎实掌握分析理论与方法，打牢知识基础；积极练习，熟练使用分析工具；参与小组项目，提升分析与协作能力；遵循数据安全规范与职业道德准则。</w:t>
            </w:r>
          </w:p>
        </w:tc>
      </w:tr>
      <w:bookmarkEnd w:id="92"/>
    </w:tbl>
    <w:p>
      <w:pPr>
        <w:keepNext w:val="0"/>
        <w:keepLines w:val="0"/>
        <w:pageBreakBefore w:val="0"/>
        <w:widowControl w:val="0"/>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专业拓展课程</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专业拓展课程是按照岗位迁移，根据</w:t>
      </w:r>
      <w:r>
        <w:rPr>
          <w:rFonts w:hint="eastAsia" w:ascii="仿宋_GB2312" w:hAnsi="仿宋_GB2312" w:eastAsia="仿宋_GB2312" w:cs="仿宋_GB2312"/>
          <w:color w:val="auto"/>
          <w:spacing w:val="-2"/>
          <w:sz w:val="32"/>
          <w:szCs w:val="32"/>
          <w:highlight w:val="none"/>
        </w:rPr>
        <w:t>财务会计行业</w:t>
      </w:r>
      <w:r>
        <w:rPr>
          <w:rFonts w:hint="eastAsia" w:ascii="仿宋_GB2312" w:hAnsi="仿宋_GB2312" w:eastAsia="仿宋_GB2312" w:cs="仿宋_GB2312"/>
          <w:color w:val="auto"/>
          <w:sz w:val="32"/>
          <w:szCs w:val="32"/>
          <w:highlight w:val="none"/>
        </w:rPr>
        <w:t>发展的趋势，依据企业用人需求调研，企业对</w:t>
      </w:r>
      <w:r>
        <w:rPr>
          <w:rFonts w:hint="eastAsia" w:ascii="仿宋_GB2312" w:hAnsi="仿宋_GB2312" w:eastAsia="仿宋_GB2312" w:cs="仿宋_GB2312"/>
          <w:color w:val="auto"/>
          <w:spacing w:val="-2"/>
          <w:sz w:val="32"/>
          <w:szCs w:val="32"/>
          <w:highlight w:val="none"/>
        </w:rPr>
        <w:t>大数据处理、会计核算、财务管理</w:t>
      </w:r>
      <w:r>
        <w:rPr>
          <w:rFonts w:hint="eastAsia" w:ascii="仿宋_GB2312" w:hAnsi="仿宋_GB2312" w:eastAsia="仿宋_GB2312" w:cs="仿宋_GB2312"/>
          <w:color w:val="auto"/>
          <w:sz w:val="32"/>
          <w:szCs w:val="32"/>
          <w:highlight w:val="none"/>
        </w:rPr>
        <w:t>等方面日益增加的需求，建立了</w:t>
      </w:r>
      <w:r>
        <w:rPr>
          <w:rFonts w:hint="eastAsia" w:ascii="仿宋_GB2312" w:hAnsi="仿宋_GB2312" w:eastAsia="仿宋_GB2312" w:cs="仿宋_GB2312"/>
          <w:color w:val="auto"/>
          <w:spacing w:val="-2"/>
          <w:sz w:val="32"/>
          <w:szCs w:val="32"/>
          <w:highlight w:val="none"/>
        </w:rPr>
        <w:t>大数据与会计</w:t>
      </w:r>
      <w:r>
        <w:rPr>
          <w:rFonts w:hint="eastAsia" w:ascii="仿宋_GB2312" w:hAnsi="仿宋_GB2312" w:eastAsia="仿宋_GB2312" w:cs="仿宋_GB2312"/>
          <w:color w:val="auto"/>
          <w:sz w:val="32"/>
          <w:szCs w:val="32"/>
          <w:highlight w:val="none"/>
        </w:rPr>
        <w:t>专业拓展课，并将辅修方向课程纳入其中。由财政金融基础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Excel在会计中的应用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中国会计文化</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审计基础与实务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行业会计比较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会计制度设计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市场营销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企业财务管理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财经法规与会计职业道德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管理学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电子商务等课程构成专业拓展课。</w:t>
      </w: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专业拓展</w:t>
      </w:r>
      <w:r>
        <w:rPr>
          <w:rFonts w:hint="eastAsia" w:ascii="仿宋_GB2312" w:hAnsi="仿宋_GB2312" w:eastAsia="仿宋_GB2312" w:cs="仿宋_GB2312"/>
          <w:color w:val="000000" w:themeColor="text1"/>
          <w:sz w:val="32"/>
          <w:szCs w:val="32"/>
          <w:highlight w:val="none"/>
          <w14:textFill>
            <w14:solidFill>
              <w14:schemeClr w14:val="tx1"/>
            </w14:solidFill>
          </w14:textFill>
        </w:rPr>
        <w:t>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0"/>
        <w:tblpPr w:leftFromText="180" w:rightFromText="180" w:vertAnchor="text" w:tblpXSpec="center" w:tblpY="1"/>
        <w:tblOverlap w:val="never"/>
        <w:tblW w:w="1062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780"/>
        <w:gridCol w:w="3746"/>
        <w:gridCol w:w="2786"/>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序号</w:t>
            </w:r>
          </w:p>
        </w:tc>
        <w:tc>
          <w:tcPr>
            <w:tcW w:w="780" w:type="dxa"/>
            <w:vAlign w:val="center"/>
          </w:tcPr>
          <w:p>
            <w:pPr>
              <w:keepNext w:val="0"/>
              <w:keepLines w:val="0"/>
              <w:pageBreakBefore w:val="0"/>
              <w:widowControl w:val="0"/>
              <w:kinsoku/>
              <w:wordWrap/>
              <w:topLinePunct w:val="0"/>
              <w:autoSpaceDE/>
              <w:autoSpaceDN/>
              <w:bidi w:val="0"/>
              <w:snapToGrid/>
              <w:spacing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课程名称</w:t>
            </w:r>
          </w:p>
        </w:tc>
        <w:tc>
          <w:tcPr>
            <w:tcW w:w="3746" w:type="dxa"/>
            <w:vAlign w:val="center"/>
          </w:tcPr>
          <w:p>
            <w:pPr>
              <w:keepNext w:val="0"/>
              <w:keepLines w:val="0"/>
              <w:pageBreakBefore w:val="0"/>
              <w:widowControl w:val="0"/>
              <w:kinsoku/>
              <w:wordWrap/>
              <w:topLinePunct w:val="0"/>
              <w:autoSpaceDE/>
              <w:autoSpaceDN/>
              <w:bidi w:val="0"/>
              <w:snapToGrid/>
              <w:spacing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786" w:type="dxa"/>
            <w:vAlign w:val="center"/>
          </w:tcPr>
          <w:p>
            <w:pPr>
              <w:keepNext w:val="0"/>
              <w:keepLines w:val="0"/>
              <w:pageBreakBefore w:val="0"/>
              <w:widowControl w:val="0"/>
              <w:kinsoku/>
              <w:wordWrap/>
              <w:topLinePunct w:val="0"/>
              <w:autoSpaceDE/>
              <w:autoSpaceDN/>
              <w:bidi w:val="0"/>
              <w:snapToGrid/>
              <w:spacing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672" w:type="dxa"/>
            <w:vAlign w:val="center"/>
          </w:tcPr>
          <w:p>
            <w:pPr>
              <w:keepNext w:val="0"/>
              <w:keepLines w:val="0"/>
              <w:pageBreakBefore w:val="0"/>
              <w:widowControl w:val="0"/>
              <w:kinsoku/>
              <w:wordWrap/>
              <w:topLinePunct w:val="0"/>
              <w:autoSpaceDE/>
              <w:autoSpaceDN/>
              <w:bidi w:val="0"/>
              <w:snapToGrid/>
              <w:spacing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财政</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金融</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基础</w:t>
            </w:r>
          </w:p>
        </w:tc>
        <w:tc>
          <w:tcPr>
            <w:tcW w:w="37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掌握财政收支、货币信贷等核心知识，理解财政政策与货币政策协同逻辑，明晰金融市场运行基本规则。</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能运用财政金融理论分析经济现象，具备初步金融风险识别能力，可解读基础财政金融数据与政策。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培养理性看待财政金融问题的思维，树立合规与风险意识，提升经济决策的科学性与严谨性。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结合我国财政金融改革实践，厚植家国情怀，引导学生树立正确金融伦理与服务社会的责任感。</w:t>
            </w:r>
          </w:p>
        </w:tc>
        <w:tc>
          <w:tcPr>
            <w:tcW w:w="278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财政学基础：财政职能与公共产品理论政府收入体系（税收分类、税制设计）政府支出管理（社会保障、转移支付）国债管理与</w:t>
            </w:r>
            <w:r>
              <w:rPr>
                <w:rFonts w:hint="eastAsia" w:ascii="仿宋_GB2312" w:hAnsi="仿宋_GB2312" w:eastAsia="仿宋_GB2312" w:cs="仿宋_GB2312"/>
                <w:sz w:val="24"/>
                <w:szCs w:val="24"/>
                <w:highlight w:val="none"/>
                <w:lang w:val="en-US" w:eastAsia="zh-CN"/>
              </w:rPr>
              <w:t>财政赤字</w:t>
            </w:r>
          </w:p>
          <w:p>
            <w:pPr>
              <w:keepNext w:val="0"/>
              <w:keepLines w:val="0"/>
              <w:pageBreakBefore w:val="0"/>
              <w:widowControl w:val="0"/>
              <w:kinsoku/>
              <w:wordWrap/>
              <w:overflowPunct w:val="0"/>
              <w:topLinePunct w:val="0"/>
              <w:autoSpaceDE/>
              <w:autoSpaceDN/>
              <w:bidi w:val="0"/>
              <w:adjustRightInd w:val="0"/>
              <w:snapToGrid/>
              <w:spacing w:beforeAutospacing="0" w:after="0" w:afterAutospacing="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sz w:val="24"/>
                <w:szCs w:val="24"/>
                <w:highlight w:val="none"/>
              </w:rPr>
              <w:t>金融学基础：货币与信用体系</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金融市场</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金融机构</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金融工具</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政策与实务专题：财政政策与货币政策的协调</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金融监管框架</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前沿议题：数字货币（CBDC）、ESG投资、金融科技</w:t>
            </w:r>
            <w:r>
              <w:rPr>
                <w:rFonts w:hint="eastAsia" w:ascii="仿宋_GB2312" w:hAnsi="仿宋_GB2312" w:eastAsia="仿宋_GB2312" w:cs="仿宋_GB2312"/>
                <w:sz w:val="24"/>
                <w:szCs w:val="24"/>
                <w:highlight w:val="none"/>
                <w:lang w:eastAsia="zh-CN"/>
              </w:rPr>
              <w:t>。</w:t>
            </w:r>
          </w:p>
        </w:tc>
        <w:tc>
          <w:tcPr>
            <w:tcW w:w="2672" w:type="dxa"/>
            <w:vAlign w:val="top"/>
          </w:tcPr>
          <w:p>
            <w:pPr>
              <w:keepNext w:val="0"/>
              <w:keepLines w:val="0"/>
              <w:pageBreakBefore w:val="0"/>
              <w:widowControl w:val="0"/>
              <w:kinsoku/>
              <w:wordWrap/>
              <w:topLinePunct w:val="0"/>
              <w:autoSpaceDE/>
              <w:autoSpaceDN/>
              <w:bidi w:val="0"/>
              <w:snapToGrid/>
              <w:spacing w:beforeAutospacing="0" w:afterAutospacing="0" w:line="300" w:lineRule="exact"/>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采用</w:t>
            </w:r>
            <w:r>
              <w:rPr>
                <w:rFonts w:hint="eastAsia" w:ascii="仿宋_GB2312" w:hAnsi="仿宋_GB2312" w:eastAsia="仿宋_GB2312" w:cs="仿宋_GB2312"/>
                <w:sz w:val="24"/>
                <w:szCs w:val="24"/>
                <w:highlight w:val="none"/>
              </w:rPr>
              <w:t>混合式教学：理论讲授（50%）+案例研讨（30%）+模拟实践（20%）。案例驱动：结合国内外财政金融事件（如欧债危机、中国“房住不炒”政策）展开讨论。</w:t>
            </w:r>
          </w:p>
          <w:p>
            <w:pPr>
              <w:keepNext w:val="0"/>
              <w:keepLines w:val="0"/>
              <w:pageBreakBefore w:val="0"/>
              <w:widowControl w:val="0"/>
              <w:kinsoku/>
              <w:wordWrap/>
              <w:topLinePunct w:val="0"/>
              <w:autoSpaceDE/>
              <w:autoSpaceDN/>
              <w:bidi w:val="0"/>
              <w:snapToGrid/>
              <w:spacing w:beforeAutospacing="0" w:afterAutospacing="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数据工具：教授基础数据分析工具（如Excel金融函数、Wind/同花顺数据平</w:t>
            </w:r>
            <w:r>
              <w:rPr>
                <w:rFonts w:hint="eastAsia" w:ascii="仿宋_GB2312" w:hAnsi="仿宋_GB2312" w:eastAsia="仿宋_GB2312" w:cs="仿宋_GB2312"/>
                <w:sz w:val="24"/>
                <w:szCs w:val="24"/>
                <w:highlight w:val="none"/>
                <w:lang w:val="en-US" w:eastAsia="zh-CN"/>
              </w:rPr>
              <w:t>台），课堂发言、模拟投资报告、小组案例分析展示。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pacing w:val="-6"/>
                <w:sz w:val="24"/>
                <w:szCs w:val="24"/>
                <w:highlight w:val="none"/>
              </w:rPr>
            </w:pPr>
            <w:r>
              <w:rPr>
                <w:rFonts w:hint="eastAsia" w:ascii="仿宋_GB2312" w:hAnsi="仿宋_GB2312" w:eastAsia="仿宋_GB2312" w:cs="仿宋_GB2312"/>
                <w:color w:val="auto"/>
                <w:spacing w:val="-6"/>
                <w:sz w:val="24"/>
                <w:szCs w:val="24"/>
                <w:highlight w:val="none"/>
              </w:rPr>
              <w:t>Excel在</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pacing w:val="-6"/>
                <w:sz w:val="24"/>
                <w:szCs w:val="24"/>
                <w:highlight w:val="none"/>
              </w:rPr>
            </w:pPr>
            <w:r>
              <w:rPr>
                <w:rFonts w:hint="eastAsia" w:ascii="仿宋_GB2312" w:hAnsi="仿宋_GB2312" w:eastAsia="仿宋_GB2312" w:cs="仿宋_GB2312"/>
                <w:color w:val="auto"/>
                <w:spacing w:val="-6"/>
                <w:sz w:val="24"/>
                <w:szCs w:val="24"/>
                <w:highlight w:val="none"/>
              </w:rPr>
              <w:t>会计</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pacing w:val="-6"/>
                <w:sz w:val="24"/>
                <w:szCs w:val="24"/>
                <w:highlight w:val="none"/>
              </w:rPr>
            </w:pPr>
            <w:r>
              <w:rPr>
                <w:rFonts w:hint="eastAsia" w:ascii="仿宋_GB2312" w:hAnsi="仿宋_GB2312" w:eastAsia="仿宋_GB2312" w:cs="仿宋_GB2312"/>
                <w:color w:val="auto"/>
                <w:spacing w:val="-6"/>
                <w:sz w:val="24"/>
                <w:szCs w:val="24"/>
                <w:highlight w:val="none"/>
              </w:rPr>
              <w:t>中的</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pacing w:val="-6"/>
                <w:sz w:val="24"/>
                <w:szCs w:val="24"/>
                <w:highlight w:val="none"/>
              </w:rPr>
            </w:pPr>
            <w:r>
              <w:rPr>
                <w:rFonts w:hint="eastAsia" w:ascii="仿宋_GB2312" w:hAnsi="仿宋_GB2312" w:eastAsia="仿宋_GB2312" w:cs="仿宋_GB2312"/>
                <w:color w:val="auto"/>
                <w:spacing w:val="-6"/>
                <w:sz w:val="24"/>
                <w:szCs w:val="24"/>
                <w:highlight w:val="none"/>
              </w:rPr>
              <w:t>应用</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pacing w:val="-6"/>
                <w:sz w:val="24"/>
                <w:szCs w:val="24"/>
                <w:highlight w:val="none"/>
              </w:rPr>
            </w:pPr>
          </w:p>
        </w:tc>
        <w:tc>
          <w:tcPr>
            <w:tcW w:w="374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掌握Excel会计常用功能，理解函数、数据处理与报表制作在会计工作中的原理及应用逻辑。</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能运用Excel完成账务处理、报表生成与数据分析，解决会计实务中的数据处理问题。</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培养严谨细致的工作态度，提升数据处理效率，形成规范操作与质量把控的职业素养。</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强化会计诚信意识，树立合规操作理念，培养坚守职业操守、服务经济发展的责任感。</w:t>
            </w:r>
          </w:p>
        </w:tc>
        <w:tc>
          <w:tcPr>
            <w:tcW w:w="278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Excel基础与会计应用概述；会计凭证与账簿处理；财务报表编制；财务分析与预算管理；自动化与高级应用</w:t>
            </w:r>
          </w:p>
        </w:tc>
        <w:tc>
          <w:tcPr>
            <w:tcW w:w="26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多媒体课件、会计实务案例教学等形式，系统讲授知识要点。教学中安排充足的上机时间，让学生进行实际操作练习。同时针对学习中的难点与热点问题，组织学生分组讨论，促进思维碰撞与知识共享。在学生掌握基本操作的基础上，设计综合性项目任务，如设计一个完整的财务模型（如预算编制系统），以任务为导向，增强学习的针对性和实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中国</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会计</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文化</w:t>
            </w:r>
          </w:p>
        </w:tc>
        <w:tc>
          <w:tcPr>
            <w:tcW w:w="37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掌握中国会计文化发展脉络、核心思想及不同历史时期特征，明晰其与会计制度、实践的关联，筑牢文化认知基础。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能分析中国会计文化的当代价值，运用其理念解读会计实践，具备挖掘、传播优秀传统会计文化的能力。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培育对中国会计文化的认同感与自豪感，养成以文化理念规范职业行为的习惯，提升文化素养与职业修养。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传承中华优秀会计文化中的诚信、守正理念，厚植家国情怀，引导学生树立符合中国文化的会计职业价值观。</w:t>
            </w:r>
          </w:p>
        </w:tc>
        <w:tc>
          <w:tcPr>
            <w:tcW w:w="2786" w:type="dxa"/>
            <w:vAlign w:val="top"/>
          </w:tcPr>
          <w:p>
            <w:pPr>
              <w:keepNext w:val="0"/>
              <w:keepLines w:val="0"/>
              <w:pageBreakBefore w:val="0"/>
              <w:widowControl w:val="0"/>
              <w:kinsoku/>
              <w:wordWrap/>
              <w:overflowPunct w:val="0"/>
              <w:topLinePunct w:val="0"/>
              <w:autoSpaceDE/>
              <w:autoSpaceDN/>
              <w:bidi w:val="0"/>
              <w:adjustRightInd w:val="0"/>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从《周礼》“司会”到当代会计准则的文化基因演变；思想内核：儒家“义利观”、道家“节制”思想与会计诚信建设；制度实践：红色会计的战时经验与现代启示；数字技术冲击下会计文化的传承与重构案例分析。</w:t>
            </w:r>
          </w:p>
        </w:tc>
        <w:tc>
          <w:tcPr>
            <w:tcW w:w="2672" w:type="dxa"/>
            <w:vAlign w:val="top"/>
          </w:tcPr>
          <w:p>
            <w:pPr>
              <w:keepNext w:val="0"/>
              <w:keepLines w:val="0"/>
              <w:pageBreakBefore w:val="0"/>
              <w:widowControl w:val="0"/>
              <w:kinsoku/>
              <w:wordWrap/>
              <w:overflowPunct w:val="0"/>
              <w:topLinePunct w:val="0"/>
              <w:autoSpaceDE/>
              <w:autoSpaceDN/>
              <w:bidi w:val="0"/>
              <w:adjustRightInd w:val="0"/>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采用“文献研读+田野调查+跨学科研讨”模式，组织学生访谈老会计、参观会计博物馆；要求学生完成会计文化基因解码报告，结合企业案例分析文化冲突解决方案；鼓励学生参与“会计文化口述史”项目，关注ESG理念与传统文化的协同创新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审计</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基础</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与实</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务</w:t>
            </w:r>
          </w:p>
        </w:tc>
        <w:tc>
          <w:tcPr>
            <w:tcW w:w="374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zh-CN" w:eastAsia="zh-CN"/>
              </w:rPr>
            </w:pPr>
            <w:r>
              <w:rPr>
                <w:rFonts w:hint="eastAsia" w:ascii="仿宋_GB2312" w:hAnsi="仿宋_GB2312" w:eastAsia="仿宋_GB2312" w:cs="仿宋_GB2312"/>
                <w:b/>
                <w:bCs/>
                <w:color w:val="auto"/>
                <w:sz w:val="24"/>
                <w:szCs w:val="24"/>
                <w:highlight w:val="none"/>
                <w:lang w:val="zh-CN" w:eastAsia="zh-CN"/>
              </w:rPr>
              <w:t>知识目标：</w:t>
            </w:r>
            <w:r>
              <w:rPr>
                <w:rFonts w:hint="eastAsia" w:ascii="仿宋_GB2312" w:hAnsi="仿宋_GB2312" w:eastAsia="仿宋_GB2312" w:cs="仿宋_GB2312"/>
                <w:color w:val="auto"/>
                <w:sz w:val="24"/>
                <w:szCs w:val="24"/>
                <w:highlight w:val="none"/>
                <w:lang w:val="zh-CN" w:eastAsia="zh-CN"/>
              </w:rPr>
              <w:t>掌握审计基本理论、流程与方法，熟悉审计准则，能</w:t>
            </w:r>
            <w:r>
              <w:rPr>
                <w:rFonts w:hint="eastAsia" w:ascii="仿宋_GB2312" w:hAnsi="仿宋_GB2312" w:eastAsia="仿宋_GB2312" w:cs="仿宋_GB2312"/>
                <w:color w:val="auto"/>
                <w:sz w:val="24"/>
                <w:szCs w:val="24"/>
                <w:highlight w:val="none"/>
                <w:lang w:val="en-US" w:eastAsia="zh-CN"/>
              </w:rPr>
              <w:t>清晰</w:t>
            </w:r>
            <w:r>
              <w:rPr>
                <w:rFonts w:hint="eastAsia" w:ascii="仿宋_GB2312" w:hAnsi="仿宋_GB2312" w:eastAsia="仿宋_GB2312" w:cs="仿宋_GB2312"/>
                <w:color w:val="auto"/>
                <w:sz w:val="24"/>
                <w:szCs w:val="24"/>
                <w:highlight w:val="none"/>
                <w:lang w:val="zh-CN" w:eastAsia="zh-CN"/>
              </w:rPr>
              <w:t>区分审计与会计的核心差异。</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zh-CN" w:eastAsia="zh-CN"/>
              </w:rPr>
            </w:pPr>
            <w:r>
              <w:rPr>
                <w:rFonts w:hint="eastAsia" w:ascii="仿宋_GB2312" w:hAnsi="仿宋_GB2312" w:eastAsia="仿宋_GB2312" w:cs="仿宋_GB2312"/>
                <w:b/>
                <w:bCs/>
                <w:color w:val="auto"/>
                <w:sz w:val="24"/>
                <w:szCs w:val="24"/>
                <w:highlight w:val="none"/>
                <w:lang w:val="zh-CN" w:eastAsia="zh-CN"/>
              </w:rPr>
              <w:t>能力目标</w:t>
            </w:r>
            <w:r>
              <w:rPr>
                <w:rFonts w:hint="eastAsia" w:ascii="仿宋_GB2312" w:hAnsi="仿宋_GB2312" w:eastAsia="仿宋_GB2312" w:cs="仿宋_GB2312"/>
                <w:color w:val="auto"/>
                <w:sz w:val="24"/>
                <w:szCs w:val="24"/>
                <w:highlight w:val="none"/>
                <w:lang w:val="zh-CN" w:eastAsia="zh-CN"/>
              </w:rPr>
              <w:t>：能独立完成简单审计业务，准确编制工作底稿，具备初步分析审计证据、识别风险的能力。</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zh-CN" w:eastAsia="zh-CN"/>
              </w:rPr>
            </w:pPr>
            <w:r>
              <w:rPr>
                <w:rFonts w:hint="eastAsia" w:ascii="仿宋_GB2312" w:hAnsi="仿宋_GB2312" w:eastAsia="仿宋_GB2312" w:cs="仿宋_GB2312"/>
                <w:b/>
                <w:bCs/>
                <w:color w:val="auto"/>
                <w:sz w:val="24"/>
                <w:szCs w:val="24"/>
                <w:highlight w:val="none"/>
                <w:lang w:val="zh-CN" w:eastAsia="zh-CN"/>
              </w:rPr>
              <w:t>素质目标：</w:t>
            </w:r>
            <w:r>
              <w:rPr>
                <w:rFonts w:hint="eastAsia" w:ascii="仿宋_GB2312" w:hAnsi="仿宋_GB2312" w:eastAsia="仿宋_GB2312" w:cs="仿宋_GB2312"/>
                <w:color w:val="auto"/>
                <w:sz w:val="24"/>
                <w:szCs w:val="24"/>
                <w:highlight w:val="none"/>
                <w:lang w:val="zh-CN" w:eastAsia="zh-CN"/>
              </w:rPr>
              <w:t>养成严谨细致的工作态度，树立客观公正的职业意识，提升团队协作与沟通效率。</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zh-CN" w:eastAsia="zh-CN"/>
              </w:rPr>
              <w:t>课程思政育人目标：</w:t>
            </w:r>
            <w:r>
              <w:rPr>
                <w:rFonts w:hint="eastAsia" w:ascii="仿宋_GB2312" w:hAnsi="仿宋_GB2312" w:eastAsia="仿宋_GB2312" w:cs="仿宋_GB2312"/>
                <w:color w:val="auto"/>
                <w:sz w:val="24"/>
                <w:szCs w:val="24"/>
                <w:highlight w:val="none"/>
                <w:lang w:val="zh-CN" w:eastAsia="zh-CN"/>
              </w:rPr>
              <w:t>厚植诚信守法的职业操守，强化社会责任感，培养坚守审计底线、维护市场秩序的价值观。</w:t>
            </w:r>
          </w:p>
        </w:tc>
        <w:tc>
          <w:tcPr>
            <w:tcW w:w="278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总论、审计业务承接和审计报告、审计目标、审计证据与工作底稿、审计计划、重要性和审计风险、审计方法、内部控制测试和风险评估、销售收入及收款循环的审计、生产循环审计。</w:t>
            </w:r>
          </w:p>
        </w:tc>
        <w:tc>
          <w:tcPr>
            <w:tcW w:w="267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通过多媒体结合教材进行课堂讲授，系统介绍审计学的理论知识体系。在教学中选取具有代表性的审计案例，引导学生分析讨论，加深对审计理论和方法的理解。课堂上组织学生就特定审计问题进行小组讨论，培养团队合作精神和批判性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行业</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会计</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比较</w:t>
            </w:r>
          </w:p>
        </w:tc>
        <w:tc>
          <w:tcPr>
            <w:tcW w:w="374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掌握不同行业会计核算差异，理解行业特殊业务处理规则，能区分各行业会计核心要点。</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能独立完成特定行业会计实务操作，具备分析行业会计问题并提出解决方案的能力。</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培养严谨细致的职业态度，树立行业会计合规意识，提升跨行业会计适应能力。</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厚植诚信守正的会计职业精神，强化社会责任担当，引导树立正确的财务伦理观。</w:t>
            </w:r>
          </w:p>
        </w:tc>
        <w:tc>
          <w:tcPr>
            <w:tcW w:w="278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6"/>
                <w:sz w:val="24"/>
                <w:szCs w:val="24"/>
                <w:highlight w:val="none"/>
              </w:rPr>
              <w:t>总论、商品流通企业会计、旅游餐饮企业会计、交通运输企业会计、房地产企业会计、农业企业会计、民间非</w:t>
            </w:r>
            <w:r>
              <w:rPr>
                <w:rFonts w:hint="eastAsia" w:ascii="仿宋_GB2312" w:hAnsi="仿宋_GB2312" w:eastAsia="仿宋_GB2312" w:cs="仿宋_GB2312"/>
                <w:color w:val="auto"/>
                <w:spacing w:val="-6"/>
                <w:sz w:val="24"/>
                <w:szCs w:val="24"/>
                <w:highlight w:val="none"/>
                <w:lang w:val="en-US" w:eastAsia="zh-CN"/>
              </w:rPr>
              <w:t>营利</w:t>
            </w:r>
            <w:r>
              <w:rPr>
                <w:rFonts w:hint="eastAsia" w:ascii="仿宋_GB2312" w:hAnsi="仿宋_GB2312" w:eastAsia="仿宋_GB2312" w:cs="仿宋_GB2312"/>
                <w:color w:val="auto"/>
                <w:spacing w:val="-6"/>
                <w:sz w:val="24"/>
                <w:szCs w:val="24"/>
                <w:highlight w:val="none"/>
              </w:rPr>
              <w:t>企业会计等。</w:t>
            </w:r>
          </w:p>
        </w:tc>
        <w:tc>
          <w:tcPr>
            <w:tcW w:w="267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通过教材结合PPT、视频系统讲解行业会计的基本理论与核算方法。通过真实的行业会计案例，引导学生分析讨论，加深理解；同时组织学生对行业间会计差异进行小组讨论，促进思维碰撞与知识共享。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topLinePunct w:val="0"/>
              <w:autoSpaceDE/>
              <w:autoSpaceDN/>
              <w:bidi w:val="0"/>
              <w:snapToGrid/>
              <w:spacing w:after="0" w:line="300" w:lineRule="exact"/>
              <w:ind w:firstLine="240" w:firstLineChars="10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会计</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制度</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设计</w:t>
            </w:r>
          </w:p>
        </w:tc>
        <w:tc>
          <w:tcPr>
            <w:tcW w:w="374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掌握会计制度核心内容与制定逻辑，明晰不同制度适用场景，理解制度对会计工作的规范作用。</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能运用会计制度分析解决实务问题，具备制度解读、选择及合规处理会计业务的基本能力。</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养成严谨细致的职业态度，树立合规意识，提升对会计制度的敬畏心与执行的自觉性。</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培育诚信守法的职业操守，强化社会责任担当，树立正确的会计职业价值观与法治观念。</w:t>
            </w:r>
          </w:p>
        </w:tc>
        <w:tc>
          <w:tcPr>
            <w:tcW w:w="278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会计制度设计的目标、原则、法律环境及与企业战略的协同性；会计科目设置、核算流程设计、成本核算方法选择；资金、采购、销售等业务循环的控制要点与审计路径。</w:t>
            </w:r>
          </w:p>
        </w:tc>
        <w:tc>
          <w:tcPr>
            <w:tcW w:w="267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采用“理论讲授+案例研讨+小组设计”模式，结合企业真实场景提升参与度；要求学生独立完成企业调研、制度诊断及设计报告，强化逻辑思维与创新能力；关注会计准则更新动态，鼓励学生结合数字化转型趋势探索智能会计制度设计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市场</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kern w:val="2"/>
                <w:sz w:val="24"/>
                <w:szCs w:val="24"/>
                <w:highlight w:val="none"/>
                <w:vertAlign w:val="baseline"/>
                <w:lang w:val="en-US" w:eastAsia="zh-CN" w:bidi="ar-SA"/>
              </w:rPr>
              <w:t>营销</w:t>
            </w:r>
          </w:p>
        </w:tc>
        <w:tc>
          <w:tcPr>
            <w:tcW w:w="374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知识目标：</w:t>
            </w:r>
            <w:r>
              <w:rPr>
                <w:rFonts w:hint="eastAsia" w:ascii="仿宋_GB2312" w:hAnsi="仿宋_GB2312" w:eastAsia="仿宋_GB2312" w:cs="仿宋_GB2312"/>
                <w:color w:val="auto"/>
                <w:kern w:val="2"/>
                <w:sz w:val="24"/>
                <w:szCs w:val="24"/>
                <w:highlight w:val="none"/>
                <w:vertAlign w:val="baseline"/>
                <w:lang w:val="en-US" w:eastAsia="zh-CN" w:bidi="ar-SA"/>
              </w:rPr>
              <w:t>掌握市场营销核心理论、4P策略等知识，理解市场调研、品牌管理等关键环节的逻辑与方法。</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能力目标：</w:t>
            </w:r>
            <w:r>
              <w:rPr>
                <w:rFonts w:hint="eastAsia" w:ascii="仿宋_GB2312" w:hAnsi="仿宋_GB2312" w:eastAsia="仿宋_GB2312" w:cs="仿宋_GB2312"/>
                <w:color w:val="auto"/>
                <w:kern w:val="2"/>
                <w:sz w:val="24"/>
                <w:szCs w:val="24"/>
                <w:highlight w:val="none"/>
                <w:vertAlign w:val="baseline"/>
                <w:lang w:val="en-US" w:eastAsia="zh-CN" w:bidi="ar-SA"/>
              </w:rPr>
              <w:t>能运用营销工具分析市场案例，独立制定基础营销方案，具备解决实际营销问题的能力。</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素质目标：</w:t>
            </w:r>
            <w:r>
              <w:rPr>
                <w:rFonts w:hint="eastAsia" w:ascii="仿宋_GB2312" w:hAnsi="仿宋_GB2312" w:eastAsia="仿宋_GB2312" w:cs="仿宋_GB2312"/>
                <w:color w:val="auto"/>
                <w:kern w:val="2"/>
                <w:sz w:val="24"/>
                <w:szCs w:val="24"/>
                <w:highlight w:val="none"/>
                <w:vertAlign w:val="baseline"/>
                <w:lang w:val="en-US" w:eastAsia="zh-CN" w:bidi="ar-SA"/>
              </w:rPr>
              <w:t>培养市场敏感度与创新思维，树立客户导向意识，提升团队协作与沟通表达素养。</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课程思政育人目标：</w:t>
            </w:r>
            <w:r>
              <w:rPr>
                <w:rFonts w:hint="eastAsia" w:ascii="仿宋_GB2312" w:hAnsi="仿宋_GB2312" w:eastAsia="仿宋_GB2312" w:cs="仿宋_GB2312"/>
                <w:color w:val="auto"/>
                <w:kern w:val="2"/>
                <w:sz w:val="24"/>
                <w:szCs w:val="24"/>
                <w:highlight w:val="none"/>
                <w:vertAlign w:val="baseline"/>
                <w:lang w:val="en-US" w:eastAsia="zh-CN" w:bidi="ar-SA"/>
              </w:rPr>
              <w:t>强化诚信营销、社会责任理念，树立正确商业伦理观，厚植服务国家经济发展的意识。</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kern w:val="2"/>
                <w:sz w:val="24"/>
                <w:szCs w:val="24"/>
                <w:highlight w:val="none"/>
                <w:vertAlign w:val="baseline"/>
                <w:lang w:val="en-US" w:eastAsia="zh-CN" w:bidi="ar-SA"/>
              </w:rPr>
            </w:pPr>
          </w:p>
        </w:tc>
        <w:tc>
          <w:tcPr>
            <w:tcW w:w="278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基础理论；市场分析：包括市场调研的方法与技术，消费者市场和组织市场的特点与购买行为分析，市场细分、目标市场选择与市场定位的原理和方法。营销策略：产品策略、价格策略、渠道策略、促销策略。营销管理：讲述市场营销计划的制定、组织、执行与控制，以及营销伦理和社会责任等内容。</w:t>
            </w:r>
          </w:p>
        </w:tc>
        <w:tc>
          <w:tcPr>
            <w:tcW w:w="267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通过案例分析、小组讨论、模拟营销等实践教学环节，培养学生运用所学知识分析和解决实际营销问题的能力，提高学生的沟通能力、团队协作能力和创新能力。培养学生的自主学习能力和探索精神，要求学生按时完成作业，积极参与课堂讨论和课外实践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企业</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财务</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kern w:val="2"/>
                <w:sz w:val="24"/>
                <w:szCs w:val="24"/>
                <w:highlight w:val="none"/>
                <w:vertAlign w:val="baseline"/>
                <w:lang w:val="en-US" w:eastAsia="zh-CN" w:bidi="ar-SA"/>
              </w:rPr>
              <w:t>管理</w:t>
            </w:r>
          </w:p>
        </w:tc>
        <w:tc>
          <w:tcPr>
            <w:tcW w:w="374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掌握企业筹资、投资、营运及分配管理核心理论，理解财务报表分析与风险管理的基础原理。</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能独立完成财务预算编制与报表分析，具备运用财务工具解决企业资金规划问题的能力。</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养成严谨细致的财务思维，树立成本效益与风险防控意识，提升团队协作中的财务沟通素养。</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厚植诚信守法的职业操守，强化服务企业发展的责任担当，树立正确的财经价值观。</w:t>
            </w:r>
          </w:p>
        </w:tc>
        <w:tc>
          <w:tcPr>
            <w:tcW w:w="278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财务管理基础；资金时间价值与风险；筹资管理模块；投资管理；利润分配管理。</w:t>
            </w:r>
          </w:p>
        </w:tc>
        <w:tc>
          <w:tcPr>
            <w:tcW w:w="267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采用多媒体教学手段，结合生活实例和企业案例，深入浅出地讲解理论知识。选取具有代表性的企业财务案例，引导学生分析讨论，增强理论学习的针对性和实用性。同时利用财务管理软件或Excel等工具，进行财务决策模拟实训，提高学生的实践操作能力和问题解决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财经</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法规</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与会</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计职</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业道</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德</w:t>
            </w:r>
            <w:r>
              <w:rPr>
                <w:rFonts w:hint="eastAsia" w:ascii="仿宋_GB2312" w:hAnsi="仿宋_GB2312" w:eastAsia="仿宋_GB2312" w:cs="仿宋_GB2312"/>
                <w:color w:val="auto"/>
                <w:sz w:val="24"/>
                <w:szCs w:val="24"/>
                <w:highlight w:val="none"/>
              </w:rPr>
              <w:br w:type="textWrapping"/>
            </w:r>
          </w:p>
        </w:tc>
        <w:tc>
          <w:tcPr>
            <w:tcW w:w="37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全面掌握会计法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税收征管法等法规，明晰会计法律体系、支付结算、税收与财政法规，熟知会计职业道德规范。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精准运用财经法规处理会计核算、监督、结算等工作，熟练计算纳税金额并申报，能分析解决复杂财经法律问题。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培育严谨细致、廉洁奉公的职业素养，形成自觉守法、诚信自律的职业习惯，增强团队协作与沟通交流能力。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将社会主义核心价值观融入教学，培养学生爱国守法、敬业奉献精神，引导树立正确职业观与价值观。</w:t>
            </w:r>
          </w:p>
        </w:tc>
        <w:tc>
          <w:tcPr>
            <w:tcW w:w="2786" w:type="dxa"/>
            <w:vAlign w:val="top"/>
          </w:tcPr>
          <w:p>
            <w:pPr>
              <w:keepNext w:val="0"/>
              <w:keepLines w:val="0"/>
              <w:pageBreakBefore w:val="0"/>
              <w:widowControl w:val="0"/>
              <w:kinsoku/>
              <w:wordWrap/>
              <w:overflowPunct w:val="0"/>
              <w:topLinePunct w:val="0"/>
              <w:autoSpaceDE/>
              <w:autoSpaceDN/>
              <w:bidi w:val="0"/>
              <w:adjustRightInd w:val="0"/>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会计法律制度、支付结算法律制度、税收法律制度、财政法规制度、会计职业道德等。</w:t>
            </w:r>
          </w:p>
        </w:tc>
        <w:tc>
          <w:tcPr>
            <w:tcW w:w="2672" w:type="dxa"/>
            <w:vAlign w:val="top"/>
          </w:tcPr>
          <w:p>
            <w:pPr>
              <w:keepNext w:val="0"/>
              <w:keepLines w:val="0"/>
              <w:pageBreakBefore w:val="0"/>
              <w:widowControl w:val="0"/>
              <w:kinsoku/>
              <w:wordWrap/>
              <w:overflowPunct w:val="0"/>
              <w:topLinePunct w:val="0"/>
              <w:autoSpaceDE/>
              <w:autoSpaceDN/>
              <w:bidi w:val="0"/>
              <w:adjustRightInd w:val="0"/>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教师系统讲授，使学生掌握基础知识和理论框架。在教学过程中选取典型财经案例，引导学生分析讨论，增强实践应用能力。组织学生分组讨论，促进思想碰撞，培养团队合作精神。模拟会计工作中的实际场景，让学生在角色扮演中体验法律与道德的冲突与抉择。利用网络平台提供丰富的教学资料、视频讲座、在线测试等，拓宽学习渠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管理</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学</w:t>
            </w:r>
          </w:p>
        </w:tc>
        <w:tc>
          <w:tcPr>
            <w:tcW w:w="37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掌握管理职能、经典理论及组织运营核心逻辑，明晰决策、计划、领导等模块要点，筑牢管理学认知基础。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能运用管理理论分析实际问题，制定可行方案，协调团队资源，提升解决组织管理问题的实操能力。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培育系统思维与责任意识，树立科学管理理念，提升团队协作与高效沟通素养，适配管理岗位需求。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融社会主义核心价值观，渗家国情怀与责任担当，引导学生以科学管理助力社会经济高质量发展。</w:t>
            </w:r>
          </w:p>
        </w:tc>
        <w:tc>
          <w:tcPr>
            <w:tcW w:w="2786" w:type="dxa"/>
            <w:vAlign w:val="top"/>
          </w:tcPr>
          <w:p>
            <w:pPr>
              <w:keepNext w:val="0"/>
              <w:keepLines w:val="0"/>
              <w:pageBreakBefore w:val="0"/>
              <w:widowControl w:val="0"/>
              <w:kinsoku/>
              <w:wordWrap/>
              <w:overflowPunct w:val="0"/>
              <w:topLinePunct w:val="0"/>
              <w:autoSpaceDE/>
              <w:autoSpaceDN/>
              <w:bidi w:val="0"/>
              <w:adjustRightInd w:val="0"/>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管理与管理学、管理理论的演化、组织的概论、计划工作概述、决策在管理中的战略、领导艺术、激励等。</w:t>
            </w:r>
          </w:p>
        </w:tc>
        <w:tc>
          <w:tcPr>
            <w:tcW w:w="2672" w:type="dxa"/>
            <w:vAlign w:val="top"/>
          </w:tcPr>
          <w:p>
            <w:pPr>
              <w:keepNext w:val="0"/>
              <w:keepLines w:val="0"/>
              <w:pageBreakBefore w:val="0"/>
              <w:widowControl w:val="0"/>
              <w:kinsoku/>
              <w:wordWrap/>
              <w:overflowPunct w:val="0"/>
              <w:topLinePunct w:val="0"/>
              <w:autoSpaceDE/>
              <w:autoSpaceDN/>
              <w:bidi w:val="0"/>
              <w:adjustRightInd w:val="0"/>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教材结合多媒体教学手段，系统讲解管理学理论知识。选取典型案例，组织学生进行分析讨论，增强学生对理论知识的理解和应用能力。其次围绕特定主题或问题，分组进行讨论，促进学生之间的交流与合作，培养团队协作能力。在掌握基本理论知识基础上通过角色扮演、管理游戏等方式，模拟真实管理情境，让学生在实践中学习和掌握管理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7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电子</w:t>
            </w:r>
          </w:p>
          <w:p>
            <w:pPr>
              <w:keepNext w:val="0"/>
              <w:keepLines w:val="0"/>
              <w:pageBreakBefore w:val="0"/>
              <w:widowControl w:val="0"/>
              <w:kinsoku/>
              <w:wordWrap/>
              <w:overflowPunct w:val="0"/>
              <w:topLinePunct w:val="0"/>
              <w:autoSpaceDE/>
              <w:autoSpaceDN/>
              <w:bidi w:val="0"/>
              <w:adjustRightInd w:val="0"/>
              <w:snapToGrid/>
              <w:spacing w:after="0" w:line="30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商务</w:t>
            </w:r>
          </w:p>
        </w:tc>
        <w:tc>
          <w:tcPr>
            <w:tcW w:w="37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掌握电商运营、网络营销、电子支付等核心知识，明晰电商平台规则与供应链管理逻辑，筑牢电商业务开展的理论基础。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能搭建电商店铺、策划营销活动、分析运营数据，解决订单处理与客户服务问题，具备独立开展电商业务的能力。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培育数字化思维与创新意识，养成严谨细致的工作态度，提升跨团队协作与应对电商市场变化的能力。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融诚信经营与合规理念，渗家国情怀，引导学生践行电商社会责任，树立健康可持续的电商发展观。</w:t>
            </w:r>
          </w:p>
        </w:tc>
        <w:tc>
          <w:tcPr>
            <w:tcW w:w="2786" w:type="dxa"/>
            <w:vAlign w:val="top"/>
          </w:tcPr>
          <w:p>
            <w:pPr>
              <w:keepNext w:val="0"/>
              <w:keepLines w:val="0"/>
              <w:pageBreakBefore w:val="0"/>
              <w:widowControl w:val="0"/>
              <w:kinsoku/>
              <w:wordWrap/>
              <w:overflowPunct w:val="0"/>
              <w:topLinePunct w:val="0"/>
              <w:autoSpaceDE/>
              <w:autoSpaceDN/>
              <w:bidi w:val="0"/>
              <w:adjustRightInd w:val="0"/>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电子商务概述、电子商务技术基础，电子商务商业模式、电子商务支付、电子商务物流、网络营销、电子商务涉及的法律法规等。</w:t>
            </w:r>
          </w:p>
        </w:tc>
        <w:tc>
          <w:tcPr>
            <w:tcW w:w="2672" w:type="dxa"/>
            <w:vAlign w:val="top"/>
          </w:tcPr>
          <w:p>
            <w:pPr>
              <w:keepNext w:val="0"/>
              <w:keepLines w:val="0"/>
              <w:pageBreakBefore w:val="0"/>
              <w:widowControl w:val="0"/>
              <w:kinsoku/>
              <w:wordWrap/>
              <w:overflowPunct w:val="0"/>
              <w:topLinePunct w:val="0"/>
              <w:autoSpaceDE/>
              <w:autoSpaceDN/>
              <w:bidi w:val="0"/>
              <w:adjustRightInd w:val="0"/>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课程采用多种教学方法，如案例分析、项目实训、小组讨论、模拟演练等，以提高学生的实际操作能力和理</w:t>
            </w:r>
            <w:r>
              <w:rPr>
                <w:rFonts w:hint="eastAsia" w:ascii="仿宋_GB2312" w:hAnsi="仿宋_GB2312" w:eastAsia="仿宋_GB2312" w:cs="仿宋_GB2312"/>
                <w:color w:val="auto"/>
                <w:sz w:val="24"/>
                <w:szCs w:val="24"/>
                <w:highlight w:val="none"/>
                <w:lang w:val="en-US" w:eastAsia="zh-CN"/>
              </w:rPr>
              <w:t>解能</w:t>
            </w:r>
            <w:r>
              <w:rPr>
                <w:rFonts w:hint="eastAsia" w:ascii="仿宋_GB2312" w:hAnsi="仿宋_GB2312" w:eastAsia="仿宋_GB2312" w:cs="仿宋_GB2312"/>
                <w:color w:val="auto"/>
                <w:sz w:val="24"/>
                <w:szCs w:val="24"/>
                <w:highlight w:val="none"/>
              </w:rPr>
              <w:t>力。使学生掌握电子商务的基本概念、框架结构、运行环境、技术内容、交易手段与管理方法，以及电子商务应用的现实框架等内容。</w:t>
            </w:r>
          </w:p>
        </w:tc>
      </w:tr>
    </w:tbl>
    <w:p>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教学环节：毕业设计、岗位实习。</w:t>
      </w:r>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6 </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0"/>
        <w:tblW w:w="10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
        <w:gridCol w:w="780"/>
        <w:gridCol w:w="4415"/>
        <w:gridCol w:w="1779"/>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dxa"/>
            <w:vAlign w:val="center"/>
          </w:tcPr>
          <w:p>
            <w:pPr>
              <w:overflowPunct w:val="0"/>
              <w:adjustRightInd w:val="0"/>
              <w:spacing w:line="360" w:lineRule="exact"/>
              <w:jc w:val="center"/>
              <w:rPr>
                <w:rFonts w:hint="eastAsia" w:ascii="仿宋_GB2312" w:hAnsi="仿宋_GB2312" w:eastAsia="仿宋_GB2312" w:cs="仿宋_GB2312"/>
                <w:color w:val="auto"/>
                <w:sz w:val="24"/>
                <w:highlight w:val="none"/>
              </w:rPr>
            </w:pPr>
            <w:bookmarkStart w:id="93" w:name="OLE_LINK21"/>
            <w:r>
              <w:rPr>
                <w:rFonts w:hint="eastAsia" w:ascii="仿宋_GB2312" w:hAnsi="仿宋_GB2312" w:eastAsia="仿宋_GB2312" w:cs="仿宋_GB2312"/>
                <w:color w:val="auto"/>
                <w:sz w:val="24"/>
                <w:highlight w:val="none"/>
              </w:rPr>
              <w:t>序号</w:t>
            </w:r>
          </w:p>
        </w:tc>
        <w:tc>
          <w:tcPr>
            <w:tcW w:w="780"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课程名称</w:t>
            </w:r>
          </w:p>
        </w:tc>
        <w:tc>
          <w:tcPr>
            <w:tcW w:w="4415"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1779"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3120"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0" w:type="dxa"/>
            <w:vAlign w:val="center"/>
          </w:tcPr>
          <w:p>
            <w:pPr>
              <w:overflowPunct w:val="0"/>
              <w:adjustRightInd w:val="0"/>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780" w:type="dxa"/>
            <w:vAlign w:val="center"/>
          </w:tcPr>
          <w:p>
            <w:pPr>
              <w:overflowPunct w:val="0"/>
              <w:adjustRightInd w:val="0"/>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毕业设计</w:t>
            </w:r>
          </w:p>
        </w:tc>
        <w:tc>
          <w:tcPr>
            <w:tcW w:w="441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整合专业核心知识，掌握课题研究方法与学术规范，明晰行业前沿动态，构建系统的专业知识应用体系。</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能独立开展课题调研、数据分析与方案设计，熟练撰写论文，提升解决专业实际问题的综合能力。</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培育严谨治学态度与创新思维，增强责任担当，提升自主学习、团队协作及成果展示素养。</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融入学术诚信与职业精神，引导学生立足行业需求，树立服务社会、助力产业发展的价值导向。</w:t>
            </w:r>
          </w:p>
        </w:tc>
        <w:tc>
          <w:tcPr>
            <w:tcW w:w="1779" w:type="dxa"/>
            <w:vAlign w:val="top"/>
          </w:tcPr>
          <w:p>
            <w:pPr>
              <w:overflowPunct w:val="0"/>
              <w:adjustRightInd w:val="0"/>
              <w:spacing w:line="360" w:lineRule="exact"/>
              <w:jc w:val="both"/>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选题和资料收集；分析和计划；开题报告；撰写初稿；修改定稿；答辩。</w:t>
            </w:r>
          </w:p>
        </w:tc>
        <w:tc>
          <w:tcPr>
            <w:tcW w:w="3120" w:type="dxa"/>
            <w:vAlign w:val="top"/>
          </w:tcPr>
          <w:p>
            <w:pPr>
              <w:overflowPunct w:val="0"/>
              <w:adjustRightInd w:val="0"/>
              <w:spacing w:line="360" w:lineRule="exact"/>
              <w:jc w:val="both"/>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指导教师根据学生的能力水平和兴趣特长，进行针对性及个别指导。同时全程跟踪学生的研究进展，及时解决学生遇到的问题；对学生在选题、研究过程、论文撰写及答辩等各个环节均提出明确要求；鼓励学生在研究中勇于探索未知领域，提出新观点、新方法，培养学生的创新意识和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dxa"/>
            <w:vAlign w:val="center"/>
          </w:tcPr>
          <w:p>
            <w:pPr>
              <w:overflowPunct w:val="0"/>
              <w:adjustRightInd w:val="0"/>
              <w:spacing w:line="360" w:lineRule="exact"/>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2</w:t>
            </w:r>
          </w:p>
        </w:tc>
        <w:tc>
          <w:tcPr>
            <w:tcW w:w="780" w:type="dxa"/>
            <w:vAlign w:val="center"/>
          </w:tcPr>
          <w:p>
            <w:pPr>
              <w:overflowPunct w:val="0"/>
              <w:adjustRightInd w:val="0"/>
              <w:spacing w:line="360" w:lineRule="exact"/>
              <w:jc w:val="center"/>
              <w:rPr>
                <w:rFonts w:hint="eastAsia" w:ascii="仿宋_GB2312" w:hAnsi="仿宋_GB2312" w:eastAsia="仿宋_GB2312" w:cs="仿宋_GB2312"/>
                <w:color w:val="auto"/>
                <w:sz w:val="24"/>
                <w:highlight w:val="none"/>
              </w:rPr>
            </w:pPr>
          </w:p>
          <w:p>
            <w:pPr>
              <w:overflowPunct w:val="0"/>
              <w:adjustRightInd w:val="0"/>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岗位实习</w:t>
            </w:r>
          </w:p>
        </w:tc>
        <w:tc>
          <w:tcPr>
            <w:tcW w:w="441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掌握岗位所需专业理论与实操规范，明晰行业政策及企业规章制度，理解岗位工作与其他环节的衔接逻辑。</w:t>
            </w: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能独立完成岗位核心任务，熟练运用专业工具解决实际问题，具备职场沟通协调与任务复盘优化能力。</w:t>
            </w: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养成严谨负责的工作态度与高效执行力，培育职业适应性与团队协作素养，树立终身学习意识。</w:t>
            </w: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融敬业奉献精神，守职业伦理底线，渗家国情怀，引导学生以岗位实践助力行业与社会发展。</w:t>
            </w:r>
          </w:p>
        </w:tc>
        <w:tc>
          <w:tcPr>
            <w:tcW w:w="1779" w:type="dxa"/>
            <w:vAlign w:val="top"/>
          </w:tcPr>
          <w:p>
            <w:pPr>
              <w:overflowPunct w:val="0"/>
              <w:adjustRightInd w:val="0"/>
              <w:spacing w:line="360" w:lineRule="exact"/>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会计岗位、出纳岗位实训</w:t>
            </w:r>
            <w:r>
              <w:rPr>
                <w:rFonts w:hint="eastAsia" w:ascii="仿宋_GB2312" w:hAnsi="仿宋_GB2312" w:eastAsia="仿宋_GB2312" w:cs="仿宋_GB2312"/>
                <w:color w:val="auto"/>
                <w:sz w:val="24"/>
                <w:highlight w:val="none"/>
                <w:lang w:eastAsia="zh-CN"/>
              </w:rPr>
              <w:t>。</w:t>
            </w:r>
          </w:p>
        </w:tc>
        <w:tc>
          <w:tcPr>
            <w:tcW w:w="3120" w:type="dxa"/>
            <w:vAlign w:val="top"/>
          </w:tcPr>
          <w:p>
            <w:pPr>
              <w:overflowPunct w:val="0"/>
              <w:adjustRightInd w:val="0"/>
              <w:spacing w:line="360" w:lineRule="exact"/>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通过校企合作模式、实习导师制、实习日志与报告撰写等教学方法，让学生在真实的工作环境中锻炼技能，积累实践经验。</w:t>
            </w:r>
          </w:p>
        </w:tc>
      </w:tr>
      <w:bookmarkEnd w:id="93"/>
    </w:tbl>
    <w:p>
      <w:pPr>
        <w:keepNext w:val="0"/>
        <w:keepLines w:val="0"/>
        <w:pageBreakBefore w:val="0"/>
        <w:widowControl w:val="0"/>
        <w:kinsoku/>
        <w:wordWrap/>
        <w:topLinePunct w:val="0"/>
        <w:autoSpaceDE/>
        <w:autoSpaceDN/>
        <w:bidi w:val="0"/>
        <w:snapToGrid/>
        <w:spacing w:after="0" w:line="520"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（三）第二课堂</w:t>
      </w:r>
      <w:r>
        <w:rPr>
          <w:rFonts w:hint="eastAsia" w:ascii="楷体" w:hAnsi="楷体" w:eastAsia="楷体" w:cs="楷体"/>
          <w:color w:val="auto"/>
          <w:sz w:val="32"/>
          <w:szCs w:val="32"/>
          <w:highlight w:val="none"/>
          <w:lang w:val="en-US" w:eastAsia="zh-CN"/>
        </w:rPr>
        <w:t>素质教育课</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94" w:name="_Toc30426"/>
      <w:bookmarkStart w:id="95" w:name="_Toc11885"/>
      <w:r>
        <w:rPr>
          <w:rFonts w:hint="eastAsia" w:ascii="仿宋_GB2312" w:hAnsi="仿宋_GB2312" w:eastAsia="仿宋_GB2312" w:cs="仿宋_GB2312"/>
          <w:color w:val="auto"/>
          <w:sz w:val="32"/>
          <w:szCs w:val="32"/>
          <w:highlight w:val="none"/>
        </w:rPr>
        <w:t>第二课堂包括思想成长、社会实践与志愿服务、文艺体育、工作履历、科技学术和创新创业、专业技能特长等其他各类课程及活动。</w:t>
      </w:r>
      <w:bookmarkEnd w:id="94"/>
      <w:bookmarkEnd w:id="95"/>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highlight w:val="none"/>
          <w:lang w:val="en-US" w:eastAsia="zh-CN"/>
        </w:rPr>
      </w:pPr>
      <w:bookmarkStart w:id="96" w:name="_Toc19718"/>
      <w:bookmarkStart w:id="97" w:name="_Toc5343"/>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7 第二课堂素质教育课安排表</w:t>
      </w:r>
      <w:bookmarkEnd w:id="96"/>
      <w:bookmarkEnd w:id="97"/>
    </w:p>
    <w:tbl>
      <w:tblPr>
        <w:tblStyle w:val="10"/>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14"/>
        <w:gridCol w:w="939"/>
        <w:gridCol w:w="943"/>
        <w:gridCol w:w="990"/>
        <w:gridCol w:w="1678"/>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模块</w:t>
            </w:r>
          </w:p>
        </w:tc>
        <w:tc>
          <w:tcPr>
            <w:tcW w:w="3514"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内容</w:t>
            </w:r>
          </w:p>
        </w:tc>
        <w:tc>
          <w:tcPr>
            <w:tcW w:w="939"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性质</w:t>
            </w:r>
          </w:p>
        </w:tc>
        <w:tc>
          <w:tcPr>
            <w:tcW w:w="94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组织</w:t>
            </w:r>
          </w:p>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实施</w:t>
            </w:r>
          </w:p>
        </w:tc>
        <w:tc>
          <w:tcPr>
            <w:tcW w:w="99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认定者</w:t>
            </w:r>
          </w:p>
        </w:tc>
        <w:tc>
          <w:tcPr>
            <w:tcW w:w="1678"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计分标准</w:t>
            </w:r>
          </w:p>
        </w:tc>
        <w:tc>
          <w:tcPr>
            <w:tcW w:w="914"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思想成长</w:t>
            </w:r>
          </w:p>
        </w:tc>
        <w:tc>
          <w:tcPr>
            <w:tcW w:w="3514" w:type="dxa"/>
            <w:vAlign w:val="center"/>
          </w:tcPr>
          <w:p>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1.思想政治教育</w:t>
            </w:r>
            <w:r>
              <w:rPr>
                <w:rFonts w:hint="eastAsia" w:ascii="仿宋_GB2312" w:hAnsi="仿宋_GB2312" w:eastAsia="仿宋_GB2312" w:cs="仿宋_GB2312"/>
                <w:b w:val="0"/>
                <w:bCs w:val="0"/>
                <w:color w:val="000000"/>
                <w:sz w:val="24"/>
                <w:szCs w:val="24"/>
                <w:highlight w:val="none"/>
              </w:rPr>
              <w:t>主题</w:t>
            </w:r>
            <w:r>
              <w:rPr>
                <w:rFonts w:hint="eastAsia" w:ascii="仿宋_GB2312" w:hAnsi="仿宋_GB2312" w:eastAsia="仿宋_GB2312" w:cs="仿宋_GB2312"/>
                <w:b w:val="0"/>
                <w:bCs w:val="0"/>
                <w:color w:val="000000"/>
                <w:sz w:val="24"/>
                <w:szCs w:val="24"/>
                <w:highlight w:val="none"/>
                <w:lang w:val="en-US" w:eastAsia="zh-CN"/>
              </w:rPr>
              <w:t>讲</w:t>
            </w:r>
            <w:r>
              <w:rPr>
                <w:rFonts w:hint="eastAsia" w:ascii="仿宋_GB2312" w:hAnsi="仿宋_GB2312" w:eastAsia="仿宋_GB2312" w:cs="仿宋_GB2312"/>
                <w:b w:val="0"/>
                <w:bCs w:val="0"/>
                <w:color w:val="000000"/>
                <w:sz w:val="24"/>
                <w:szCs w:val="24"/>
                <w:highlight w:val="none"/>
              </w:rPr>
              <w:t>座、形势与政策报告会</w:t>
            </w:r>
          </w:p>
          <w:p>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2.</w:t>
            </w:r>
            <w:r>
              <w:rPr>
                <w:rFonts w:hint="eastAsia" w:ascii="仿宋_GB2312" w:hAnsi="仿宋_GB2312" w:eastAsia="仿宋_GB2312" w:cs="仿宋_GB2312"/>
                <w:b w:val="0"/>
                <w:bCs w:val="0"/>
                <w:color w:val="000000"/>
                <w:sz w:val="24"/>
                <w:szCs w:val="24"/>
                <w:highlight w:val="none"/>
              </w:rPr>
              <w:t>爱国主义教育活动</w:t>
            </w:r>
          </w:p>
          <w:p>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3.</w:t>
            </w:r>
            <w:r>
              <w:rPr>
                <w:rFonts w:hint="eastAsia" w:ascii="仿宋_GB2312" w:hAnsi="仿宋_GB2312" w:eastAsia="仿宋_GB2312" w:cs="仿宋_GB2312"/>
                <w:b w:val="0"/>
                <w:bCs w:val="0"/>
                <w:color w:val="000000"/>
                <w:sz w:val="24"/>
                <w:szCs w:val="24"/>
                <w:highlight w:val="none"/>
              </w:rPr>
              <w:t>党团组织生活</w:t>
            </w:r>
          </w:p>
          <w:p>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4.</w:t>
            </w:r>
            <w:r>
              <w:rPr>
                <w:rFonts w:hint="eastAsia" w:ascii="仿宋_GB2312" w:hAnsi="仿宋_GB2312" w:eastAsia="仿宋_GB2312" w:cs="仿宋_GB2312"/>
                <w:b w:val="0"/>
                <w:bCs w:val="0"/>
                <w:color w:val="000000"/>
                <w:sz w:val="24"/>
                <w:szCs w:val="24"/>
                <w:highlight w:val="none"/>
              </w:rPr>
              <w:t>党团培训</w:t>
            </w:r>
          </w:p>
          <w:p>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5.</w:t>
            </w:r>
            <w:r>
              <w:rPr>
                <w:rFonts w:hint="eastAsia" w:ascii="仿宋_GB2312" w:hAnsi="仿宋_GB2312" w:eastAsia="仿宋_GB2312" w:cs="仿宋_GB2312"/>
                <w:b w:val="0"/>
                <w:bCs w:val="0"/>
                <w:color w:val="000000"/>
                <w:sz w:val="24"/>
                <w:szCs w:val="24"/>
                <w:highlight w:val="none"/>
              </w:rPr>
              <w:t>青年大学习</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9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经济管理学院党支部、经济管理学院分团委、经济管理学院</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校团委</w:t>
            </w:r>
          </w:p>
        </w:tc>
        <w:tc>
          <w:tcPr>
            <w:tcW w:w="167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914"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rPr>
              <w:t>第二课堂成绩</w:t>
            </w:r>
            <w:r>
              <w:rPr>
                <w:rFonts w:hint="eastAsia" w:ascii="仿宋_GB2312" w:hAnsi="仿宋_GB2312" w:eastAsia="仿宋_GB2312" w:cs="仿宋_GB2312"/>
                <w:b w:val="0"/>
                <w:bCs w:val="0"/>
                <w:color w:val="000000"/>
                <w:sz w:val="24"/>
                <w:szCs w:val="24"/>
                <w:highlight w:val="none"/>
                <w:lang w:val="en-US" w:eastAsia="zh-CN"/>
              </w:rPr>
              <w:t>由</w:t>
            </w:r>
            <w:r>
              <w:rPr>
                <w:rFonts w:hint="eastAsia" w:ascii="仿宋_GB2312" w:hAnsi="仿宋_GB2312" w:eastAsia="仿宋_GB2312" w:cs="仿宋_GB2312"/>
                <w:b w:val="0"/>
                <w:bCs w:val="0"/>
                <w:color w:val="000000"/>
                <w:sz w:val="24"/>
                <w:szCs w:val="24"/>
                <w:highlight w:val="none"/>
              </w:rPr>
              <w:t>网络管理系统（到梦空间）实时记录，学生在大一、</w:t>
            </w:r>
            <w:r>
              <w:rPr>
                <w:rFonts w:hint="eastAsia" w:ascii="仿宋_GB2312" w:hAnsi="仿宋_GB2312" w:eastAsia="仿宋_GB2312" w:cs="仿宋_GB2312"/>
                <w:b w:val="0"/>
                <w:bCs w:val="0"/>
                <w:color w:val="000000"/>
                <w:sz w:val="24"/>
                <w:szCs w:val="24"/>
                <w:highlight w:val="none"/>
                <w:lang w:val="en-US" w:eastAsia="zh-CN"/>
              </w:rPr>
              <w:t>大</w:t>
            </w:r>
            <w:r>
              <w:rPr>
                <w:rFonts w:hint="eastAsia" w:ascii="仿宋_GB2312" w:hAnsi="仿宋_GB2312" w:eastAsia="仿宋_GB2312" w:cs="仿宋_GB2312"/>
                <w:b w:val="0"/>
                <w:bCs w:val="0"/>
                <w:color w:val="000000"/>
                <w:sz w:val="24"/>
                <w:szCs w:val="24"/>
                <w:highlight w:val="none"/>
              </w:rPr>
              <w:t>二期间</w:t>
            </w:r>
            <w:r>
              <w:rPr>
                <w:rFonts w:hint="eastAsia" w:ascii="仿宋_GB2312" w:hAnsi="仿宋_GB2312" w:eastAsia="仿宋_GB2312" w:cs="仿宋_GB2312"/>
                <w:b w:val="0"/>
                <w:bCs w:val="0"/>
                <w:color w:val="000000"/>
                <w:sz w:val="24"/>
                <w:szCs w:val="24"/>
                <w:highlight w:val="none"/>
                <w:lang w:val="en-US" w:eastAsia="zh-CN"/>
              </w:rPr>
              <w:t>积分达60分及以上，可获4</w:t>
            </w:r>
            <w:r>
              <w:rPr>
                <w:rFonts w:hint="eastAsia" w:ascii="仿宋_GB2312" w:hAnsi="仿宋_GB2312" w:eastAsia="仿宋_GB2312" w:cs="仿宋_GB2312"/>
                <w:b w:val="0"/>
                <w:bCs w:val="0"/>
                <w:color w:val="000000"/>
                <w:sz w:val="24"/>
                <w:szCs w:val="24"/>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实践</w:t>
            </w:r>
            <w:r>
              <w:rPr>
                <w:rFonts w:hint="eastAsia" w:ascii="仿宋_GB2312" w:hAnsi="仿宋_GB2312" w:eastAsia="仿宋_GB2312" w:cs="仿宋_GB2312"/>
                <w:color w:val="auto"/>
                <w:sz w:val="24"/>
                <w:szCs w:val="24"/>
                <w:highlight w:val="none"/>
                <w:lang w:val="en-US" w:eastAsia="zh-CN"/>
              </w:rPr>
              <w:t>实习</w:t>
            </w:r>
          </w:p>
        </w:tc>
        <w:tc>
          <w:tcPr>
            <w:tcW w:w="3514" w:type="dxa"/>
            <w:vAlign w:val="center"/>
          </w:tcPr>
          <w:p>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1.</w:t>
            </w:r>
            <w:r>
              <w:rPr>
                <w:rFonts w:hint="eastAsia" w:ascii="仿宋_GB2312" w:hAnsi="仿宋_GB2312" w:eastAsia="仿宋_GB2312" w:cs="仿宋_GB2312"/>
                <w:b w:val="0"/>
                <w:bCs w:val="0"/>
                <w:color w:val="000000"/>
                <w:sz w:val="24"/>
                <w:szCs w:val="24"/>
                <w:highlight w:val="none"/>
              </w:rPr>
              <w:t>暑期“三下乡”社会实践活动</w:t>
            </w:r>
            <w:r>
              <w:rPr>
                <w:rFonts w:hint="eastAsia" w:ascii="仿宋_GB2312" w:hAnsi="仿宋_GB2312" w:eastAsia="仿宋_GB2312" w:cs="仿宋_GB2312"/>
                <w:b w:val="0"/>
                <w:bCs w:val="0"/>
                <w:color w:val="000000"/>
                <w:sz w:val="24"/>
                <w:szCs w:val="24"/>
                <w:highlight w:val="none"/>
                <w:lang w:val="en-US" w:eastAsia="zh-CN"/>
              </w:rPr>
              <w:t>2.</w:t>
            </w:r>
            <w:r>
              <w:rPr>
                <w:rFonts w:hint="eastAsia" w:ascii="仿宋_GB2312" w:hAnsi="仿宋_GB2312" w:eastAsia="仿宋_GB2312" w:cs="仿宋_GB2312"/>
                <w:b w:val="0"/>
                <w:bCs w:val="0"/>
                <w:color w:val="000000"/>
                <w:sz w:val="24"/>
                <w:szCs w:val="24"/>
                <w:highlight w:val="none"/>
              </w:rPr>
              <w:t>寒暑假“返家乡”实践活动</w:t>
            </w:r>
          </w:p>
          <w:p>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3.</w:t>
            </w:r>
            <w:r>
              <w:rPr>
                <w:rFonts w:hint="eastAsia" w:ascii="仿宋_GB2312" w:hAnsi="仿宋_GB2312" w:eastAsia="仿宋_GB2312" w:cs="仿宋_GB2312"/>
                <w:b w:val="0"/>
                <w:bCs w:val="0"/>
                <w:color w:val="000000"/>
                <w:sz w:val="24"/>
                <w:szCs w:val="24"/>
                <w:highlight w:val="none"/>
              </w:rPr>
              <w:t>企业见习实践</w:t>
            </w:r>
          </w:p>
          <w:p>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4.</w:t>
            </w:r>
            <w:r>
              <w:rPr>
                <w:rFonts w:hint="eastAsia" w:ascii="仿宋_GB2312" w:hAnsi="仿宋_GB2312" w:eastAsia="仿宋_GB2312" w:cs="仿宋_GB2312"/>
                <w:b w:val="0"/>
                <w:bCs w:val="0"/>
                <w:color w:val="000000"/>
                <w:sz w:val="24"/>
                <w:szCs w:val="24"/>
                <w:highlight w:val="none"/>
              </w:rPr>
              <w:t>上级、校院交予专项工作项目实践活动含兼挂职锻炼</w:t>
            </w:r>
          </w:p>
          <w:p>
            <w:pPr>
              <w:keepNext w:val="0"/>
              <w:keepLines w:val="0"/>
              <w:pageBreakBefore w:val="0"/>
              <w:widowControl w:val="0"/>
              <w:numPr>
                <w:ilvl w:val="0"/>
                <w:numId w:val="0"/>
              </w:numPr>
              <w:kinsoku/>
              <w:wordWrap/>
              <w:topLinePunct w:val="0"/>
              <w:autoSpaceDE/>
              <w:autoSpaceDN/>
              <w:bidi w:val="0"/>
              <w:snapToGrid/>
              <w:spacing w:after="0" w:line="300" w:lineRule="exact"/>
              <w:ind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5.</w:t>
            </w:r>
            <w:r>
              <w:rPr>
                <w:rFonts w:hint="eastAsia" w:ascii="仿宋_GB2312" w:hAnsi="仿宋_GB2312" w:eastAsia="仿宋_GB2312" w:cs="仿宋_GB2312"/>
                <w:b w:val="0"/>
                <w:bCs w:val="0"/>
                <w:color w:val="000000"/>
                <w:sz w:val="24"/>
                <w:szCs w:val="24"/>
                <w:highlight w:val="none"/>
              </w:rPr>
              <w:t>新闻宣传报道被学校、学院采用或转发</w:t>
            </w:r>
          </w:p>
          <w:p>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7</w:t>
            </w:r>
            <w:r>
              <w:rPr>
                <w:rFonts w:hint="eastAsia" w:ascii="仿宋_GB2312" w:hAnsi="仿宋_GB2312" w:eastAsia="仿宋_GB2312" w:cs="仿宋_GB2312"/>
                <w:b w:val="0"/>
                <w:bCs w:val="0"/>
                <w:color w:val="000000"/>
                <w:sz w:val="24"/>
                <w:szCs w:val="24"/>
                <w:highlight w:val="none"/>
              </w:rPr>
              <w:t>.劳动精神、劳模精神、工匠精神专题教育</w:t>
            </w:r>
          </w:p>
          <w:p>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8.</w:t>
            </w:r>
            <w:r>
              <w:rPr>
                <w:rFonts w:hint="eastAsia" w:ascii="仿宋_GB2312" w:hAnsi="仿宋_GB2312" w:eastAsia="仿宋_GB2312" w:cs="仿宋_GB2312"/>
                <w:b w:val="0"/>
                <w:bCs w:val="0"/>
                <w:color w:val="000000"/>
                <w:sz w:val="24"/>
                <w:szCs w:val="24"/>
                <w:highlight w:val="none"/>
              </w:rPr>
              <w:t>实践活动的相关荣誉</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9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校团委、经济管理学院</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67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914"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创新创业</w:t>
            </w:r>
          </w:p>
        </w:tc>
        <w:tc>
          <w:tcPr>
            <w:tcW w:w="3514"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rPr>
              <w:t>发表文章、出版专著</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发明专利</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创新创业项目竞赛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创新创业项目培训</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创新创业课程、讲座</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rPr>
              <w:t>自主创业</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9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招生就业处、经济管理学院</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67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914"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6"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志愿公益</w:t>
            </w:r>
          </w:p>
        </w:tc>
        <w:tc>
          <w:tcPr>
            <w:tcW w:w="351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1.校级、学院、社团、班级等学生组织开展的志愿服务活动</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2.无偿献血活动</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3.捐献造血干细胞</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5.</w:t>
            </w:r>
            <w:r>
              <w:rPr>
                <w:rFonts w:hint="eastAsia" w:ascii="仿宋_GB2312" w:hAnsi="仿宋_GB2312" w:eastAsia="仿宋_GB2312" w:cs="仿宋_GB2312"/>
                <w:b w:val="0"/>
                <w:bCs w:val="0"/>
                <w:color w:val="000000"/>
                <w:sz w:val="24"/>
                <w:szCs w:val="24"/>
                <w:highlight w:val="none"/>
              </w:rPr>
              <w:t>公益劳动</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9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校团委、经济管理学院</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67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914"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rPr>
              <w:t>文体活动</w:t>
            </w:r>
          </w:p>
        </w:tc>
        <w:tc>
          <w:tcPr>
            <w:tcW w:w="351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1.文艺竞赛</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2.体育竞赛</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3.文艺演出</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4.体育活动</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color w:val="auto"/>
                <w:sz w:val="24"/>
                <w:szCs w:val="24"/>
                <w:highlight w:val="none"/>
                <w:lang w:val="en-US" w:eastAsia="zh-CN"/>
              </w:rPr>
              <w:t>5.文体讲座</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9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校团委、经济管理学院</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67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914"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工作履历</w:t>
            </w:r>
          </w:p>
        </w:tc>
        <w:tc>
          <w:tcPr>
            <w:tcW w:w="351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4.社会任职</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color w:val="auto"/>
                <w:sz w:val="24"/>
                <w:szCs w:val="24"/>
                <w:highlight w:val="none"/>
                <w:lang w:val="en-US" w:eastAsia="zh-CN"/>
              </w:rPr>
              <w:t>5.退伍军人</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9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学生工作处、校团委、经济管理学院</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67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914"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技能特长</w:t>
            </w:r>
          </w:p>
        </w:tc>
        <w:tc>
          <w:tcPr>
            <w:tcW w:w="351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1.职业资格证书</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2.职业技能证书</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4.从业人员上岗资格证</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5.技能比赛获奖</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9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继续教育学院、经济管理学院</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67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914"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其他</w:t>
            </w:r>
          </w:p>
        </w:tc>
        <w:tc>
          <w:tcPr>
            <w:tcW w:w="351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1.其他证书（社会职业类证书）</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2.校内各单位其他类型活动</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color w:val="auto"/>
                <w:sz w:val="24"/>
                <w:szCs w:val="24"/>
                <w:highlight w:val="none"/>
                <w:lang w:val="en-US" w:eastAsia="zh-CN"/>
              </w:rPr>
              <w:t>3.升旗仪式工作人员</w:t>
            </w:r>
          </w:p>
        </w:tc>
        <w:tc>
          <w:tcPr>
            <w:tcW w:w="93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94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经济管理学院</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67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914"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olor w:val="auto"/>
          <w:sz w:val="32"/>
          <w:szCs w:val="32"/>
          <w:highlight w:val="none"/>
        </w:rPr>
      </w:pPr>
      <w:bookmarkStart w:id="98" w:name="_Toc5709"/>
      <w:bookmarkStart w:id="99" w:name="_Toc16252"/>
      <w:r>
        <w:rPr>
          <w:rFonts w:hint="eastAsia" w:ascii="黑体" w:hAnsi="黑体" w:eastAsia="黑体"/>
          <w:color w:val="auto"/>
          <w:sz w:val="32"/>
          <w:szCs w:val="32"/>
          <w:highlight w:val="none"/>
          <w:lang w:val="en-US" w:eastAsia="zh-CN"/>
        </w:rPr>
        <w:t>八</w:t>
      </w:r>
      <w:r>
        <w:rPr>
          <w:rFonts w:ascii="黑体" w:hAnsi="黑体" w:eastAsia="黑体"/>
          <w:color w:val="auto"/>
          <w:sz w:val="32"/>
          <w:szCs w:val="32"/>
          <w:highlight w:val="none"/>
        </w:rPr>
        <w:t>、教学进程总体安排</w:t>
      </w:r>
      <w:bookmarkEnd w:id="98"/>
      <w:bookmarkEnd w:id="99"/>
    </w:p>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100" w:name="_Toc16287"/>
      <w:r>
        <w:rPr>
          <w:rFonts w:hint="eastAsia" w:ascii="楷体" w:hAnsi="楷体" w:eastAsia="楷体" w:cs="楷体"/>
          <w:color w:val="auto"/>
          <w:sz w:val="32"/>
          <w:szCs w:val="32"/>
          <w:highlight w:val="none"/>
        </w:rPr>
        <w:t>（一）教学环节分配表</w:t>
      </w:r>
      <w:bookmarkEnd w:id="100"/>
    </w:p>
    <w:p>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教学周数分配表每学期总周数合计应为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周，各学期教学周数应与教学计划进程表一致，军训、入学教育、考试环节、实习开展、毕业设计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社会实践及毕业教育</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学期合计周数</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rPr>
        <w:t>20周。</w:t>
      </w:r>
    </w:p>
    <w:p>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8 </w:t>
      </w:r>
      <w:r>
        <w:rPr>
          <w:rFonts w:hint="eastAsia" w:ascii="仿宋_GB2312" w:hAnsi="仿宋_GB2312" w:eastAsia="仿宋_GB2312" w:cs="仿宋_GB2312"/>
          <w:color w:val="auto"/>
          <w:sz w:val="32"/>
          <w:szCs w:val="32"/>
          <w:highlight w:val="none"/>
        </w:rPr>
        <w:t>教育活动时间分配表（单位：周）</w:t>
      </w:r>
    </w:p>
    <w:tbl>
      <w:tblPr>
        <w:tblStyle w:val="10"/>
        <w:tblW w:w="5411"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359"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highlight w:val="none"/>
              </w:rPr>
            </w:pPr>
          </w:p>
          <w:p>
            <w:pPr>
              <w:spacing w:after="0" w:line="240" w:lineRule="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项目</w:t>
            </w:r>
          </w:p>
          <w:p>
            <w:pPr>
              <w:spacing w:after="0" w:line="24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周数</w:t>
            </w: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内容</w:t>
            </w:r>
          </w:p>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周数</w:t>
            </w:r>
          </w:p>
          <w:p>
            <w:pPr>
              <w:spacing w:after="0" w:line="24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学年</w:t>
            </w:r>
          </w:p>
        </w:tc>
        <w:tc>
          <w:tcPr>
            <w:tcW w:w="1162"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一</w:t>
            </w:r>
          </w:p>
        </w:tc>
        <w:tc>
          <w:tcPr>
            <w:tcW w:w="1102"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二</w:t>
            </w:r>
          </w:p>
        </w:tc>
        <w:tc>
          <w:tcPr>
            <w:tcW w:w="1375"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359" w:type="pct"/>
            <w:vMerge w:val="continue"/>
          </w:tcPr>
          <w:p>
            <w:pPr>
              <w:spacing w:after="0" w:line="240" w:lineRule="auto"/>
              <w:rPr>
                <w:rFonts w:hint="eastAsia" w:ascii="仿宋_GB2312" w:hAnsi="仿宋_GB2312" w:eastAsia="仿宋_GB2312" w:cs="仿宋_GB2312"/>
                <w:sz w:val="24"/>
                <w:szCs w:val="24"/>
                <w:highlight w:val="none"/>
              </w:rPr>
            </w:pPr>
          </w:p>
        </w:tc>
        <w:tc>
          <w:tcPr>
            <w:tcW w:w="61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2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9"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课堂教学</w:t>
            </w:r>
          </w:p>
        </w:tc>
        <w:tc>
          <w:tcPr>
            <w:tcW w:w="611"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1-18</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824"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59"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考试</w:t>
            </w:r>
          </w:p>
        </w:tc>
        <w:tc>
          <w:tcPr>
            <w:tcW w:w="611"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19-20</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824"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59"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军训</w:t>
            </w:r>
          </w:p>
        </w:tc>
        <w:tc>
          <w:tcPr>
            <w:tcW w:w="611"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1-2</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824"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59"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入学教育</w:t>
            </w:r>
          </w:p>
        </w:tc>
        <w:tc>
          <w:tcPr>
            <w:tcW w:w="611"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3-8</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824"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59"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毕业设计</w:t>
            </w:r>
          </w:p>
        </w:tc>
        <w:tc>
          <w:tcPr>
            <w:tcW w:w="611"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824"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59"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岗位实习</w:t>
            </w:r>
          </w:p>
        </w:tc>
        <w:tc>
          <w:tcPr>
            <w:tcW w:w="611" w:type="pct"/>
            <w:vAlign w:val="center"/>
          </w:tcPr>
          <w:p>
            <w:pPr>
              <w:spacing w:after="0" w:line="240" w:lineRule="auto"/>
              <w:jc w:val="center"/>
              <w:rPr>
                <w:rFonts w:hint="eastAsia" w:ascii="仿宋_GB2312" w:hAnsi="仿宋_GB2312" w:eastAsia="仿宋_GB2312" w:cs="仿宋_GB2312"/>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82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59"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社会实践</w:t>
            </w:r>
          </w:p>
        </w:tc>
        <w:tc>
          <w:tcPr>
            <w:tcW w:w="611"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82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 w:hRule="atLeast"/>
        </w:trPr>
        <w:tc>
          <w:tcPr>
            <w:tcW w:w="1359"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毕业教育</w:t>
            </w:r>
          </w:p>
        </w:tc>
        <w:tc>
          <w:tcPr>
            <w:tcW w:w="611" w:type="pct"/>
            <w:vAlign w:val="center"/>
          </w:tcPr>
          <w:p>
            <w:pPr>
              <w:spacing w:after="0" w:line="240" w:lineRule="auto"/>
              <w:jc w:val="center"/>
              <w:rPr>
                <w:rFonts w:hint="eastAsia" w:ascii="仿宋_GB2312" w:hAnsi="仿宋_GB2312" w:eastAsia="仿宋_GB2312" w:cs="仿宋_GB2312"/>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p>
        </w:tc>
        <w:tc>
          <w:tcPr>
            <w:tcW w:w="82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59"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学期教学总周数</w:t>
            </w:r>
          </w:p>
        </w:tc>
        <w:tc>
          <w:tcPr>
            <w:tcW w:w="611"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51"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82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bCs/>
          <w:color w:val="auto"/>
          <w:sz w:val="32"/>
          <w:szCs w:val="32"/>
          <w:highlight w:val="none"/>
        </w:rPr>
      </w:pPr>
      <w:bookmarkStart w:id="101" w:name="_Toc17381"/>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bCs/>
          <w:color w:val="auto"/>
          <w:sz w:val="32"/>
          <w:szCs w:val="32"/>
          <w:highlight w:val="none"/>
        </w:rPr>
        <w:t>课程结构与学时、学分分配</w:t>
      </w:r>
      <w:bookmarkEnd w:id="101"/>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本专业教学总学时为</w:t>
      </w:r>
      <w:r>
        <w:rPr>
          <w:rFonts w:hint="eastAsia" w:ascii="仿宋_GB2312" w:hAnsi="仿宋_GB2312" w:eastAsia="仿宋_GB2312" w:cs="仿宋_GB2312"/>
          <w:bCs/>
          <w:color w:val="auto"/>
          <w:sz w:val="32"/>
          <w:szCs w:val="32"/>
          <w:highlight w:val="none"/>
          <w:lang w:val="en-US" w:eastAsia="zh-CN"/>
        </w:rPr>
        <w:t>2716</w:t>
      </w:r>
      <w:r>
        <w:rPr>
          <w:rFonts w:hint="eastAsia" w:ascii="仿宋_GB2312" w:hAnsi="仿宋_GB2312" w:eastAsia="仿宋_GB2312" w:cs="仿宋_GB2312"/>
          <w:bCs/>
          <w:color w:val="auto"/>
          <w:sz w:val="32"/>
          <w:szCs w:val="32"/>
          <w:highlight w:val="none"/>
        </w:rPr>
        <w:t>学时。其中理论教学</w:t>
      </w:r>
      <w:r>
        <w:rPr>
          <w:rFonts w:hint="eastAsia" w:ascii="仿宋_GB2312" w:hAnsi="仿宋_GB2312" w:eastAsia="仿宋_GB2312" w:cs="仿宋_GB2312"/>
          <w:color w:val="auto"/>
          <w:spacing w:val="-2"/>
          <w:sz w:val="32"/>
          <w:szCs w:val="32"/>
          <w:highlight w:val="none"/>
          <w:lang w:val="en-US" w:eastAsia="zh-CN"/>
        </w:rPr>
        <w:t>1294</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47.64</w:t>
      </w:r>
      <w:r>
        <w:rPr>
          <w:rFonts w:hint="eastAsia" w:ascii="仿宋_GB2312" w:hAnsi="仿宋_GB2312" w:eastAsia="仿宋_GB2312" w:cs="仿宋_GB2312"/>
          <w:bCs/>
          <w:color w:val="auto"/>
          <w:sz w:val="32"/>
          <w:szCs w:val="32"/>
          <w:highlight w:val="none"/>
        </w:rPr>
        <w:t>%；实践教学</w:t>
      </w:r>
      <w:r>
        <w:rPr>
          <w:rFonts w:hint="eastAsia" w:ascii="仿宋_GB2312" w:hAnsi="仿宋_GB2312" w:eastAsia="仿宋_GB2312" w:cs="仿宋_GB2312"/>
          <w:bCs/>
          <w:color w:val="auto"/>
          <w:sz w:val="32"/>
          <w:szCs w:val="32"/>
          <w:highlight w:val="none"/>
          <w:lang w:val="en-US" w:eastAsia="zh-CN"/>
        </w:rPr>
        <w:t>1422</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52.36</w:t>
      </w:r>
      <w:r>
        <w:rPr>
          <w:rFonts w:hint="eastAsia" w:ascii="仿宋_GB2312" w:hAnsi="仿宋_GB2312" w:eastAsia="仿宋_GB2312" w:cs="仿宋_GB2312"/>
          <w:bCs/>
          <w:color w:val="auto"/>
          <w:sz w:val="32"/>
          <w:szCs w:val="32"/>
          <w:highlight w:val="none"/>
        </w:rPr>
        <w:t>%，其中岗位</w:t>
      </w:r>
      <w:r>
        <w:rPr>
          <w:rFonts w:hint="eastAsia" w:ascii="仿宋_GB2312" w:hAnsi="仿宋_GB2312" w:eastAsia="仿宋_GB2312" w:cs="仿宋_GB2312"/>
          <w:color w:val="auto"/>
          <w:spacing w:val="-2"/>
          <w:sz w:val="32"/>
          <w:szCs w:val="32"/>
          <w:highlight w:val="none"/>
          <w:lang w:val="en-US" w:eastAsia="zh-CN"/>
        </w:rPr>
        <w:t>实习时间累计一般为6个月。</w:t>
      </w:r>
      <w:r>
        <w:rPr>
          <w:rFonts w:hint="eastAsia" w:ascii="仿宋_GB2312" w:hAnsi="仿宋_GB2312" w:eastAsia="仿宋_GB2312" w:cs="仿宋_GB2312"/>
          <w:bCs/>
          <w:color w:val="auto"/>
          <w:sz w:val="32"/>
          <w:szCs w:val="32"/>
          <w:highlight w:val="none"/>
        </w:rPr>
        <w:t>公共基础课</w:t>
      </w:r>
      <w:r>
        <w:rPr>
          <w:rFonts w:hint="eastAsia" w:ascii="仿宋_GB2312" w:hAnsi="仿宋_GB2312" w:eastAsia="仿宋_GB2312" w:cs="仿宋_GB2312"/>
          <w:bCs/>
          <w:color w:val="auto"/>
          <w:sz w:val="32"/>
          <w:szCs w:val="32"/>
          <w:highlight w:val="none"/>
          <w:lang w:val="en-US" w:eastAsia="zh-CN"/>
        </w:rPr>
        <w:t>954</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bCs/>
          <w:color w:val="auto"/>
          <w:sz w:val="32"/>
          <w:szCs w:val="32"/>
          <w:highlight w:val="none"/>
          <w:lang w:val="en-US" w:eastAsia="zh-CN"/>
        </w:rPr>
        <w:t>35.13</w:t>
      </w:r>
      <w:r>
        <w:rPr>
          <w:rFonts w:hint="eastAsia" w:ascii="仿宋_GB2312" w:hAnsi="仿宋_GB2312" w:eastAsia="仿宋_GB2312" w:cs="仿宋_GB2312"/>
          <w:bCs/>
          <w:color w:val="auto"/>
          <w:sz w:val="32"/>
          <w:szCs w:val="32"/>
          <w:highlight w:val="none"/>
        </w:rPr>
        <w:t>%；选修课</w:t>
      </w:r>
      <w:r>
        <w:rPr>
          <w:rFonts w:hint="eastAsia" w:ascii="仿宋_GB2312" w:hAnsi="仿宋_GB2312" w:eastAsia="仿宋_GB2312" w:cs="仿宋_GB2312"/>
          <w:color w:val="auto"/>
          <w:spacing w:val="-2"/>
          <w:sz w:val="32"/>
          <w:szCs w:val="32"/>
          <w:highlight w:val="none"/>
          <w:lang w:val="en-US" w:eastAsia="zh-CN"/>
        </w:rPr>
        <w:t>272</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10.01</w:t>
      </w:r>
      <w:r>
        <w:rPr>
          <w:rFonts w:hint="eastAsia" w:ascii="仿宋_GB2312" w:hAnsi="仿宋_GB2312" w:eastAsia="仿宋_GB2312" w:cs="仿宋_GB2312"/>
          <w:bCs/>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9 </w:t>
      </w:r>
      <w:r>
        <w:rPr>
          <w:rFonts w:hint="eastAsia" w:ascii="仿宋_GB2312" w:hAnsi="仿宋_GB2312" w:eastAsia="仿宋_GB2312" w:cs="仿宋_GB2312"/>
          <w:color w:val="auto"/>
          <w:spacing w:val="-2"/>
          <w:sz w:val="32"/>
          <w:szCs w:val="32"/>
          <w:highlight w:val="none"/>
        </w:rPr>
        <w:t>课程学时、学分分配表</w:t>
      </w:r>
    </w:p>
    <w:tbl>
      <w:tblPr>
        <w:tblStyle w:val="9"/>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3"/>
        <w:gridCol w:w="1628"/>
        <w:gridCol w:w="1280"/>
        <w:gridCol w:w="718"/>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课程类别</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公共基础课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29.93%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16.42%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 w:val="24"/>
                <w:szCs w:val="24"/>
                <w:highlight w:val="none"/>
                <w:lang w:val="en-US" w:eastAsia="zh-CN"/>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 w:val="24"/>
                <w:szCs w:val="24"/>
                <w:highlight w:val="none"/>
                <w:lang w:val="en-US" w:eastAsia="zh-CN"/>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35.37%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19.37%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专业课</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专业基础课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21.77%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530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394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14.51%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 w:val="24"/>
                <w:szCs w:val="24"/>
                <w:highlight w:val="none"/>
                <w:lang w:val="en-US" w:eastAsia="zh-CN"/>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专业核心课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21.77%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10.38%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 w:val="24"/>
                <w:szCs w:val="24"/>
                <w:highlight w:val="none"/>
                <w:lang w:val="en-US" w:eastAsia="zh-CN"/>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专业拓展课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highlight w:val="none"/>
              </w:rPr>
            </w:pPr>
            <w:r>
              <w:rPr>
                <w:rFonts w:hint="eastAsia" w:ascii="仿宋_GB2312" w:hAnsi="仿宋_GB2312" w:eastAsia="仿宋_GB2312" w:cs="仿宋_GB2312"/>
                <w:i w:val="0"/>
                <w:iCs w:val="0"/>
                <w:color w:val="000000"/>
                <w:sz w:val="20"/>
                <w:szCs w:val="20"/>
                <w:highlight w:val="none"/>
                <w:u w:val="none"/>
              </w:rPr>
              <w:t>实践</w:t>
            </w:r>
            <w:r>
              <w:rPr>
                <w:rFonts w:hint="eastAsia" w:ascii="仿宋_GB2312" w:hAnsi="仿宋_GB2312" w:eastAsia="仿宋_GB2312" w:cs="仿宋_GB2312"/>
                <w:i w:val="0"/>
                <w:iCs w:val="0"/>
                <w:color w:val="000000"/>
                <w:sz w:val="20"/>
                <w:szCs w:val="20"/>
                <w:highlight w:val="none"/>
                <w:u w:val="none"/>
                <w:lang w:val="en-US" w:eastAsia="zh-CN"/>
              </w:rPr>
              <w:t>性</w:t>
            </w:r>
            <w:r>
              <w:rPr>
                <w:rFonts w:hint="eastAsia" w:ascii="仿宋_GB2312" w:hAnsi="仿宋_GB2312" w:eastAsia="仿宋_GB2312" w:cs="仿宋_GB2312"/>
                <w:i w:val="0"/>
                <w:iCs w:val="0"/>
                <w:color w:val="000000"/>
                <w:sz w:val="20"/>
                <w:szCs w:val="20"/>
                <w:highlight w:val="none"/>
                <w:u w:val="none"/>
              </w:rPr>
              <w:t>教学环节</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15.65%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p>
        </w:tc>
        <w:tc>
          <w:tcPr>
            <w:tcW w:w="2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64.63%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1762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768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28.28%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994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147</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2716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1294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47.64%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1422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52.36%</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102" w:name="_Toc13139"/>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教学计划进程</w:t>
      </w:r>
      <w:bookmarkEnd w:id="102"/>
    </w:p>
    <w:p>
      <w:pPr>
        <w:pStyle w:val="8"/>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10 </w:t>
      </w:r>
      <w:r>
        <w:rPr>
          <w:rFonts w:hint="eastAsia" w:ascii="仿宋_GB2312" w:hAnsi="仿宋_GB2312" w:eastAsia="仿宋_GB2312" w:cs="仿宋_GB2312"/>
          <w:color w:val="auto"/>
          <w:sz w:val="32"/>
          <w:szCs w:val="32"/>
          <w:highlight w:val="none"/>
          <w:shd w:val="clear" w:color="auto" w:fill="FFFFFF"/>
          <w:lang w:bidi="ar"/>
        </w:rPr>
        <w:t>教学计划进程安排表</w:t>
      </w:r>
    </w:p>
    <w:tbl>
      <w:tblPr>
        <w:tblStyle w:val="9"/>
        <w:tblW w:w="584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3"/>
        <w:gridCol w:w="383"/>
        <w:gridCol w:w="481"/>
        <w:gridCol w:w="550"/>
        <w:gridCol w:w="1567"/>
        <w:gridCol w:w="1628"/>
        <w:gridCol w:w="754"/>
        <w:gridCol w:w="770"/>
        <w:gridCol w:w="750"/>
        <w:gridCol w:w="728"/>
        <w:gridCol w:w="357"/>
        <w:gridCol w:w="354"/>
        <w:gridCol w:w="354"/>
        <w:gridCol w:w="263"/>
        <w:gridCol w:w="540"/>
        <w:gridCol w:w="407"/>
        <w:gridCol w:w="6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18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bookmarkStart w:id="103" w:name="OLE_LINK3"/>
            <w:r>
              <w:rPr>
                <w:rFonts w:hint="eastAsia" w:ascii="仿宋_GB2312" w:hAnsi="仿宋_GB2312" w:eastAsia="仿宋_GB2312" w:cs="仿宋_GB2312"/>
                <w:sz w:val="20"/>
                <w:szCs w:val="20"/>
                <w:highlight w:val="none"/>
                <w:lang w:val="en-US" w:eastAsia="zh-CN"/>
              </w:rPr>
              <w:t>课程类型</w:t>
            </w:r>
          </w:p>
        </w:tc>
        <w:tc>
          <w:tcPr>
            <w:tcW w:w="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序号</w:t>
            </w:r>
          </w:p>
        </w:tc>
        <w:tc>
          <w:tcPr>
            <w:tcW w:w="1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课程代码</w:t>
            </w:r>
          </w:p>
        </w:tc>
        <w:tc>
          <w:tcPr>
            <w:tcW w:w="16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课程名称</w:t>
            </w:r>
          </w:p>
        </w:tc>
        <w:tc>
          <w:tcPr>
            <w:tcW w:w="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学分</w:t>
            </w:r>
          </w:p>
        </w:tc>
        <w:tc>
          <w:tcPr>
            <w:tcW w:w="22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教学学时数</w:t>
            </w:r>
          </w:p>
        </w:tc>
        <w:tc>
          <w:tcPr>
            <w:tcW w:w="227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开课学期和周学时</w:t>
            </w:r>
          </w:p>
        </w:tc>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考核类型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8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1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2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2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jc w:val="center"/>
        </w:trPr>
        <w:tc>
          <w:tcPr>
            <w:tcW w:w="118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1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合计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理论学时</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实践学时</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一</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二</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三</w:t>
            </w: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四</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五</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六</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7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公共基础课</w:t>
            </w:r>
          </w:p>
        </w:tc>
        <w:tc>
          <w:tcPr>
            <w:tcW w:w="4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必修</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1B410101101</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思想道德与法治</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1A410101102</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形势与政策</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1到4学期开课，每学期8学时。</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1A410101103</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国家安全教育</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1A410101104</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军事理论</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1C410101105</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军训</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112</w:t>
            </w:r>
          </w:p>
        </w:tc>
        <w:tc>
          <w:tcPr>
            <w:tcW w:w="22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第1学期，实际训练时间不少于14天</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1B410101106</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计算机基础</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1B410101107</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高等数学</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1B410101108</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大学英语</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104</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1C410101109</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大学体育</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144</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1B410101110</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大学生职业发展与就业指导</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26</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1B410101111</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大学生心理健康教育</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1C410101112</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劳动教育</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nil"/>
              <w:left w:val="nil"/>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13</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1B410101113</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毛泽东思想和中国特色社会主义理论体系概论</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28</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26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1B410101114</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创新创业</w:t>
            </w: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教育</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auto" w:sz="4" w:space="0"/>
              <w:left w:val="single" w:color="auto" w:sz="4" w:space="0"/>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4"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15</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1B410101115</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习近平新时代中国特色社会主义思想概论</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40</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选修</w:t>
            </w:r>
          </w:p>
        </w:tc>
        <w:tc>
          <w:tcPr>
            <w:tcW w:w="5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1B410101201</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中国民俗剪纸技法</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2275" w:type="dxa"/>
            <w:gridSpan w:val="6"/>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公共选修课最低学分要求为8学分，其中要求2个学分为思政选修课学分。</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1B410101202</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影视与鉴赏</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2275"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1A410101203</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中华优秀传统文化</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75"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1A410101204</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中国共产党简史</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75"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1A410101205</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改革开放简史</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75"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1A410101206</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中华人民共和国简史</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75"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1A410101207</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社会主义发展简史</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75"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1A410101208</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中华民族共同体概论</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75" w:type="dxa"/>
            <w:gridSpan w:val="6"/>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1A410101210</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语文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75" w:type="dxa"/>
            <w:gridSpan w:val="6"/>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2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公共必修课程学分、学时小计</w:t>
            </w:r>
          </w:p>
        </w:tc>
        <w:tc>
          <w:tcPr>
            <w:tcW w:w="75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44</w:t>
            </w:r>
          </w:p>
        </w:tc>
        <w:tc>
          <w:tcPr>
            <w:tcW w:w="77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826</w:t>
            </w:r>
          </w:p>
        </w:tc>
        <w:tc>
          <w:tcPr>
            <w:tcW w:w="7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446</w:t>
            </w:r>
          </w:p>
        </w:tc>
        <w:tc>
          <w:tcPr>
            <w:tcW w:w="72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380</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2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公共必修课程学分、学时占比</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29.93%</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30.41%</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16.42%</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13.99%</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22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公共选修课程学分、学时小计</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77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80</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22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公共选修课程学分、学时占比</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5.44%</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4.71%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2.95%</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1.77%</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 w:hRule="atLeast"/>
          <w:jc w:val="center"/>
        </w:trPr>
        <w:tc>
          <w:tcPr>
            <w:tcW w:w="323"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专业课</w:t>
            </w:r>
          </w:p>
        </w:tc>
        <w:tc>
          <w:tcPr>
            <w:tcW w:w="383"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专业基础课</w:t>
            </w:r>
          </w:p>
        </w:tc>
        <w:tc>
          <w:tcPr>
            <w:tcW w:w="481"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必修</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5A530302303</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经济学原理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5A530302302</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经济法基础</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5A530302301</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会计基础</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98</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5A530302304</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企业管理基础</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5B530302306</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出纳业务操作</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5B530302305</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大数据技术应用基础</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5B530302307</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统计基础</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5B530302308</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财务机器人应用与开发</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5B530302309</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习近平经济思想概论</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28</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专业核心课</w:t>
            </w:r>
          </w:p>
        </w:tc>
        <w:tc>
          <w:tcPr>
            <w:tcW w:w="48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必修</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5B530302401</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大数据技术在财务中的应用</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5B530302402</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企业财务会计</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5B530302403</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智能化成本核算与管理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5B530302404</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智慧化税费申报与管理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5B530302404</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企业内部控制</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5B530302406</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会计信息系统应用</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60</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5A530302407</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管理会计实务</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5B530302408</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财务大数据分析</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专业拓展课</w:t>
            </w:r>
          </w:p>
        </w:tc>
        <w:tc>
          <w:tcPr>
            <w:tcW w:w="48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选修</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5B530302501</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财政金融基础</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专业拓展课最低学分要求为8学分。</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5B530302502</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Excel在会计中的应用</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5B530302503</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中国会计文化</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5B530302504</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审计基础与实务</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5B530302505</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行业会计比较</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5B530302506</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会计制度设计</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5B530302507</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市场营销</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5B530302508</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企业财务管理</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5B530302509</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财经法规与会计职业道德</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5B530302510</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管理学</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auto"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5B530302511</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电子商务</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275" w:type="dxa"/>
            <w:gridSpan w:val="6"/>
            <w:vMerge w:val="continue"/>
            <w:tcBorders>
              <w:left w:val="single" w:color="000000" w:sz="4" w:space="0"/>
              <w:bottom w:val="nil"/>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4"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实践性教学环节</w:t>
            </w:r>
          </w:p>
        </w:tc>
        <w:tc>
          <w:tcPr>
            <w:tcW w:w="481"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必修</w:t>
            </w:r>
          </w:p>
        </w:tc>
        <w:tc>
          <w:tcPr>
            <w:tcW w:w="55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56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1B410101601</w:t>
            </w:r>
          </w:p>
        </w:tc>
        <w:tc>
          <w:tcPr>
            <w:tcW w:w="162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毕业设计</w:t>
            </w:r>
          </w:p>
        </w:tc>
        <w:tc>
          <w:tcPr>
            <w:tcW w:w="7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77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80</w:t>
            </w:r>
          </w:p>
        </w:tc>
        <w:tc>
          <w:tcPr>
            <w:tcW w:w="75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w:t>
            </w:r>
          </w:p>
        </w:tc>
        <w:tc>
          <w:tcPr>
            <w:tcW w:w="72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60</w:t>
            </w:r>
          </w:p>
        </w:tc>
        <w:tc>
          <w:tcPr>
            <w:tcW w:w="35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w:t>
            </w:r>
          </w:p>
        </w:tc>
        <w:tc>
          <w:tcPr>
            <w:tcW w:w="40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83"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1C410101602</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岗位实习</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432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432</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pacing w:val="-11"/>
                <w:sz w:val="20"/>
                <w:szCs w:val="20"/>
                <w:highlight w:val="none"/>
                <w:lang w:val="en-US" w:eastAsia="zh-CN"/>
              </w:rPr>
            </w:pPr>
            <w:r>
              <w:rPr>
                <w:rFonts w:hint="eastAsia" w:ascii="仿宋_GB2312" w:hAnsi="仿宋_GB2312" w:eastAsia="仿宋_GB2312" w:cs="仿宋_GB2312"/>
                <w:spacing w:val="-11"/>
                <w:sz w:val="20"/>
                <w:szCs w:val="20"/>
                <w:highlight w:val="none"/>
                <w:lang w:val="en-US" w:eastAsia="zh-CN"/>
              </w:rPr>
              <w:t>专业必修课程学分、学时小计</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87</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1618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696</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922</w:t>
            </w:r>
          </w:p>
        </w:tc>
        <w:tc>
          <w:tcPr>
            <w:tcW w:w="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pacing w:val="-11"/>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jc w:val="center"/>
        </w:trPr>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专业必修课程学分、学时占比</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59.18%</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59.57%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25.63%</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33.95%</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专业拓展课程学分、学时小计</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专业拓展课程学分、学时占比</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5.44%</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5.30%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2.65%</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2.65%</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 w:hRule="atLeast"/>
          <w:jc w:val="center"/>
        </w:trPr>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总学分、学时合计</w:t>
            </w:r>
          </w:p>
        </w:tc>
        <w:tc>
          <w:tcPr>
            <w:tcW w:w="75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147</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2716</w:t>
            </w:r>
          </w:p>
        </w:tc>
        <w:tc>
          <w:tcPr>
            <w:tcW w:w="7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1294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1422</w:t>
            </w:r>
          </w:p>
        </w:tc>
        <w:tc>
          <w:tcPr>
            <w:tcW w:w="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0"/>
                <w:szCs w:val="20"/>
                <w:highlight w:val="none"/>
                <w:lang w:val="en-US" w:eastAsia="zh-CN"/>
              </w:rPr>
            </w:pPr>
          </w:p>
        </w:tc>
      </w:tr>
      <w:bookmarkEnd w:id="103"/>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黑体" w:hAnsi="黑体" w:eastAsia="黑体" w:cs="黑体"/>
          <w:color w:val="auto"/>
          <w:sz w:val="32"/>
          <w:szCs w:val="32"/>
          <w:highlight w:val="none"/>
          <w:lang w:val="en-US" w:eastAsia="zh-CN"/>
        </w:rPr>
      </w:pPr>
      <w:bookmarkStart w:id="104" w:name="_Toc26060"/>
      <w:bookmarkStart w:id="105" w:name="_Toc14711"/>
      <w:r>
        <w:rPr>
          <w:rFonts w:hint="eastAsia" w:ascii="黑体" w:hAnsi="黑体" w:eastAsia="黑体" w:cs="黑体"/>
          <w:color w:val="auto"/>
          <w:sz w:val="32"/>
          <w:szCs w:val="32"/>
          <w:highlight w:val="none"/>
          <w:lang w:val="en-US" w:eastAsia="zh-CN"/>
        </w:rPr>
        <w:t>九</w:t>
      </w:r>
      <w:r>
        <w:rPr>
          <w:rFonts w:hint="eastAsia" w:ascii="黑体" w:hAnsi="黑体" w:eastAsia="黑体" w:cs="黑体"/>
          <w:color w:val="auto"/>
          <w:sz w:val="32"/>
          <w:szCs w:val="32"/>
          <w:highlight w:val="none"/>
        </w:rPr>
        <w:t>、</w:t>
      </w:r>
      <w:r>
        <w:rPr>
          <w:rFonts w:hint="eastAsia" w:ascii="黑体" w:hAnsi="黑体" w:eastAsia="黑体" w:cs="黑体"/>
          <w:color w:val="auto"/>
          <w:sz w:val="32"/>
          <w:szCs w:val="32"/>
          <w:highlight w:val="none"/>
          <w:lang w:val="en-US" w:eastAsia="zh-CN"/>
        </w:rPr>
        <w:t>师资队伍</w:t>
      </w:r>
      <w:bookmarkEnd w:id="104"/>
      <w:bookmarkEnd w:id="105"/>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firstLine="640" w:firstLineChars="200"/>
        <w:textAlignment w:val="auto"/>
        <w:rPr>
          <w:rFonts w:hint="default"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队伍结构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大数据与会计专业的学生数与本专业专任教师数比例不高于25∶1，“双师型”教师占专业课教师数比例一般不低于60%，高级职称专任教师的比例不低于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能够整合校内外优质人才资源，选聘企业高级技术人员担任行业导师，组建校企合作、专兼结合的教师团队，建立定期开展专业（学科）教研机制。</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专业带头人</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00" w:lineRule="exact"/>
        <w:ind w:firstLine="640" w:firstLineChars="200"/>
        <w:textAlignment w:val="auto"/>
        <w:rPr>
          <w:rFonts w:ascii="Segoe UI" w:hAnsi="Segoe UI" w:eastAsia="Segoe UI" w:cs="Segoe UI"/>
          <w:i w:val="0"/>
          <w:iCs w:val="0"/>
          <w:caps w:val="0"/>
          <w:spacing w:val="0"/>
          <w:sz w:val="19"/>
          <w:szCs w:val="19"/>
          <w:highlight w:val="none"/>
          <w:shd w:val="clear" w:fill="F9FAFB"/>
        </w:rPr>
      </w:pPr>
      <w:r>
        <w:rPr>
          <w:rFonts w:hint="eastAsia" w:ascii="仿宋_GB2312" w:hAnsi="仿宋_GB2312" w:eastAsia="仿宋_GB2312" w:cs="仿宋_GB2312"/>
          <w:color w:val="auto"/>
          <w:sz w:val="32"/>
          <w:szCs w:val="32"/>
          <w:highlight w:val="none"/>
        </w:rPr>
        <w:t>专业带头人原则上应具有本专业及相关专业副高及以上职称和较强的实践能力，能够较好地把握国内外会计、审计、税务服务行业、专业发展，能广泛联系行业企业，了解行业企业对本专业人才的需求实际，主持专业建设、开展教育教学改革、教科研工作和社会服务能力强，在本专业改革发展中起引领作用。</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00" w:lineRule="exact"/>
        <w:ind w:left="0" w:leftChars="0" w:firstLine="640" w:firstLineChars="200"/>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val="en-US" w:eastAsia="zh-CN"/>
        </w:rPr>
        <w:t>专任教师</w:t>
      </w:r>
      <w:r>
        <w:rPr>
          <w:rFonts w:hint="eastAsia" w:ascii="楷体" w:hAnsi="楷体" w:eastAsia="楷体" w:cs="楷体"/>
          <w:color w:val="auto"/>
          <w:sz w:val="32"/>
          <w:szCs w:val="32"/>
          <w:highlight w:val="none"/>
        </w:rPr>
        <w:br w:type="textWrapping"/>
      </w:r>
      <w:r>
        <w:rPr>
          <w:rFonts w:hint="eastAsia" w:ascii="楷体" w:hAnsi="楷体" w:eastAsia="楷体" w:cs="楷体"/>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本专业专任教师</w:t>
      </w:r>
      <w:r>
        <w:rPr>
          <w:rFonts w:hint="eastAsia" w:ascii="仿宋_GB2312" w:hAnsi="仿宋_GB2312" w:eastAsia="仿宋_GB2312" w:cs="仿宋_GB2312"/>
          <w:color w:val="auto"/>
          <w:sz w:val="32"/>
          <w:szCs w:val="32"/>
          <w:highlight w:val="none"/>
        </w:rPr>
        <w:t>具有高校教师资格；具有会计学、审计学、财务管理、财务会计教育、大数据与会计、大数据与财务管理、大数据与审计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00" w:lineRule="exact"/>
        <w:ind w:leftChars="200"/>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val="en-US" w:eastAsia="zh-CN"/>
        </w:rPr>
        <w:t>（四）兼职教师</w:t>
      </w:r>
    </w:p>
    <w:p>
      <w:pPr>
        <w:keepNext w:val="0"/>
        <w:keepLines w:val="0"/>
        <w:pageBreakBefore w:val="0"/>
        <w:widowControl w:val="0"/>
        <w:kinsoku/>
        <w:wordWrap/>
        <w:overflowPunct w:val="0"/>
        <w:topLinePunct w:val="0"/>
        <w:autoSpaceDE/>
        <w:autoSpaceDN/>
        <w:bidi w:val="0"/>
        <w:adjustRightInd w:val="0"/>
        <w:snapToGrid/>
        <w:spacing w:after="0" w:line="5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兼职教师</w:t>
      </w:r>
      <w:r>
        <w:rPr>
          <w:rFonts w:hint="eastAsia" w:ascii="仿宋_GB2312" w:hAnsi="仿宋_GB2312" w:eastAsia="仿宋_GB2312" w:cs="仿宋_GB2312"/>
          <w:color w:val="auto"/>
          <w:sz w:val="32"/>
          <w:szCs w:val="32"/>
          <w:highlight w:val="none"/>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highlight w:val="none"/>
        </w:rPr>
      </w:pPr>
      <w:bookmarkStart w:id="106" w:name="_Toc13207"/>
      <w:bookmarkStart w:id="107" w:name="_Toc3633"/>
      <w:r>
        <w:rPr>
          <w:rFonts w:hint="eastAsia" w:ascii="黑体" w:hAnsi="黑体" w:eastAsia="黑体" w:cs="黑体"/>
          <w:color w:val="auto"/>
          <w:sz w:val="32"/>
          <w:szCs w:val="32"/>
          <w:highlight w:val="none"/>
          <w:lang w:val="en-US" w:eastAsia="zh-CN"/>
        </w:rPr>
        <w:t>十、教学条件</w:t>
      </w:r>
      <w:bookmarkEnd w:id="106"/>
      <w:bookmarkEnd w:id="10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108" w:name="_Toc27973"/>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一</w:t>
      </w:r>
      <w:r>
        <w:rPr>
          <w:rFonts w:hint="eastAsia" w:ascii="楷体" w:hAnsi="楷体" w:eastAsia="楷体" w:cs="楷体"/>
          <w:color w:val="auto"/>
          <w:sz w:val="32"/>
          <w:szCs w:val="32"/>
          <w:highlight w:val="none"/>
        </w:rPr>
        <w:t>）教学设施</w:t>
      </w:r>
      <w:bookmarkEnd w:id="10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kern w:val="0"/>
          <w:sz w:val="32"/>
          <w:szCs w:val="32"/>
          <w:highlight w:val="none"/>
        </w:rPr>
        <w:t>校内实训资源列表</w:t>
      </w:r>
    </w:p>
    <w:tbl>
      <w:tblPr>
        <w:tblStyle w:val="1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
        <w:gridCol w:w="1470"/>
        <w:gridCol w:w="1499"/>
        <w:gridCol w:w="3151"/>
        <w:gridCol w:w="1695"/>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实验实训室名称</w:t>
            </w: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实训适用</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w:t>
            </w:r>
          </w:p>
        </w:tc>
        <w:tc>
          <w:tcPr>
            <w:tcW w:w="315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w:t>
            </w:r>
          </w:p>
        </w:tc>
        <w:tc>
          <w:tcPr>
            <w:tcW w:w="169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主要设备名称</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及配置数量</w:t>
            </w:r>
          </w:p>
        </w:tc>
        <w:tc>
          <w:tcPr>
            <w:tcW w:w="10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会计师事务所</w:t>
            </w: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财务大数据分析、大数据技术应用基础、企业内部控制</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lang w:val="en-US" w:eastAsia="zh-CN"/>
              </w:rPr>
              <w:t>会计制度设计</w:t>
            </w:r>
          </w:p>
        </w:tc>
        <w:tc>
          <w:tcPr>
            <w:tcW w:w="3151"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审查企业会计报表，出具审计报告；验证企业资本，出具验资报告；办理企业合并、分立、清算事宜中的审计业务，出具有关报告；办理法律、行政法规规定的其他审计业务。设计财务会计制度</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担任会计顾问，提供会计、财务、税务和其他经济管理</w:t>
            </w:r>
            <w:r>
              <w:rPr>
                <w:rFonts w:hint="eastAsia" w:ascii="仿宋_GB2312" w:hAnsi="仿宋_GB2312" w:eastAsia="仿宋_GB2312" w:cs="仿宋_GB2312"/>
                <w:color w:val="auto"/>
                <w:sz w:val="24"/>
                <w:highlight w:val="none"/>
                <w:lang w:val="en-US" w:eastAsia="zh-CN"/>
              </w:rPr>
              <w:t>咨询</w:t>
            </w:r>
            <w:r>
              <w:rPr>
                <w:rFonts w:hint="eastAsia" w:ascii="仿宋_GB2312" w:hAnsi="仿宋_GB2312" w:eastAsia="仿宋_GB2312" w:cs="仿宋_GB2312"/>
                <w:color w:val="auto"/>
                <w:sz w:val="24"/>
                <w:highlight w:val="none"/>
              </w:rPr>
              <w:t>。</w:t>
            </w:r>
          </w:p>
        </w:tc>
        <w:tc>
          <w:tcPr>
            <w:tcW w:w="169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模拟事务台15台</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p>
        </w:tc>
        <w:tc>
          <w:tcPr>
            <w:tcW w:w="100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财会综合实训室</w:t>
            </w: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企业财务会计、管理会计实务</w:t>
            </w:r>
          </w:p>
        </w:tc>
        <w:tc>
          <w:tcPr>
            <w:tcW w:w="315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建立新账套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审核财务单据</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填制会计凭证</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对相关凭证进行审核记账</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登记各种</w:t>
            </w:r>
            <w:r>
              <w:rPr>
                <w:rFonts w:hint="eastAsia" w:ascii="仿宋_GB2312" w:hAnsi="仿宋_GB2312" w:eastAsia="仿宋_GB2312" w:cs="仿宋_GB2312"/>
                <w:color w:val="auto"/>
                <w:sz w:val="24"/>
                <w:highlight w:val="none"/>
                <w:lang w:val="en-US" w:eastAsia="zh-CN"/>
              </w:rPr>
              <w:t>账簿</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编制财务报表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装订凭证。</w:t>
            </w:r>
          </w:p>
        </w:tc>
        <w:tc>
          <w:tcPr>
            <w:tcW w:w="169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凭证装订机10台</w:t>
            </w:r>
          </w:p>
        </w:tc>
        <w:tc>
          <w:tcPr>
            <w:tcW w:w="100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会计信息系统室</w:t>
            </w: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会计信息系统应用、智能化成本核算与管理、智慧化税费申报与管理</w:t>
            </w:r>
          </w:p>
        </w:tc>
        <w:tc>
          <w:tcPr>
            <w:tcW w:w="315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建立新账套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财务总账模块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固定资产模块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工资模块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财务报表模块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往来管理</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成本计算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销售采购等。</w:t>
            </w:r>
          </w:p>
        </w:tc>
        <w:tc>
          <w:tcPr>
            <w:tcW w:w="169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金蝶软件一套、电脑60台</w:t>
            </w:r>
          </w:p>
        </w:tc>
        <w:tc>
          <w:tcPr>
            <w:tcW w:w="100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firstLine="240" w:firstLineChars="10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会计技能实训室</w:t>
            </w: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会计基础、出纳业务操作</w:t>
            </w:r>
          </w:p>
        </w:tc>
        <w:tc>
          <w:tcPr>
            <w:tcW w:w="315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珠算加减法</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珠算乘除法</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心算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点钞</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商务谈判人员的基本能力</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商务谈判人员的礼仪</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商务谈判人员的语言表达能力。</w:t>
            </w:r>
          </w:p>
        </w:tc>
        <w:tc>
          <w:tcPr>
            <w:tcW w:w="169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算盘、计算器、练钞券120把</w:t>
            </w:r>
          </w:p>
        </w:tc>
        <w:tc>
          <w:tcPr>
            <w:tcW w:w="100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财会实训资料室</w:t>
            </w: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管理会计实务、财务大数据分析</w:t>
            </w:r>
          </w:p>
        </w:tc>
        <w:tc>
          <w:tcPr>
            <w:tcW w:w="315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专业相关实训资料、会计资料档案保管。</w:t>
            </w:r>
          </w:p>
        </w:tc>
        <w:tc>
          <w:tcPr>
            <w:tcW w:w="169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资料箱、资料柜6个</w:t>
            </w:r>
          </w:p>
        </w:tc>
        <w:tc>
          <w:tcPr>
            <w:tcW w:w="100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模拟教学公司</w:t>
            </w: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会计基础、智能化成本核算与管理</w:t>
            </w:r>
          </w:p>
        </w:tc>
        <w:tc>
          <w:tcPr>
            <w:tcW w:w="315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适应企业特点，熟悉会计核算原理和操作</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成本核算及成本费用计算表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财务费用核算以及资金筹集、投资、营运规划与选择。</w:t>
            </w:r>
          </w:p>
        </w:tc>
        <w:tc>
          <w:tcPr>
            <w:tcW w:w="169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课桌椅90套，成本核算资料4套、财务方案6套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模拟事务台15台</w:t>
            </w:r>
          </w:p>
        </w:tc>
        <w:tc>
          <w:tcPr>
            <w:tcW w:w="100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综合实训室</w:t>
            </w: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会计基础、出纳业务操作、企业财务会计</w:t>
            </w:r>
          </w:p>
        </w:tc>
        <w:tc>
          <w:tcPr>
            <w:tcW w:w="315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适应企业特点，熟悉会计核算原理和操作</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设计财务会计制度</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担任会计顾问，提供会计、财务、税务和其他经济管理</w:t>
            </w:r>
            <w:r>
              <w:rPr>
                <w:rFonts w:hint="eastAsia" w:ascii="仿宋_GB2312" w:hAnsi="仿宋_GB2312" w:eastAsia="仿宋_GB2312" w:cs="仿宋_GB2312"/>
                <w:color w:val="auto"/>
                <w:sz w:val="24"/>
                <w:highlight w:val="none"/>
                <w:lang w:val="en-US" w:eastAsia="zh-CN"/>
              </w:rPr>
              <w:t>咨询</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成本核算及成本费用计算表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财务费用核算以及资金筹集、投资、营运规划与选择。</w:t>
            </w:r>
          </w:p>
        </w:tc>
        <w:tc>
          <w:tcPr>
            <w:tcW w:w="169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课桌椅90套，成本核算资料4套、财务方案6套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模拟事务台15台</w:t>
            </w:r>
          </w:p>
        </w:tc>
        <w:tc>
          <w:tcPr>
            <w:tcW w:w="100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90</w:t>
            </w:r>
          </w:p>
        </w:tc>
      </w:tr>
    </w:tbl>
    <w:p>
      <w:pPr>
        <w:pageBreakBefore w:val="0"/>
        <w:widowControl/>
        <w:kinsoku/>
        <w:wordWrap/>
        <w:topLinePunct w:val="0"/>
        <w:autoSpaceDE/>
        <w:autoSpaceDN/>
        <w:bidi w:val="0"/>
        <w:snapToGrid/>
        <w:spacing w:before="0"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p>
    <w:p>
      <w:pPr>
        <w:pageBreakBefore w:val="0"/>
        <w:widowControl/>
        <w:kinsoku/>
        <w:wordWrap/>
        <w:topLinePunct w:val="0"/>
        <w:autoSpaceDE/>
        <w:autoSpaceDN/>
        <w:bidi w:val="0"/>
        <w:snapToGrid/>
        <w:spacing w:before="0"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p>
    <w:p>
      <w:pPr>
        <w:pageBreakBefore w:val="0"/>
        <w:widowControl/>
        <w:kinsoku/>
        <w:wordWrap/>
        <w:topLinePunct w:val="0"/>
        <w:autoSpaceDE/>
        <w:autoSpaceDN/>
        <w:bidi w:val="0"/>
        <w:snapToGrid/>
        <w:spacing w:before="0"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3.校外实训资源</w:t>
      </w:r>
    </w:p>
    <w:p>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（1）校外实训基地基本要求</w:t>
      </w:r>
    </w:p>
    <w:p>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具有稳定的校外实训基地2个以上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能够开展会计核算、成本核算、全盘账等实训活动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实训设施齐备，实训岗位、实训指导教师确定，实训管理及实施规章制度齐全。</w:t>
      </w:r>
    </w:p>
    <w:p>
      <w:pPr>
        <w:pageBreakBefore w:val="0"/>
        <w:numPr>
          <w:ilvl w:val="0"/>
          <w:numId w:val="2"/>
        </w:numPr>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学生实习基地基本要求</w:t>
      </w:r>
    </w:p>
    <w:p>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具有稳定的校外实习基地2个以上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能提供实习会计、会计助理、出纳等相关实习岗位，能涵盖当前相关产业的主流技术，可接纳一定规模的学生实习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能够配备相应数量的指导教师对学生实习进行指导和管理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有保证实习生日常工作、学习、生活的规章制度，有安全、保险保障。</w:t>
      </w:r>
    </w:p>
    <w:p>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校外实习基地一览表</w:t>
      </w:r>
    </w:p>
    <w:tbl>
      <w:tblPr>
        <w:tblStyle w:val="10"/>
        <w:tblW w:w="10177"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874"/>
        <w:gridCol w:w="2479"/>
        <w:gridCol w:w="2505"/>
        <w:gridCol w:w="1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71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287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校外实习基地名称</w:t>
            </w:r>
          </w:p>
        </w:tc>
        <w:tc>
          <w:tcPr>
            <w:tcW w:w="247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合作企业名称</w:t>
            </w:r>
          </w:p>
        </w:tc>
        <w:tc>
          <w:tcPr>
            <w:tcW w:w="25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合作内容</w:t>
            </w:r>
          </w:p>
        </w:tc>
        <w:tc>
          <w:tcPr>
            <w:tcW w:w="1608"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711"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2874"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广西工程职业学院大数据与会计专业校外实习基地</w:t>
            </w:r>
          </w:p>
        </w:tc>
        <w:tc>
          <w:tcPr>
            <w:tcW w:w="2479"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广西北部湾银行股份有限公司平果支行</w:t>
            </w:r>
          </w:p>
        </w:tc>
        <w:tc>
          <w:tcPr>
            <w:tcW w:w="25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共同研究专业设置</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共同开发课程、共同开发教材</w:t>
            </w:r>
          </w:p>
        </w:tc>
        <w:tc>
          <w:tcPr>
            <w:tcW w:w="1608"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711"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2874"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广西工程职业学院大数据与会计专业校外实习基地</w:t>
            </w:r>
          </w:p>
        </w:tc>
        <w:tc>
          <w:tcPr>
            <w:tcW w:w="2479"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中国建设银行博白</w:t>
            </w:r>
          </w:p>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支行</w:t>
            </w:r>
          </w:p>
        </w:tc>
        <w:tc>
          <w:tcPr>
            <w:tcW w:w="25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共同研究人才培养方案、共同研究人才评价标准、</w:t>
            </w:r>
          </w:p>
        </w:tc>
        <w:tc>
          <w:tcPr>
            <w:tcW w:w="1608"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711"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2874"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广西工程职业学院大数据与会计专业校外实习基地</w:t>
            </w:r>
          </w:p>
        </w:tc>
        <w:tc>
          <w:tcPr>
            <w:tcW w:w="2479"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平果国民村镇银行</w:t>
            </w:r>
          </w:p>
        </w:tc>
        <w:tc>
          <w:tcPr>
            <w:tcW w:w="25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共同组建教学团队</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共同开发课程</w:t>
            </w:r>
          </w:p>
        </w:tc>
        <w:tc>
          <w:tcPr>
            <w:tcW w:w="1608"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711"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2874"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广西工程职业学院大数据与会计专业校外实习基地</w:t>
            </w:r>
          </w:p>
        </w:tc>
        <w:tc>
          <w:tcPr>
            <w:tcW w:w="2479"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中国农业银行平果市支行</w:t>
            </w:r>
          </w:p>
        </w:tc>
        <w:tc>
          <w:tcPr>
            <w:tcW w:w="25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共同建设实训实习平台</w:t>
            </w:r>
          </w:p>
        </w:tc>
        <w:tc>
          <w:tcPr>
            <w:tcW w:w="1608"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711"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2874"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广西工程职业学院大数据与会计专业校外实习基地</w:t>
            </w:r>
          </w:p>
        </w:tc>
        <w:tc>
          <w:tcPr>
            <w:tcW w:w="2479"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柳州银行平果支行</w:t>
            </w:r>
          </w:p>
        </w:tc>
        <w:tc>
          <w:tcPr>
            <w:tcW w:w="25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共同开发课程、共同开发教材</w:t>
            </w:r>
          </w:p>
        </w:tc>
        <w:tc>
          <w:tcPr>
            <w:tcW w:w="1608"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711"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2874"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广西工程职业学院大数据与会计专业校外实习基地</w:t>
            </w:r>
          </w:p>
        </w:tc>
        <w:tc>
          <w:tcPr>
            <w:tcW w:w="2479"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中国银行平果支行</w:t>
            </w:r>
          </w:p>
        </w:tc>
        <w:tc>
          <w:tcPr>
            <w:tcW w:w="25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共同组建教学团队</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共同开发课程</w:t>
            </w:r>
          </w:p>
        </w:tc>
        <w:tc>
          <w:tcPr>
            <w:tcW w:w="1608"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711"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2874"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广西工程职业学院大数据与会计专业校外实习基地</w:t>
            </w:r>
          </w:p>
        </w:tc>
        <w:tc>
          <w:tcPr>
            <w:tcW w:w="2479"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桂林银行股份有限公司百色平果支行</w:t>
            </w:r>
          </w:p>
        </w:tc>
        <w:tc>
          <w:tcPr>
            <w:tcW w:w="25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共同建设实训实习平台</w:t>
            </w:r>
          </w:p>
        </w:tc>
        <w:tc>
          <w:tcPr>
            <w:tcW w:w="1608" w:type="dxa"/>
            <w:vAlign w:val="center"/>
          </w:tcPr>
          <w:p>
            <w:pPr>
              <w:overflowPunct w:val="0"/>
              <w:adjustRightInd w:val="0"/>
              <w:spacing w:line="240" w:lineRule="auto"/>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109" w:name="_Toc16436"/>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rPr>
        <w:t>）教学资源</w:t>
      </w:r>
      <w:bookmarkEnd w:id="10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1.教材选用基本要求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outlineLvl w:val="9"/>
        <w:rPr>
          <w:rFonts w:hint="eastAsia" w:ascii="仿宋_GB2312" w:hAnsi="仿宋_GB2312" w:eastAsia="仿宋_GB2312" w:cs="仿宋_GB2312"/>
          <w:i w:val="0"/>
          <w:iCs w:val="0"/>
          <w:caps w:val="0"/>
          <w:color w:val="000000" w:themeColor="text1"/>
          <w:spacing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按照国家规定，优先选用国家规划教材</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国家优秀教材</w:t>
      </w:r>
      <w:r>
        <w:rPr>
          <w:rFonts w:hint="eastAsia" w:ascii="仿宋_GB2312" w:hAnsi="仿宋_GB2312" w:eastAsia="仿宋_GB2312" w:cs="仿宋_GB2312"/>
          <w:i w:val="0"/>
          <w:iCs w:val="0"/>
          <w:caps w:val="0"/>
          <w:color w:val="000000" w:themeColor="text1"/>
          <w:spacing w:val="0"/>
          <w:sz w:val="32"/>
          <w:szCs w:val="32"/>
          <w:lang w:val="en-US" w:eastAsia="zh-CN"/>
          <w14:textFill>
            <w14:solidFill>
              <w14:schemeClr w14:val="tx1"/>
            </w14:solidFill>
          </w14:textFill>
        </w:rPr>
        <w:t>及近三年最新版规范教材，确保教材内容与人才培养方案、教学大纲匹配，注重实践性与时效性；</w:t>
      </w:r>
      <w:r>
        <w:rPr>
          <w:rFonts w:hint="eastAsia" w:ascii="仿宋_GB2312" w:hAnsi="仿宋_GB2312" w:eastAsia="仿宋_GB2312" w:cs="仿宋_GB2312"/>
          <w:color w:val="000000" w:themeColor="text1"/>
          <w:sz w:val="32"/>
          <w:szCs w:val="32"/>
          <w14:textFill>
            <w14:solidFill>
              <w14:schemeClr w14:val="tx1"/>
            </w14:solidFill>
          </w14:textFill>
        </w:rPr>
        <w:t>专业课程教材</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应</w:t>
      </w:r>
      <w:r>
        <w:rPr>
          <w:rFonts w:hint="eastAsia" w:ascii="仿宋_GB2312" w:hAnsi="仿宋_GB2312" w:eastAsia="仿宋_GB2312" w:cs="仿宋_GB2312"/>
          <w:color w:val="000000" w:themeColor="text1"/>
          <w:sz w:val="32"/>
          <w:szCs w:val="32"/>
          <w14:textFill>
            <w14:solidFill>
              <w14:schemeClr w14:val="tx1"/>
            </w14:solidFill>
          </w14:textFill>
        </w:rPr>
        <w:t>体现本行业新技术、新规范、新标准、新形态，并通过数字教材、活页式教材等多种方式进行动态更新</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lang w:val="en-US" w:eastAsia="zh-CN"/>
          <w14:textFill>
            <w14:solidFill>
              <w14:schemeClr w14:val="tx1"/>
            </w14:solidFill>
          </w14:textFill>
        </w:rPr>
        <w:t>强化意识形态审查，杜绝政治导向问题或内容陈旧、拼凑的教材。</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图书文献配备基本要求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书文献配备能满足人才培养、专业建设、教科研等工作的需要，方便师生查询、借阅。专业类文献主要包括：财务会计相关行业政策法规、行业标准、技术规范以及财务会计从业人员素养要求等与服务相关专业类图书和实务案例类图书。专业图书资料（含电子图书）不低于500册，5种以上财务会计类专业学术期刊，并能保持每年更新。</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3.数字教学资源配置基本要求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64" w:firstLineChars="200"/>
        <w:textAlignment w:val="auto"/>
        <w:outlineLvl w:val="9"/>
        <w:rPr>
          <w:rFonts w:hint="eastAsia" w:ascii="仿宋_GB2312" w:hAnsi="仿宋_GB2312" w:eastAsia="仿宋_GB2312" w:cs="仿宋_GB2312"/>
          <w:color w:val="auto"/>
          <w:spacing w:val="6"/>
          <w:sz w:val="32"/>
          <w:szCs w:val="32"/>
          <w:highlight w:val="none"/>
        </w:rPr>
      </w:pPr>
      <w:r>
        <w:rPr>
          <w:rFonts w:hint="eastAsia" w:ascii="仿宋_GB2312" w:hAnsi="仿宋_GB2312" w:eastAsia="仿宋_GB2312" w:cs="仿宋_GB2312"/>
          <w:color w:val="auto"/>
          <w:spacing w:val="6"/>
          <w:sz w:val="32"/>
          <w:szCs w:val="32"/>
          <w:highlight w:val="none"/>
        </w:rPr>
        <w:t>建设、配备与专业相关的音视频素材、教学课件、数字化教学案例库、虚拟仿真软件、数字教材等专业教学资源库，应种类丰富、形式多样、使用便捷、动态更新，能满足教学要求。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110" w:name="_Toc7956"/>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rPr>
        <w:t>）教学方法</w:t>
      </w:r>
      <w:bookmarkEnd w:id="11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根据不同课程的性质</w:t>
      </w:r>
      <w:r>
        <w:rPr>
          <w:rFonts w:hint="eastAsia" w:ascii="仿宋_GB2312" w:hAnsi="仿宋_GB2312" w:eastAsia="仿宋_GB2312" w:cs="仿宋_GB2312"/>
          <w:color w:val="auto"/>
          <w:sz w:val="32"/>
          <w:szCs w:val="32"/>
          <w:highlight w:val="none"/>
        </w:rPr>
        <w:t>特点</w:t>
      </w:r>
      <w:r>
        <w:rPr>
          <w:rFonts w:ascii="仿宋_GB2312" w:hAnsi="仿宋_GB2312" w:eastAsia="仿宋_GB2312" w:cs="仿宋_GB2312"/>
          <w:color w:val="auto"/>
          <w:sz w:val="32"/>
          <w:szCs w:val="32"/>
          <w:highlight w:val="none"/>
        </w:rPr>
        <w:t>，在保留传统讲授法、演示法、讨论法、问答法、案例分析法等的基础上</w:t>
      </w:r>
      <w:r>
        <w:rPr>
          <w:rFonts w:hint="eastAsia" w:ascii="仿宋_GB2312" w:hAnsi="仿宋_GB2312" w:eastAsia="仿宋_GB2312" w:cs="仿宋_GB2312"/>
          <w:color w:val="auto"/>
          <w:sz w:val="32"/>
          <w:szCs w:val="32"/>
          <w:highlight w:val="none"/>
        </w:rPr>
        <w:t>，</w:t>
      </w:r>
      <w:r>
        <w:rPr>
          <w:rFonts w:ascii="仿宋_GB2312" w:hAnsi="仿宋_GB2312" w:eastAsia="仿宋_GB2312" w:cs="仿宋_GB2312"/>
          <w:color w:val="auto"/>
          <w:sz w:val="32"/>
          <w:szCs w:val="32"/>
          <w:highlight w:val="none"/>
        </w:rPr>
        <w:t>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111" w:name="_Toc17122"/>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rPr>
        <w:t>）学习评价</w:t>
      </w:r>
      <w:bookmarkEnd w:id="11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64" w:firstLineChars="200"/>
        <w:textAlignment w:val="auto"/>
        <w:outlineLvl w:val="9"/>
        <w:rPr>
          <w:rFonts w:hint="eastAsia" w:ascii="仿宋_GB2312" w:hAnsi="仿宋_GB2312" w:eastAsia="仿宋_GB2312" w:cs="仿宋_GB2312"/>
          <w:color w:val="auto"/>
          <w:spacing w:val="6"/>
          <w:sz w:val="32"/>
          <w:szCs w:val="32"/>
          <w:highlight w:val="none"/>
        </w:rPr>
      </w:pPr>
      <w:r>
        <w:rPr>
          <w:rFonts w:hint="eastAsia" w:ascii="仿宋_GB2312" w:hAnsi="仿宋_GB2312" w:eastAsia="仿宋_GB2312" w:cs="仿宋_GB2312"/>
          <w:color w:val="auto"/>
          <w:spacing w:val="6"/>
          <w:sz w:val="32"/>
          <w:szCs w:val="32"/>
          <w:highlight w:val="none"/>
          <w:lang w:val="en-US" w:eastAsia="zh-CN"/>
        </w:rPr>
        <w:t>2.</w:t>
      </w:r>
      <w:r>
        <w:rPr>
          <w:rFonts w:hint="eastAsia" w:ascii="仿宋_GB2312" w:hAnsi="仿宋_GB2312" w:eastAsia="仿宋_GB2312" w:cs="仿宋_GB2312"/>
          <w:color w:val="auto"/>
          <w:spacing w:val="6"/>
          <w:sz w:val="32"/>
          <w:szCs w:val="32"/>
          <w:highlight w:val="none"/>
        </w:rPr>
        <w:t>教学评价方式</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64" w:firstLineChars="200"/>
        <w:textAlignment w:val="auto"/>
        <w:outlineLvl w:val="9"/>
        <w:rPr>
          <w:rFonts w:hint="eastAsia" w:ascii="仿宋_GB2312" w:hAnsi="仿宋_GB2312" w:eastAsia="仿宋_GB2312" w:cs="仿宋_GB2312"/>
          <w:color w:val="auto"/>
          <w:spacing w:val="6"/>
          <w:sz w:val="32"/>
          <w:szCs w:val="32"/>
          <w:highlight w:val="none"/>
        </w:rPr>
      </w:pPr>
      <w:r>
        <w:rPr>
          <w:rFonts w:hint="eastAsia" w:ascii="仿宋_GB2312" w:hAnsi="仿宋_GB2312" w:eastAsia="仿宋_GB2312" w:cs="仿宋_GB2312"/>
          <w:color w:val="auto"/>
          <w:spacing w:val="6"/>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3"/>
        </w:numPr>
        <w:kinsoku/>
        <w:wordWrap/>
        <w:overflowPunct w:val="0"/>
        <w:topLinePunct w:val="0"/>
        <w:autoSpaceDE/>
        <w:autoSpaceDN/>
        <w:bidi w:val="0"/>
        <w:adjustRightInd w:val="0"/>
        <w:snapToGrid/>
        <w:spacing w:after="0" w:line="520" w:lineRule="exact"/>
        <w:ind w:firstLine="664" w:firstLineChars="200"/>
        <w:textAlignment w:val="auto"/>
        <w:outlineLvl w:val="0"/>
        <w:rPr>
          <w:rFonts w:hint="eastAsia" w:ascii="黑体" w:hAnsi="黑体" w:eastAsia="黑体" w:cs="黑体"/>
          <w:b w:val="0"/>
          <w:bCs w:val="0"/>
          <w:color w:val="auto"/>
          <w:spacing w:val="6"/>
          <w:sz w:val="32"/>
          <w:szCs w:val="32"/>
          <w:highlight w:val="none"/>
          <w:lang w:val="en-US" w:eastAsia="zh-CN"/>
        </w:rPr>
      </w:pPr>
      <w:bookmarkStart w:id="112" w:name="_Toc19713"/>
      <w:bookmarkStart w:id="113" w:name="_Toc32731"/>
      <w:r>
        <w:rPr>
          <w:rFonts w:hint="eastAsia" w:ascii="黑体" w:hAnsi="黑体" w:eastAsia="黑体" w:cs="黑体"/>
          <w:b w:val="0"/>
          <w:bCs w:val="0"/>
          <w:color w:val="auto"/>
          <w:spacing w:val="6"/>
          <w:sz w:val="32"/>
          <w:szCs w:val="32"/>
          <w:highlight w:val="none"/>
        </w:rPr>
        <w:t>质量</w:t>
      </w:r>
      <w:r>
        <w:rPr>
          <w:rFonts w:hint="eastAsia" w:ascii="黑体" w:hAnsi="黑体" w:eastAsia="黑体" w:cs="黑体"/>
          <w:b w:val="0"/>
          <w:bCs w:val="0"/>
          <w:color w:val="auto"/>
          <w:spacing w:val="6"/>
          <w:sz w:val="32"/>
          <w:szCs w:val="32"/>
          <w:highlight w:val="none"/>
          <w:lang w:val="en-US" w:eastAsia="zh-CN"/>
        </w:rPr>
        <w:t>保障</w:t>
      </w:r>
      <w:bookmarkEnd w:id="112"/>
      <w:bookmarkEnd w:id="113"/>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3.专业教研</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室</w:t>
      </w:r>
      <w:r>
        <w:rPr>
          <w:rFonts w:hint="eastAsia" w:ascii="仿宋_GB2312" w:hAnsi="仿宋_GB2312" w:eastAsia="仿宋_GB2312" w:cs="仿宋_GB2312"/>
          <w:color w:val="000000" w:themeColor="text1"/>
          <w:sz w:val="32"/>
          <w:szCs w:val="32"/>
          <w14:textFill>
            <w14:solidFill>
              <w14:schemeClr w14:val="tx1"/>
            </w14:solidFill>
          </w14:textFill>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b w:val="0"/>
          <w:bCs w:val="0"/>
          <w:color w:val="1D41D5"/>
          <w:sz w:val="32"/>
          <w:szCs w:val="32"/>
          <w:highlight w:val="none"/>
          <w:lang w:eastAsia="zh-CN"/>
        </w:rPr>
      </w:pPr>
      <w:bookmarkStart w:id="114" w:name="_Toc29647"/>
      <w:bookmarkStart w:id="115" w:name="_Toc21173"/>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114"/>
      <w:bookmarkEnd w:id="115"/>
    </w:p>
    <w:p>
      <w:pPr>
        <w:keepNext w:val="0"/>
        <w:keepLines w:val="0"/>
        <w:pageBreakBefore w:val="0"/>
        <w:widowControl w:val="0"/>
        <w:numPr>
          <w:ilvl w:val="0"/>
          <w:numId w:val="4"/>
        </w:numPr>
        <w:kinsoku/>
        <w:wordWrap/>
        <w:overflowPunct w:val="0"/>
        <w:topLinePunct w:val="0"/>
        <w:autoSpaceDE/>
        <w:autoSpaceDN/>
        <w:bidi w:val="0"/>
        <w:adjustRightInd w:val="0"/>
        <w:snapToGrid/>
        <w:spacing w:after="0" w:line="520" w:lineRule="exact"/>
        <w:ind w:left="640" w:leftChars="0" w:firstLine="0" w:firstLineChars="0"/>
        <w:textAlignment w:val="auto"/>
        <w:outlineLvl w:val="0"/>
        <w:rPr>
          <w:rFonts w:hint="eastAsia" w:ascii="楷体" w:hAnsi="楷体" w:eastAsia="楷体" w:cs="楷体"/>
          <w:color w:val="auto"/>
          <w:kern w:val="2"/>
          <w:sz w:val="32"/>
          <w:szCs w:val="32"/>
          <w:highlight w:val="none"/>
          <w:lang w:val="en-US" w:eastAsia="zh-CN" w:bidi="ar-SA"/>
        </w:rPr>
      </w:pPr>
      <w:bookmarkStart w:id="116" w:name="_Toc19813"/>
      <w:bookmarkStart w:id="117" w:name="_Toc17395"/>
      <w:bookmarkStart w:id="118" w:name="_Toc29706"/>
      <w:r>
        <w:rPr>
          <w:rFonts w:hint="eastAsia" w:ascii="楷体" w:hAnsi="楷体" w:eastAsia="楷体" w:cs="楷体"/>
          <w:color w:val="auto"/>
          <w:kern w:val="2"/>
          <w:sz w:val="32"/>
          <w:szCs w:val="32"/>
          <w:highlight w:val="none"/>
          <w:lang w:val="en-US" w:eastAsia="zh-CN" w:bidi="ar-SA"/>
        </w:rPr>
        <w:t>学分要求</w:t>
      </w:r>
      <w:bookmarkEnd w:id="116"/>
      <w:bookmarkEnd w:id="117"/>
      <w:bookmarkEnd w:id="11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119" w:name="_Toc27854"/>
      <w:bookmarkStart w:id="120" w:name="_Toc25173"/>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147学分。其中，必修课131学分，选修课16学分。公共必修课44学分，公共选修课8学分。专业必修课87学分，专业选修课8学分。</w:t>
      </w:r>
      <w:bookmarkEnd w:id="119"/>
      <w:bookmarkEnd w:id="120"/>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bookmarkStart w:id="121" w:name="_Toc10939"/>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）职业类证书要求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将初级会计、1+X业财税融合大数据投融资分析证书、1+X智能财税职业技能等级证书等职业证书纳入培养要求，鼓励学生考取相关证书。通过职业证书的考取，提高学生的专业技能和就业竞争力，使学生更好地适应社会和企业的需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学生接受职业培训取得的职业技能等级证书、培训证书等学习成果，经学校认定，可以转化为相应的学历教育学分，以支撑学生未来在就业、创业、学业等方面持续发展。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表13 大数据与会计专业职业证书一览表</w:t>
      </w:r>
    </w:p>
    <w:tbl>
      <w:tblPr>
        <w:tblStyle w:val="10"/>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792"/>
        <w:gridCol w:w="4044"/>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序号</w:t>
            </w:r>
          </w:p>
        </w:tc>
        <w:tc>
          <w:tcPr>
            <w:tcW w:w="2792" w:type="dxa"/>
            <w:vAlign w:val="top"/>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证书名称</w:t>
            </w:r>
          </w:p>
        </w:tc>
        <w:tc>
          <w:tcPr>
            <w:tcW w:w="4044" w:type="dxa"/>
            <w:vAlign w:val="top"/>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发证机构</w:t>
            </w:r>
          </w:p>
        </w:tc>
        <w:tc>
          <w:tcPr>
            <w:tcW w:w="832" w:type="dxa"/>
            <w:vAlign w:val="top"/>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1</w:t>
            </w:r>
          </w:p>
        </w:tc>
        <w:tc>
          <w:tcPr>
            <w:tcW w:w="2792"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高职学历证书</w:t>
            </w:r>
          </w:p>
        </w:tc>
        <w:tc>
          <w:tcPr>
            <w:tcW w:w="404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广西工程职业学院</w:t>
            </w:r>
          </w:p>
        </w:tc>
        <w:tc>
          <w:tcPr>
            <w:tcW w:w="832"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2</w:t>
            </w:r>
          </w:p>
        </w:tc>
        <w:tc>
          <w:tcPr>
            <w:tcW w:w="2792"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大学英语B级证书</w:t>
            </w:r>
          </w:p>
        </w:tc>
        <w:tc>
          <w:tcPr>
            <w:tcW w:w="404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国家教育部、高等学校英语应用能力考试委员会</w:t>
            </w:r>
          </w:p>
        </w:tc>
        <w:tc>
          <w:tcPr>
            <w:tcW w:w="832"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3</w:t>
            </w:r>
          </w:p>
        </w:tc>
        <w:tc>
          <w:tcPr>
            <w:tcW w:w="2792"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eastAsia="zh-CN"/>
                <w14:textFill>
                  <w14:solidFill>
                    <w14:schemeClr w14:val="tx1"/>
                  </w14:solidFill>
                </w14:textFill>
              </w:rPr>
              <w:t>“</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1+X</w:t>
            </w:r>
            <w:r>
              <w:rPr>
                <w:rFonts w:hint="eastAsia" w:ascii="仿宋_GB2312" w:hAnsi="仿宋_GB2312" w:eastAsia="仿宋_GB2312" w:cs="仿宋_GB2312"/>
                <w:color w:val="000000" w:themeColor="text1"/>
                <w:sz w:val="24"/>
                <w:szCs w:val="24"/>
                <w:vertAlign w:val="baseline"/>
                <w:lang w:eastAsia="zh-CN"/>
                <w14:textFill>
                  <w14:solidFill>
                    <w14:schemeClr w14:val="tx1"/>
                  </w14:solidFill>
                </w14:textFill>
              </w:rPr>
              <w:t>”</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职业技能等级证书</w:t>
            </w:r>
          </w:p>
        </w:tc>
        <w:tc>
          <w:tcPr>
            <w:tcW w:w="404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bookmarkStart w:id="122" w:name="OLE_LINK2"/>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国家教育部</w:t>
            </w:r>
            <w:bookmarkEnd w:id="122"/>
          </w:p>
        </w:tc>
        <w:tc>
          <w:tcPr>
            <w:tcW w:w="832"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4</w:t>
            </w:r>
          </w:p>
        </w:tc>
        <w:tc>
          <w:tcPr>
            <w:tcW w:w="2792"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全国计算机等级考试（一级）证书</w:t>
            </w:r>
          </w:p>
        </w:tc>
        <w:tc>
          <w:tcPr>
            <w:tcW w:w="4044" w:type="dxa"/>
            <w:shd w:val="clear" w:color="auto" w:fill="auto"/>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国家教育部</w:t>
            </w:r>
          </w:p>
        </w:tc>
        <w:tc>
          <w:tcPr>
            <w:tcW w:w="832" w:type="dxa"/>
            <w:shd w:val="clear" w:color="auto" w:fill="auto"/>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kern w:val="0"/>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5</w:t>
            </w:r>
          </w:p>
        </w:tc>
        <w:tc>
          <w:tcPr>
            <w:tcW w:w="2792"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kern w:val="0"/>
                <w:sz w:val="24"/>
                <w:szCs w:val="24"/>
                <w:vertAlign w:val="baseline"/>
                <w:lang w:val="en-US" w:eastAsia="zh-CN" w:bidi="ar-SA"/>
                <w14:textFill>
                  <w14:solidFill>
                    <w14:schemeClr w14:val="tx1"/>
                  </w14:solidFill>
                </w14:textFill>
              </w:rPr>
              <w:t>初级会计专业技术资格</w:t>
            </w:r>
          </w:p>
        </w:tc>
        <w:tc>
          <w:tcPr>
            <w:tcW w:w="404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kern w:val="0"/>
                <w:sz w:val="24"/>
                <w:szCs w:val="24"/>
                <w:vertAlign w:val="baseline"/>
                <w:lang w:val="en-US" w:eastAsia="zh-CN" w:bidi="ar-SA"/>
                <w14:textFill>
                  <w14:solidFill>
                    <w14:schemeClr w14:val="tx1"/>
                  </w14:solidFill>
                </w14:textFill>
              </w:rPr>
              <w:t>百色市职业技能鉴定中心</w:t>
            </w:r>
          </w:p>
        </w:tc>
        <w:tc>
          <w:tcPr>
            <w:tcW w:w="832"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6</w:t>
            </w:r>
          </w:p>
        </w:tc>
        <w:tc>
          <w:tcPr>
            <w:tcW w:w="2792"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14:textFill>
                  <w14:solidFill>
                    <w14:schemeClr w14:val="tx1"/>
                  </w14:solidFill>
                </w14:textFill>
              </w:rPr>
              <w:t>初级审计专业技术资格</w:t>
            </w:r>
          </w:p>
        </w:tc>
        <w:tc>
          <w:tcPr>
            <w:tcW w:w="4044"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14:textFill>
                  <w14:solidFill>
                    <w14:schemeClr w14:val="tx1"/>
                  </w14:solidFill>
                </w14:textFill>
              </w:rPr>
              <w:t>人力资源</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和</w:t>
            </w:r>
            <w:r>
              <w:rPr>
                <w:rFonts w:hint="eastAsia" w:ascii="仿宋_GB2312" w:hAnsi="仿宋_GB2312" w:eastAsia="仿宋_GB2312" w:cs="仿宋_GB2312"/>
                <w:color w:val="000000" w:themeColor="text1"/>
                <w:sz w:val="24"/>
                <w:szCs w:val="24"/>
                <w:vertAlign w:val="baseline"/>
                <w14:textFill>
                  <w14:solidFill>
                    <w14:schemeClr w14:val="tx1"/>
                  </w14:solidFill>
                </w14:textFill>
              </w:rPr>
              <w:t>社会保障厅</w:t>
            </w:r>
          </w:p>
        </w:tc>
        <w:tc>
          <w:tcPr>
            <w:tcW w:w="832"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7</w:t>
            </w:r>
          </w:p>
        </w:tc>
        <w:tc>
          <w:tcPr>
            <w:tcW w:w="2792"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14:textFill>
                  <w14:solidFill>
                    <w14:schemeClr w14:val="tx1"/>
                  </w14:solidFill>
                </w14:textFill>
              </w:rPr>
              <w:t>银行业专业人员职业资格证</w:t>
            </w:r>
          </w:p>
        </w:tc>
        <w:tc>
          <w:tcPr>
            <w:tcW w:w="4044"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14:textFill>
                  <w14:solidFill>
                    <w14:schemeClr w14:val="tx1"/>
                  </w14:solidFill>
                </w14:textFill>
              </w:rPr>
            </w:pPr>
            <w:r>
              <w:rPr>
                <w:rFonts w:hint="eastAsia" w:ascii="仿宋_GB2312" w:hAnsi="仿宋_GB2312" w:eastAsia="仿宋_GB2312" w:cs="仿宋_GB2312"/>
                <w:color w:val="000000" w:themeColor="text1"/>
                <w:sz w:val="24"/>
                <w:szCs w:val="24"/>
                <w:vertAlign w:val="baseline"/>
                <w14:textFill>
                  <w14:solidFill>
                    <w14:schemeClr w14:val="tx1"/>
                  </w14:solidFill>
                </w14:textFill>
              </w:rPr>
              <w:t>中国银行业协会</w:t>
            </w:r>
          </w:p>
        </w:tc>
        <w:tc>
          <w:tcPr>
            <w:tcW w:w="832" w:type="dxa"/>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bookmarkStart w:id="123" w:name="_Toc23758"/>
      <w:bookmarkStart w:id="124" w:name="_Toc12691"/>
      <w:r>
        <w:rPr>
          <w:rFonts w:hint="eastAsia" w:ascii="楷体" w:hAnsi="楷体" w:eastAsia="楷体" w:cs="楷体"/>
          <w:color w:val="auto"/>
          <w:kern w:val="2"/>
          <w:sz w:val="32"/>
          <w:szCs w:val="32"/>
          <w:highlight w:val="none"/>
          <w:lang w:val="en-US" w:eastAsia="zh-CN" w:bidi="ar-SA"/>
        </w:rPr>
        <w:t>（二）综合素质要求</w:t>
      </w:r>
      <w:bookmarkEnd w:id="121"/>
      <w:bookmarkEnd w:id="123"/>
      <w:bookmarkEnd w:id="124"/>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9"/>
        <w:rPr>
          <w:color w:val="auto"/>
          <w:highlight w:val="none"/>
        </w:rPr>
      </w:pPr>
      <w:bookmarkStart w:id="125" w:name="_Toc17334"/>
      <w:bookmarkStart w:id="126" w:name="_Toc23831"/>
      <w:r>
        <w:rPr>
          <w:rFonts w:hint="eastAsia" w:ascii="仿宋_GB2312" w:hAnsi="仿宋_GB2312" w:eastAsia="仿宋_GB2312" w:cs="仿宋_GB2312"/>
          <w:color w:val="auto"/>
          <w:kern w:val="2"/>
          <w:sz w:val="32"/>
          <w:szCs w:val="32"/>
          <w:highlight w:val="none"/>
          <w:lang w:val="en-US" w:eastAsia="zh-CN" w:bidi="ar-SA"/>
        </w:rPr>
        <w:t>经鉴定思想品德符合要求，国家学生体质健康测试合格，以"德技并修"为核心，构建涵盖思想品德、专业素养、身心素质、创新实践及文化修养的全面培养体系。要求学生坚定政治立场，恪守会计职业道德；掌握财务核算、大数据分析等专业技能，熟练应用智能财税工具；具备健康身心素质与团队协作能力；通过岗位实习、第二课堂及创新创业实践，培养业财融合思维与终身学习能力。通过课程学习、实习实训等多路径实施，旨在培养兼具专业技能、职业精神与社会责任感的复合型人才。</w:t>
      </w:r>
      <w:bookmarkEnd w:id="125"/>
      <w:bookmarkEnd w:id="126"/>
    </w:p>
    <w:sectPr>
      <w:footerReference r:id="rId6"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BFC21B-5FBB-4FA5-81CF-A9B4BA10CD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A7BE517A-DF23-441A-8190-5E1025B5C03E}"/>
  </w:font>
  <w:font w:name="华文新魏">
    <w:panose1 w:val="02010800040101010101"/>
    <w:charset w:val="86"/>
    <w:family w:val="auto"/>
    <w:pitch w:val="default"/>
    <w:sig w:usb0="00000000" w:usb1="00000000" w:usb2="00000000" w:usb3="00000000" w:csb0="00000000" w:csb1="00000000"/>
    <w:embedRegular r:id="rId3" w:fontKey="{B0FA7020-114A-437C-B30B-E1E6B2876091}"/>
  </w:font>
  <w:font w:name="方正小标宋简体">
    <w:panose1 w:val="03000509000000000000"/>
    <w:charset w:val="86"/>
    <w:family w:val="script"/>
    <w:pitch w:val="default"/>
    <w:sig w:usb0="00000001" w:usb1="080E0000" w:usb2="00000000" w:usb3="00000000" w:csb0="00040000" w:csb1="00000000"/>
    <w:embedRegular r:id="rId4" w:fontKey="{25E9AE5F-CCED-4695-823D-DDDA0663FE56}"/>
  </w:font>
  <w:font w:name="仿宋_GB2312">
    <w:panose1 w:val="02010609030101010101"/>
    <w:charset w:val="86"/>
    <w:family w:val="modern"/>
    <w:pitch w:val="default"/>
    <w:sig w:usb0="00000001" w:usb1="080E0000" w:usb2="00000000" w:usb3="00000000" w:csb0="00040000" w:csb1="00000000"/>
    <w:embedRegular r:id="rId5" w:fontKey="{0E248D4C-6DE9-4E98-A05B-2129374B05E3}"/>
  </w:font>
  <w:font w:name="方正仿宋_GB2312">
    <w:panose1 w:val="02000000000000000000"/>
    <w:charset w:val="86"/>
    <w:family w:val="auto"/>
    <w:pitch w:val="default"/>
    <w:sig w:usb0="00000000" w:usb1="00000000" w:usb2="00000000" w:usb3="00000000" w:csb0="00000000" w:csb1="00000000"/>
    <w:embedRegular r:id="rId6" w:fontKey="{18F36D2B-313B-4AC3-9616-9D861F9570E3}"/>
  </w:font>
  <w:font w:name="楷体">
    <w:panose1 w:val="02010609060101010101"/>
    <w:charset w:val="86"/>
    <w:family w:val="modern"/>
    <w:pitch w:val="default"/>
    <w:sig w:usb0="800002BF" w:usb1="38CF7CFA" w:usb2="00000016" w:usb3="00000000" w:csb0="00040001" w:csb1="00000000"/>
    <w:embedRegular r:id="rId7" w:fontKey="{15427E81-1329-4B20-A377-A1ED2C5D4D82}"/>
  </w:font>
  <w:font w:name="Segoe UI">
    <w:panose1 w:val="020B0502040204020203"/>
    <w:charset w:val="00"/>
    <w:family w:val="auto"/>
    <w:pitch w:val="default"/>
    <w:sig w:usb0="E4002EFF" w:usb1="C000E47F" w:usb2="00000009" w:usb3="00000000" w:csb0="200001FF" w:csb1="00000000"/>
    <w:embedRegular r:id="rId8" w:fontKey="{52FD10C8-5551-449F-88F2-C61635462F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4860" w:firstLineChars="27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abstractNum w:abstractNumId="1">
    <w:nsid w:val="0E454663"/>
    <w:multiLevelType w:val="singleLevel"/>
    <w:tmpl w:val="0E454663"/>
    <w:lvl w:ilvl="0" w:tentative="0">
      <w:start w:val="11"/>
      <w:numFmt w:val="chineseCounting"/>
      <w:suff w:val="nothing"/>
      <w:lvlText w:val="%1、"/>
      <w:lvlJc w:val="left"/>
      <w:rPr>
        <w:rFonts w:hint="eastAsia"/>
      </w:rPr>
    </w:lvl>
  </w:abstractNum>
  <w:abstractNum w:abstractNumId="2">
    <w:nsid w:val="4005274C"/>
    <w:multiLevelType w:val="singleLevel"/>
    <w:tmpl w:val="4005274C"/>
    <w:lvl w:ilvl="0" w:tentative="0">
      <w:start w:val="1"/>
      <w:numFmt w:val="chineseCounting"/>
      <w:suff w:val="nothing"/>
      <w:lvlText w:val="（%1）"/>
      <w:lvlJc w:val="left"/>
      <w:pPr>
        <w:ind w:left="640" w:firstLine="0"/>
      </w:pPr>
      <w:rPr>
        <w:rFonts w:hint="eastAsia"/>
      </w:rPr>
    </w:lvl>
  </w:abstractNum>
  <w:abstractNum w:abstractNumId="3">
    <w:nsid w:val="5BA7B6DC"/>
    <w:multiLevelType w:val="singleLevel"/>
    <w:tmpl w:val="5BA7B6DC"/>
    <w:lvl w:ilvl="0" w:tentative="0">
      <w:start w:val="2"/>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1AC75F0"/>
    <w:rsid w:val="02661E94"/>
    <w:rsid w:val="02CD5374"/>
    <w:rsid w:val="03304250"/>
    <w:rsid w:val="03A07894"/>
    <w:rsid w:val="048C3708"/>
    <w:rsid w:val="04BC3FEE"/>
    <w:rsid w:val="051223C4"/>
    <w:rsid w:val="058B15EF"/>
    <w:rsid w:val="062E0F1B"/>
    <w:rsid w:val="06471FDD"/>
    <w:rsid w:val="06C90C44"/>
    <w:rsid w:val="070954E4"/>
    <w:rsid w:val="07322345"/>
    <w:rsid w:val="082F2519"/>
    <w:rsid w:val="084C7436"/>
    <w:rsid w:val="08793BBD"/>
    <w:rsid w:val="08DA7138"/>
    <w:rsid w:val="08F70DAF"/>
    <w:rsid w:val="09075A53"/>
    <w:rsid w:val="094D790A"/>
    <w:rsid w:val="095347F5"/>
    <w:rsid w:val="09CB082F"/>
    <w:rsid w:val="09D45935"/>
    <w:rsid w:val="0A1E4E03"/>
    <w:rsid w:val="0A634F0B"/>
    <w:rsid w:val="0AC91212"/>
    <w:rsid w:val="0AFF69E2"/>
    <w:rsid w:val="0B64718D"/>
    <w:rsid w:val="0B9E269F"/>
    <w:rsid w:val="0BB93035"/>
    <w:rsid w:val="0C0A3BA0"/>
    <w:rsid w:val="0C676F35"/>
    <w:rsid w:val="0CE642FD"/>
    <w:rsid w:val="0D3000CB"/>
    <w:rsid w:val="0D735465"/>
    <w:rsid w:val="0DE924A0"/>
    <w:rsid w:val="0E1375FC"/>
    <w:rsid w:val="0E2350DD"/>
    <w:rsid w:val="0E5E6115"/>
    <w:rsid w:val="0ED4462A"/>
    <w:rsid w:val="0F386966"/>
    <w:rsid w:val="0FA47B58"/>
    <w:rsid w:val="0FA67D74"/>
    <w:rsid w:val="0FCA63F2"/>
    <w:rsid w:val="0FD20B69"/>
    <w:rsid w:val="0FE4089C"/>
    <w:rsid w:val="10004DAC"/>
    <w:rsid w:val="10093E5F"/>
    <w:rsid w:val="100E4598"/>
    <w:rsid w:val="10152804"/>
    <w:rsid w:val="10234F21"/>
    <w:rsid w:val="10914580"/>
    <w:rsid w:val="10EE36A0"/>
    <w:rsid w:val="116752E1"/>
    <w:rsid w:val="12485112"/>
    <w:rsid w:val="127F665A"/>
    <w:rsid w:val="12BE7183"/>
    <w:rsid w:val="12DC3AAD"/>
    <w:rsid w:val="12F708E7"/>
    <w:rsid w:val="13203999"/>
    <w:rsid w:val="135C5E82"/>
    <w:rsid w:val="139B5716"/>
    <w:rsid w:val="13C77F07"/>
    <w:rsid w:val="13F454F6"/>
    <w:rsid w:val="148121B8"/>
    <w:rsid w:val="14A800EA"/>
    <w:rsid w:val="15001CD4"/>
    <w:rsid w:val="150317C5"/>
    <w:rsid w:val="15202377"/>
    <w:rsid w:val="15542020"/>
    <w:rsid w:val="155D1882"/>
    <w:rsid w:val="15B614CE"/>
    <w:rsid w:val="165F0C7D"/>
    <w:rsid w:val="1683672C"/>
    <w:rsid w:val="1699418F"/>
    <w:rsid w:val="16995FBA"/>
    <w:rsid w:val="16A42B33"/>
    <w:rsid w:val="16DC051F"/>
    <w:rsid w:val="170B4961"/>
    <w:rsid w:val="1740285C"/>
    <w:rsid w:val="1749510D"/>
    <w:rsid w:val="1796247C"/>
    <w:rsid w:val="18CB084B"/>
    <w:rsid w:val="19481E9C"/>
    <w:rsid w:val="19AF3CC9"/>
    <w:rsid w:val="19F75BB7"/>
    <w:rsid w:val="1A262FB5"/>
    <w:rsid w:val="1A4B5C2A"/>
    <w:rsid w:val="1AA2738A"/>
    <w:rsid w:val="1AB650F4"/>
    <w:rsid w:val="1AE45BF4"/>
    <w:rsid w:val="1BAE7956"/>
    <w:rsid w:val="1BCC19A4"/>
    <w:rsid w:val="1BE85270"/>
    <w:rsid w:val="1BF93A5C"/>
    <w:rsid w:val="1C27223D"/>
    <w:rsid w:val="1C6F14EE"/>
    <w:rsid w:val="1CB25FAA"/>
    <w:rsid w:val="1D0377EB"/>
    <w:rsid w:val="1D24677C"/>
    <w:rsid w:val="1D2D5C44"/>
    <w:rsid w:val="1D4F0AB5"/>
    <w:rsid w:val="1D6F7C33"/>
    <w:rsid w:val="1DCA1105"/>
    <w:rsid w:val="1DD51824"/>
    <w:rsid w:val="1E4B3DFE"/>
    <w:rsid w:val="1E91399D"/>
    <w:rsid w:val="1EA77665"/>
    <w:rsid w:val="1ECC6B87"/>
    <w:rsid w:val="1F3A7811"/>
    <w:rsid w:val="1F5350F7"/>
    <w:rsid w:val="1FB17C46"/>
    <w:rsid w:val="1FB21E1D"/>
    <w:rsid w:val="1FBC2C9C"/>
    <w:rsid w:val="207417C9"/>
    <w:rsid w:val="20AA343C"/>
    <w:rsid w:val="20AD7038"/>
    <w:rsid w:val="20BE4D41"/>
    <w:rsid w:val="20E56222"/>
    <w:rsid w:val="210E0F0E"/>
    <w:rsid w:val="213A73C6"/>
    <w:rsid w:val="2170143C"/>
    <w:rsid w:val="21EB3D26"/>
    <w:rsid w:val="22123047"/>
    <w:rsid w:val="223461B5"/>
    <w:rsid w:val="22967FAA"/>
    <w:rsid w:val="22A00653"/>
    <w:rsid w:val="22AC51A0"/>
    <w:rsid w:val="2338088B"/>
    <w:rsid w:val="236773C3"/>
    <w:rsid w:val="237D0994"/>
    <w:rsid w:val="23954DD6"/>
    <w:rsid w:val="23D42CAA"/>
    <w:rsid w:val="249D12EE"/>
    <w:rsid w:val="24E76143"/>
    <w:rsid w:val="24F353B2"/>
    <w:rsid w:val="26485411"/>
    <w:rsid w:val="267A11BB"/>
    <w:rsid w:val="27075144"/>
    <w:rsid w:val="27441EF5"/>
    <w:rsid w:val="274F0C58"/>
    <w:rsid w:val="27AE3812"/>
    <w:rsid w:val="27F5401D"/>
    <w:rsid w:val="28557849"/>
    <w:rsid w:val="285A12A4"/>
    <w:rsid w:val="28862099"/>
    <w:rsid w:val="289A5B44"/>
    <w:rsid w:val="28BD30CD"/>
    <w:rsid w:val="296E1A2F"/>
    <w:rsid w:val="29B449E4"/>
    <w:rsid w:val="29C72B81"/>
    <w:rsid w:val="29F55728"/>
    <w:rsid w:val="2A175BF1"/>
    <w:rsid w:val="2B0F281A"/>
    <w:rsid w:val="2B6575DC"/>
    <w:rsid w:val="2B8D373E"/>
    <w:rsid w:val="2BF11F1F"/>
    <w:rsid w:val="2C1100B0"/>
    <w:rsid w:val="2C29568D"/>
    <w:rsid w:val="2C802418"/>
    <w:rsid w:val="2CB341C7"/>
    <w:rsid w:val="2CC66F08"/>
    <w:rsid w:val="2CEB2E12"/>
    <w:rsid w:val="2D5704A8"/>
    <w:rsid w:val="2D8165B1"/>
    <w:rsid w:val="2D964B2C"/>
    <w:rsid w:val="2DAC4350"/>
    <w:rsid w:val="2DE47F8D"/>
    <w:rsid w:val="2F083808"/>
    <w:rsid w:val="2F34284F"/>
    <w:rsid w:val="2F436F36"/>
    <w:rsid w:val="2F7A2E0A"/>
    <w:rsid w:val="2F8D1F5F"/>
    <w:rsid w:val="2FA96B3D"/>
    <w:rsid w:val="2FD933F6"/>
    <w:rsid w:val="30A6152A"/>
    <w:rsid w:val="30A77050"/>
    <w:rsid w:val="30DC27D6"/>
    <w:rsid w:val="3115220C"/>
    <w:rsid w:val="31342FDA"/>
    <w:rsid w:val="318A49A8"/>
    <w:rsid w:val="31A83FF1"/>
    <w:rsid w:val="31AA329C"/>
    <w:rsid w:val="31D2634F"/>
    <w:rsid w:val="321D581C"/>
    <w:rsid w:val="329F708A"/>
    <w:rsid w:val="32F32A21"/>
    <w:rsid w:val="32F92E4C"/>
    <w:rsid w:val="32FA3DAF"/>
    <w:rsid w:val="33260700"/>
    <w:rsid w:val="33266952"/>
    <w:rsid w:val="33AE06F6"/>
    <w:rsid w:val="33B93C14"/>
    <w:rsid w:val="348B3F97"/>
    <w:rsid w:val="34B65AB4"/>
    <w:rsid w:val="34C46423"/>
    <w:rsid w:val="34EA50C0"/>
    <w:rsid w:val="357449D1"/>
    <w:rsid w:val="35E93C67"/>
    <w:rsid w:val="364315C9"/>
    <w:rsid w:val="36657792"/>
    <w:rsid w:val="370E7E29"/>
    <w:rsid w:val="37143303"/>
    <w:rsid w:val="376B0DD8"/>
    <w:rsid w:val="3770165B"/>
    <w:rsid w:val="37960DB8"/>
    <w:rsid w:val="37AD2573"/>
    <w:rsid w:val="380217EA"/>
    <w:rsid w:val="381153F4"/>
    <w:rsid w:val="38481119"/>
    <w:rsid w:val="38877EE4"/>
    <w:rsid w:val="38C22C79"/>
    <w:rsid w:val="39306799"/>
    <w:rsid w:val="39372651"/>
    <w:rsid w:val="39596A1B"/>
    <w:rsid w:val="39A700C1"/>
    <w:rsid w:val="3A451367"/>
    <w:rsid w:val="3A60099C"/>
    <w:rsid w:val="3A7A7584"/>
    <w:rsid w:val="3AEA4709"/>
    <w:rsid w:val="3B4007CD"/>
    <w:rsid w:val="3BE64ED1"/>
    <w:rsid w:val="3C17152E"/>
    <w:rsid w:val="3CAC438F"/>
    <w:rsid w:val="3D0047E4"/>
    <w:rsid w:val="3D766728"/>
    <w:rsid w:val="3D9F7A2D"/>
    <w:rsid w:val="3E4D7489"/>
    <w:rsid w:val="3E725142"/>
    <w:rsid w:val="3EB92D70"/>
    <w:rsid w:val="3ED951C1"/>
    <w:rsid w:val="3F231F5B"/>
    <w:rsid w:val="3F4630E0"/>
    <w:rsid w:val="3F6A4DBB"/>
    <w:rsid w:val="3F785DC7"/>
    <w:rsid w:val="3FF86C17"/>
    <w:rsid w:val="3FFC1167"/>
    <w:rsid w:val="40077B0C"/>
    <w:rsid w:val="404B5C4A"/>
    <w:rsid w:val="40664832"/>
    <w:rsid w:val="4084115C"/>
    <w:rsid w:val="4099592E"/>
    <w:rsid w:val="40B53BBC"/>
    <w:rsid w:val="40B557B9"/>
    <w:rsid w:val="40C8470D"/>
    <w:rsid w:val="4131371A"/>
    <w:rsid w:val="413D6362"/>
    <w:rsid w:val="41540B2E"/>
    <w:rsid w:val="415648A7"/>
    <w:rsid w:val="41727207"/>
    <w:rsid w:val="41A42FA1"/>
    <w:rsid w:val="41B27493"/>
    <w:rsid w:val="41BB6E00"/>
    <w:rsid w:val="41CF62FB"/>
    <w:rsid w:val="41DE5079"/>
    <w:rsid w:val="422A57D8"/>
    <w:rsid w:val="42817701"/>
    <w:rsid w:val="428611BC"/>
    <w:rsid w:val="42991DF7"/>
    <w:rsid w:val="42B86E9B"/>
    <w:rsid w:val="43105F3B"/>
    <w:rsid w:val="436463B1"/>
    <w:rsid w:val="43713C1A"/>
    <w:rsid w:val="43792ACE"/>
    <w:rsid w:val="43A538C3"/>
    <w:rsid w:val="43C755E8"/>
    <w:rsid w:val="44380293"/>
    <w:rsid w:val="447D65EE"/>
    <w:rsid w:val="44A43B7B"/>
    <w:rsid w:val="44B71B00"/>
    <w:rsid w:val="44B862E9"/>
    <w:rsid w:val="455530C7"/>
    <w:rsid w:val="45A67843"/>
    <w:rsid w:val="4602706C"/>
    <w:rsid w:val="465810C1"/>
    <w:rsid w:val="46733805"/>
    <w:rsid w:val="46B856BC"/>
    <w:rsid w:val="46EE10DD"/>
    <w:rsid w:val="46F661E4"/>
    <w:rsid w:val="47103740"/>
    <w:rsid w:val="471C3E9C"/>
    <w:rsid w:val="47510F07"/>
    <w:rsid w:val="4803505C"/>
    <w:rsid w:val="480A0199"/>
    <w:rsid w:val="48A57EC2"/>
    <w:rsid w:val="48AE4FC8"/>
    <w:rsid w:val="48BA396D"/>
    <w:rsid w:val="48BD16AF"/>
    <w:rsid w:val="48DF1625"/>
    <w:rsid w:val="48E56510"/>
    <w:rsid w:val="49395702"/>
    <w:rsid w:val="49843F7B"/>
    <w:rsid w:val="49A63EF1"/>
    <w:rsid w:val="4A3C6604"/>
    <w:rsid w:val="4AA20B5D"/>
    <w:rsid w:val="4AD8632C"/>
    <w:rsid w:val="4AF15640"/>
    <w:rsid w:val="4AFA62A3"/>
    <w:rsid w:val="4B490FD8"/>
    <w:rsid w:val="4B726781"/>
    <w:rsid w:val="4C0272E2"/>
    <w:rsid w:val="4C0C0983"/>
    <w:rsid w:val="4C1149B8"/>
    <w:rsid w:val="4C1F6B20"/>
    <w:rsid w:val="4C675BBA"/>
    <w:rsid w:val="4D135D42"/>
    <w:rsid w:val="4D1473C4"/>
    <w:rsid w:val="4D5A72B9"/>
    <w:rsid w:val="4E514358"/>
    <w:rsid w:val="4E5C7274"/>
    <w:rsid w:val="4F585C8E"/>
    <w:rsid w:val="4F6B3C13"/>
    <w:rsid w:val="4F7D56F4"/>
    <w:rsid w:val="509C4C8B"/>
    <w:rsid w:val="5135219E"/>
    <w:rsid w:val="513F52DA"/>
    <w:rsid w:val="51C30881"/>
    <w:rsid w:val="51D535C6"/>
    <w:rsid w:val="51FE1E87"/>
    <w:rsid w:val="522105B9"/>
    <w:rsid w:val="5259656B"/>
    <w:rsid w:val="52767E5B"/>
    <w:rsid w:val="535B634F"/>
    <w:rsid w:val="53807561"/>
    <w:rsid w:val="53C71634"/>
    <w:rsid w:val="542919A7"/>
    <w:rsid w:val="55D87B28"/>
    <w:rsid w:val="561C7274"/>
    <w:rsid w:val="56397652"/>
    <w:rsid w:val="563B3C13"/>
    <w:rsid w:val="565C2507"/>
    <w:rsid w:val="566118CC"/>
    <w:rsid w:val="56A23A63"/>
    <w:rsid w:val="56B23EF5"/>
    <w:rsid w:val="56F95FA8"/>
    <w:rsid w:val="572D5C52"/>
    <w:rsid w:val="579F7BCE"/>
    <w:rsid w:val="58337298"/>
    <w:rsid w:val="58680DC2"/>
    <w:rsid w:val="588673C8"/>
    <w:rsid w:val="58E02A3F"/>
    <w:rsid w:val="5900361E"/>
    <w:rsid w:val="592F7A5F"/>
    <w:rsid w:val="59345076"/>
    <w:rsid w:val="59575208"/>
    <w:rsid w:val="595C12A3"/>
    <w:rsid w:val="5996188C"/>
    <w:rsid w:val="59C77C98"/>
    <w:rsid w:val="59DE1485"/>
    <w:rsid w:val="59FD4171"/>
    <w:rsid w:val="5A823535"/>
    <w:rsid w:val="5A9F0C15"/>
    <w:rsid w:val="5AD36B10"/>
    <w:rsid w:val="5AE64A95"/>
    <w:rsid w:val="5B137EF8"/>
    <w:rsid w:val="5B1F1DFE"/>
    <w:rsid w:val="5B322D65"/>
    <w:rsid w:val="5BBC75A4"/>
    <w:rsid w:val="5BBE191C"/>
    <w:rsid w:val="5BCC4E68"/>
    <w:rsid w:val="5C0E6052"/>
    <w:rsid w:val="5C38700F"/>
    <w:rsid w:val="5C4E644E"/>
    <w:rsid w:val="5C606182"/>
    <w:rsid w:val="5C8C341B"/>
    <w:rsid w:val="5C9B365E"/>
    <w:rsid w:val="5CD1707F"/>
    <w:rsid w:val="5D01298C"/>
    <w:rsid w:val="5D206DB4"/>
    <w:rsid w:val="5D292A17"/>
    <w:rsid w:val="5E043D85"/>
    <w:rsid w:val="5E510503"/>
    <w:rsid w:val="5E7540E3"/>
    <w:rsid w:val="5E8B1BDC"/>
    <w:rsid w:val="5E93321A"/>
    <w:rsid w:val="5E9B7945"/>
    <w:rsid w:val="5EBD5B0D"/>
    <w:rsid w:val="5F07293D"/>
    <w:rsid w:val="5F1B4F3C"/>
    <w:rsid w:val="5F273A8D"/>
    <w:rsid w:val="5F2B6F1B"/>
    <w:rsid w:val="5F335DCF"/>
    <w:rsid w:val="5F475456"/>
    <w:rsid w:val="5F4C0C3F"/>
    <w:rsid w:val="5FC058B5"/>
    <w:rsid w:val="5FE1582B"/>
    <w:rsid w:val="5FEC48FC"/>
    <w:rsid w:val="5FF23595"/>
    <w:rsid w:val="5FF437B1"/>
    <w:rsid w:val="601C4AB5"/>
    <w:rsid w:val="608D150F"/>
    <w:rsid w:val="611D2893"/>
    <w:rsid w:val="613D1187"/>
    <w:rsid w:val="614442C4"/>
    <w:rsid w:val="614B6102"/>
    <w:rsid w:val="61750921"/>
    <w:rsid w:val="617A5F38"/>
    <w:rsid w:val="61926DDD"/>
    <w:rsid w:val="62386256"/>
    <w:rsid w:val="62D11B87"/>
    <w:rsid w:val="62E80EC0"/>
    <w:rsid w:val="631D301E"/>
    <w:rsid w:val="631F49AF"/>
    <w:rsid w:val="632717A7"/>
    <w:rsid w:val="6384309D"/>
    <w:rsid w:val="638D0589"/>
    <w:rsid w:val="63CE39A4"/>
    <w:rsid w:val="63D27965"/>
    <w:rsid w:val="64025D70"/>
    <w:rsid w:val="643017E4"/>
    <w:rsid w:val="644840CB"/>
    <w:rsid w:val="64966BE4"/>
    <w:rsid w:val="65165F77"/>
    <w:rsid w:val="656E2796"/>
    <w:rsid w:val="65FE0EE5"/>
    <w:rsid w:val="663F14FE"/>
    <w:rsid w:val="666716AD"/>
    <w:rsid w:val="66707909"/>
    <w:rsid w:val="66B141AA"/>
    <w:rsid w:val="670D60AD"/>
    <w:rsid w:val="67470A9D"/>
    <w:rsid w:val="6773145F"/>
    <w:rsid w:val="67B90B06"/>
    <w:rsid w:val="67FA56DC"/>
    <w:rsid w:val="681A3FD0"/>
    <w:rsid w:val="6888718C"/>
    <w:rsid w:val="68B25FB7"/>
    <w:rsid w:val="69164798"/>
    <w:rsid w:val="69D837FB"/>
    <w:rsid w:val="6A246A40"/>
    <w:rsid w:val="6A9C6F1F"/>
    <w:rsid w:val="6ABA1153"/>
    <w:rsid w:val="6AF44665"/>
    <w:rsid w:val="6B3804B0"/>
    <w:rsid w:val="6BA46FC2"/>
    <w:rsid w:val="6BDB75D3"/>
    <w:rsid w:val="6BF80185"/>
    <w:rsid w:val="6C2B055A"/>
    <w:rsid w:val="6C423AF6"/>
    <w:rsid w:val="6C891725"/>
    <w:rsid w:val="6C8A72E3"/>
    <w:rsid w:val="6C923EBF"/>
    <w:rsid w:val="6CEB7CD9"/>
    <w:rsid w:val="6D1D49F8"/>
    <w:rsid w:val="6D465A88"/>
    <w:rsid w:val="6D5D3CB7"/>
    <w:rsid w:val="6D8F2D6B"/>
    <w:rsid w:val="6E047686"/>
    <w:rsid w:val="6E0C43BB"/>
    <w:rsid w:val="6EF07839"/>
    <w:rsid w:val="6F2F65B3"/>
    <w:rsid w:val="6F8456A9"/>
    <w:rsid w:val="6FC4358D"/>
    <w:rsid w:val="6FF128C8"/>
    <w:rsid w:val="6FF60E7F"/>
    <w:rsid w:val="70C25E47"/>
    <w:rsid w:val="713C6D66"/>
    <w:rsid w:val="71DD2CB4"/>
    <w:rsid w:val="72011973"/>
    <w:rsid w:val="72563E57"/>
    <w:rsid w:val="72DA6836"/>
    <w:rsid w:val="72F21DD2"/>
    <w:rsid w:val="72FF629D"/>
    <w:rsid w:val="730022F6"/>
    <w:rsid w:val="73123A3C"/>
    <w:rsid w:val="732301DD"/>
    <w:rsid w:val="732950C8"/>
    <w:rsid w:val="735E76C4"/>
    <w:rsid w:val="73C60B68"/>
    <w:rsid w:val="73FD2CDB"/>
    <w:rsid w:val="74024296"/>
    <w:rsid w:val="74185868"/>
    <w:rsid w:val="742510D0"/>
    <w:rsid w:val="74257F85"/>
    <w:rsid w:val="744F0B5E"/>
    <w:rsid w:val="747810EC"/>
    <w:rsid w:val="749A44CF"/>
    <w:rsid w:val="74E41BEE"/>
    <w:rsid w:val="74F55BA9"/>
    <w:rsid w:val="74F6722B"/>
    <w:rsid w:val="751A53DD"/>
    <w:rsid w:val="75224489"/>
    <w:rsid w:val="753A35BC"/>
    <w:rsid w:val="75504B8E"/>
    <w:rsid w:val="76191423"/>
    <w:rsid w:val="76326989"/>
    <w:rsid w:val="76562678"/>
    <w:rsid w:val="7718792D"/>
    <w:rsid w:val="77D965A0"/>
    <w:rsid w:val="77FC484A"/>
    <w:rsid w:val="782C5979"/>
    <w:rsid w:val="7847671C"/>
    <w:rsid w:val="789254BD"/>
    <w:rsid w:val="78FA1894"/>
    <w:rsid w:val="79002D6F"/>
    <w:rsid w:val="791660EE"/>
    <w:rsid w:val="79751DE3"/>
    <w:rsid w:val="7A1E674C"/>
    <w:rsid w:val="7B5B0730"/>
    <w:rsid w:val="7B821819"/>
    <w:rsid w:val="7B8B4A06"/>
    <w:rsid w:val="7BAC4AE8"/>
    <w:rsid w:val="7C9C690A"/>
    <w:rsid w:val="7D1172F8"/>
    <w:rsid w:val="7D7B6E68"/>
    <w:rsid w:val="7DAC0DCF"/>
    <w:rsid w:val="7E312723"/>
    <w:rsid w:val="7E372159"/>
    <w:rsid w:val="7EAF501B"/>
    <w:rsid w:val="7F080287"/>
    <w:rsid w:val="7F1255AA"/>
    <w:rsid w:val="7F491DA9"/>
    <w:rsid w:val="7F8C1B0B"/>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Table Text"/>
    <w:basedOn w:val="1"/>
    <w:semiHidden/>
    <w:qFormat/>
    <w:uiPriority w:val="0"/>
    <w:rPr>
      <w:rFonts w:ascii="宋体" w:hAnsi="宋体" w:cs="宋体"/>
      <w:sz w:val="18"/>
      <w:szCs w:val="18"/>
      <w:lang w:eastAsia="en-US"/>
    </w:r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7de72121-5251-43aa-a5c1-97f93b4bc2b2</errorID>
      <errorWord>适于</errorWord>
      <group>L1_AI</group>
      <groupName>深度校对</groupName>
      <ability>L2_AI_Word</ability>
      <abilityName>字词纠错</abilityName>
      <candidateList>
        <item>适用于</item>
      </candidateList>
      <explain/>
      <paraID>713DD9A2</paraID>
      <start>9</start>
      <end>11</end>
      <status>unmodified</status>
      <modifiedWord/>
      <trackRevisions>false</trackRevisions>
    </reviewItem>
    <reviewItem>
      <errorID>563ff2e1-451e-4cf6-afd4-30e05ed20a5c</errorID>
      <errorWord>制订</errorWord>
      <group>L1_AI</group>
      <groupName>深度校对</groupName>
      <ability>L2_AI_Word</ability>
      <abilityName>字词纠错</abilityName>
      <candidateList>
        <item>制定</item>
      </candidateList>
      <explain/>
      <paraID>713DD9A2</paraID>
      <start>56</start>
      <end>58</end>
      <status>unmodified</status>
      <modifiedWord/>
      <trackRevisions>false</trackRevisions>
    </reviewItem>
    <reviewItem>
      <errorID>7423560c-6938-4565-8434-f56fd5010173</errorID>
      <errorWord>，</errorWord>
      <group>L1_AI</group>
      <groupName>深度校对</groupName>
      <ability>L2_AI_Punc</ability>
      <abilityName>标点纠错</abilityName>
      <candidateList>
        <item>、</item>
      </candidateList>
      <explain/>
      <paraID>713DD9A2</paraID>
      <start>86</start>
      <end>87</end>
      <status>unmodified</status>
      <modifiedWord/>
      <trackRevisions>false</trackRevisions>
    </reviewItem>
    <reviewItem>
      <errorID>b37e3b9a-ea19-44ad-a2f9-25271f99019a</errorID>
      <errorWord>同等学力</errorWord>
      <group>L1_Word</group>
      <groupName>字词问题</groupName>
      <ability>L2_Typo</ability>
      <abilityName>字词错误</abilityName>
      <candidateList>
        <item>同等学历</item>
      </candidateList>
      <explain/>
      <paraID>49565698</paraID>
      <start>20</start>
      <end>24</end>
      <status>modified</status>
      <modifiedWord>同等学历</modifiedWord>
      <trackRevisions>false</trackRevisions>
    </reviewItem>
    <reviewItem>
      <errorID>a85bb712-7756-4447-9a51-14b6cdabc66a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4B74DE88</paraID>
      <start>22</start>
      <end>23</end>
      <status>unmodified</status>
      <modifiedWord/>
      <trackRevisions>false</trackRevisions>
    </reviewItem>
    <reviewItem>
      <errorID>aee73db5-6e88-4ca7-bc0c-900d049f676c</errorID>
      <errorWord>能</errorWord>
      <group>L1_Word</group>
      <groupName>字词问题</groupName>
      <ability>L2_Typo</ability>
      <abilityName>字词错误</abilityName>
      <candidateList>
        <item>能够</item>
      </candidateList>
      <explain/>
      <paraID>61BD18EE</paraID>
      <start>20</start>
      <end>21</end>
      <status>unmodified</status>
      <modifiedWord/>
      <trackRevisions>false</trackRevisions>
    </reviewItem>
    <reviewItem>
      <errorID>2c126765-c825-4910-a80b-5f8cdcf5d476</errorID>
      <errorWord>职能能力</errorWord>
      <group>L1_AI</group>
      <groupName>深度校对</groupName>
      <ability>L2_AI_Word</ability>
      <abilityName>字词纠错</abilityName>
      <candidateList>
        <item>职业技能</item>
      </candidateList>
      <explain/>
      <paraID>55B2EB34</paraID>
      <start>75</start>
      <end>79</end>
      <status>unmodified</status>
      <modifiedWord/>
      <trackRevisions>false</trackRevisions>
    </reviewItem>
    <reviewItem>
      <errorID>46522f10-2f94-4fe3-8b8e-94d9507ce31c</errorID>
      <errorWord>判断上</errorWord>
      <group>L1_Word</group>
      <groupName>字词问题</groupName>
      <ability>L2_Typo</ability>
      <abilityName>字词错误</abilityName>
      <candidateList>
        <item>判断</item>
      </candidateList>
      <explain/>
      <paraID>1725DF53</paraID>
      <start>47</start>
      <end>50</end>
      <status>unmodified</status>
      <modifiedWord/>
      <trackRevisions>false</trackRevisions>
    </reviewItem>
    <reviewItem>
      <errorID>ffccad69-1ac9-441e-bbfa-37eaa004ddd8</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4456A129</paraID>
      <start>94</start>
      <end>101</end>
      <status>unmodified</status>
      <modifiedWord/>
      <trackRevisions>false</trackRevisions>
    </reviewItem>
    <reviewItem>
      <errorID>c161b4a2-d0e9-4eaa-876f-66270c77fd91</errorID>
      <errorWord>围绕在</errorWord>
      <group>L1_Word</group>
      <groupName>字词问题</groupName>
      <ability>L2_Typo</ability>
      <abilityName>字词错误</abilityName>
      <candidateList>
        <item>围绕</item>
      </candidateList>
      <explain/>
      <paraID>4456A129</paraID>
      <start>104</start>
      <end>107</end>
      <status>unmodified</status>
      <modifiedWord/>
      <trackRevisions>false</trackRevisions>
    </reviewItem>
    <reviewItem>
      <errorID>e3c20c5e-6233-484d-864f-107ff1bbdc10</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65D877FF</paraID>
      <start>133</start>
      <end>138</end>
      <status>unmodified</status>
      <modifiedWord/>
      <trackRevisions>false</trackRevisions>
    </reviewItem>
    <reviewItem>
      <errorID>62c70170-9353-4256-875a-f565477bae2f</errorID>
      <errorWord>情景教学法</errorWord>
      <group>L1_Knowledge</group>
      <groupName>知识性问题</groupName>
      <ability>L2_Term</ability>
      <abilityName>专业术语</abilityName>
      <candidateList>
        <item>情境教学法</item>
      </candidateList>
      <explain/>
      <paraID>61516CC5</paraID>
      <start>9</start>
      <end>14</end>
      <status>unmodified</status>
      <modifiedWord/>
      <trackRevisions>false</trackRevisions>
    </reviewItem>
    <reviewItem>
      <errorID>124ab975-537c-45bd-809e-39ea30b9bdb7</errorID>
      <errorWord>的</errorWord>
      <group>L1_Word</group>
      <groupName>字词问题</groupName>
      <ability>L2_Typo</ability>
      <abilityName>字词错误</abilityName>
      <candidateList>
        <item>的新</item>
      </candidateList>
      <explain/>
      <paraID>6085D628</paraID>
      <start>49</start>
      <end>50</end>
      <status>unmodified</status>
      <modifiedWord/>
      <trackRevisions>false</trackRevisions>
    </reviewItem>
    <reviewItem>
      <errorID>48558b24-9cdb-4cd5-903a-b69c310da3a6</errorID>
      <errorWord>；</errorWord>
      <group>L1_Word</group>
      <groupName>字词问题</groupName>
      <ability>L2_Typo</ability>
      <abilityName>字词错误</abilityName>
      <candidateList>
        <item>；在</item>
      </candidateList>
      <explain/>
      <paraID>1901E2D3</paraID>
      <start>18</start>
      <end>19</end>
      <status>unmodified</status>
      <modifiedWord/>
      <trackRevisions>false</trackRevisions>
    </reviewItem>
    <reviewItem>
      <errorID>1c6554b9-a3cc-4477-8c68-098cbefbeecc</errorID>
      <errorWord>时代化的</errorWord>
      <group>L1_Word</group>
      <groupName>字词问题</groupName>
      <ability>L2_Typo</ability>
      <abilityName>字词错误</abilityName>
      <candidateList>
        <item>时代化</item>
      </candidateList>
      <explain/>
      <paraID>34B658DE</paraID>
      <start>113</start>
      <end>117</end>
      <status>unmodified</status>
      <modifiedWord/>
      <trackRevisions>false</trackRevisions>
    </reviewItem>
    <reviewItem>
      <errorID>a59f22c8-cf82-4363-b78d-c8b5e3c15d35</errorID>
      <errorWord>扩大</errorWord>
      <group>L1_Word</group>
      <groupName>字词问题</groupName>
      <ability>L2_Typo</ability>
      <abilityName>字词错误</abilityName>
      <candidateList>
        <item>扩宽</item>
      </candidateList>
      <explain/>
      <paraID>28D3B7A1</paraID>
      <start>119</start>
      <end>121</end>
      <status>unmodified</status>
      <modifiedWord/>
      <trackRevisions>false</trackRevisions>
    </reviewItem>
    <reviewItem>
      <errorID>0328c167-1548-4ab2-ac97-0cf4ca18d2b7</errorID>
      <errorWord>坚持和加强党的领导</errorWord>
      <group>L1_Word</group>
      <groupName>字词问题</groupName>
      <ability>L2_Typo</ability>
      <abilityName>字词错误</abilityName>
      <candidateList>
        <item>坚持和加强党的全面领导</item>
      </candidateList>
      <explain/>
      <paraID>67012681</paraID>
      <start>101</start>
      <end>110</end>
      <status>unmodified</status>
      <modifiedWord/>
      <trackRevisions>false</trackRevisions>
    </reviewItem>
    <reviewItem>
      <errorID>dcc43e8a-296d-459d-adf5-84631af4a1c5</errorID>
      <errorWord>，</errorWord>
      <group>L1_Word</group>
      <groupName>字词问题</groupName>
      <ability>L2_Typo</ability>
      <abilityName>字词错误</abilityName>
      <candidateList>
        <item>，及</item>
      </candidateList>
      <explain/>
      <paraID>732E43CA</paraID>
      <start>35</start>
      <end>36</end>
      <status>unmodified</status>
      <modifiedWord/>
      <trackRevisions>false</trackRevisions>
    </reviewItem>
    <reviewItem>
      <errorID>93681e5c-0b23-4060-9808-46518840c92c</errorID>
      <errorWord>的</errorWord>
      <group>L1_Word</group>
      <groupName>字词问题</groupName>
      <ability>L2_Typo</ability>
      <abilityName>字词错误</abilityName>
      <candidateList>
        <item>的国</item>
      </candidateList>
      <explain/>
      <paraID>732E43CA</paraID>
      <start>154</start>
      <end>155</end>
      <status>unmodified</status>
      <modifiedWord/>
      <trackRevisions>false</trackRevisions>
    </reviewItem>
    <reviewItem>
      <errorID>6cd0fdc2-300e-4806-8a3a-91b9c1f57bc1</errorID>
      <errorWord>全面建设小康社会</errorWord>
      <group>L1_Word</group>
      <groupName>字词问题</groupName>
      <ability>L2_Typo</ability>
      <abilityName>字词错误</abilityName>
      <candidateList>
        <item>全面建成小康社会</item>
      </candidateList>
      <explain/>
      <paraID>701C94C6</paraID>
      <start>90</start>
      <end>98</end>
      <status>unmodified</status>
      <modifiedWord/>
      <trackRevisions>false</trackRevisions>
    </reviewItem>
    <reviewItem>
      <errorID>ec2b056f-7d03-4e6c-a59c-3abe64071c44</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30574654</paraID>
      <start>116</start>
      <end>129</end>
      <status>unmodified</status>
      <modifiedWord/>
      <trackRevisions>false</trackRevisions>
    </reviewItem>
    <reviewItem>
      <errorID>cd757425-80f9-4a26-9ff5-793f7eb7c6a3</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182F0680</paraID>
      <start>0</start>
      <end>8</end>
      <status>unmodified</status>
      <modifiedWord/>
      <trackRevisions>false</trackRevisions>
    </reviewItem>
    <reviewItem>
      <errorID>e510a18d-c7d7-47fd-950f-b29430fafa43</errorID>
      <errorWord>增强</errorWord>
      <group>L1_Grammar</group>
      <groupName>语法问题</groupName>
      <ability>L2_Grammar</ability>
      <abilityName>语法错误</abilityName>
      <candidateList>
        <item>加深</item>
      </candidateList>
      <explain>“增强～认识”搭配不当，建议修改为“加深～认识”。</explain>
      <paraID>1594A972</paraID>
      <start>92</start>
      <end>94</end>
      <status>unmodified</status>
      <modifiedWord/>
      <trackRevisions>false</trackRevisions>
    </reviewItem>
    <reviewItem>
      <errorID>d7a91f91-db80-4353-9eac-4bf5382b9262</errorID>
      <errorWord>界线</errorWord>
      <group>L1_Word</group>
      <groupName>字词问题</groupName>
      <ability>L2_Typo</ability>
      <abilityName>字词错误</abilityName>
      <candidateList>
        <item>界限</item>
      </candidateList>
      <explain/>
      <paraID>2180543E</paraID>
      <start>161</start>
      <end>163</end>
      <status>unmodified</status>
      <modifiedWord/>
      <trackRevisions>false</trackRevisions>
    </reviewItem>
    <reviewItem>
      <errorID>134dfcc8-ef03-4c98-8a0d-d62d040bcca2</errorID>
      <errorWord>了解了</errorWord>
      <group>L1_Word</group>
      <groupName>字词问题</groupName>
      <ability>L2_Typo</ability>
      <abilityName>字词错误</abilityName>
      <candidateList>
        <item>了解</item>
      </candidateList>
      <explain/>
      <paraID>57819101</paraID>
      <start>34</start>
      <end>37</end>
      <status>unmodified</status>
      <modifiedWord/>
      <trackRevisions>false</trackRevisions>
    </reviewItem>
    <reviewItem>
      <errorID>32fc28c6-7d24-43b6-843e-4b1831e5d210</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46584CE7</paraID>
      <start>163</start>
      <end>174</end>
      <status>unmodified</status>
      <modifiedWord/>
      <trackRevisions>false</trackRevisions>
    </reviewItem>
    <reviewItem>
      <errorID>fc01b8d5-ac6f-4896-a608-b4540bed0435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541E0A47</paraID>
      <start>7</start>
      <end>8</end>
      <status>unmodified</status>
      <modifiedWord/>
      <trackRevisions>false</trackRevisions>
    </reviewItem>
    <reviewItem>
      <errorID>d20b23a1-47a1-483b-869d-bccf5f1312c9</errorID>
      <errorWord>合同法</errorWord>
      <group>L1_Knowledge</group>
      <groupName>知识性问题</groupName>
      <ability>L2_Knowledge</ability>
      <abilityName>其他知识</abilityName>
      <candidateList/>
      <explain>已废止</explain>
      <paraID>59ADE279</paraID>
      <start>17</start>
      <end>20</end>
      <status>unmodified</status>
      <modifiedWord/>
      <trackRevisions>false</trackRevisions>
    </reviewItem>
    <reviewItem>
      <errorID>f20e6485-d5ec-454e-957e-4dc8de619b95</errorID>
      <errorWord>新发展理念、高质量发展</errorWord>
      <group>L1_Political</group>
      <groupName>政治性问题</groupName>
      <ability>L2_Keyword</ability>
      <abilityName>固定表述</abilityName>
      <candidateList>
        <item>新发展理念引领高质量发展</item>
      </candidateList>
      <explain>词汇“新发展理念引领高质量发展”在特定场景下为固定表述形式，请确认此处的“新发展理念、高质量发展”是否存在不当。</explain>
      <paraID>3DF8294A</paraID>
      <start>37</start>
      <end>49</end>
      <status>modified</status>
      <modifiedWord>新发展理念引领高质量发展</modifiedWord>
      <trackRevisions>false</trackRevisions>
    </reviewItem>
    <reviewItem>
      <errorID>147a3222-84b6-4d86-b631-e7da4f957c34</errorID>
      <errorWord>课</errorWord>
      <group>L1_Word</group>
      <groupName>字词问题</groupName>
      <ability>L2_Typo</ability>
      <abilityName>字词错误</abilityName>
      <candidateList>
        <item>课程</item>
      </candidateList>
      <explain/>
      <paraID>6C03BDD9</paraID>
      <start>4</start>
      <end>5</end>
      <status>unmodified</status>
      <modifiedWord/>
      <trackRevisions>false</trackRevisions>
    </reviewItem>
    <reviewItem>
      <errorID>4519fa53-ce36-45d2-8ea5-fb64314858a9</errorID>
      <errorWord>；</errorWord>
      <group>L1_Word</group>
      <groupName>字词问题</groupName>
      <ability>L2_Typo</ability>
      <abilityName>字词错误</abilityName>
      <candidateList>
        <item>；在</item>
      </candidateList>
      <explain/>
      <paraID>7CC34EF6</paraID>
      <start>14</start>
      <end>15</end>
      <status>unmodified</status>
      <modifiedWord/>
      <trackRevisions>false</trackRevisions>
    </reviewItem>
    <reviewItem>
      <errorID>3b155e9d-5388-4601-a269-922dcab094d4</errorID>
      <errorWord>与</errorWord>
      <group>L1_Word</group>
      <groupName>字词问题</groupName>
      <ability>L2_Typo</ability>
      <abilityName>字词错误</abilityName>
      <candidateList>
        <item>的</item>
      </candidateList>
      <explain>存在字形相近字词的误用。</explain>
      <paraID>58F53040</paraID>
      <start>39</start>
      <end>40</end>
      <status>unmodified</status>
      <modifiedWord/>
      <trackRevisions>false</trackRevisions>
    </reviewItem>
    <reviewItem>
      <errorID>61a32fb6-973d-4265-ba98-3613b81f0143</errorID>
      <errorWord>提高</errorWord>
      <group>L1_Word</group>
      <groupName>字词问题</groupName>
      <ability>L2_Typo</ability>
      <abilityName>字词错误</abilityName>
      <candidateList>
        <item>强化</item>
      </candidateList>
      <explain/>
      <paraID>27584027</paraID>
      <start>77</start>
      <end>79</end>
      <status>unmodified</status>
      <modifiedWord/>
      <trackRevisions>false</trackRevisions>
    </reviewItem>
    <reviewItem>
      <errorID>61a2a6e3-e94b-4025-aa19-a66e30855319</errorID>
      <errorWord>晰</errorWord>
      <group>L1_Word</group>
      <groupName>字词问题</groupName>
      <ability>L2_Typo</ability>
      <abilityName>字词错误</abilityName>
      <candidateList>
        <item>晰地</item>
      </candidateList>
      <explain/>
      <paraID>2A284CA0</paraID>
      <start>32</start>
      <end>33</end>
      <status>unmodified</status>
      <modifiedWord/>
      <trackRevisions>false</trackRevisions>
    </reviewItem>
    <reviewItem>
      <errorID>23012f32-9746-4331-b6e8-2b4e0c3e3ea9</errorID>
      <errorWord>-</errorWord>
      <group>L1_Format</group>
      <groupName>格式问题</groupName>
      <ability>L2_HalfPunc</ability>
      <abilityName>全半角检查</abilityName>
      <candidateList>
        <item>－</item>
      </candidateList>
      <explain>文本全半角错误。</explain>
      <paraID>2BAC22B5</paraID>
      <start>8</start>
      <end>9</end>
      <status>unmodified</status>
      <modifiedWord/>
      <trackRevisions>false</trackRevisions>
    </reviewItem>
    <reviewItem>
      <errorID>9c5ff679-0cfa-41c1-806c-d279ce9f82d4</errorID>
      <errorWord>课</errorWord>
      <group>L1_Word</group>
      <groupName>字词问题</groupName>
      <ability>L2_Typo</ability>
      <abilityName>字词错误</abilityName>
      <candidateList>
        <item>课程</item>
      </candidateList>
      <explain/>
      <paraID>6D66FEC8</paraID>
      <start>81</start>
      <end>82</end>
      <status>unmodified</status>
      <modifiedWord/>
      <trackRevisions>false</trackRevisions>
    </reviewItem>
    <reviewItem>
      <errorID>bc98d81a-8f85-433c-959b-fd27cd963959</errorID>
      <errorWord>晰</errorWord>
      <group>L1_Word</group>
      <groupName>字词问题</groupName>
      <ability>L2_Typo</ability>
      <abilityName>字词错误</abilityName>
      <candidateList>
        <item>晰地</item>
      </candidateList>
      <explain/>
      <paraID>546AE968</paraID>
      <start>29</start>
      <end>30</end>
      <status>unmodified</status>
      <modifiedWord/>
      <trackRevisions>false</trackRevisions>
    </reviewItem>
    <reviewItem>
      <errorID>f49c9dc6-17c6-4749-acfd-de832fed04f7</errorID>
      <errorWord>德</errorWord>
      <group>L1_Word</group>
      <groupName>字词问题</groupName>
      <ability>L2_Typo</ability>
      <abilityName>字词错误</abilityName>
      <candidateList>
        <item>的</item>
      </candidateList>
      <explain>“的”常用于连接修饰语与名词性中心语，表示属性、所属或描述。</explain>
      <paraID>7C6075E4</paraID>
      <start>0</start>
      <end>1</end>
      <status>unmodified</status>
      <modifiedWord/>
      <trackRevisions>false</trackRevisions>
    </reviewItem>
    <reviewItem>
      <errorID>a245ab31-d671-4fea-aa6a-5ae3c91c3d5d</errorID>
      <errorWord>融</errorWord>
      <group>L1_Word</group>
      <groupName>字词问题</groupName>
      <ability>L2_Typo</ability>
      <abilityName>字词错误</abilityName>
      <candidateList>
        <item>融合</item>
      </candidateList>
      <explain>〈动〉几种不同的事物合成一体：文化～｜～各家之长。也作融和。</explain>
      <paraID>5EBA1A6E</paraID>
      <start>9</start>
      <end>10</end>
      <status>unmodified</status>
      <modifiedWord/>
      <trackRevisions>false</trackRevisions>
    </reviewItem>
    <reviewItem>
      <errorID>5e9797ab-d46c-4287-8880-2ae46ac46abd</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480DBBBC</paraID>
      <start>0</start>
      <end>8</end>
      <status>unmodified</status>
      <modifiedWord/>
      <trackRevisions>false</trackRevisions>
    </reviewItem>
    <reviewItem>
      <errorID>00c11252-e590-455a-8fa8-0a93727284ab</errorID>
      <errorWord>起</errorWord>
      <group>L1_Word</group>
      <groupName>字词问题</groupName>
      <ability>L2_Typo</ability>
      <abilityName>字词错误</abilityName>
      <candidateList>
        <item>起到</item>
      </candidateList>
      <explain/>
      <paraID>39D4BD5C</paraID>
      <start>130</start>
      <end>131</end>
      <status>unmodified</status>
      <modifiedWord/>
      <trackRevisions>false</trackRevisions>
    </reviewItem>
    <reviewItem>
      <errorID>ef03e0f8-6f35-4435-909e-1366353187cf</errorID>
      <errorWord>"</errorWord>
      <group>L1_Format</group>
      <groupName>格式问题</groupName>
      <ability>L2_HalfPunc</ability>
      <abilityName>全半角检查</abilityName>
      <candidateList>
        <item>“</item>
      </candidateList>
      <explain>文本全半角错误。</explain>
      <paraID>6E60A9AF</paraID>
      <start>26</start>
      <end>27</end>
      <status>unmodified</status>
      <modifiedWord/>
      <trackRevisions>false</trackRevisions>
    </reviewItem>
    <reviewItem>
      <errorID>97337c8b-9a4b-4489-bd00-c63d9aeebdf7</errorID>
      <errorWord>"</errorWord>
      <group>L1_Format</group>
      <groupName>格式问题</groupName>
      <ability>L2_HalfPunc</ability>
      <abilityName>全半角检查</abilityName>
      <candidateList>
        <item>”</item>
      </candidateList>
      <explain>文本全半角错误。</explain>
      <paraID>6E60A9AF</paraID>
      <start>31</start>
      <end>32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f7f5d4-7064-4126-8592-f0c6a5b74c13}">
  <ds:schemaRefs/>
</ds:datastoreItem>
</file>

<file path=docProps/app.xml><?xml version="1.0" encoding="utf-8"?>
<Properties xmlns="http://schemas.openxmlformats.org/officeDocument/2006/extended-properties" xmlns:vt="http://schemas.openxmlformats.org/officeDocument/2006/docPropsVTypes">
  <Template>Normal</Template>
  <Pages>53</Pages>
  <Words>22587</Words>
  <Characters>22723</Characters>
  <Lines>1850</Lines>
  <Paragraphs>1270</Paragraphs>
  <TotalTime>1</TotalTime>
  <ScaleCrop>false</ScaleCrop>
  <LinksUpToDate>false</LinksUpToDate>
  <CharactersWithSpaces>23006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ll</cp:lastModifiedBy>
  <cp:lastPrinted>2026-03-24T12:33:00Z</cp:lastPrinted>
  <dcterms:modified xsi:type="dcterms:W3CDTF">2026-03-24T14:13:35Z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2BFF73678D4E45598CED8630F2F349FE_13</vt:lpwstr>
  </property>
  <property fmtid="{D5CDD505-2E9C-101B-9397-08002B2CF9AE}" pid="4" name="KSOTemplateDocerSaveRecord">
    <vt:lpwstr>eyJoZGlkIjoiOTlkYjc2ZWYyMDRiNWJjZTRkYjI2Yzk5M2I2MDljMjYiLCJ1c2VySWQiOiIyOTg5OTU1NTEifQ==</vt:lpwstr>
  </property>
</Properties>
</file>