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10"/>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FF0000"/>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大数据与财务管理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lang w:val="en-US" w:eastAsia="zh-CN"/>
        </w:rPr>
        <w:t xml:space="preserve">      530301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2025年4月</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经济管理学院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FF0000"/>
          <w:kern w:val="0"/>
          <w:sz w:val="32"/>
          <w:szCs w:val="32"/>
          <w:shd w:val="clear" w:color="auto" w:fill="FFFFFF"/>
        </w:rPr>
      </w:pPr>
    </w:p>
    <w:p>
      <w:pPr>
        <w:rPr>
          <w:rFonts w:hint="eastAsia" w:ascii="仿宋_GB2312" w:hAnsi="仿宋_GB2312" w:eastAsia="仿宋_GB2312" w:cs="仿宋_GB2312"/>
          <w:color w:val="FF0000"/>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rPr>
          <w:rFonts w:hint="eastAsia" w:ascii="仿宋_GB2312" w:hAnsi="仿宋_GB2312" w:eastAsia="仿宋_GB2312" w:cs="仿宋_GB2312"/>
          <w:color w:val="FF0000"/>
          <w:kern w:val="0"/>
          <w:sz w:val="32"/>
          <w:szCs w:val="32"/>
          <w:shd w:val="clear" w:color="auto" w:fill="FFFFFF"/>
          <w:lang w:val="en-US" w:eastAsia="zh-CN"/>
        </w:rPr>
        <w:sectPr>
          <w:headerReference r:id="rId3"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FF0000"/>
          <w:kern w:val="0"/>
          <w:sz w:val="32"/>
          <w:szCs w:val="32"/>
          <w:shd w:val="clear" w:color="auto" w:fill="FFFFFF"/>
          <w:lang w:val="en-US" w:eastAsia="zh-CN"/>
        </w:rPr>
        <w:sectPr>
          <w:footerReference r:id="rId4"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FF0000"/>
          <w:kern w:val="0"/>
          <w:sz w:val="32"/>
          <w:szCs w:val="32"/>
          <w:shd w:val="clear" w:color="auto" w:fill="FFFFFF"/>
          <w:lang w:val="en-US" w:eastAsia="zh-CN"/>
        </w:rPr>
      </w:pPr>
    </w:p>
    <w:p>
      <w:pPr>
        <w:jc w:val="cente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pPr>
        <w:ind w:firstLine="880" w:firstLineChars="200"/>
        <w:rPr>
          <w:rFonts w:hint="eastAsia" w:ascii="黑体" w:hAnsi="黑体" w:eastAsia="黑体" w:cs="黑体"/>
          <w:b w:val="0"/>
          <w:bCs/>
          <w:color w:val="auto"/>
          <w:sz w:val="44"/>
          <w:szCs w:val="44"/>
        </w:rPr>
      </w:pPr>
    </w:p>
    <w:p>
      <w:pPr>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工程职业学院大数据与财务管理专业教学</w:t>
      </w:r>
      <w:r>
        <w:rPr>
          <w:rFonts w:hint="eastAsia" w:ascii="仿宋_GB2312" w:hAnsi="仿宋_GB2312" w:eastAsia="仿宋_GB2312" w:cs="仿宋_GB2312"/>
          <w:b w:val="0"/>
          <w:bCs/>
          <w:color w:val="auto"/>
          <w:sz w:val="32"/>
          <w:szCs w:val="32"/>
        </w:rPr>
        <w:t>团队与</w:t>
      </w:r>
      <w:r>
        <w:rPr>
          <w:rFonts w:hint="eastAsia" w:ascii="仿宋_GB2312" w:hAnsi="仿宋_GB2312" w:eastAsia="仿宋_GB2312" w:cs="仿宋_GB2312"/>
          <w:b w:val="0"/>
          <w:bCs/>
          <w:color w:val="auto"/>
          <w:sz w:val="32"/>
          <w:szCs w:val="32"/>
          <w:lang w:val="en-US" w:eastAsia="zh-CN"/>
        </w:rPr>
        <w:t>南宁市和源香餐饮投资有限公司、广西连翔土地规划有限公司、中国移动广西有限公司及广西聚峰投资有限公司</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1"/>
        <w:tblW w:w="9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1212"/>
        <w:gridCol w:w="3251"/>
        <w:gridCol w:w="1896"/>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872"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序号</w:t>
            </w:r>
          </w:p>
        </w:tc>
        <w:tc>
          <w:tcPr>
            <w:tcW w:w="1212"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姓名</w:t>
            </w:r>
          </w:p>
        </w:tc>
        <w:tc>
          <w:tcPr>
            <w:tcW w:w="3251"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单位名称</w:t>
            </w:r>
          </w:p>
        </w:tc>
        <w:tc>
          <w:tcPr>
            <w:tcW w:w="1896"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职务</w:t>
            </w:r>
          </w:p>
        </w:tc>
        <w:tc>
          <w:tcPr>
            <w:tcW w:w="1786"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钟燕霞</w:t>
            </w:r>
          </w:p>
        </w:tc>
        <w:tc>
          <w:tcPr>
            <w:tcW w:w="32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南宁市和源香餐饮投资有限公司</w:t>
            </w: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龚幼兰</w:t>
            </w:r>
          </w:p>
        </w:tc>
        <w:tc>
          <w:tcPr>
            <w:tcW w:w="32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广西连翔土地规划有限公司</w:t>
            </w: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项目经理</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李沙擂</w:t>
            </w:r>
          </w:p>
        </w:tc>
        <w:tc>
          <w:tcPr>
            <w:tcW w:w="32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中国移动广西有限公司</w:t>
            </w:r>
            <w:bookmarkStart w:id="72" w:name="_GoBack"/>
            <w:bookmarkEnd w:id="72"/>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梁叶露</w:t>
            </w:r>
          </w:p>
        </w:tc>
        <w:tc>
          <w:tcPr>
            <w:tcW w:w="32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广西聚峰投资有限公司</w:t>
            </w: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项目经理</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5</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石娜</w:t>
            </w:r>
          </w:p>
        </w:tc>
        <w:tc>
          <w:tcPr>
            <w:tcW w:w="32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广西工程职业学院经济管理学院</w:t>
            </w: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专任教师</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黄月梅</w:t>
            </w:r>
          </w:p>
        </w:tc>
        <w:tc>
          <w:tcPr>
            <w:tcW w:w="32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广西工程职业学院经济管理学院</w:t>
            </w: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专任教师</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8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7</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李再山</w:t>
            </w:r>
          </w:p>
        </w:tc>
        <w:tc>
          <w:tcPr>
            <w:tcW w:w="32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广西工程职业学院经济管理学院</w:t>
            </w: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专任教师</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初级会计师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8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8</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韦爱花</w:t>
            </w:r>
          </w:p>
        </w:tc>
        <w:tc>
          <w:tcPr>
            <w:tcW w:w="325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广西工程职业学院经济管理学院</w:t>
            </w: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专任教师</w:t>
            </w: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初级会计师</w:t>
            </w:r>
          </w:p>
        </w:tc>
      </w:tr>
    </w:tbl>
    <w:p>
      <w:pPr>
        <w:rPr>
          <w:rFonts w:hint="eastAsia" w:ascii="黑体" w:hAnsi="黑体" w:eastAsia="黑体" w:cs="黑体"/>
          <w:b w:val="0"/>
          <w:bCs/>
          <w:color w:val="FF0000"/>
          <w:sz w:val="44"/>
          <w:szCs w:val="44"/>
        </w:rPr>
        <w:sectPr>
          <w:footerReference r:id="rId5"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lang w:val="en-US" w:eastAsia="zh-CN"/>
        </w:rPr>
        <w:sectPr>
          <w:footerReference r:id="rId6"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lang w:val="en-US" w:eastAsia="zh-CN"/>
        </w:rPr>
      </w:pPr>
      <w:r>
        <w:rPr>
          <w:rFonts w:hint="eastAsia" w:ascii="黑体" w:hAnsi="黑体" w:eastAsia="黑体" w:cs="黑体"/>
          <w:b w:val="0"/>
          <w:bCs/>
          <w:color w:val="auto"/>
          <w:sz w:val="44"/>
          <w:szCs w:val="44"/>
          <w:lang w:val="en-US" w:eastAsia="zh-CN"/>
        </w:rPr>
        <w:t>目  录</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lang w:val="en-US" w:eastAsia="zh-CN"/>
        </w:rPr>
      </w:pPr>
    </w:p>
    <w:sdt>
      <w:sdtPr>
        <w:rPr>
          <w:rFonts w:ascii="宋体" w:hAnsi="宋体" w:eastAsia="宋体" w:cs="Times New Roman"/>
          <w:kern w:val="2"/>
          <w:sz w:val="21"/>
          <w:szCs w:val="24"/>
          <w:lang w:val="en-US" w:eastAsia="zh-CN" w:bidi="ar-SA"/>
        </w:rPr>
        <w:id w:val="147476949"/>
        <w15:color w:val="DBDBDB"/>
        <w:docPartObj>
          <w:docPartGallery w:val="Table of Contents"/>
          <w:docPartUnique/>
        </w:docPartObj>
      </w:sdtPr>
      <w:sdtEndPr>
        <w:rPr>
          <w:rFonts w:hint="eastAsia" w:ascii="仿宋_GB2312" w:hAnsi="仿宋_GB2312" w:eastAsia="仿宋_GB2312" w:cs="仿宋_GB2312"/>
          <w:bCs/>
          <w:color w:val="auto"/>
          <w:kern w:val="2"/>
          <w:sz w:val="21"/>
          <w:szCs w:val="32"/>
          <w:lang w:val="en-US" w:eastAsia="zh-CN" w:bidi="ar-SA"/>
        </w:rPr>
      </w:sdtEndPr>
      <w:sdtContent>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TOC \o "1-2" \h \u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_Toc3731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_Toc3731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_Toc16018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_Toc16018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_Toc12801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highlight w:val="none"/>
            </w:rPr>
            <w:t>三、</w:t>
          </w:r>
          <w:r>
            <w:rPr>
              <w:rFonts w:hint="eastAsia" w:ascii="仿宋_GB2312" w:hAnsi="仿宋_GB2312" w:eastAsia="仿宋_GB2312" w:cs="仿宋_GB2312"/>
              <w:sz w:val="32"/>
              <w:szCs w:val="32"/>
              <w:highlight w:val="none"/>
              <w:lang w:val="en-US" w:eastAsia="zh-CN"/>
            </w:rPr>
            <w:t>基本</w:t>
          </w:r>
          <w:r>
            <w:rPr>
              <w:rFonts w:hint="eastAsia" w:ascii="仿宋_GB2312" w:hAnsi="仿宋_GB2312" w:eastAsia="仿宋_GB2312" w:cs="仿宋_GB2312"/>
              <w:sz w:val="32"/>
              <w:szCs w:val="32"/>
              <w:highlight w:val="none"/>
            </w:rPr>
            <w:t>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_Toc12801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_Toc16735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_Toc16735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_Toc14962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_Toc14962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_Toc27935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、培养</w:t>
          </w:r>
          <w:r>
            <w:rPr>
              <w:rFonts w:hint="eastAsia" w:ascii="仿宋_GB2312" w:hAnsi="仿宋_GB2312" w:eastAsia="仿宋_GB2312" w:cs="仿宋_GB2312"/>
              <w:sz w:val="32"/>
              <w:szCs w:val="32"/>
              <w:lang w:val="en-US" w:eastAsia="zh-CN"/>
            </w:rPr>
            <w:t>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_Toc27935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_Toc280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 xml:space="preserve">（一） </w:t>
          </w:r>
          <w:r>
            <w:rPr>
              <w:rFonts w:hint="eastAsia" w:ascii="仿宋_GB2312" w:hAnsi="仿宋_GB2312" w:eastAsia="仿宋_GB2312" w:cs="仿宋_GB2312"/>
              <w:sz w:val="32"/>
              <w:szCs w:val="32"/>
              <w:highlight w:val="none"/>
            </w:rPr>
            <w:t>知识</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_Toc28704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 xml:space="preserve">（二） </w:t>
          </w:r>
          <w:r>
            <w:rPr>
              <w:rFonts w:hint="eastAsia" w:ascii="仿宋_GB2312" w:hAnsi="仿宋_GB2312" w:eastAsia="仿宋_GB2312" w:cs="仿宋_GB2312"/>
              <w:sz w:val="32"/>
              <w:szCs w:val="32"/>
              <w:highlight w:val="none"/>
            </w:rPr>
            <w:t>能力</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_Toc28704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_Toc21856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 xml:space="preserve">（三） </w:t>
          </w:r>
          <w:r>
            <w:rPr>
              <w:rFonts w:hint="eastAsia" w:ascii="仿宋_GB2312" w:hAnsi="仿宋_GB2312" w:eastAsia="仿宋_GB2312" w:cs="仿宋_GB2312"/>
              <w:sz w:val="32"/>
              <w:szCs w:val="32"/>
              <w:highlight w:val="none"/>
            </w:rPr>
            <w:t>素质</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_Toc21856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_Toc13579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_Toc13579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_Toc13432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_Toc13432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_Toc13528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_Toc13528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_Toc27124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（三）第二课堂</w:t>
          </w:r>
          <w:r>
            <w:rPr>
              <w:rFonts w:hint="eastAsia" w:ascii="仿宋_GB2312" w:hAnsi="仿宋_GB2312" w:eastAsia="仿宋_GB2312" w:cs="仿宋_GB2312"/>
              <w:sz w:val="32"/>
              <w:szCs w:val="32"/>
              <w:lang w:val="en-US" w:eastAsia="zh-CN"/>
            </w:rPr>
            <w:t>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_Toc27124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_Toc20828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_Toc20828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_Toc19100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_Toc19100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_Toc17763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sz w:val="32"/>
              <w:szCs w:val="32"/>
            </w:rPr>
            <w:t>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_Toc17763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_Toc683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_Toc24173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_Toc24173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_Toc31495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bCs w:val="0"/>
              <w:sz w:val="32"/>
              <w:szCs w:val="32"/>
              <w:lang w:val="en-US" w:eastAsia="zh-CN"/>
            </w:rPr>
            <w:t xml:space="preserve">（一） </w:t>
          </w:r>
          <w:r>
            <w:rPr>
              <w:rFonts w:hint="eastAsia" w:ascii="仿宋_GB2312" w:hAnsi="仿宋_GB2312" w:eastAsia="仿宋_GB2312" w:cs="仿宋_GB2312"/>
              <w:bCs w:val="0"/>
              <w:sz w:val="32"/>
              <w:szCs w:val="32"/>
              <w:highlight w:val="none"/>
              <w:lang w:val="en-US" w:eastAsia="zh-CN"/>
            </w:rPr>
            <w:t>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_Toc31495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_Toc5514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（二） 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_Toc13626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_Toc13626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_Toc2030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兼职教师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_Toc15414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_Toc15414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_Toc5416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_Toc5416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_Toc30755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_Toc30755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_Toc22572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rPr>
            <w:t>（三） 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_Toc22572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_Toc26067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_Toc26067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_Toc6540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十一、</w:t>
          </w:r>
          <w:r>
            <w:rPr>
              <w:rFonts w:hint="eastAsia" w:ascii="仿宋_GB2312" w:hAnsi="仿宋_GB2312" w:eastAsia="仿宋_GB2312" w:cs="仿宋_GB2312"/>
              <w:bCs w:val="0"/>
              <w:sz w:val="32"/>
              <w:szCs w:val="32"/>
              <w:highlight w:val="none"/>
            </w:rPr>
            <w:t>质量</w:t>
          </w:r>
          <w:r>
            <w:rPr>
              <w:rFonts w:hint="eastAsia" w:ascii="仿宋_GB2312" w:hAnsi="仿宋_GB2312" w:eastAsia="仿宋_GB2312" w:cs="仿宋_GB2312"/>
              <w:bCs w:val="0"/>
              <w:sz w:val="32"/>
              <w:szCs w:val="32"/>
              <w:highlight w:val="none"/>
              <w:lang w:val="en-US" w:eastAsia="zh-CN"/>
            </w:rPr>
            <w:t>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_Toc6540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7"/>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_Toc30343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十二、</w:t>
          </w:r>
          <w:r>
            <w:rPr>
              <w:rFonts w:hint="eastAsia" w:ascii="仿宋_GB2312" w:hAnsi="仿宋_GB2312" w:eastAsia="仿宋_GB2312" w:cs="仿宋_GB2312"/>
              <w:bCs w:val="0"/>
              <w:sz w:val="32"/>
              <w:szCs w:val="32"/>
              <w:highlight w:val="none"/>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_Toc30343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_Toc3218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_Toc17195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_Toc17195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pStyle w:val="8"/>
            <w:keepNext w:val="0"/>
            <w:keepLines w:val="0"/>
            <w:pageBreakBefore w:val="0"/>
            <w:widowControl w:val="0"/>
            <w:tabs>
              <w:tab w:val="right" w:leader="dot" w:pos="8505"/>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kern w:val="2"/>
              <w:sz w:val="32"/>
              <w:szCs w:val="32"/>
              <w:lang w:val="en-US" w:eastAsia="zh-CN" w:bidi="ar-SA"/>
            </w:rPr>
            <w:instrText xml:space="preserve"> HYPERLINK \l _Toc30239 </w:instrText>
          </w:r>
          <w:r>
            <w:rPr>
              <w:rFonts w:hint="eastAsia" w:ascii="仿宋_GB2312" w:hAnsi="仿宋_GB2312" w:eastAsia="仿宋_GB2312" w:cs="仿宋_GB2312"/>
              <w:bCs/>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（三）综合素质要求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_Toc30239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仿宋_GB2312" w:hAnsi="仿宋_GB2312" w:eastAsia="仿宋_GB2312" w:cs="仿宋_GB2312"/>
              <w:bCs/>
              <w:color w:val="auto"/>
              <w:kern w:val="2"/>
              <w:sz w:val="21"/>
              <w:szCs w:val="32"/>
              <w:lang w:val="en-US" w:eastAsia="zh-CN" w:bidi="ar-SA"/>
            </w:rPr>
          </w:pPr>
          <w:r>
            <w:rPr>
              <w:rFonts w:hint="eastAsia" w:ascii="仿宋_GB2312" w:hAnsi="仿宋_GB2312" w:eastAsia="仿宋_GB2312" w:cs="仿宋_GB2312"/>
              <w:bCs/>
              <w:color w:val="auto"/>
              <w:kern w:val="2"/>
              <w:sz w:val="32"/>
              <w:szCs w:val="32"/>
              <w:lang w:val="en-US" w:eastAsia="zh-CN" w:bidi="ar-SA"/>
            </w:rPr>
            <w:fldChar w:fldCharType="end"/>
          </w:r>
        </w:p>
      </w:sdtContent>
    </w:sdt>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sectPr>
          <w:footerReference r:id="rId7" w:type="default"/>
          <w:pgSz w:w="11906" w:h="16838"/>
          <w:pgMar w:top="1417" w:right="1417" w:bottom="1417" w:left="1417" w:header="851" w:footer="992" w:gutter="0"/>
          <w:pgNumType w:fmt="decimal"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highlight w:val="none"/>
          <w:lang w:val="en-US" w:eastAsia="zh-CN"/>
        </w:rPr>
        <w:t>大数据与财务管理</w:t>
      </w: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0" w:name="_Toc3731"/>
      <w:r>
        <w:rPr>
          <w:rFonts w:hint="eastAsia" w:ascii="黑体" w:hAnsi="黑体" w:eastAsia="黑体" w:cs="黑体"/>
          <w:color w:val="auto"/>
          <w:sz w:val="32"/>
          <w:szCs w:val="32"/>
        </w:rPr>
        <w:t>一、专业名称及代码</w:t>
      </w:r>
      <w:bookmarkEnd w:id="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专业名称：</w:t>
      </w:r>
      <w:r>
        <w:rPr>
          <w:rFonts w:hint="eastAsia" w:ascii="仿宋_GB2312" w:hAnsi="仿宋_GB2312" w:eastAsia="仿宋_GB2312" w:cs="仿宋_GB2312"/>
          <w:sz w:val="32"/>
          <w:szCs w:val="32"/>
          <w:highlight w:val="none"/>
        </w:rPr>
        <w:t>大数据与财务管理</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bookmarkStart w:id="1" w:name="_Toc20561"/>
      <w:r>
        <w:rPr>
          <w:rFonts w:hint="eastAsia" w:ascii="仿宋_GB2312" w:hAnsi="仿宋_GB2312" w:eastAsia="仿宋_GB2312" w:cs="仿宋_GB2312"/>
          <w:color w:val="auto"/>
          <w:sz w:val="32"/>
          <w:szCs w:val="32"/>
          <w:highlight w:val="none"/>
        </w:rPr>
        <w:t>专业代码：</w:t>
      </w:r>
      <w:r>
        <w:rPr>
          <w:rFonts w:hint="eastAsia" w:ascii="仿宋_GB2312" w:hAnsi="仿宋_GB2312" w:eastAsia="仿宋_GB2312" w:cs="仿宋_GB2312"/>
          <w:sz w:val="32"/>
          <w:szCs w:val="32"/>
          <w:highlight w:val="none"/>
        </w:rPr>
        <w:t>530301</w:t>
      </w:r>
      <w:bookmarkEnd w:id="1"/>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2" w:name="_Toc16018"/>
      <w:r>
        <w:rPr>
          <w:rFonts w:hint="eastAsia" w:ascii="黑体" w:hAnsi="黑体" w:eastAsia="黑体" w:cs="黑体"/>
          <w:color w:val="auto"/>
          <w:sz w:val="32"/>
          <w:szCs w:val="32"/>
        </w:rPr>
        <w:t>二、入学要求</w:t>
      </w:r>
      <w:bookmarkEnd w:id="2"/>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w:t>
      </w:r>
      <w:r>
        <w:rPr>
          <w:rFonts w:hint="eastAsia" w:ascii="仿宋_GB2312" w:hAnsi="仿宋_GB2312" w:eastAsia="仿宋_GB2312" w:cs="仿宋_GB2312"/>
          <w:color w:val="auto"/>
          <w:sz w:val="32"/>
          <w:szCs w:val="32"/>
          <w:lang w:eastAsia="zh-CN"/>
        </w:rPr>
        <w:t>同等</w:t>
      </w:r>
      <w:r>
        <w:rPr>
          <w:rFonts w:hint="eastAsia" w:ascii="仿宋_GB2312" w:hAnsi="仿宋_GB2312" w:eastAsia="仿宋_GB2312" w:cs="仿宋_GB2312"/>
          <w:color w:val="auto"/>
          <w:sz w:val="32"/>
          <w:szCs w:val="32"/>
          <w:lang w:val="en-US" w:eastAsia="zh-CN"/>
        </w:rPr>
        <w:t>学力</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highlight w:val="none"/>
        </w:rPr>
      </w:pPr>
      <w:bookmarkStart w:id="3" w:name="_Toc12801"/>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3"/>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4" w:name="_Toc16735"/>
      <w:r>
        <w:rPr>
          <w:rFonts w:hint="eastAsia" w:ascii="黑体" w:hAnsi="黑体" w:eastAsia="黑体" w:cs="黑体"/>
          <w:color w:val="auto"/>
          <w:sz w:val="32"/>
          <w:szCs w:val="32"/>
        </w:rPr>
        <w:t>四、职业面向</w:t>
      </w:r>
      <w:bookmarkEnd w:id="4"/>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10117"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9"/>
        <w:gridCol w:w="1438"/>
        <w:gridCol w:w="1274"/>
        <w:gridCol w:w="1919"/>
        <w:gridCol w:w="2231"/>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134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4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对应行业（代码）</w:t>
            </w:r>
          </w:p>
        </w:tc>
        <w:tc>
          <w:tcPr>
            <w:tcW w:w="191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主要职业类别（代码）</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19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7" w:hRule="atLeast"/>
        </w:trPr>
        <w:tc>
          <w:tcPr>
            <w:tcW w:w="134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bookmarkStart w:id="5" w:name="OLE_LINK1" w:colFirst="0" w:colLast="5"/>
            <w:r>
              <w:rPr>
                <w:rFonts w:hint="eastAsia" w:ascii="仿宋" w:hAnsi="仿宋" w:eastAsia="仿宋" w:cs="仿宋"/>
                <w:sz w:val="24"/>
                <w:highlight w:val="none"/>
              </w:rPr>
              <w:t>财经商贸大类（53）</w:t>
            </w:r>
          </w:p>
        </w:tc>
        <w:tc>
          <w:tcPr>
            <w:tcW w:w="14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 w:hAnsi="仿宋" w:eastAsia="仿宋" w:cs="仿宋"/>
                <w:sz w:val="24"/>
                <w:highlight w:val="none"/>
              </w:rPr>
              <w:t>财务会计类（03）</w:t>
            </w: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 w:hAnsi="仿宋" w:eastAsia="仿宋" w:cs="仿宋"/>
                <w:sz w:val="24"/>
                <w:highlight w:val="none"/>
              </w:rPr>
              <w:t>会计、审计及税务服务（7241）</w:t>
            </w:r>
          </w:p>
        </w:tc>
        <w:tc>
          <w:tcPr>
            <w:tcW w:w="1919" w:type="dxa"/>
            <w:vAlign w:val="center"/>
          </w:tcPr>
          <w:p>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会计专业人员（2-06-03）、</w:t>
            </w:r>
          </w:p>
          <w:p>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审计专业人员（2-06-04）、</w:t>
            </w:r>
          </w:p>
          <w:p>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highlight w:val="none"/>
              </w:rPr>
            </w:pPr>
            <w:r>
              <w:rPr>
                <w:rFonts w:hint="eastAsia" w:ascii="仿宋" w:hAnsi="仿宋" w:eastAsia="仿宋" w:cs="仿宋"/>
                <w:sz w:val="24"/>
                <w:highlight w:val="none"/>
              </w:rPr>
              <w:t>税务专业人员（2-06-05）</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highlight w:val="none"/>
              </w:rPr>
            </w:pPr>
            <w:r>
              <w:rPr>
                <w:rFonts w:hint="eastAsia" w:ascii="仿宋" w:hAnsi="仿宋" w:eastAsia="仿宋" w:cs="仿宋"/>
                <w:sz w:val="24"/>
                <w:highlight w:val="none"/>
                <w:lang w:eastAsia="zh-CN"/>
              </w:rPr>
              <w:t>财务大数据分析、预算管理、投融资管理、成本管理、税务管理、风险管理、财务机器人应用</w:t>
            </w:r>
          </w:p>
        </w:tc>
        <w:tc>
          <w:tcPr>
            <w:tcW w:w="19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highlight w:val="none"/>
              </w:rPr>
            </w:pPr>
            <w:r>
              <w:rPr>
                <w:rFonts w:hint="eastAsia" w:ascii="仿宋" w:hAnsi="仿宋" w:eastAsia="仿宋" w:cs="仿宋"/>
                <w:sz w:val="24"/>
                <w:highlight w:val="none"/>
                <w:lang w:eastAsia="zh-CN"/>
              </w:rPr>
              <w:t>会计专业技术资格、大数据财务分析、智能财税、企业财务与会计机器人应用</w:t>
            </w:r>
          </w:p>
        </w:tc>
      </w:tr>
      <w:bookmarkEnd w:id="5"/>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color w:val="auto"/>
          <w:sz w:val="32"/>
          <w:szCs w:val="32"/>
        </w:rPr>
      </w:pPr>
      <w:bookmarkStart w:id="6" w:name="_Toc14962"/>
      <w:r>
        <w:rPr>
          <w:rFonts w:hint="eastAsia" w:ascii="黑体" w:hAnsi="黑体" w:eastAsia="黑体" w:cs="黑体"/>
          <w:color w:val="auto"/>
          <w:sz w:val="32"/>
          <w:szCs w:val="32"/>
        </w:rPr>
        <w:t>五、培养目标</w:t>
      </w:r>
      <w:bookmarkEnd w:id="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bookmarkStart w:id="7" w:name="_Toc26009"/>
      <w:r>
        <w:rPr>
          <w:rFonts w:hint="eastAsia" w:ascii="仿宋_GB2312" w:hAnsi="仿宋_GB2312" w:eastAsia="仿宋_GB2312" w:cs="仿宋_GB2312"/>
          <w:color w:val="auto"/>
          <w:sz w:val="32"/>
          <w:szCs w:val="32"/>
          <w:highlight w:val="none"/>
          <w:lang w:eastAsia="zh-CN"/>
        </w:rPr>
        <w:t>本专业面向企事业单位、会计与税务中介服务机构、政府机关</w:t>
      </w:r>
      <w:r>
        <w:rPr>
          <w:rFonts w:hint="eastAsia" w:ascii="仿宋_GB2312" w:hAnsi="仿宋_GB2312" w:eastAsia="仿宋_GB2312" w:cs="仿宋_GB2312"/>
          <w:color w:val="auto"/>
          <w:sz w:val="32"/>
          <w:szCs w:val="32"/>
          <w:highlight w:val="none"/>
          <w:lang w:val="en-US" w:eastAsia="zh-CN"/>
        </w:rPr>
        <w:t>及相关部门，面向区域经济发展，服务广西经济发展。培养</w:t>
      </w:r>
      <w:r>
        <w:rPr>
          <w:rFonts w:hint="eastAsia" w:ascii="仿宋_GB2312" w:hAnsi="仿宋_GB2312" w:eastAsia="仿宋_GB2312" w:cs="仿宋_GB2312"/>
          <w:color w:val="auto"/>
          <w:sz w:val="32"/>
          <w:szCs w:val="32"/>
          <w:highlight w:val="none"/>
          <w:lang w:eastAsia="zh-CN"/>
        </w:rPr>
        <w:t>能够践行社会主义核心价值观，在德智体美劳</w:t>
      </w:r>
      <w:r>
        <w:rPr>
          <w:rFonts w:hint="eastAsia" w:ascii="仿宋_GB2312" w:hAnsi="仿宋_GB2312" w:eastAsia="仿宋_GB2312" w:cs="仿宋_GB2312"/>
          <w:color w:val="auto"/>
          <w:sz w:val="32"/>
          <w:szCs w:val="32"/>
          <w:highlight w:val="none"/>
          <w:lang w:val="en-US" w:eastAsia="zh-CN"/>
        </w:rPr>
        <w:t>等方面</w:t>
      </w:r>
      <w:r>
        <w:rPr>
          <w:rFonts w:hint="eastAsia" w:ascii="仿宋_GB2312" w:hAnsi="仿宋_GB2312" w:eastAsia="仿宋_GB2312" w:cs="仿宋_GB2312"/>
          <w:color w:val="auto"/>
          <w:sz w:val="32"/>
          <w:szCs w:val="32"/>
          <w:highlight w:val="none"/>
          <w:lang w:eastAsia="zh-CN"/>
        </w:rPr>
        <w:t>全面发展，</w:t>
      </w:r>
      <w:r>
        <w:rPr>
          <w:rFonts w:hint="eastAsia" w:ascii="仿宋_GB2312" w:hAnsi="仿宋_GB2312" w:eastAsia="仿宋_GB2312" w:cs="仿宋_GB2312"/>
          <w:color w:val="auto"/>
          <w:sz w:val="32"/>
          <w:szCs w:val="32"/>
          <w:highlight w:val="none"/>
          <w:lang w:val="en-US" w:eastAsia="zh-CN"/>
        </w:rPr>
        <w:t>适应广西经济建设和发展需求，面向生产、建设、服务和管理第一线岗位需要的具有</w:t>
      </w:r>
      <w:r>
        <w:rPr>
          <w:rFonts w:hint="eastAsia" w:ascii="仿宋_GB2312" w:hAnsi="仿宋_GB2312" w:eastAsia="仿宋_GB2312" w:cs="仿宋_GB2312"/>
          <w:color w:val="auto"/>
          <w:sz w:val="32"/>
          <w:szCs w:val="32"/>
          <w:highlight w:val="none"/>
          <w:lang w:eastAsia="zh-CN"/>
        </w:rPr>
        <w:t>良好的人文素养、科学素养、职业道德、创新意识，爱岗敬业的职业精神和精益求精的工匠精神，较强的就业创业能力和可持续发展能力</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lang w:eastAsia="zh-CN"/>
        </w:rPr>
        <w:t>高技能人才。</w:t>
      </w:r>
      <w:r>
        <w:rPr>
          <w:rFonts w:hint="eastAsia" w:ascii="仿宋_GB2312" w:hAnsi="仿宋_GB2312" w:eastAsia="仿宋_GB2312" w:cs="仿宋_GB2312"/>
          <w:color w:val="auto"/>
          <w:sz w:val="32"/>
          <w:szCs w:val="32"/>
          <w:highlight w:val="none"/>
          <w:lang w:val="en-US" w:eastAsia="zh-CN"/>
        </w:rPr>
        <w:t>通过三年的学习，学生能够</w:t>
      </w:r>
      <w:r>
        <w:rPr>
          <w:rFonts w:hint="eastAsia" w:ascii="仿宋_GB2312" w:hAnsi="仿宋_GB2312" w:eastAsia="仿宋_GB2312" w:cs="仿宋_GB2312"/>
          <w:color w:val="auto"/>
          <w:sz w:val="32"/>
          <w:szCs w:val="32"/>
          <w:highlight w:val="none"/>
          <w:lang w:eastAsia="zh-CN"/>
        </w:rPr>
        <w:t>具备职业综合素质和行动能力，</w:t>
      </w:r>
      <w:r>
        <w:rPr>
          <w:rFonts w:hint="eastAsia" w:ascii="仿宋_GB2312" w:hAnsi="仿宋_GB2312" w:eastAsia="仿宋_GB2312" w:cs="仿宋_GB2312"/>
          <w:color w:val="auto"/>
          <w:sz w:val="32"/>
          <w:szCs w:val="32"/>
          <w:highlight w:val="none"/>
          <w:lang w:val="en-US" w:eastAsia="zh-CN"/>
        </w:rPr>
        <w:t>掌握扎实的科学文化基础和财务管理基本理论和相关经济、金融、会计、管理等基础理论、基础知识和操作技能，具备会计核算、出纳业务操作</w:t>
      </w:r>
      <w:r>
        <w:rPr>
          <w:rFonts w:hint="eastAsia" w:ascii="仿宋_GB2312" w:hAnsi="仿宋_GB2312" w:eastAsia="仿宋_GB2312" w:cs="仿宋_GB2312"/>
          <w:color w:val="auto"/>
          <w:sz w:val="32"/>
          <w:szCs w:val="32"/>
          <w:highlight w:val="none"/>
          <w:lang w:eastAsia="zh-CN"/>
        </w:rPr>
        <w:t>、成本管理、</w:t>
      </w:r>
      <w:r>
        <w:rPr>
          <w:rFonts w:hint="eastAsia" w:ascii="仿宋_GB2312" w:hAnsi="仿宋_GB2312" w:eastAsia="仿宋_GB2312" w:cs="仿宋_GB2312"/>
          <w:color w:val="auto"/>
          <w:sz w:val="32"/>
          <w:szCs w:val="32"/>
          <w:highlight w:val="none"/>
          <w:lang w:val="en-US" w:eastAsia="zh-CN"/>
        </w:rPr>
        <w:t>税费计算与申报、企业内部控制、财务大数据分析等能力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具有会计核算和财务管理操作能力，具有大数据技术应用和会计信息系统应用等实践能力。具有一定科学文化知识、</w:t>
      </w:r>
      <w:r>
        <w:rPr>
          <w:rFonts w:hint="eastAsia" w:ascii="仿宋_GB2312" w:hAnsi="仿宋_GB2312" w:eastAsia="仿宋_GB2312" w:cs="仿宋_GB2312"/>
          <w:color w:val="auto"/>
          <w:sz w:val="32"/>
          <w:szCs w:val="32"/>
          <w:highlight w:val="none"/>
          <w:lang w:eastAsia="zh-CN"/>
        </w:rPr>
        <w:t>人文素养、科学素养、职业道德、创新意识，爱岗敬业的职业精神和精益求精的工匠精神，</w:t>
      </w:r>
      <w:r>
        <w:rPr>
          <w:rFonts w:hint="eastAsia" w:ascii="仿宋_GB2312" w:hAnsi="仿宋_GB2312" w:eastAsia="仿宋_GB2312" w:cs="仿宋_GB2312"/>
          <w:color w:val="auto"/>
          <w:sz w:val="32"/>
          <w:szCs w:val="32"/>
          <w:highlight w:val="none"/>
          <w:lang w:val="en-US" w:eastAsia="zh-CN"/>
        </w:rPr>
        <w:t>能在各级政府、各类企业、事业单位、银行等金融机构从事会计核算和财务管理工作。</w:t>
      </w:r>
      <w:bookmarkEnd w:id="7"/>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color w:val="auto"/>
          <w:sz w:val="32"/>
          <w:szCs w:val="32"/>
          <w:lang w:eastAsia="zh-CN"/>
        </w:rPr>
      </w:pPr>
      <w:bookmarkStart w:id="8" w:name="_Toc27935"/>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eastAsia="zh-CN"/>
        </w:rPr>
      </w:pPr>
      <w:bookmarkStart w:id="9" w:name="_Toc20520"/>
      <w:r>
        <w:rPr>
          <w:rFonts w:hint="eastAsia" w:ascii="仿宋_GB2312" w:hAnsi="仿宋_GB2312" w:eastAsia="仿宋_GB2312" w:cs="仿宋_GB2312"/>
          <w:color w:val="auto"/>
          <w:sz w:val="32"/>
          <w:szCs w:val="32"/>
          <w:highlight w:val="none"/>
          <w:lang w:eastAsia="zh-CN"/>
        </w:rPr>
        <w:t>本专业</w:t>
      </w:r>
      <w:r>
        <w:rPr>
          <w:rFonts w:hint="eastAsia" w:ascii="仿宋_GB2312" w:hAnsi="仿宋_GB2312" w:eastAsia="仿宋_GB2312" w:cs="仿宋_GB2312"/>
          <w:color w:val="auto"/>
          <w:sz w:val="32"/>
          <w:szCs w:val="32"/>
          <w:highlight w:val="none"/>
          <w:lang w:val="en-US" w:eastAsia="zh-CN"/>
        </w:rPr>
        <w:t>以就业岗位所需知识、能力、素质三维度为起点，按照出纳、财务会计、税务会计、成本会计、风险管理等核心岗位，以胜任岗位工作</w:t>
      </w:r>
      <w:r>
        <w:rPr>
          <w:rFonts w:hint="eastAsia" w:ascii="仿宋_GB2312" w:hAnsi="仿宋_GB2312" w:eastAsia="仿宋_GB2312" w:cs="仿宋_GB2312"/>
          <w:color w:val="auto"/>
          <w:sz w:val="32"/>
          <w:szCs w:val="32"/>
          <w:highlight w:val="none"/>
          <w:lang w:eastAsia="zh-CN"/>
        </w:rPr>
        <w:t>需要的专业核心技术技能，</w:t>
      </w:r>
      <w:r>
        <w:rPr>
          <w:rFonts w:hint="eastAsia" w:ascii="仿宋_GB2312" w:hAnsi="仿宋_GB2312" w:eastAsia="仿宋_GB2312" w:cs="仿宋_GB2312"/>
          <w:color w:val="auto"/>
          <w:sz w:val="32"/>
          <w:szCs w:val="32"/>
          <w:highlight w:val="none"/>
          <w:lang w:val="en-US" w:eastAsia="zh-CN"/>
        </w:rPr>
        <w:t>构建基于工作需求的专业知识结构体系，</w:t>
      </w:r>
      <w:r>
        <w:rPr>
          <w:rFonts w:hint="eastAsia" w:ascii="仿宋_GB2312" w:hAnsi="仿宋_GB2312" w:eastAsia="仿宋_GB2312" w:cs="仿宋_GB2312"/>
          <w:color w:val="auto"/>
          <w:sz w:val="32"/>
          <w:szCs w:val="32"/>
          <w:highlight w:val="none"/>
          <w:lang w:eastAsia="zh-CN"/>
        </w:rPr>
        <w:t>实现德智体美劳全面发展。</w:t>
      </w:r>
      <w:r>
        <w:rPr>
          <w:rFonts w:hint="eastAsia" w:ascii="仿宋_GB2312" w:hAnsi="仿宋_GB2312" w:eastAsia="仿宋_GB2312" w:cs="仿宋_GB2312"/>
          <w:color w:val="auto"/>
          <w:sz w:val="32"/>
          <w:szCs w:val="32"/>
          <w:highlight w:val="none"/>
          <w:lang w:val="en-US" w:eastAsia="zh-CN"/>
        </w:rPr>
        <w:t>专业毕业生</w:t>
      </w:r>
      <w:r>
        <w:rPr>
          <w:rFonts w:hint="eastAsia" w:ascii="仿宋_GB2312" w:hAnsi="仿宋_GB2312" w:eastAsia="仿宋_GB2312" w:cs="仿宋_GB2312"/>
          <w:color w:val="auto"/>
          <w:sz w:val="32"/>
          <w:szCs w:val="32"/>
          <w:highlight w:val="none"/>
          <w:lang w:eastAsia="zh-CN"/>
        </w:rPr>
        <w:t>总体上须达到以下要求：</w:t>
      </w:r>
      <w:bookmarkEnd w:id="9"/>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10" w:leftChars="0" w:right="0" w:rightChars="0" w:firstLine="640" w:firstLineChars="0"/>
        <w:textAlignment w:val="auto"/>
        <w:outlineLvl w:val="1"/>
        <w:rPr>
          <w:rFonts w:hint="eastAsia" w:ascii="楷体" w:hAnsi="楷体" w:eastAsia="楷体" w:cs="楷体"/>
          <w:color w:val="auto"/>
          <w:sz w:val="32"/>
          <w:szCs w:val="32"/>
          <w:highlight w:val="none"/>
          <w:lang w:val="en-US" w:eastAsia="zh-CN"/>
        </w:rPr>
      </w:pPr>
      <w:bookmarkStart w:id="10" w:name="_Toc280"/>
      <w:bookmarkStart w:id="11" w:name="_Toc19888"/>
      <w:r>
        <w:rPr>
          <w:rFonts w:hint="eastAsia" w:ascii="楷体" w:hAnsi="楷体" w:eastAsia="楷体" w:cs="楷体"/>
          <w:color w:val="auto"/>
          <w:sz w:val="32"/>
          <w:szCs w:val="32"/>
          <w:highlight w:val="none"/>
        </w:rPr>
        <w:t>知识</w:t>
      </w:r>
      <w:r>
        <w:rPr>
          <w:rFonts w:hint="eastAsia" w:ascii="楷体" w:hAnsi="楷体" w:eastAsia="楷体" w:cs="楷体"/>
          <w:color w:val="auto"/>
          <w:sz w:val="32"/>
          <w:szCs w:val="32"/>
          <w:highlight w:val="none"/>
          <w:lang w:val="en-US" w:eastAsia="zh-CN"/>
        </w:rPr>
        <w:t>目标</w:t>
      </w:r>
      <w:bookmarkEnd w:id="10"/>
      <w:bookmarkEnd w:id="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12" w:name="_Toc26323"/>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bookmarkEnd w:id="1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13" w:name="_Toc25386"/>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掌握支撑本专业学习和可持续发展必备的语文、数学、外语（英语等）、信息技术等文化基础知识，具有良好的人文素养与科学素养，具备职业生涯规划能力；</w:t>
      </w:r>
      <w:bookmarkEnd w:id="1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14" w:name="_Toc24594"/>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具有良好的语言表达能力、文字表达能力、沟通合作能力，具有较强的集体意识和团队合作意识，学习1门外语并结合本专业加以运用；</w:t>
      </w:r>
      <w:bookmarkEnd w:id="1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15" w:name="_Toc30720"/>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掌握会计基础、经济法基础、财政金融基础、统计基础、大数据技术应用基础、经济学原理等方面的专业基础理论知识；</w:t>
      </w:r>
      <w:bookmarkEnd w:id="1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16" w:name="_Toc5879"/>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掌握会计核算、成本核算与智能管理等技术技能，具有独立承担日常经济业务的会计核算工作能力，能够利用财务软件进行会计账务处理；能够利用成本管理的智能工具，科学编制成本计划，高质量开展产品成本核算、成本分析及绩效评价；</w:t>
      </w:r>
      <w:bookmarkEnd w:id="1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eastAsia="zh-CN"/>
        </w:rPr>
      </w:pPr>
      <w:bookmarkStart w:id="17" w:name="_Toc3517"/>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掌握投资项目决策、证券投资决策、筹资决策的方法和技能，能够为企业制订信用标准，并进行信用条件决策，能够进行存货采购量经济决策，能够科学制订企业收益分配政策</w:t>
      </w:r>
      <w:bookmarkEnd w:id="17"/>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10" w:leftChars="0" w:right="0" w:firstLine="640" w:firstLineChars="0"/>
        <w:textAlignment w:val="auto"/>
        <w:outlineLvl w:val="1"/>
        <w:rPr>
          <w:rFonts w:hint="eastAsia" w:ascii="楷体" w:hAnsi="楷体" w:eastAsia="楷体" w:cs="楷体"/>
          <w:color w:val="auto"/>
          <w:sz w:val="32"/>
          <w:szCs w:val="32"/>
          <w:highlight w:val="none"/>
          <w:lang w:val="en-US" w:eastAsia="zh-CN"/>
        </w:rPr>
      </w:pPr>
      <w:bookmarkStart w:id="18" w:name="_Toc28704"/>
      <w:bookmarkStart w:id="19" w:name="_Toc22167"/>
      <w:r>
        <w:rPr>
          <w:rFonts w:hint="eastAsia" w:ascii="楷体" w:hAnsi="楷体" w:eastAsia="楷体" w:cs="楷体"/>
          <w:color w:val="auto"/>
          <w:sz w:val="32"/>
          <w:szCs w:val="32"/>
          <w:highlight w:val="none"/>
        </w:rPr>
        <w:t>能力</w:t>
      </w:r>
      <w:r>
        <w:rPr>
          <w:rFonts w:hint="eastAsia" w:ascii="楷体" w:hAnsi="楷体" w:eastAsia="楷体" w:cs="楷体"/>
          <w:color w:val="auto"/>
          <w:sz w:val="32"/>
          <w:szCs w:val="32"/>
          <w:highlight w:val="none"/>
          <w:lang w:val="en-US" w:eastAsia="zh-CN"/>
        </w:rPr>
        <w:t>目标</w:t>
      </w:r>
      <w:bookmarkEnd w:id="18"/>
      <w:bookmarkEnd w:id="1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20" w:name="_Toc15352"/>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能够进行企事业单位税费和个人税费的计算与纳税申报系统的操作，能够独立进行纳税业务的处理；掌握纳税筹划的基本理念和方法，注重绿色低碳税收优惠政策在纳税筹划中的应用；</w:t>
      </w:r>
      <w:bookmarkEnd w:id="2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21" w:name="_Toc13753"/>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掌握管理会计的技术技能，具有独立进行本量利分析、利润预测、产品开发决策、定价决策、全面预算管理等实践能力；</w:t>
      </w:r>
      <w:bookmarkEnd w:id="2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22" w:name="_Toc19897"/>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掌握内部控制与风险管理等技术技能，科学制订企业内部控制制度和控制流程，提升资产管理能力，培养精细化管理能力、风险控制意识、业财融合技能；</w:t>
      </w:r>
      <w:bookmarkEnd w:id="2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23" w:name="_Toc11550"/>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掌握大数据财务分析、财务机器人应用等技术技能，具备财务大数据处理与分析能力，掌握E-mail处理、WEB应用、Excel文档自动化处理及财务票据、银</w:t>
      </w:r>
      <w:r>
        <w:rPr>
          <w:rFonts w:hint="eastAsia" w:ascii="仿宋_GB2312" w:hAnsi="仿宋_GB2312" w:eastAsia="仿宋_GB2312" w:cs="仿宋_GB2312"/>
          <w:color w:val="auto"/>
          <w:sz w:val="32"/>
          <w:szCs w:val="32"/>
          <w:highlight w:val="none"/>
          <w:lang w:val="en-US" w:eastAsia="zh-CN"/>
        </w:rPr>
        <w:t>行</w:t>
      </w:r>
      <w:r>
        <w:rPr>
          <w:rFonts w:hint="eastAsia" w:ascii="仿宋_GB2312" w:hAnsi="仿宋_GB2312" w:eastAsia="仿宋_GB2312" w:cs="仿宋_GB2312"/>
          <w:color w:val="auto"/>
          <w:sz w:val="32"/>
          <w:szCs w:val="32"/>
          <w:highlight w:val="none"/>
        </w:rPr>
        <w:t>企业</w:t>
      </w:r>
      <w:r>
        <w:rPr>
          <w:rFonts w:hint="eastAsia" w:ascii="仿宋_GB2312" w:hAnsi="仿宋_GB2312" w:eastAsia="仿宋_GB2312" w:cs="仿宋_GB2312"/>
          <w:color w:val="auto"/>
          <w:sz w:val="32"/>
          <w:szCs w:val="32"/>
          <w:highlight w:val="none"/>
          <w:lang w:val="en-US" w:eastAsia="zh-CN"/>
        </w:rPr>
        <w:t>业</w:t>
      </w:r>
      <w:r>
        <w:rPr>
          <w:rFonts w:hint="eastAsia" w:ascii="仿宋_GB2312" w:hAnsi="仿宋_GB2312" w:eastAsia="仿宋_GB2312" w:cs="仿宋_GB2312"/>
          <w:color w:val="auto"/>
          <w:sz w:val="32"/>
          <w:szCs w:val="32"/>
          <w:highlight w:val="none"/>
        </w:rPr>
        <w:t>务功能的自动化处理、识别或实现，能够进行财务机器人应用流程调试，掌握业务系统交互应用等技能；</w:t>
      </w:r>
      <w:bookmarkEnd w:id="2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24" w:name="_Toc13106"/>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掌握信息技术基础知识，具有适应本领域数字化和智能化发展需求的数字技能；</w:t>
      </w:r>
      <w:bookmarkEnd w:id="2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eastAsia="zh-CN"/>
        </w:rPr>
      </w:pPr>
      <w:bookmarkStart w:id="25" w:name="_Toc9434"/>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具有探究学习、终身学习和可持续发展的能力，具有整合知识和综合运用知识分析问题和解决问题的能力</w:t>
      </w:r>
      <w:bookmarkEnd w:id="25"/>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 xml:space="preserve">根据人才培养，专业方向课程分别对标不同的学生专业技能竞赛和不同的1+X 职业技能等级证书标准，培养的学生根据专长参加不同的专业技能竞赛和 1+X </w:t>
      </w:r>
      <w:r>
        <w:rPr>
          <w:rFonts w:hint="eastAsia" w:ascii="仿宋_GB2312" w:hAnsi="仿宋_GB2312" w:eastAsia="仿宋_GB2312" w:cs="仿宋_GB2312"/>
          <w:color w:val="auto"/>
          <w:sz w:val="32"/>
          <w:szCs w:val="32"/>
          <w:highlight w:val="none"/>
          <w:lang w:eastAsia="zh-CN"/>
        </w:rPr>
        <w:t>职业技能</w:t>
      </w:r>
      <w:r>
        <w:rPr>
          <w:rFonts w:hint="eastAsia" w:ascii="仿宋_GB2312" w:hAnsi="仿宋_GB2312" w:eastAsia="仿宋_GB2312" w:cs="仿宋_GB2312"/>
          <w:color w:val="auto"/>
          <w:sz w:val="32"/>
          <w:szCs w:val="32"/>
          <w:highlight w:val="none"/>
        </w:rPr>
        <w:t>等级证书考试。</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10" w:leftChars="0" w:firstLine="640" w:firstLineChars="0"/>
        <w:textAlignment w:val="auto"/>
        <w:outlineLvl w:val="1"/>
        <w:rPr>
          <w:rFonts w:hint="eastAsia" w:ascii="楷体" w:hAnsi="楷体" w:eastAsia="楷体" w:cs="楷体"/>
          <w:color w:val="auto"/>
          <w:sz w:val="32"/>
          <w:szCs w:val="32"/>
          <w:highlight w:val="none"/>
          <w:lang w:val="en-US" w:eastAsia="zh-CN"/>
        </w:rPr>
      </w:pPr>
      <w:bookmarkStart w:id="26" w:name="_Toc12843"/>
      <w:bookmarkStart w:id="27" w:name="_Toc21856"/>
      <w:r>
        <w:rPr>
          <w:rFonts w:hint="eastAsia" w:ascii="楷体" w:hAnsi="楷体" w:eastAsia="楷体" w:cs="楷体"/>
          <w:color w:val="auto"/>
          <w:sz w:val="32"/>
          <w:szCs w:val="32"/>
          <w:highlight w:val="none"/>
        </w:rPr>
        <w:t>素质</w:t>
      </w:r>
      <w:r>
        <w:rPr>
          <w:rFonts w:hint="eastAsia" w:ascii="楷体" w:hAnsi="楷体" w:eastAsia="楷体" w:cs="楷体"/>
          <w:color w:val="auto"/>
          <w:sz w:val="32"/>
          <w:szCs w:val="32"/>
          <w:highlight w:val="none"/>
          <w:lang w:val="en-US" w:eastAsia="zh-CN"/>
        </w:rPr>
        <w:t>目标</w:t>
      </w:r>
      <w:bookmarkEnd w:id="26"/>
      <w:bookmarkEnd w:id="2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eastAsia="zh-CN"/>
        </w:rPr>
      </w:pPr>
      <w:bookmarkStart w:id="28" w:name="_Toc22927"/>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坚定拥护中国共产党领导和我国社会主义制度，在习近平新时代中国特色社会主义思想指引下，践行社会主义核心价值观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具有深厚的爱国情感和中华民族自豪感</w:t>
      </w:r>
      <w:r>
        <w:rPr>
          <w:rFonts w:hint="eastAsia" w:ascii="仿宋_GB2312" w:hAnsi="仿宋_GB2312" w:eastAsia="仿宋_GB2312" w:cs="仿宋_GB2312"/>
          <w:color w:val="auto"/>
          <w:sz w:val="32"/>
          <w:szCs w:val="32"/>
          <w:highlight w:val="none"/>
          <w:lang w:eastAsia="zh-CN"/>
        </w:rPr>
        <w:t>；</w:t>
      </w:r>
      <w:bookmarkEnd w:id="2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bookmarkStart w:id="29" w:name="_Toc21192"/>
      <w:r>
        <w:rPr>
          <w:rFonts w:hint="eastAsia" w:ascii="仿宋_GB2312" w:hAnsi="仿宋_GB2312" w:eastAsia="仿宋_GB2312" w:cs="仿宋_GB2312"/>
          <w:color w:val="auto"/>
          <w:sz w:val="32"/>
          <w:szCs w:val="32"/>
          <w:highlight w:val="none"/>
          <w:lang w:val="en-US" w:eastAsia="zh-CN"/>
        </w:rPr>
        <w:t>2.树立社会主义核心价值观，乐于奉献，团队意识强，与时俱进；热爱大数据与财务管理事业，事业心、责任感强，作风纯正，思想素质过硬；</w:t>
      </w:r>
      <w:bookmarkEnd w:id="2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eastAsia="zh-CN"/>
        </w:rPr>
      </w:pPr>
      <w:bookmarkStart w:id="30" w:name="_Toc16539"/>
      <w:r>
        <w:rPr>
          <w:rFonts w:hint="eastAsia" w:ascii="仿宋_GB2312" w:hAnsi="仿宋_GB2312" w:eastAsia="仿宋_GB2312" w:cs="仿宋_GB2312"/>
          <w:color w:val="auto"/>
          <w:sz w:val="32"/>
          <w:szCs w:val="32"/>
          <w:highlight w:val="none"/>
          <w:lang w:val="en-US" w:eastAsia="zh-CN"/>
        </w:rPr>
        <w:t>3.遵纪守法、诚实守信、乐于助人；遵守职业道德、行为规范、爱岗敬业、忠于职守；工作过程规范操作、工作踏实、思维严谨、一丝不苟、勤奋努力</w:t>
      </w:r>
      <w:r>
        <w:rPr>
          <w:rFonts w:hint="eastAsia" w:ascii="仿宋_GB2312" w:hAnsi="仿宋_GB2312" w:eastAsia="仿宋_GB2312" w:cs="仿宋_GB2312"/>
          <w:color w:val="auto"/>
          <w:sz w:val="32"/>
          <w:szCs w:val="32"/>
          <w:highlight w:val="none"/>
          <w:lang w:eastAsia="zh-CN"/>
        </w:rPr>
        <w:t>；</w:t>
      </w:r>
      <w:bookmarkEnd w:id="3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31" w:name="_Toc13210"/>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掌握身体运动的基本知识和至少1项体育运动技能，达到国家大学生体质健康测试合格标准，养成良好的运动习惯、卫生习惯和行为习惯；具备</w:t>
      </w:r>
      <w:r>
        <w:rPr>
          <w:rFonts w:hint="eastAsia" w:ascii="仿宋_GB2312" w:hAnsi="仿宋_GB2312" w:eastAsia="仿宋_GB2312" w:cs="仿宋_GB2312"/>
          <w:color w:val="auto"/>
          <w:sz w:val="32"/>
          <w:szCs w:val="32"/>
          <w:highlight w:val="none"/>
          <w:lang w:val="en-US" w:eastAsia="zh-CN"/>
        </w:rPr>
        <w:t>健全的心理，稳定向上的情感力量，坚强恒久的意志力，鲜明独特的人格。</w:t>
      </w:r>
      <w:bookmarkEnd w:id="31"/>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lang w:val="en-US" w:eastAsia="zh-CN"/>
        </w:rPr>
      </w:pPr>
      <w:bookmarkStart w:id="32" w:name="_Toc13579"/>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32"/>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33" w:name="_Toc13432"/>
      <w:r>
        <w:rPr>
          <w:rFonts w:hint="eastAsia" w:ascii="楷体" w:hAnsi="楷体" w:eastAsia="楷体" w:cs="楷体"/>
          <w:color w:val="auto"/>
          <w:sz w:val="32"/>
          <w:szCs w:val="32"/>
        </w:rPr>
        <w:t>（一）公共基础课程</w:t>
      </w:r>
      <w:bookmarkEnd w:id="33"/>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34"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34"/>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军事理论与军训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5" w:name="_Toc90734979"/>
            <w:bookmarkStart w:id="36" w:name="_Toc2022"/>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bookmarkEnd w:id="35"/>
            <w:bookmarkEnd w:id="36"/>
          </w:p>
        </w:tc>
        <w:tc>
          <w:tcPr>
            <w:tcW w:w="752"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7" w:name="_Toc90734980"/>
            <w:bookmarkStart w:id="38" w:name="_Toc2635"/>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37"/>
            <w:bookmarkEnd w:id="38"/>
          </w:p>
        </w:tc>
        <w:tc>
          <w:tcPr>
            <w:tcW w:w="3928"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9" w:name="_Toc24608"/>
            <w:bookmarkStart w:id="40" w:name="_Toc90734981"/>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39"/>
            <w:bookmarkEnd w:id="40"/>
          </w:p>
        </w:tc>
        <w:tc>
          <w:tcPr>
            <w:tcW w:w="2960"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41" w:name="_Toc90734982"/>
            <w:bookmarkStart w:id="42" w:name="_Toc23051"/>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41"/>
            <w:bookmarkEnd w:id="42"/>
          </w:p>
        </w:tc>
        <w:tc>
          <w:tcPr>
            <w:tcW w:w="2626"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仿宋_GB2312" w:hAnsi="仿宋_GB2312" w:eastAsia="仿宋_GB2312" w:cs="仿宋_GB2312"/>
                <w:b w:val="0"/>
                <w:bCs w:val="0"/>
                <w:color w:val="auto"/>
                <w:kern w:val="2"/>
                <w:sz w:val="24"/>
                <w:szCs w:val="24"/>
                <w:highlight w:val="none"/>
                <w:lang w:val="en-US" w:eastAsia="zh-CN" w:bidi="ar-SA"/>
              </w:rPr>
              <w:t>“以人民为中心”的发展理念，切实</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职业素养</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系统</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的</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培育社会主义核心价值观，强化劳动精神、劳模精神和工匠精神教育，树立正确的职业观、事业观和成才观。</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pPr>
        <w:pStyle w:val="3"/>
        <w:pageBreakBefore w:val="0"/>
        <w:widowControl/>
        <w:kinsoku/>
        <w:wordWrap/>
        <w:topLinePunct w:val="0"/>
        <w:autoSpaceDE/>
        <w:autoSpaceDN/>
        <w:bidi w:val="0"/>
        <w:snapToGrid/>
        <w:spacing w:before="0" w:after="0" w:line="520" w:lineRule="exact"/>
        <w:ind w:left="0" w:firstLine="640" w:firstLineChars="200"/>
        <w:jc w:val="left"/>
        <w:textAlignment w:val="auto"/>
        <w:rPr>
          <w:rFonts w:hint="eastAsia" w:ascii="楷体" w:hAnsi="楷体" w:eastAsia="楷体" w:cs="楷体"/>
          <w:color w:val="auto"/>
          <w:sz w:val="32"/>
          <w:szCs w:val="32"/>
        </w:rPr>
      </w:pPr>
      <w:bookmarkStart w:id="43" w:name="_Toc13528"/>
      <w:r>
        <w:rPr>
          <w:rFonts w:hint="eastAsia" w:ascii="楷体" w:hAnsi="楷体" w:eastAsia="楷体" w:cs="楷体"/>
          <w:color w:val="auto"/>
          <w:sz w:val="32"/>
          <w:szCs w:val="32"/>
        </w:rPr>
        <w:t>（二）专业课程</w:t>
      </w:r>
      <w:bookmarkEnd w:id="4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bookmarkStart w:id="44" w:name="_Toc90734975"/>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1.专业基础课程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专业基础课是为后续专业课程学习打基础的课程。包括：会计基础、经济学</w:t>
      </w:r>
      <w:r>
        <w:rPr>
          <w:rFonts w:hint="eastAsia" w:ascii="仿宋_GB2312" w:hAnsi="仿宋_GB2312" w:eastAsia="仿宋_GB2312" w:cs="仿宋_GB2312"/>
          <w:sz w:val="32"/>
          <w:szCs w:val="32"/>
          <w:highlight w:val="none"/>
          <w:lang w:val="en-US" w:eastAsia="zh-CN"/>
        </w:rPr>
        <w:t>原理</w:t>
      </w:r>
      <w:r>
        <w:rPr>
          <w:rFonts w:hint="eastAsia" w:ascii="仿宋_GB2312" w:hAnsi="仿宋_GB2312" w:eastAsia="仿宋_GB2312" w:cs="仿宋_GB2312"/>
          <w:sz w:val="32"/>
          <w:szCs w:val="32"/>
          <w:highlight w:val="none"/>
        </w:rPr>
        <w:t>、</w:t>
      </w:r>
      <w:bookmarkStart w:id="45" w:name="_Toc90734976"/>
      <w:r>
        <w:rPr>
          <w:rFonts w:hint="eastAsia" w:ascii="仿宋_GB2312" w:hAnsi="仿宋_GB2312" w:eastAsia="仿宋_GB2312" w:cs="仿宋_GB2312"/>
          <w:sz w:val="32"/>
          <w:szCs w:val="32"/>
          <w:highlight w:val="none"/>
        </w:rPr>
        <w:t>经济法原理、企业管理基础、财政金融基础、</w:t>
      </w:r>
      <w:bookmarkEnd w:id="45"/>
      <w:r>
        <w:rPr>
          <w:rFonts w:hint="eastAsia" w:ascii="仿宋_GB2312" w:hAnsi="仿宋_GB2312" w:eastAsia="仿宋_GB2312" w:cs="仿宋_GB2312"/>
          <w:sz w:val="32"/>
          <w:szCs w:val="32"/>
          <w:highlight w:val="none"/>
        </w:rPr>
        <w:t>大数据应用基础、统计基础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习近平经济思想概论</w:t>
      </w:r>
      <w:r>
        <w:rPr>
          <w:rFonts w:hint="eastAsia" w:ascii="仿宋_GB2312" w:hAnsi="仿宋_GB2312" w:eastAsia="仿宋_GB2312" w:cs="仿宋_GB2312"/>
          <w:spacing w:val="-4"/>
          <w:sz w:val="32"/>
          <w:szCs w:val="32"/>
          <w:highlight w:val="none"/>
        </w:rPr>
        <w:t>等课程。</w:t>
      </w:r>
    </w:p>
    <w:bookmarkEnd w:id="44"/>
    <w:p>
      <w:pPr>
        <w:pageBreakBefore w:val="0"/>
        <w:kinsoku/>
        <w:wordWrap/>
        <w:overflowPunct w:val="0"/>
        <w:topLinePunct w:val="0"/>
        <w:autoSpaceDE/>
        <w:autoSpaceDN/>
        <w:bidi w:val="0"/>
        <w:adjustRightInd w:val="0"/>
        <w:spacing w:after="0" w:line="520" w:lineRule="exact"/>
        <w:ind w:left="0"/>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787"/>
        <w:gridCol w:w="3980"/>
        <w:gridCol w:w="2837"/>
        <w:gridCol w:w="2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467" w:type="dxa"/>
            <w:vAlign w:val="center"/>
          </w:tcPr>
          <w:p>
            <w:pPr>
              <w:spacing w:line="320" w:lineRule="exact"/>
              <w:jc w:val="center"/>
              <w:rPr>
                <w:rFonts w:hint="eastAsia" w:ascii="仿宋_GB2312" w:hAnsi="仿宋_GB2312" w:eastAsia="仿宋_GB2312" w:cs="仿宋_GB2312"/>
                <w:b w:val="0"/>
                <w:bCs w:val="0"/>
                <w:color w:val="auto"/>
                <w:sz w:val="24"/>
                <w:highlight w:val="none"/>
              </w:rPr>
            </w:pPr>
            <w:bookmarkStart w:id="46" w:name="_Toc90734977"/>
            <w:r>
              <w:rPr>
                <w:rFonts w:hint="eastAsia" w:ascii="仿宋_GB2312" w:hAnsi="仿宋_GB2312" w:eastAsia="仿宋_GB2312" w:cs="仿宋_GB2312"/>
                <w:b w:val="0"/>
                <w:bCs w:val="0"/>
                <w:color w:val="auto"/>
                <w:sz w:val="24"/>
                <w:highlight w:val="none"/>
              </w:rPr>
              <w:t>序号</w:t>
            </w:r>
          </w:p>
        </w:tc>
        <w:tc>
          <w:tcPr>
            <w:tcW w:w="787"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rPr>
              <w:t>课程名称</w:t>
            </w:r>
          </w:p>
        </w:tc>
        <w:tc>
          <w:tcPr>
            <w:tcW w:w="3980"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目标</w:t>
            </w:r>
          </w:p>
        </w:tc>
        <w:tc>
          <w:tcPr>
            <w:tcW w:w="2837"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lang w:val="en-US" w:eastAsia="zh-CN"/>
              </w:rPr>
              <w:t>主要</w:t>
            </w:r>
            <w:r>
              <w:rPr>
                <w:rFonts w:hint="eastAsia" w:ascii="仿宋_GB2312" w:hAnsi="仿宋_GB2312" w:eastAsia="仿宋_GB2312" w:cs="仿宋_GB2312"/>
                <w:b w:val="0"/>
                <w:bCs w:val="0"/>
                <w:color w:val="auto"/>
                <w:sz w:val="24"/>
                <w:szCs w:val="24"/>
                <w:highlight w:val="none"/>
              </w:rPr>
              <w:t>教学内容</w:t>
            </w:r>
          </w:p>
        </w:tc>
        <w:tc>
          <w:tcPr>
            <w:tcW w:w="2246"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46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会计基础</w:t>
            </w:r>
          </w:p>
        </w:tc>
        <w:tc>
          <w:tcPr>
            <w:tcW w:w="398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掌握会计要素、借贷记账法等核心知识，理解凭证、账簿、报表的关联逻辑，明晰会计核算的基本流程与规范要求。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能独立完成会计凭证填制、账簿登记，具备初步财务报表编制能力，可运用基础会计方法处理简单经济业务。</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培养严谨细致的工作态度与数据求真意识，树立会计职业规范认知，提升处理会计事务的责任素养。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结合会计诚信案例，强化职业操守教育，引导学生树立“不做假账”理念与服务经济发展的社会责任。</w:t>
            </w:r>
          </w:p>
        </w:tc>
        <w:tc>
          <w:tcPr>
            <w:tcW w:w="283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会计科目与账户、复式记账、主要经济业务的核算、会计账户分类、会计凭证、会计账簿、财产清查、会计核算组织程序、财务会计报告、会计工作组织等。</w:t>
            </w:r>
          </w:p>
        </w:tc>
        <w:tc>
          <w:tcPr>
            <w:tcW w:w="22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多媒体结合教材系统讲解会计基础的基本概念、理论和方法，注重理论与实践相结合。选取具有代表性的经济业务案例，引导学生进行分析讨论，加深对会计理论的理解和应用。其次利用会计实训软件或手工模拟账套，进行会计凭证填制、账簿登记、报表编制等实操训练，提高学生的动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bookmarkStart w:id="47" w:name="_Hlk194587108"/>
            <w:r>
              <w:rPr>
                <w:rFonts w:hint="eastAsia" w:ascii="仿宋_GB2312" w:hAnsi="仿宋_GB2312" w:eastAsia="仿宋_GB2312" w:cs="仿宋_GB2312"/>
                <w:color w:val="auto"/>
                <w:sz w:val="24"/>
                <w:szCs w:val="24"/>
                <w:highlight w:val="none"/>
                <w:lang w:val="en-US" w:eastAsia="zh-CN"/>
              </w:rPr>
              <w:t>2</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经济学原理</w:t>
            </w:r>
          </w:p>
        </w:tc>
        <w:tc>
          <w:tcPr>
            <w:tcW w:w="398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系统掌握供求理论、市场机制等核心知识，理解宏微观经济运行逻辑，明晰经济政策的基本内涵与影响。</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能运用经济学理论分析生活中的经济现象，具备初步数据解读能力，为简单经济决策提供思路。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培养理性分析、辩证看待经济问题的思维，树立尊重市场规律的意识。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结合我国经济发展实践，厚植家国情怀，引导学生树立正确的财富观与社会责任意识。</w:t>
            </w:r>
          </w:p>
        </w:tc>
        <w:tc>
          <w:tcPr>
            <w:tcW w:w="283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需求、供给和均衡价格决定理论、消费者行为理论、生产者理论、成本理论、市场理论、分配理论、市场失灵和政府、国民收入核算理论、国民收入决定理论等。</w:t>
            </w:r>
          </w:p>
        </w:tc>
        <w:tc>
          <w:tcPr>
            <w:tcW w:w="22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教材结合多媒体教学手段，结合生动具体的经济案例，帮助学生理解抽象的经济理论。教学中组织小组讨论，鼓励学生积极参与，促进思想碰撞，深化对经济学原理的理解。推荐经济学经典读物和前沿研究论文，鼓励学生拓展知识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46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经济法基础</w:t>
            </w:r>
          </w:p>
        </w:tc>
        <w:tc>
          <w:tcPr>
            <w:tcW w:w="398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掌握经济法核心范畴、法律体系及关键规则，理解市场监管、财税等领域法律逻辑，明晰法律适用基本前提。</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能运用经济法原理分析实务案例，具备初步法律风险识别能力，可撰写简单法律分析意见。</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培养严谨的法律思维与规则意识，树立依法办事的职业素养，提升问题解决的逻辑性。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结合法治实践案例，强化法治信仰，引导学生树立公平正义理念与社会责任感。</w:t>
            </w:r>
          </w:p>
        </w:tc>
        <w:tc>
          <w:tcPr>
            <w:tcW w:w="283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经济法基础理论、公司企业法律制度、合同法、市场规制法律制度、工业产权法律制度、金融法律制度、劳动法律制度、经济仲裁与诉讼法律制度等。</w:t>
            </w:r>
          </w:p>
        </w:tc>
        <w:tc>
          <w:tcPr>
            <w:tcW w:w="22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教师讲授为主，辅以课堂讨论、案例分析等形式，激发学生学习兴趣，促进师生互动。结合经济生活中的热点问题，引入真实案例进行教学，增强学生的实践应用能力。其次利用多媒体教学资源和网络平台，开展线上预习、复习、测试等环节，提高教学效率和学习效果。最后在学生掌握经济法基础理论知识的基础上模拟法庭与实训 ，组织模拟法庭、法律诊所等活动，让学生在模拟实践中加深对法律条文的理解和应用。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企业管理基础</w:t>
            </w:r>
          </w:p>
        </w:tc>
        <w:tc>
          <w:tcPr>
            <w:tcW w:w="398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掌握企业组织、战略、运营等核心管理模块知识，理解各职能协同逻辑，明晰管理理论在实践中的基本应用场景。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能运用基础管理工具分析企业运营问题，具备初步团队协调与决策建议能力，可设计简单管理优化方案。</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：培养系统思维与责任意识，树立效率与创新并重的管理认知，提升应对企业复杂问题的应变素养。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结合优秀企业案例，厚植企业家精神与家国情怀，引导学生树立诚信经营、社会责任优先的价值观。</w:t>
            </w:r>
          </w:p>
        </w:tc>
        <w:tc>
          <w:tcPr>
            <w:tcW w:w="283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企业管理概述（企业类型、管理职能、管理者角色）、管理思想史（泰勒科学管理、法约尔一般管理、德鲁克现代管理理论等）战略管理（愿景/使命、战略制定与实施）、组织设计与人力资源管理（组织结构、招聘/培训/绩效管理）、财务管理（财务报表基础、成本控制）、市场营销（4P理论、市场调研）、运营管理（供应链、质量管理）、数字化转型（大数据与AI在管理中的应用）、企业社会责任（ESG理念）</w:t>
            </w:r>
          </w:p>
        </w:tc>
        <w:tc>
          <w:tcPr>
            <w:tcW w:w="22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理论讲授+案例分析+小组讨论”混合模式，强化互动式学习。利用多媒体工具（如管理类纪录片、企业数据库）辅助教学。鼓励学生参与创新创业项目或商业计划书撰写。平时通过课堂参与度、小组作业（如案例分析报告）、模拟实训等完成企业管理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财政金融基础</w:t>
            </w:r>
          </w:p>
        </w:tc>
        <w:tc>
          <w:tcPr>
            <w:tcW w:w="398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掌握财政收支、货币信贷等核心知识，理解财政政策与货币政策协同逻辑，明晰金融市场运行基本规则。</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能运用财政金融理论分析经济现象，具备初步金融风险识别能力，可解读基础财政金融数据与政策。</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培养理性看待财政金融问题的思维，树立合规与风险意识，提升经济决策的科学性与严谨性。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结合我国财政金融改革实践，厚植家国情怀，引导学生树立正确金融伦理与服务社会的责任感。</w:t>
            </w:r>
          </w:p>
        </w:tc>
        <w:tc>
          <w:tcPr>
            <w:tcW w:w="283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财政学基础：财政职能与公共产品理论政府收入体系（税收分类、税制设计）政府支出管理（社会保障、转移支付）国债管理与财政赤字</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金融学基础：货币与信用体系、金融市场、金融机构、金融工具。政策与实务专题：财政政策与货币政策的协调、金融监管框架、前沿议题：数字货币（CBDC）、ESG投资、金融科技。</w:t>
            </w:r>
          </w:p>
        </w:tc>
        <w:tc>
          <w:tcPr>
            <w:tcW w:w="22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采用混合式教学：理论讲授（50%）+案例研讨（30%）+模拟实践（20%）。案例驱动：结合国内外财政金融事件（如欧债危机、中国“房住不炒”政策）展开讨论。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数据工具：教授基础数据分析工具（如Excel金融函数、Wind/同花顺数据平台），课堂发言、模拟投资报告、小组案例分析展示。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9" w:hRule="atLeast"/>
          <w:jc w:val="center"/>
        </w:trPr>
        <w:tc>
          <w:tcPr>
            <w:tcW w:w="46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大数据应用基础</w:t>
            </w:r>
          </w:p>
        </w:tc>
        <w:tc>
          <w:tcPr>
            <w:tcW w:w="398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掌握大数据采集、清洗、分析的基础流程与工具，理解数据挖掘核心概念，明晰大数据在各行业的典型应用逻辑。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能运用基础工具处理简单数据集，具备初步数据可视化与分析能力，可提炼数据背后的基础信息与趋势。</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培养数据思维与严谨的数据分析态度，树立数据安全与隐私保护意识，提升利用数据解决问题的主动性。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结合大数据赋能国家发展案例，厚植科技自信，引导学生树立数据向善、服务社会的责任与伦理意识。</w:t>
            </w:r>
          </w:p>
        </w:tc>
        <w:tc>
          <w:tcPr>
            <w:tcW w:w="283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大数据定义、特征、技术栈及行业应用场景；分布式计算（MapReduce、Spark）、分布式存储（HDFS）、NoSQL数据库及数据湖仓架构Python编程、Hadoop/Spark集群搭建、SQL与PySpark数据处理；机器学习基础（分类、回归）、数据可视化（Matplotlib、Seaborn）；边缘计算、联邦学习等新兴技术。</w:t>
            </w:r>
          </w:p>
        </w:tc>
        <w:tc>
          <w:tcPr>
            <w:tcW w:w="22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实验课完成数据处理全流程操作，掌握工具配置与调优；以小组形式完成真实数据集的分析任务，提交完整报告与可视化成果；跟踪行业动态，拓展对大数据平台（如Flink、Kafka）的了解；遵循数据隐私保护原则，培养代码可读性与工程化开发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统计基础</w:t>
            </w:r>
          </w:p>
        </w:tc>
        <w:tc>
          <w:tcPr>
            <w:tcW w:w="398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掌握统计调查、数据整理、分析等核心方法，理解均值、方差等指标含义，明晰统计推断的基本逻辑与适用场景。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能运用统计工具收集处理数据，具备初步数据分析与报告撰写能力，可通过数据解读简单现实问题。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培养严谨的数据思维与客观求实态度，树立尊重数据、科学分析的意识，提升数据解读的准确性。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结合数据反映的国家发展成就，厚植家国情怀，引导学生树立数据诚信与用数据服务社会的责任感。</w:t>
            </w:r>
          </w:p>
        </w:tc>
        <w:tc>
          <w:tcPr>
            <w:tcW w:w="283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导论、统计设计、统计调查、统计整理、综合指标时间数列、统计指数、抽样推断、相关与回归分析。</w:t>
            </w:r>
          </w:p>
        </w:tc>
        <w:tc>
          <w:tcPr>
            <w:tcW w:w="22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多媒体结合教材系统讲解统计学原理的基础知识，注重理论联系实际。教学中通过实际案例，引导学生运用统计学原理分析问题，加深理解。在课堂上组织小组讨论，促进学生之间的交流与合作，共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lang w:val="en-US" w:eastAsia="zh-CN"/>
              </w:rPr>
              <w:t>习近平经济思想概论</w:t>
            </w:r>
          </w:p>
        </w:tc>
        <w:tc>
          <w:tcPr>
            <w:tcW w:w="398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3"/>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w:t>
            </w:r>
            <w:r>
              <w:rPr>
                <w:rFonts w:hint="eastAsia" w:ascii="仿宋_GB2312" w:hAnsi="仿宋_GB2312" w:eastAsia="仿宋_GB2312" w:cs="仿宋_GB2312"/>
                <w:sz w:val="24"/>
                <w:szCs w:val="24"/>
                <w:lang w:eastAsia="zh-CN"/>
              </w:rPr>
              <w:t>新发展理念引领高质量发展</w:t>
            </w:r>
            <w:r>
              <w:rPr>
                <w:rFonts w:hint="eastAsia" w:ascii="仿宋_GB2312" w:hAnsi="仿宋_GB2312" w:eastAsia="仿宋_GB2312" w:cs="仿宋_GB2312"/>
                <w:sz w:val="24"/>
                <w:szCs w:val="24"/>
              </w:rPr>
              <w:t>、新发展格局等重要理论。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3"/>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3"/>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lang w:val="en-US" w:eastAsia="zh-CN"/>
              </w:rPr>
            </w:pPr>
            <w:r>
              <w:rPr>
                <w:rStyle w:val="13"/>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2837"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246"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bookmarkEnd w:id="47"/>
    </w:tbl>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2.专业核心课程</w:t>
      </w:r>
      <w:bookmarkEnd w:id="46"/>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jc w:val="left"/>
        <w:textAlignment w:val="auto"/>
        <w:rPr>
          <w:rFonts w:hint="eastAsia" w:ascii="仿宋_GB2312" w:hAnsi="仿宋_GB2312" w:eastAsia="仿宋_GB2312" w:cs="仿宋_GB2312"/>
          <w:spacing w:val="-4"/>
          <w:sz w:val="32"/>
          <w:szCs w:val="32"/>
          <w:highlight w:val="none"/>
        </w:rPr>
      </w:pPr>
      <w:r>
        <w:rPr>
          <w:rFonts w:hint="eastAsia" w:ascii="仿宋_GB2312" w:hAnsi="仿宋_GB2312" w:eastAsia="仿宋_GB2312" w:cs="仿宋_GB2312"/>
          <w:sz w:val="32"/>
          <w:szCs w:val="32"/>
          <w:highlight w:val="none"/>
        </w:rPr>
        <w:t>专业核心课是面向各类中小微企业、金融机构、行政事业单位的会计专业人员、税务专业人员等岗位（群），结合会计、出纳等就业岗位，建立</w:t>
      </w:r>
      <w:r>
        <w:rPr>
          <w:rFonts w:hint="eastAsia" w:ascii="仿宋_GB2312" w:hAnsi="仿宋_GB2312" w:eastAsia="仿宋_GB2312" w:cs="仿宋_GB2312"/>
          <w:spacing w:val="-2"/>
          <w:sz w:val="32"/>
          <w:szCs w:val="32"/>
          <w:highlight w:val="none"/>
        </w:rPr>
        <w:t>大数据与财务管理</w:t>
      </w:r>
      <w:r>
        <w:rPr>
          <w:rFonts w:hint="eastAsia" w:ascii="仿宋_GB2312" w:hAnsi="仿宋_GB2312" w:eastAsia="仿宋_GB2312" w:cs="仿宋_GB2312"/>
          <w:sz w:val="32"/>
          <w:szCs w:val="32"/>
          <w:highlight w:val="none"/>
        </w:rPr>
        <w:t>专业核心课程，培养学生财务账务处理，成本核算等方面的能力。包括企业财务会计、财务管理实务、智能化成本核算与管理、企业纳税实务、内部控制与风险管理、管理会计、财务大数据分析与可视化、财务机器人应用</w:t>
      </w:r>
      <w:r>
        <w:rPr>
          <w:rFonts w:hint="eastAsia" w:ascii="仿宋_GB2312" w:hAnsi="仿宋_GB2312" w:eastAsia="仿宋_GB2312" w:cs="仿宋_GB2312"/>
          <w:spacing w:val="-4"/>
          <w:sz w:val="32"/>
          <w:szCs w:val="32"/>
          <w:highlight w:val="none"/>
        </w:rPr>
        <w:t>等课程。</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585"/>
        <w:gridCol w:w="2915"/>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rPr>
            </w:pPr>
            <w:bookmarkStart w:id="48" w:name="_Toc90734991"/>
            <w:r>
              <w:rPr>
                <w:rFonts w:hint="eastAsia" w:ascii="仿宋_GB2312" w:hAnsi="仿宋_GB2312" w:eastAsia="仿宋_GB2312" w:cs="仿宋_GB2312"/>
                <w:color w:val="auto"/>
                <w:sz w:val="24"/>
                <w:szCs w:val="24"/>
                <w:highlight w:val="none"/>
              </w:rPr>
              <w:t>序号</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课程名称</w:t>
            </w:r>
          </w:p>
        </w:tc>
        <w:tc>
          <w:tcPr>
            <w:tcW w:w="358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91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699"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企业财务会计</w:t>
            </w:r>
          </w:p>
        </w:tc>
        <w:tc>
          <w:tcPr>
            <w:tcW w:w="358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掌握企业资产、负债、权益等核算规范，理解收入费用确认原则，明晰财务报告编制与披露的核心要求。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能独立处理存货、固定资产等实务核算，具备初步财务报表分析能力，可解决简单企业会计实务问题。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培养精准核算的职业素养与财务风险意识，树立遵循会计准则的严谨态度，提升会计处理规范性。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：结合会计诚信案例，强化职业道德教育，引导学生树立合规执业理念与服务企业发展的责任意识。</w:t>
            </w:r>
          </w:p>
        </w:tc>
        <w:tc>
          <w:tcPr>
            <w:tcW w:w="29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务会计概述、财务会计概述，财务会计工作内容；货币资金的核算；应收及预付款项的核算；存货的核算；金融资产的核算；长期股权投资的核算；固定资产的核算；投资性房地产的核算；无形资产的核算；负债的核算；所有者权益的核算；收入、费用、利润；财务报表编报。</w:t>
            </w:r>
          </w:p>
        </w:tc>
        <w:tc>
          <w:tcPr>
            <w:tcW w:w="26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系统讲解财务会计基础理论、会计准则及实务操作，培养学生掌握企业经济业务的会计处理方法，熟练编制与分析财务报表（如资产负债表、利润表、现金流量表），理解会计要素确认、计量与披露的核心规则；结合信息化工具（如财务软件、Excel）强化实践能力，注重职业道德与诚信教育，使学生具备独立处理日常账务、解读财务数据及应对复杂会计问题的综合素养，为其适应企业财务岗位和数字化转型需求奠定扎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财务管理实务</w:t>
            </w:r>
          </w:p>
        </w:tc>
        <w:tc>
          <w:tcPr>
            <w:tcW w:w="358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掌握资金筹集、投资决策、营运资金管理等核心知识，理解财务分析与风险控制逻辑，明晰财务管理的基本流程与方法。</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能运用财务管理工具进行简单投融资分析，具备初步资金规划与成本控制能力，可撰写基础财务方案。</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培养理性财务思维与风险防控意识，树立效益与合规并重的理念，提升财务决策的科学性与严谨性。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结合企业财务实践案例，强化诚信理财教育，引导学生树立服务企业发展与社会责任担当的价值观。</w:t>
            </w:r>
          </w:p>
        </w:tc>
        <w:tc>
          <w:tcPr>
            <w:tcW w:w="29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财务管理基础；资金时间价值与风险；筹资管理模块；投资管理；利润分配管理。</w:t>
            </w:r>
          </w:p>
        </w:tc>
        <w:tc>
          <w:tcPr>
            <w:tcW w:w="26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多媒体教学手段，结合生活实例和企业案例，深入浅出地讲解理论知识。选取具有代表性的企业财务案例，引导学生分析讨论，增强理论学习的针对性和实用性。同时利用财务管理软件或Excel等工具，进行财务决策模拟实训，提高学生的实践操作能力和问题解决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智能化成本核算与管理</w:t>
            </w:r>
          </w:p>
        </w:tc>
        <w:tc>
          <w:tcPr>
            <w:tcW w:w="358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掌握智能化工具在成本归集、分配中的应用，理解智能成本核算流程，明晰成本管控与企业决策的关联逻辑。</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能运用智能系统处理成本数据，具备成本差异分析与优化建议能力，可设计简单智能化成本管理方案。</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培养数据驱动的成本思维与创新意识，树立精准高效的成本管控理念，提升应对智能环境的适应素养。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结合智能成本管理实践案例，强化诚信核算意识，引导学生树立降本增效、服务企业高质量发展的责任感。</w:t>
            </w:r>
          </w:p>
        </w:tc>
        <w:tc>
          <w:tcPr>
            <w:tcW w:w="29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智能化成本核算与管理基础；智能化成本核算方法与应用；智能化成本管理工具与实践；智能化成本管理案例分析与项目实践</w:t>
            </w:r>
          </w:p>
        </w:tc>
        <w:tc>
          <w:tcPr>
            <w:tcW w:w="26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综合运用多种教学方法，激发学生学习兴趣。采用案例教学法，引入不同行业的实际案例，引导学生分析并解决问题；通过项目驱动教学法，让学生分组完成特定项目，提升团队协作和实践能力；开展小组讨论，鼓励学生分享观点，培养批判性思维。教学中针对热点问题或难点内容组织小组讨论，促进学生之间的交流与合作。同时设计贴近实际的成本核算、成本控制等模拟实训项目，增强学生的动手能力和问题解决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企业纳税实务</w:t>
            </w:r>
          </w:p>
        </w:tc>
        <w:tc>
          <w:tcPr>
            <w:tcW w:w="358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掌握增值税、企业所得税等核心税种计算与申报知识，理解税收优惠政策，明晰企业纳税申报与筹划的基本规范。</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能独立完成常见税种的计算与申报操作，具备初步税务风险识别能力，可协助企业制定简单税务处理方案。</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培养依法纳税的合规意识与精准计税的职业素养，树立税务筹划的合法边界认知，提升税务处理严谨性。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结合税收法治案例，强化依法纳税理念，引导学生树立“诚信纳税”意识与维护国家税收秩序的责任感。</w:t>
            </w:r>
          </w:p>
        </w:tc>
        <w:tc>
          <w:tcPr>
            <w:tcW w:w="29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增值税会计、消费税会计、企业所得税会计、个人所得税会计、其他税种会计、纳税会计等。</w:t>
            </w:r>
          </w:p>
        </w:tc>
        <w:tc>
          <w:tcPr>
            <w:tcW w:w="26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结合多媒体教学手段，系统讲解税收理论与制度，确保学生掌握基础知识。教学中选取典型税务案例，引导学生分析讨论，加深对知识点的理解和应用。课堂上利用税务实训软件或模拟系统，进行税务登记、税款计算、纳税申报等实际操作训练，提高学生对税务的理解和实际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内部控制与风险管理</w:t>
            </w:r>
          </w:p>
        </w:tc>
        <w:tc>
          <w:tcPr>
            <w:tcW w:w="358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掌握内部控制五要素框架、风险识别与评估方法，理解企业各业务环节风控逻辑，明晰风控体系构建的核心规范。</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能运用内控工具分析企业风险点，具备初步风控方案设计能力，可对简单业务的内控有效性进行评估。</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培养风险预判思维与合规意识，树立“全员风控”的责任认知，提升应对复杂风险问题的审慎素养。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结合企业风控合规案例，强化诚信经营理念，引导学生树立守规尽责、维护企业与社会利益的价值观。</w:t>
            </w:r>
          </w:p>
        </w:tc>
        <w:tc>
          <w:tcPr>
            <w:tcW w:w="29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企业内部控制理论、企业内部控制目标与风险管理、企业内部控制环境与风险评估、控制活动与信息传递、内部监督、人员与组织行为风险控制、资金活动与财务风险控制、信息传递与信息风险控制等。</w:t>
            </w:r>
          </w:p>
        </w:tc>
        <w:tc>
          <w:tcPr>
            <w:tcW w:w="26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多媒体教学手段，系统讲授内部控制理论知识。教学中采用小组讨论、角色扮演等形式，对典型案例进行分析，促进学生理解与应用。课堂中学生通过内部控制设计、测试与评价等模拟实训项目，增强学生的实践能力。利用网络平台提供丰富的教学资源，支持学生自主学习和互动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管理会计</w:t>
            </w:r>
          </w:p>
        </w:tc>
        <w:tc>
          <w:tcPr>
            <w:tcW w:w="358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掌握成本性态分析、预算编制、责任会计等核心内容，理解管理会计为决策服务的逻辑，明晰其在企业管理中的应用规范。</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能力目标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能运用管理会计工具开展成本核算与控制，具备初步经营决策分析能力，可编制简单企业内部管理报告。</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培养面向管理的战略思维与数据洞察素养，树立精准高效的决策支持意识，提升解决企业经营问题的主动性。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结合管理会计实践案例，强化责任意识教育，引导学生树立合规决策、服务企业可持续发展的价值观。</w:t>
            </w:r>
          </w:p>
        </w:tc>
        <w:tc>
          <w:tcPr>
            <w:tcW w:w="29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成本性态分析、 变动成本法、本量利分析原理、预测分析、短期经营决策、长期投资决策、全面预算、成本控制、责任会计等。</w:t>
            </w:r>
          </w:p>
        </w:tc>
        <w:tc>
          <w:tcPr>
            <w:tcW w:w="26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讲授结合PPT系统讲解财务大数据分析与可视化的基本理论和方法，注重理论与实践相结合。通过实际案例的剖析，引导学生运用所学知识进行问题分析和解决，增强实践能力。课堂上组织学生进行小组讨论，促进学生之间的交流与合作，培养其团队协作能力和批判性思维。同时鼓励学生阅读相关书籍、期刊文章，关注财经新闻，拓宽知识面，提升专业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财务大数据分析与可视化</w:t>
            </w:r>
          </w:p>
        </w:tc>
        <w:tc>
          <w:tcPr>
            <w:tcW w:w="358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掌握财务大数据采集、清洗方法，理解数据分析模型与可视化工具原理，明晰数据驱动财务决策的核心逻辑。</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能运用工具处理财务数据、搭建分析模型，具备数据可视化呈现能力，可通过数据解读财务问题并提出建议。</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培养数据思维与严谨的分析态度，树立数据安全与隐私保护意识，提升财务数据解读的深度与准确性。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结合数据反映的经济发展成果，厚植家国情怀，引导学生树立数据诚信与用技术服务实体经济的责任感。</w:t>
            </w:r>
          </w:p>
        </w:tc>
        <w:tc>
          <w:tcPr>
            <w:tcW w:w="29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财务大数据特征、分析方法（如预测建模、风险预警）及可视化原理；Python数据处理（Pandas、NumPy）、Power BI/Tableau可视化设计、SQL数据库操作；财务大数据分析与可视化、成本优化、现金流预测等场景的大数据建模与可视化实现；区块链在财务大数据领域的创新应用。</w:t>
            </w:r>
          </w:p>
        </w:tc>
        <w:tc>
          <w:tcPr>
            <w:tcW w:w="26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系统理解财务大数据技术体系，熟悉主流工具的功能逻辑；通过项目实操完成从数据采集到可视化的全流程，独立解决财务分析问题；以小组形式开展财务场景模拟，提出数据驱动的优化方案，强化创新思维；严格遵循财务数据安全法规，确保分析结果的准确性与合规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财务机器人应用</w:t>
            </w:r>
          </w:p>
        </w:tc>
        <w:tc>
          <w:tcPr>
            <w:tcW w:w="358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理解财务机器人的运行原理，熟悉开发工具及操作指令，掌握财务流程自动化设计与数据处理的理论知识。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能运用工具开发财务机器人，完成流程自动化部署与调试，具备分析、优化企业财务流程并解决应用问题的能力。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培养严谨、细致、负责的职业素养，塑造创新思维与团队协作精神，树立风险防范和数据安全意识。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结合行业案例，融入职业道德与合规教育，激发学生的创新报国之志，培养其服务社会与企业的担当精神。</w:t>
            </w:r>
          </w:p>
        </w:tc>
        <w:tc>
          <w:tcPr>
            <w:tcW w:w="29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RPA基础：RPA技术原理与发展趋势；财务自动化应用场景RPA与财务数字化转型的关系；流程自动化设计模式；数据抓取与处理技术；RPA与AI融合（智能票据识别、自然语言处理）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合规与风险管理：财务数据安全规范（权限控制、数据加密）；RPA实施中的内控要点；法律与伦理问题（自动化决策的合规性）</w:t>
            </w:r>
          </w:p>
        </w:tc>
        <w:tc>
          <w:tcPr>
            <w:tcW w:w="26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项目驱动教学：以真实财务业务流程为任务，分阶段完成需求分析→流程设计→开发→测试→部署。</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color w:val="auto"/>
                <w:sz w:val="24"/>
                <w:szCs w:val="24"/>
                <w:highlight w:val="none"/>
                <w:lang w:val="en-US" w:eastAsia="zh-CN"/>
              </w:rPr>
              <w:t>案例教学：引入企业案例（如德勤财务机器人、四大会计师事务所实践）。沙盒环境：提供虚拟财务系统（如模拟ERP环境）供学生实操演练。</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48"/>
    </w:p>
    <w:p>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专业拓展课程是按照岗位迁移，根据</w:t>
      </w:r>
      <w:r>
        <w:rPr>
          <w:rFonts w:hint="eastAsia" w:ascii="仿宋_GB2312" w:hAnsi="仿宋_GB2312" w:eastAsia="仿宋_GB2312" w:cs="仿宋_GB2312"/>
          <w:color w:val="auto"/>
          <w:spacing w:val="-2"/>
          <w:sz w:val="32"/>
          <w:szCs w:val="32"/>
          <w:highlight w:val="none"/>
        </w:rPr>
        <w:t>财务会计行业</w:t>
      </w:r>
      <w:r>
        <w:rPr>
          <w:rFonts w:hint="eastAsia" w:ascii="仿宋_GB2312" w:hAnsi="仿宋_GB2312" w:eastAsia="仿宋_GB2312" w:cs="仿宋_GB2312"/>
          <w:color w:val="auto"/>
          <w:sz w:val="32"/>
          <w:szCs w:val="32"/>
          <w:highlight w:val="none"/>
        </w:rPr>
        <w:t>发展的趋势，依据企业用人需求调研，企业对</w:t>
      </w:r>
      <w:r>
        <w:rPr>
          <w:rFonts w:hint="eastAsia" w:ascii="仿宋_GB2312" w:hAnsi="仿宋_GB2312" w:eastAsia="仿宋_GB2312" w:cs="仿宋_GB2312"/>
          <w:color w:val="auto"/>
          <w:spacing w:val="-2"/>
          <w:sz w:val="32"/>
          <w:szCs w:val="32"/>
          <w:highlight w:val="none"/>
        </w:rPr>
        <w:t>大数据处理、会计核算、财务管理</w:t>
      </w:r>
      <w:r>
        <w:rPr>
          <w:rFonts w:hint="eastAsia" w:ascii="仿宋_GB2312" w:hAnsi="仿宋_GB2312" w:eastAsia="仿宋_GB2312" w:cs="仿宋_GB2312"/>
          <w:color w:val="auto"/>
          <w:sz w:val="32"/>
          <w:szCs w:val="32"/>
          <w:highlight w:val="none"/>
        </w:rPr>
        <w:t>等方面日益增加的需求，建立了</w:t>
      </w:r>
      <w:r>
        <w:rPr>
          <w:rFonts w:hint="eastAsia" w:ascii="仿宋_GB2312" w:hAnsi="仿宋_GB2312" w:eastAsia="仿宋_GB2312" w:cs="仿宋_GB2312"/>
          <w:color w:val="auto"/>
          <w:spacing w:val="-2"/>
          <w:sz w:val="32"/>
          <w:szCs w:val="32"/>
          <w:highlight w:val="none"/>
        </w:rPr>
        <w:t>大数据与财务管理</w:t>
      </w:r>
      <w:r>
        <w:rPr>
          <w:rFonts w:hint="eastAsia" w:ascii="仿宋_GB2312" w:hAnsi="仿宋_GB2312" w:eastAsia="仿宋_GB2312" w:cs="仿宋_GB2312"/>
          <w:color w:val="auto"/>
          <w:sz w:val="32"/>
          <w:szCs w:val="32"/>
          <w:highlight w:val="none"/>
        </w:rPr>
        <w:t>专业拓展课，并将辅修方向课程纳入其中。由财务共享实务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财经法规与会计职业道德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企业财务管理案例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ERP沙盘模拟经营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税收筹划</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财务管理综合实训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中国会计文化</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资产评估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企业营运管理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供应链管理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管理学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电子商务等课程构成专业拓展课。</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000000" w:themeColor="text1"/>
          <w:sz w:val="32"/>
          <w:szCs w:val="32"/>
          <w:highlight w:val="none"/>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1"/>
        <w:tblpPr w:leftFromText="180" w:rightFromText="180" w:vertAnchor="text" w:tblpXSpec="center" w:tblpY="1"/>
        <w:tblOverlap w:val="never"/>
        <w:tblW w:w="10598"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806"/>
        <w:gridCol w:w="4214"/>
        <w:gridCol w:w="2475"/>
        <w:gridCol w:w="2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806"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名称</w:t>
            </w:r>
          </w:p>
        </w:tc>
        <w:tc>
          <w:tcPr>
            <w:tcW w:w="4214"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475"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487"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overflowPunct w:val="0"/>
              <w:adjustRightInd w:val="0"/>
              <w:spacing w:line="36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zh-CN" w:eastAsia="zh-CN"/>
              </w:rPr>
              <w:t>财务共享实务</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掌握财务共享中心架构与流程，理解业财融合逻辑，能辨识共享模式下核心财务业务节点。熟知财务共享系统操作规范，明晰数据安全与合规要求，掌握财务数据处理关键方法。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能独立完成共享中心费用报销、资金结算等实操，具备财务数据核对与异常问题处理能力。能运用财务共享工具分析业务数据，具备提出优化财务流程建议的初步能力。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养成严谨细致的财务工作态度，具备团队协作意识，能高效配合完成共享财务任务。树立持续学习意识，适应财务数字化转型，具备应对共享财务新挑战的应变素质。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w:t>
            </w:r>
            <w:r>
              <w:rPr>
                <w:rFonts w:hint="eastAsia" w:ascii="仿宋_GB2312" w:hAnsi="仿宋_GB2312" w:eastAsia="仿宋_GB2312" w:cs="仿宋_GB2312"/>
                <w:b/>
                <w:bCs/>
                <w:color w:val="auto"/>
                <w:sz w:val="24"/>
                <w:szCs w:val="24"/>
                <w:highlight w:val="none"/>
                <w:lang w:val="en-US" w:eastAsia="zh-CN"/>
              </w:rPr>
              <w:t>程思政育人目标：</w:t>
            </w:r>
            <w:r>
              <w:rPr>
                <w:rFonts w:hint="eastAsia" w:ascii="仿宋_GB2312" w:hAnsi="仿宋_GB2312" w:eastAsia="仿宋_GB2312" w:cs="仿宋_GB2312"/>
                <w:color w:val="auto"/>
                <w:sz w:val="24"/>
                <w:szCs w:val="24"/>
                <w:highlight w:val="none"/>
                <w:lang w:val="en-US" w:eastAsia="zh-CN"/>
              </w:rPr>
              <w:t>强化诚信执业与廉洁从业意识，坚守财务职业道德底线，树立正确的财经法治观念。</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zh-CN"/>
              </w:rPr>
              <w:t>财务共享的起源、价值定位及与企业战略的协同；核心业务流程：采购到付款</w:t>
            </w:r>
            <w:r>
              <w:rPr>
                <w:rFonts w:hint="eastAsia" w:ascii="仿宋_GB2312" w:hAnsi="仿宋_GB2312" w:eastAsia="仿宋_GB2312" w:cs="仿宋_GB2312"/>
                <w:color w:val="auto"/>
                <w:sz w:val="24"/>
                <w:szCs w:val="24"/>
                <w:highlight w:val="none"/>
                <w:lang w:val="zh-CN" w:eastAsia="zh-CN"/>
              </w:rPr>
              <w:t>（P2P）、销售到收款（O2C）等标准化流程设计；ERP系统操作、RPA自动化技术及财务大数据平台搭建；税务管理、内部</w:t>
            </w:r>
            <w:r>
              <w:rPr>
                <w:rFonts w:hint="eastAsia" w:ascii="仿宋_GB2312" w:hAnsi="仿宋_GB2312" w:eastAsia="仿宋_GB2312" w:cs="仿宋_GB2312"/>
                <w:color w:val="auto"/>
                <w:sz w:val="24"/>
                <w:szCs w:val="24"/>
                <w:highlight w:val="none"/>
                <w:lang w:val="zh-CN"/>
              </w:rPr>
              <w:t>审计及数据安全策略。</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采用“双轨制”教学，线上依托财务共享模拟平台开展流程实操，线下结合企业专家讲座深化行业认知；要求学生完成全流程业务处理、自动化方案设计及跨部门协同项目，强化数字化工具应用与批判性思维；关注智能财务发展</w:t>
            </w:r>
            <w:r>
              <w:rPr>
                <w:rFonts w:hint="eastAsia" w:ascii="仿宋_GB2312" w:hAnsi="仿宋_GB2312" w:eastAsia="仿宋_GB2312" w:cs="仿宋_GB2312"/>
                <w:color w:val="auto"/>
                <w:sz w:val="24"/>
                <w:szCs w:val="24"/>
                <w:highlight w:val="none"/>
                <w:lang w:val="zh-CN" w:eastAsia="zh-CN"/>
              </w:rPr>
              <w:t>趋势，鼓励学生探索AI、区块链在财务共享中的创新应用场景。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财经法规与会计职业道德</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全面掌握会计法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税收征管法等法规，明晰会计法律体系、支付结算、税收与财政法规，熟知会计职业道德规范。</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精准运用财经法规处理会计核算、监督、结算等工作，熟练计算纳税金额并申报，能分析解决复杂财经法律问题。</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培育严谨细致、廉洁奉公的职业素养，形成自觉守法、诚信自律的职业习惯，增强团队协作与沟通交流能力。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将社会主义核心价值观融入教学，培养学生爱国守法、敬业奉献精神，引导树立正确职业观与价值观。</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会计法律制度、支付结算法律制度、税收法律制度、财政法规制度、会计职业道德等。</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通过教师系统讲授，使学生掌握基础知识和理论框架。在教学过程中选取典型财经案例，引导学生分析讨论，增强实践应用能力。组织学生分组讨论，促进思想碰撞，培养团队合作</w:t>
            </w:r>
            <w:r>
              <w:rPr>
                <w:rFonts w:hint="eastAsia" w:ascii="仿宋_GB2312" w:hAnsi="仿宋_GB2312" w:eastAsia="仿宋_GB2312" w:cs="仿宋_GB2312"/>
                <w:color w:val="auto"/>
                <w:sz w:val="24"/>
                <w:szCs w:val="24"/>
                <w:highlight w:val="none"/>
                <w:lang w:val="en-US" w:eastAsia="zh-CN"/>
              </w:rPr>
              <w:t>精神</w:t>
            </w:r>
            <w:r>
              <w:rPr>
                <w:rFonts w:hint="eastAsia" w:ascii="仿宋_GB2312" w:hAnsi="仿宋_GB2312" w:eastAsia="仿宋_GB2312" w:cs="仿宋_GB2312"/>
                <w:color w:val="auto"/>
                <w:sz w:val="24"/>
                <w:szCs w:val="24"/>
                <w:highlight w:val="none"/>
              </w:rPr>
              <w:t>。模拟会计工作中的实际场景，让学生在角色扮演中体验法律与道德的冲突与抉择。利用网络平台提供丰富的教学资料、视频讲座、在线测试等，拓宽学习渠道。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企业财务管理案例</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掌握企业资金筹集、投资决策、营运资金管理、利润分配等财务管理核心知识，熟悉财务分析方法与工具。</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能够运用所学知识对企业财务数据进行精准分析，制定科学合理的筹资、投资与运营方案，解决财务管理实际问题。</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培养严谨细致、诚实守信、风险防范的职业素养，提升团队协作、沟通表达以及自主学习和解决复杂问题的能力。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将社会主义核心价值观融入教学，树立学生诚信守法、服务社会的职业理念，激发学生为经济发展贡献力量的责任感。</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阐述财务管理的基础理论，财务管理的目标、原则、职能等，为后续案例分析提供理论支撑。筹资管理案例，投资管理案例，资金日常管理案例，成本管理案例，利润分配管理案例，企业综合分析案例，分析企业并购重组案例。</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能够运用所学的财务管理理论和方法，对给定的案例进行深入分析，提出自己的观点和见解，并能撰写规范的案例分析报告。将所学知识应用于实际案例中，通过案例分析和模拟决策等活动，提高解决实际问题的能力，同时培养学生的创新意识和实践能力，使其能够在不同的企业情境下做出合理的财务管理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ERP沙盘模拟经营</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掌握企业战略、营销等核心逻辑与ERP沙盘规则，明晰模块联动及市场、研发原理，筑牢模拟经营知识根基。</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能依市场数据定经营战略、调资源、控风险，借数据复盘提方案，提升ERP模拟经营效益。</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培育团队协作与沟通力，</w:t>
            </w:r>
            <w:r>
              <w:rPr>
                <w:rFonts w:hint="eastAsia" w:ascii="仿宋_GB2312" w:hAnsi="仿宋_GB2312" w:eastAsia="仿宋_GB2312" w:cs="仿宋_GB2312"/>
                <w:color w:val="auto"/>
                <w:sz w:val="24"/>
                <w:szCs w:val="24"/>
                <w:highlight w:val="none"/>
                <w:lang w:eastAsia="zh-CN"/>
              </w:rPr>
              <w:t>树立</w:t>
            </w:r>
            <w:r>
              <w:rPr>
                <w:rFonts w:hint="eastAsia" w:ascii="仿宋_GB2312" w:hAnsi="仿宋_GB2312" w:eastAsia="仿宋_GB2312" w:cs="仿宋_GB2312"/>
                <w:color w:val="auto"/>
                <w:sz w:val="24"/>
                <w:szCs w:val="24"/>
                <w:highlight w:val="none"/>
              </w:rPr>
              <w:t>前瞻应变意识</w:t>
            </w:r>
            <w:r>
              <w:rPr>
                <w:rFonts w:hint="eastAsia" w:ascii="仿宋_GB2312" w:hAnsi="仿宋_GB2312" w:eastAsia="仿宋_GB2312" w:cs="仿宋_GB2312"/>
                <w:color w:val="auto"/>
                <w:sz w:val="24"/>
                <w:szCs w:val="24"/>
                <w:highlight w:val="none"/>
                <w:lang w:eastAsia="zh-CN"/>
              </w:rPr>
              <w:t>，培</w:t>
            </w:r>
            <w:r>
              <w:rPr>
                <w:rFonts w:hint="eastAsia" w:ascii="仿宋_GB2312" w:hAnsi="仿宋_GB2312" w:eastAsia="仿宋_GB2312" w:cs="仿宋_GB2312"/>
                <w:color w:val="auto"/>
                <w:sz w:val="24"/>
                <w:szCs w:val="24"/>
                <w:highlight w:val="none"/>
              </w:rPr>
              <w:t>养负责态度，提升职业责任感、担当与创新思维。</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融诚信道德，渗家国意识，传社会责任，助学生树兼顾经济与社会效益的经营观。</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ERP系统原理、企业价值链与业务流程重组（BPR）；市场竞争模拟、产品研发、生产排程、资金筹措与现金流管理；ERP软件操作、财务分析模型及数据可视化技术。</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用“分组对抗+软件模拟+复盘研讨”模式，结合企业真实经营场景提升沉浸感；要求学生完成多周期经营决策，提交战略分析报告并进行跨组辩论，强化批判性思维与快速响应能力；鼓励学生探索ERP系统与AI、大数据的融合应用，关注智能决策技术在企业运营中的创新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税收筹划</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掌握各税种法规、计税方法及税收筹划原理，熟知筹划常用技术与风险防控要点，明晰筹划与税法遵从的边界。</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能结合企业经营场景，运用筹划技术设计合法方案，精准测算节税效果，并规避税务风险。</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培育严谨的税法遵从意识与专业判断力，养成主动研究税收政策、高效解决税务问题的素养。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融依法纳税理念，树家国情怀，引导学生以合规筹划助力企业发展，践行社会责任。</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税法要素解析、税收筹划逻辑框架与法律边界；利用税收优惠、组织架构调整、交易模式设计等工具进行筹划；房地产、高新技术企业等特殊领域的税务筹划方案设计；税务稽查应对、反避税规则及跨境税收筹划合规要点。</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用“税法解读+案例研讨+模拟实训”模式，运用税务筹划软件进行企业全生命周期税务模拟；要求学生独立完成企业税务诊断报告与筹划方案设计，强化逻辑分析与创新思维；鼓励学生探索数字经济下跨境税收筹划的创新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财务综合模拟实训</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掌握企业全流程账务处理、报表编制、税务申报核心知识，明晰财务内控要点，筑牢财务综合实操的理论基础。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能独立完成凭证处理、账簿登记、报表出具与纳税申报，具备财务数据分析及解决实操问题的能力。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培育严谨细致的财务职业态度，提升团队协作与沟通效率，养成主动学习、合规操作的职业素养。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融诚信守法、廉洁自律理念，引导学生坚守财务职业底线，树立服务企业与社会的责任意识。</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企业建账</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zh-CN"/>
              </w:rPr>
              <w:t>编制审核原始凭证</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zh-CN"/>
              </w:rPr>
              <w:t>编制记账凭证及汇总</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zh-CN"/>
              </w:rPr>
              <w:t>登记各类会计账簿</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zh-CN"/>
              </w:rPr>
              <w:t>对账结账及错账更正，编制会计报表</w:t>
            </w:r>
            <w:r>
              <w:rPr>
                <w:rFonts w:hint="eastAsia" w:ascii="仿宋_GB2312" w:hAnsi="仿宋_GB2312" w:eastAsia="仿宋_GB2312" w:cs="仿宋_GB2312"/>
                <w:color w:val="auto"/>
                <w:sz w:val="24"/>
                <w:szCs w:val="24"/>
                <w:highlight w:val="none"/>
              </w:rPr>
              <w:t>。</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案例模拟真实企业经济环境，增强学生的实践感知和操作能力。选取典型会计案例，引导学生分析讨论，提升问题解决能力。同时课堂上促进学生之间的交流与协作，共同解决实训中遇到的问题。鼓励学生课前预习相关理论知识，课堂上更多地进行实践操作和讨论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中国会计文化</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掌握中国会计文化发展脉络、核心思想及不同历史时期特征，明晰其与会计制度、实践的关联，筑牢文化认知基础。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能分析中国会计文化的当代价值，运用其理念解读会计实践，具备挖掘、传播优秀传统会计文化的能力。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培育对中国会计文化的认同感与自豪感，养成以文化理念规范职业行为的习惯，提升文化素养与职业修养。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传承中华优秀会计文化中的诚信、守正理念，厚植家国情怀，引导学生树立符合中国文化的会计职业价值观。</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从《周礼》“司会”到当代会计准则的文化基因演变；思想内核：儒家“义利观”、道家“节制”思想与会计诚信建设； 制度实践：红色会计的战时经验与现代启示；数字技术冲击下会计文化的传承与重构案例分析。</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用“文献研读+田野调查+跨学科研讨”模式，组织学生访谈老会计、参观会计博物馆；要求学生完成会计文化基因解码报告，结合企业案例分析文化冲突解决方案；鼓励学生参与“会计文化口述史”项目，关注ESG理念与传统文化的协同创新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资产评估</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掌握资产评估基本理论、方法及各类资产评估流程，熟知评估准则与法规，明晰评估报告编制要点，筑牢专业知识基础。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能运用评估方法对资产价值测算分析，规范编制评估报告，应对评估中的常见问题，提升实操应用能力。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培育严谨细致的职业态度与独立思考能力，树立合规意识，增强团队协作与沟通素养，养成专业责任感。</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融诚信公正理念，渗法治意识与社会责任，引导学生坚守评估伦理，助力树立服务经济发展的专业价值观。</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资产评估基本假设、价值类型及与会计、审计的协同关系；市场法、收益法、成本法的应用逻辑；企业价值评估中的EVA模型、无形资产评估的超额收益法、不动产评估的路线价法。</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用“双轨教学”，理论讲授结合资产评估模拟软件实操，组织行业专家分享典型评估案例；要求学生完成完整评估项目（从现场勘查、数据采集到报告编制），强化Excel建模与PPT可视化能力；关注国际评估准则（IVS）与中国评估实践差异，鼓励学生参与“全国大学生资产评估知识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企业营运管理</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掌握企业生产计划、质量管控、供应链管理等核心内容，明晰运营优化逻辑，为企业高效运营奠定理论基础。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能制定基础生产计划、分析运营瓶颈，运用工具优化流程，提升企业资源利用与运营效率。</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培育系统思维与问题解决能力，树立高效务实意识，养成严谨负责的职业态度与团队协作素养。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融诚信经营与社会责任理念，渗家国情怀，引导学生以合规运营助力企业与国家经济发展。</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运营管理的目标、战略定位及与市场营销、财务的协同关系；需求预测、生产排程、库存管理及服务交付的标准化设计；ERP系统应用、六西格玛质量管理、TOC约束理论及数字化建模方法。</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采用“双阶驱动”模式，理论教学结合运营模拟软件（如OptQuest）开展实战演练要求学生完成全周期运营方案设计、成本效益</w:t>
            </w:r>
            <w:r>
              <w:rPr>
                <w:rFonts w:hint="eastAsia" w:ascii="仿宋_GB2312" w:hAnsi="仿宋_GB2312" w:eastAsia="仿宋_GB2312" w:cs="仿宋_GB2312"/>
                <w:color w:val="auto"/>
                <w:sz w:val="24"/>
                <w:szCs w:val="24"/>
                <w:highlight w:val="none"/>
                <w:lang w:val="zh-CN"/>
              </w:rPr>
              <w:t>分析报告及突发危机应对预案；鼓励学生探索</w:t>
            </w:r>
            <w:r>
              <w:rPr>
                <w:rFonts w:hint="eastAsia" w:ascii="仿宋_GB2312" w:hAnsi="仿宋_GB2312" w:eastAsia="仿宋_GB2312" w:cs="仿宋_GB2312"/>
                <w:color w:val="auto"/>
                <w:sz w:val="24"/>
                <w:szCs w:val="24"/>
                <w:highlight w:val="none"/>
              </w:rPr>
              <w:t>ESG理念在供应链管理中的实践创新。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供应链管理</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掌握供应链规划、采购、仓储、物流等核心知识，明晰链上企业协同逻辑与风险管理要点，筑牢供应链管理理论基础。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能运用工具优化供应链流程，协调链上资源，分析并应对供应链风险，提升供应链运营效率与韧性。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培育全局思维与跨主体协作素养，养成严谨细致的工作态度，增强供应链管理中的责任意识与创新意识。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融诚信协作理念，渗家国情怀，引导学生关注供应链安全，树立兼顾经济与社会责任的供应链管理观。</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供应链基础概念与理论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供应链战略与规划</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市场需求预测的方法和技术，如定性预测方法和定量预测方法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采购与供应管理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生产与运营管理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物流与配送管理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库存管理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供应链绩效评估与风险管理</w:t>
            </w:r>
            <w:r>
              <w:rPr>
                <w:rFonts w:hint="eastAsia" w:ascii="仿宋_GB2312" w:hAnsi="仿宋_GB2312" w:eastAsia="仿宋_GB2312" w:cs="仿宋_GB2312"/>
                <w:color w:val="auto"/>
                <w:sz w:val="24"/>
                <w:szCs w:val="24"/>
                <w:highlight w:val="none"/>
                <w:lang w:eastAsia="zh-CN"/>
              </w:rPr>
              <w:t>。</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通过实际案例分析</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，让学生了解供应链管理在企业中的应用和实践经验，提高学生的应用能力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学生应具备较强的逻辑思维能力、分析问题和解决问题的能力，能够运用所学知识对供应链管理中的实际问题进行分析和决策。具有良好的沟通能力、团队协作能力和组织协调能力，能够在跨部门、跨企业的供应链环境中有效地开展工作。掌握一定的信息技术应用能力，提高工作效率和管理水平。鼓励学生参加各类相关竞赛、科研项目和社会实践活动，拓宽视野，增强创新意识和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管理学</w:t>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掌握管理职能、经典理论及组织运营核心逻辑，明晰决策、计划、领导等模块要点，筑牢管理学认知基础。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能运用管理理论分析实际问题，制定可行方案，协调团队资源，提升解决组织管理问题的实操能力。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培育系统思维与责任意识，树立科学管理理念，提升团队协作与高效沟通素养，适配管理岗位需求。</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融社会主义核心价值观，渗家国情怀与责任担当，引导学生以科学管理助力社会经济高质量发展。</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管理与管理学、 管理理论的演化、组织的概论、计划工作概述、 决策在管理中的战略、领导艺术、激励等。</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教材结合多媒体教学手段，系统讲解管理学理论知识。选取典型案例，组织学生进行分析讨论，增强学生对理论知识的理解和应用能力。其次围绕特定主题或问题，分组进行讨论，促进学生之间的交流与合作，培养团队协作能力。在掌握基本理论知识基础上通过角色扮演、管理游戏等方式，模拟真实管理情境，让学生在实践中学习和掌握管理技能。</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电子商务</w:t>
            </w:r>
            <w:r>
              <w:rPr>
                <w:rFonts w:hint="eastAsia" w:ascii="仿宋_GB2312" w:hAnsi="仿宋_GB2312" w:eastAsia="仿宋_GB2312" w:cs="仿宋_GB2312"/>
                <w:color w:val="auto"/>
                <w:sz w:val="24"/>
                <w:szCs w:val="24"/>
                <w:highlight w:val="none"/>
                <w:lang w:val="en-US" w:eastAsia="zh-CN"/>
              </w:rPr>
              <w:br w:type="textWrapping"/>
            </w:r>
          </w:p>
        </w:tc>
        <w:tc>
          <w:tcPr>
            <w:tcW w:w="4214"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掌握电商运营、网络营销、电子支付等核心知识，明晰电商平台规则与供应链管理逻辑，筑牢电商业务开展的理论基础。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能搭建电商店铺、策划营销活动、分析运营数据，解决订单处理与客户服务问题，具备独立开展电商业务的能力。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培育数字化思维与创新意识</w:t>
            </w:r>
            <w:r>
              <w:rPr>
                <w:rFonts w:hint="eastAsia" w:ascii="仿宋_GB2312" w:hAnsi="仿宋_GB2312" w:eastAsia="仿宋_GB2312" w:cs="仿宋_GB2312"/>
                <w:color w:val="auto"/>
                <w:spacing w:val="-6"/>
                <w:sz w:val="24"/>
                <w:szCs w:val="24"/>
                <w:highlight w:val="none"/>
              </w:rPr>
              <w:t>，养成严谨细致的工作态度，提升跨团队协作与应对电商市场变化的能力。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融诚信经营与合规理念，渗家国情怀，引导学生践行电商社会责任，树立健康可持续的电商发展观。</w:t>
            </w:r>
          </w:p>
        </w:tc>
        <w:tc>
          <w:tcPr>
            <w:tcW w:w="2475"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电子商务概述、电子商务技术基础，电子商务商业模式、电子商务支付、电子商务物流、网络营销、电子商务涉及的法律法规等。</w:t>
            </w:r>
          </w:p>
        </w:tc>
        <w:tc>
          <w:tcPr>
            <w:tcW w:w="248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课程采用多种教学方法，如案例分析、项目实训、小组讨论、模拟演练等，以提高学生的实际操作能力和理</w:t>
            </w:r>
            <w:r>
              <w:rPr>
                <w:rFonts w:hint="eastAsia" w:ascii="仿宋_GB2312" w:hAnsi="仿宋_GB2312" w:eastAsia="仿宋_GB2312" w:cs="仿宋_GB2312"/>
                <w:color w:val="auto"/>
                <w:sz w:val="24"/>
                <w:szCs w:val="24"/>
                <w:highlight w:val="none"/>
                <w:lang w:eastAsia="zh-CN"/>
              </w:rPr>
              <w:t>解能</w:t>
            </w:r>
            <w:r>
              <w:rPr>
                <w:rFonts w:hint="eastAsia" w:ascii="仿宋_GB2312" w:hAnsi="仿宋_GB2312" w:eastAsia="仿宋_GB2312" w:cs="仿宋_GB2312"/>
                <w:color w:val="auto"/>
                <w:sz w:val="24"/>
                <w:szCs w:val="24"/>
                <w:highlight w:val="none"/>
              </w:rPr>
              <w:t>力。使学生掌握电子商务的基本概念、框架结构、运行环境、技术内容、交易手段与管理方法，以及电子商务应用的现实框架等内容。</w:t>
            </w:r>
          </w:p>
        </w:tc>
      </w:tr>
    </w:tbl>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教学环节：毕业设计、岗位实习。</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17"/>
        <w:gridCol w:w="4312"/>
        <w:gridCol w:w="183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40" w:type="dxa"/>
            <w:vAlign w:val="center"/>
          </w:tcPr>
          <w:p>
            <w:pPr>
              <w:overflowPunct w:val="0"/>
              <w:adjustRightInd w:val="0"/>
              <w:spacing w:line="360" w:lineRule="exact"/>
              <w:jc w:val="center"/>
              <w:rPr>
                <w:rFonts w:hint="eastAsia" w:ascii="仿宋_GB2312" w:hAnsi="仿宋_GB2312" w:eastAsia="仿宋_GB2312" w:cs="仿宋_GB2312"/>
                <w:color w:val="auto"/>
                <w:sz w:val="24"/>
                <w:highlight w:val="none"/>
              </w:rPr>
            </w:pPr>
            <w:bookmarkStart w:id="49" w:name="OLE_LINK21"/>
            <w:r>
              <w:rPr>
                <w:rFonts w:hint="eastAsia" w:ascii="仿宋_GB2312" w:hAnsi="仿宋_GB2312" w:eastAsia="仿宋_GB2312" w:cs="仿宋_GB2312"/>
                <w:color w:val="auto"/>
                <w:sz w:val="24"/>
                <w:highlight w:val="none"/>
              </w:rPr>
              <w:t>序号</w:t>
            </w:r>
          </w:p>
        </w:tc>
        <w:tc>
          <w:tcPr>
            <w:tcW w:w="717"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名称</w:t>
            </w:r>
          </w:p>
        </w:tc>
        <w:tc>
          <w:tcPr>
            <w:tcW w:w="4312"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1833"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977" w:type="dxa"/>
            <w:vAlign w:val="center"/>
          </w:tcPr>
          <w:p>
            <w:pPr>
              <w:spacing w:line="36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0"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1</w:t>
            </w:r>
          </w:p>
        </w:tc>
        <w:tc>
          <w:tcPr>
            <w:tcW w:w="71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毕业设计</w:t>
            </w:r>
          </w:p>
        </w:tc>
        <w:tc>
          <w:tcPr>
            <w:tcW w:w="431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整合专业核心知识，掌握课题研究方法与学术规范，明晰行业前沿动态，构建系统的专业知识应用体系。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能独立开展课题调研、数据分析与方案设计，熟练撰写论文，提升解决专业实际问题的综合能力。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培育严谨治学态度与创新思维，增强责任担当，提升自主学习、团队协作及成果展示素养。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融入学术诚信与职业精神，引导学生立足行业需求，树立服务社会、助力产业发展的价值导向。</w:t>
            </w:r>
          </w:p>
        </w:tc>
        <w:tc>
          <w:tcPr>
            <w:tcW w:w="183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选题和资料收集；分析和计划；开题报告；撰写初稿；修改定稿；答辩。</w:t>
            </w:r>
          </w:p>
        </w:tc>
        <w:tc>
          <w:tcPr>
            <w:tcW w:w="297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指导教师根据学生的能力水平和兴趣特长，进行针对性及个别指导。同时全程跟踪学生的研究进展，及时解决学生遇到的问题；对学生在选题、研究过程、论文撰写及答辩等各个环节均提出明确要求；鼓励学生在研究中勇于探索未知领域，提出新观点、新方法，培养学生的创新意识和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zh-CN"/>
              </w:rPr>
              <w:t>2</w:t>
            </w:r>
          </w:p>
        </w:tc>
        <w:tc>
          <w:tcPr>
            <w:tcW w:w="71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lang w:val="zh-CN"/>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szCs w:val="24"/>
                <w:highlight w:val="none"/>
                <w:lang w:val="zh-CN"/>
              </w:rPr>
            </w:pPr>
            <w:r>
              <w:rPr>
                <w:rFonts w:hint="eastAsia" w:ascii="仿宋_GB2312" w:hAnsi="仿宋_GB2312" w:eastAsia="仿宋_GB2312" w:cs="仿宋_GB2312"/>
                <w:color w:val="auto"/>
                <w:sz w:val="24"/>
                <w:szCs w:val="24"/>
                <w:highlight w:val="none"/>
                <w:lang w:val="zh-CN"/>
              </w:rPr>
              <w:t>岗位实习</w:t>
            </w:r>
          </w:p>
        </w:tc>
        <w:tc>
          <w:tcPr>
            <w:tcW w:w="4312"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掌握岗位所需专业理论与实操规范，明晰行业政策及企业规章制度，理解岗位工作与其他环节的衔接逻辑。</w:t>
            </w: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能独立完成岗位核心任务，熟练运用专业工具解决实际问题，具备职场沟通协调与任务复盘优化能力。</w:t>
            </w: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养成严谨负责的工作态度与高效执行力，培育职业适应性与团队协作素养，树立终身学习意识。</w:t>
            </w: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b/>
                <w:bCs/>
                <w:color w:val="auto"/>
                <w:sz w:val="24"/>
                <w:highlight w:val="none"/>
                <w:lang w:eastAsia="zh-CN"/>
              </w:rPr>
              <w:t>：</w:t>
            </w:r>
            <w:r>
              <w:rPr>
                <w:rFonts w:hint="eastAsia" w:ascii="仿宋_GB2312" w:hAnsi="仿宋_GB2312" w:eastAsia="仿宋_GB2312" w:cs="仿宋_GB2312"/>
                <w:color w:val="auto"/>
                <w:sz w:val="24"/>
                <w:highlight w:val="none"/>
              </w:rPr>
              <w:t>融敬业奉献精神，守职业伦理底线，渗家国情怀，引导学生以岗位实践助力行业与社会发展。</w:t>
            </w:r>
          </w:p>
        </w:tc>
        <w:tc>
          <w:tcPr>
            <w:tcW w:w="183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会计岗位、出纳岗位实训</w:t>
            </w:r>
          </w:p>
        </w:tc>
        <w:tc>
          <w:tcPr>
            <w:tcW w:w="2977"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通过校企合作模式、实习导师制、实习日志与报告撰写等教学方法，让学生在真实的工作环境中锻炼技能，积累实践经验。</w:t>
            </w:r>
          </w:p>
        </w:tc>
      </w:tr>
      <w:bookmarkEnd w:id="49"/>
    </w:tbl>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50" w:name="_Toc27124"/>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50"/>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1"/>
        <w:tblW w:w="10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4"/>
        <w:gridCol w:w="3571"/>
        <w:gridCol w:w="879"/>
        <w:gridCol w:w="1012"/>
        <w:gridCol w:w="1039"/>
        <w:gridCol w:w="1235"/>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overflowPunct w:val="0"/>
              <w:adjustRightInd w:val="0"/>
              <w:spacing w:line="36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模块</w:t>
            </w:r>
          </w:p>
        </w:tc>
        <w:tc>
          <w:tcPr>
            <w:tcW w:w="3571" w:type="dxa"/>
            <w:vAlign w:val="center"/>
          </w:tcPr>
          <w:p>
            <w:pPr>
              <w:spacing w:line="36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szCs w:val="24"/>
                <w:highlight w:val="none"/>
                <w:lang w:val="en-US" w:eastAsia="zh-CN"/>
              </w:rPr>
              <w:t>内容</w:t>
            </w:r>
          </w:p>
        </w:tc>
        <w:tc>
          <w:tcPr>
            <w:tcW w:w="879" w:type="dxa"/>
            <w:vAlign w:val="center"/>
          </w:tcPr>
          <w:p>
            <w:pPr>
              <w:spacing w:line="360" w:lineRule="exact"/>
              <w:jc w:val="center"/>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性质</w:t>
            </w:r>
          </w:p>
        </w:tc>
        <w:tc>
          <w:tcPr>
            <w:tcW w:w="1012" w:type="dxa"/>
            <w:vAlign w:val="center"/>
          </w:tcPr>
          <w:p>
            <w:pPr>
              <w:spacing w:line="360" w:lineRule="exact"/>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组织者</w:t>
            </w:r>
          </w:p>
        </w:tc>
        <w:tc>
          <w:tcPr>
            <w:tcW w:w="1039" w:type="dxa"/>
            <w:vAlign w:val="center"/>
          </w:tcPr>
          <w:p>
            <w:pPr>
              <w:spacing w:line="360" w:lineRule="exact"/>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认定者</w:t>
            </w:r>
          </w:p>
        </w:tc>
        <w:tc>
          <w:tcPr>
            <w:tcW w:w="1235" w:type="dxa"/>
            <w:vAlign w:val="center"/>
          </w:tcPr>
          <w:p>
            <w:pPr>
              <w:spacing w:line="360" w:lineRule="exact"/>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计分标准</w:t>
            </w:r>
          </w:p>
        </w:tc>
        <w:tc>
          <w:tcPr>
            <w:tcW w:w="1416" w:type="dxa"/>
            <w:vAlign w:val="center"/>
          </w:tcPr>
          <w:p>
            <w:pPr>
              <w:spacing w:line="360" w:lineRule="exact"/>
              <w:jc w:val="center"/>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思想成长</w:t>
            </w:r>
          </w:p>
        </w:tc>
        <w:tc>
          <w:tcPr>
            <w:tcW w:w="3571"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1.思想政治教育</w:t>
            </w:r>
            <w:r>
              <w:rPr>
                <w:rFonts w:hint="eastAsia" w:ascii="仿宋_GB2312" w:hAnsi="仿宋_GB2312" w:eastAsia="仿宋_GB2312" w:cs="仿宋_GB2312"/>
                <w:b w:val="0"/>
                <w:bCs w:val="0"/>
                <w:color w:val="000000"/>
                <w:sz w:val="24"/>
                <w:szCs w:val="24"/>
                <w:highlight w:val="none"/>
              </w:rPr>
              <w:t>主题</w:t>
            </w:r>
            <w:r>
              <w:rPr>
                <w:rFonts w:hint="eastAsia" w:ascii="仿宋_GB2312" w:hAnsi="仿宋_GB2312" w:eastAsia="仿宋_GB2312" w:cs="仿宋_GB2312"/>
                <w:b w:val="0"/>
                <w:bCs w:val="0"/>
                <w:color w:val="000000"/>
                <w:sz w:val="24"/>
                <w:szCs w:val="24"/>
                <w:highlight w:val="none"/>
                <w:lang w:val="en-US" w:eastAsia="zh-CN"/>
              </w:rPr>
              <w:t>讲</w:t>
            </w:r>
            <w:r>
              <w:rPr>
                <w:rFonts w:hint="eastAsia" w:ascii="仿宋_GB2312" w:hAnsi="仿宋_GB2312" w:eastAsia="仿宋_GB2312" w:cs="仿宋_GB2312"/>
                <w:b w:val="0"/>
                <w:bCs w:val="0"/>
                <w:color w:val="000000"/>
                <w:sz w:val="24"/>
                <w:szCs w:val="24"/>
                <w:highlight w:val="none"/>
              </w:rPr>
              <w:t>座、形势与政策报告会</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2.</w:t>
            </w:r>
            <w:r>
              <w:rPr>
                <w:rFonts w:hint="eastAsia" w:ascii="仿宋_GB2312" w:hAnsi="仿宋_GB2312" w:eastAsia="仿宋_GB2312" w:cs="仿宋_GB2312"/>
                <w:b w:val="0"/>
                <w:bCs w:val="0"/>
                <w:color w:val="000000"/>
                <w:sz w:val="24"/>
                <w:szCs w:val="24"/>
                <w:highlight w:val="none"/>
              </w:rPr>
              <w:t>爱国主义教育活动</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3.</w:t>
            </w:r>
            <w:r>
              <w:rPr>
                <w:rFonts w:hint="eastAsia" w:ascii="仿宋_GB2312" w:hAnsi="仿宋_GB2312" w:eastAsia="仿宋_GB2312" w:cs="仿宋_GB2312"/>
                <w:b w:val="0"/>
                <w:bCs w:val="0"/>
                <w:color w:val="000000"/>
                <w:sz w:val="24"/>
                <w:szCs w:val="24"/>
                <w:highlight w:val="none"/>
              </w:rPr>
              <w:t>党团组织生活</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4.</w:t>
            </w:r>
            <w:r>
              <w:rPr>
                <w:rFonts w:hint="eastAsia" w:ascii="仿宋_GB2312" w:hAnsi="仿宋_GB2312" w:eastAsia="仿宋_GB2312" w:cs="仿宋_GB2312"/>
                <w:b w:val="0"/>
                <w:bCs w:val="0"/>
                <w:color w:val="000000"/>
                <w:sz w:val="24"/>
                <w:szCs w:val="24"/>
                <w:highlight w:val="none"/>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青年大学习</w:t>
            </w:r>
          </w:p>
        </w:tc>
        <w:tc>
          <w:tcPr>
            <w:tcW w:w="8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活动组 织单位</w:t>
            </w:r>
          </w:p>
        </w:tc>
        <w:tc>
          <w:tcPr>
            <w:tcW w:w="103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w:t>
            </w:r>
          </w:p>
        </w:tc>
        <w:tc>
          <w:tcPr>
            <w:tcW w:w="123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41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rPr>
              <w:t>第二课堂成绩</w:t>
            </w:r>
            <w:r>
              <w:rPr>
                <w:rFonts w:hint="eastAsia" w:ascii="仿宋_GB2312" w:hAnsi="仿宋_GB2312" w:eastAsia="仿宋_GB2312" w:cs="仿宋_GB2312"/>
                <w:b w:val="0"/>
                <w:bCs w:val="0"/>
                <w:color w:val="000000"/>
                <w:sz w:val="24"/>
                <w:szCs w:val="24"/>
                <w:highlight w:val="none"/>
                <w:lang w:val="en-US" w:eastAsia="zh-CN"/>
              </w:rPr>
              <w:t>由</w:t>
            </w:r>
            <w:r>
              <w:rPr>
                <w:rFonts w:hint="eastAsia" w:ascii="仿宋_GB2312" w:hAnsi="仿宋_GB2312" w:eastAsia="仿宋_GB2312" w:cs="仿宋_GB2312"/>
                <w:b w:val="0"/>
                <w:bCs w:val="0"/>
                <w:color w:val="000000"/>
                <w:sz w:val="24"/>
                <w:szCs w:val="24"/>
                <w:highlight w:val="none"/>
              </w:rPr>
              <w:t xml:space="preserve">网络管理系 统（到梦 空间）实 时记录，学生在大一、 </w:t>
            </w:r>
            <w:r>
              <w:rPr>
                <w:rFonts w:hint="eastAsia" w:ascii="仿宋_GB2312" w:hAnsi="仿宋_GB2312" w:eastAsia="仿宋_GB2312" w:cs="仿宋_GB2312"/>
                <w:b w:val="0"/>
                <w:bCs w:val="0"/>
                <w:color w:val="000000"/>
                <w:sz w:val="24"/>
                <w:szCs w:val="24"/>
                <w:highlight w:val="none"/>
                <w:lang w:val="en-US" w:eastAsia="zh-CN"/>
              </w:rPr>
              <w:t>大</w:t>
            </w:r>
            <w:r>
              <w:rPr>
                <w:rFonts w:hint="eastAsia" w:ascii="仿宋_GB2312" w:hAnsi="仿宋_GB2312" w:eastAsia="仿宋_GB2312" w:cs="仿宋_GB2312"/>
                <w:b w:val="0"/>
                <w:bCs w:val="0"/>
                <w:color w:val="000000"/>
                <w:sz w:val="24"/>
                <w:szCs w:val="24"/>
                <w:highlight w:val="none"/>
              </w:rPr>
              <w:t>二期间</w:t>
            </w:r>
            <w:r>
              <w:rPr>
                <w:rFonts w:hint="eastAsia" w:ascii="仿宋_GB2312" w:hAnsi="仿宋_GB2312" w:eastAsia="仿宋_GB2312" w:cs="仿宋_GB2312"/>
                <w:b w:val="0"/>
                <w:bCs w:val="0"/>
                <w:color w:val="000000"/>
                <w:sz w:val="24"/>
                <w:szCs w:val="24"/>
                <w:highlight w:val="none"/>
                <w:lang w:val="en-US" w:eastAsia="zh-CN"/>
              </w:rPr>
              <w:t>积分达60分及以上，可获4</w:t>
            </w:r>
            <w:r>
              <w:rPr>
                <w:rFonts w:hint="eastAsia" w:ascii="仿宋_GB2312" w:hAnsi="仿宋_GB2312" w:eastAsia="仿宋_GB2312" w:cs="仿宋_GB2312"/>
                <w:b w:val="0"/>
                <w:bCs w:val="0"/>
                <w:color w:val="000000"/>
                <w:sz w:val="24"/>
                <w:szCs w:val="24"/>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实践</w:t>
            </w:r>
            <w:r>
              <w:rPr>
                <w:rFonts w:hint="eastAsia" w:ascii="仿宋_GB2312" w:hAnsi="仿宋_GB2312" w:eastAsia="仿宋_GB2312" w:cs="仿宋_GB2312"/>
                <w:color w:val="auto"/>
                <w:sz w:val="24"/>
                <w:szCs w:val="24"/>
                <w:highlight w:val="none"/>
                <w:lang w:val="en-US" w:eastAsia="zh-CN"/>
              </w:rPr>
              <w:t>实习</w:t>
            </w:r>
          </w:p>
        </w:tc>
        <w:tc>
          <w:tcPr>
            <w:tcW w:w="3571"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1.</w:t>
            </w:r>
            <w:r>
              <w:rPr>
                <w:rFonts w:hint="eastAsia" w:ascii="仿宋_GB2312" w:hAnsi="仿宋_GB2312" w:eastAsia="仿宋_GB2312" w:cs="仿宋_GB2312"/>
                <w:b w:val="0"/>
                <w:bCs w:val="0"/>
                <w:color w:val="000000"/>
                <w:sz w:val="24"/>
                <w:szCs w:val="24"/>
                <w:highlight w:val="none"/>
              </w:rPr>
              <w:t xml:space="preserve">暑期“三下乡”社会实践活动 </w:t>
            </w:r>
            <w:r>
              <w:rPr>
                <w:rFonts w:hint="eastAsia" w:ascii="仿宋_GB2312" w:hAnsi="仿宋_GB2312" w:eastAsia="仿宋_GB2312" w:cs="仿宋_GB2312"/>
                <w:b w:val="0"/>
                <w:bCs w:val="0"/>
                <w:color w:val="000000"/>
                <w:sz w:val="24"/>
                <w:szCs w:val="24"/>
                <w:highlight w:val="none"/>
                <w:lang w:val="en-US" w:eastAsia="zh-CN"/>
              </w:rPr>
              <w:t>2.</w:t>
            </w:r>
            <w:r>
              <w:rPr>
                <w:rFonts w:hint="eastAsia" w:ascii="仿宋_GB2312" w:hAnsi="仿宋_GB2312" w:eastAsia="仿宋_GB2312" w:cs="仿宋_GB2312"/>
                <w:b w:val="0"/>
                <w:bCs w:val="0"/>
                <w:color w:val="000000"/>
                <w:sz w:val="24"/>
                <w:szCs w:val="24"/>
                <w:highlight w:val="none"/>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3.</w:t>
            </w:r>
            <w:r>
              <w:rPr>
                <w:rFonts w:hint="eastAsia" w:ascii="仿宋_GB2312" w:hAnsi="仿宋_GB2312" w:eastAsia="仿宋_GB2312" w:cs="仿宋_GB2312"/>
                <w:b w:val="0"/>
                <w:bCs w:val="0"/>
                <w:color w:val="000000"/>
                <w:sz w:val="24"/>
                <w:szCs w:val="24"/>
                <w:highlight w:val="none"/>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4.</w:t>
            </w:r>
            <w:r>
              <w:rPr>
                <w:rFonts w:hint="eastAsia" w:ascii="仿宋_GB2312" w:hAnsi="仿宋_GB2312" w:eastAsia="仿宋_GB2312" w:cs="仿宋_GB2312"/>
                <w:b w:val="0"/>
                <w:bCs w:val="0"/>
                <w:color w:val="000000"/>
                <w:sz w:val="24"/>
                <w:szCs w:val="24"/>
                <w:highlight w:val="none"/>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7</w:t>
            </w:r>
            <w:r>
              <w:rPr>
                <w:rFonts w:hint="eastAsia" w:ascii="仿宋_GB2312" w:hAnsi="仿宋_GB2312" w:eastAsia="仿宋_GB2312" w:cs="仿宋_GB2312"/>
                <w:b w:val="0"/>
                <w:bCs w:val="0"/>
                <w:color w:val="000000"/>
                <w:sz w:val="24"/>
                <w:szCs w:val="24"/>
                <w:highlight w:val="none"/>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lang w:val="en-US" w:eastAsia="zh-CN"/>
              </w:rPr>
              <w:t>8.</w:t>
            </w:r>
            <w:r>
              <w:rPr>
                <w:rFonts w:hint="eastAsia" w:ascii="仿宋_GB2312" w:hAnsi="仿宋_GB2312" w:eastAsia="仿宋_GB2312" w:cs="仿宋_GB2312"/>
                <w:b w:val="0"/>
                <w:bCs w:val="0"/>
                <w:color w:val="000000"/>
                <w:sz w:val="24"/>
                <w:szCs w:val="24"/>
                <w:highlight w:val="none"/>
              </w:rPr>
              <w:t>实践活动的相关荣誉</w:t>
            </w:r>
          </w:p>
        </w:tc>
        <w:tc>
          <w:tcPr>
            <w:tcW w:w="8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活动组 织单位</w:t>
            </w:r>
          </w:p>
        </w:tc>
        <w:tc>
          <w:tcPr>
            <w:tcW w:w="103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41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创新创业</w:t>
            </w:r>
          </w:p>
        </w:tc>
        <w:tc>
          <w:tcPr>
            <w:tcW w:w="3571"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自主创业</w:t>
            </w:r>
          </w:p>
        </w:tc>
        <w:tc>
          <w:tcPr>
            <w:tcW w:w="8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活动组 织单位</w:t>
            </w:r>
          </w:p>
        </w:tc>
        <w:tc>
          <w:tcPr>
            <w:tcW w:w="103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41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志愿公益</w:t>
            </w:r>
          </w:p>
        </w:tc>
        <w:tc>
          <w:tcPr>
            <w:tcW w:w="357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5.</w:t>
            </w:r>
            <w:r>
              <w:rPr>
                <w:rFonts w:hint="eastAsia" w:ascii="仿宋_GB2312" w:hAnsi="仿宋_GB2312" w:eastAsia="仿宋_GB2312" w:cs="仿宋_GB2312"/>
                <w:b w:val="0"/>
                <w:bCs w:val="0"/>
                <w:color w:val="000000"/>
                <w:sz w:val="24"/>
                <w:szCs w:val="24"/>
                <w:highlight w:val="none"/>
              </w:rPr>
              <w:t xml:space="preserve">公益劳动 </w:t>
            </w:r>
          </w:p>
        </w:tc>
        <w:tc>
          <w:tcPr>
            <w:tcW w:w="8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活动组 织单位</w:t>
            </w:r>
          </w:p>
        </w:tc>
        <w:tc>
          <w:tcPr>
            <w:tcW w:w="103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41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000000"/>
                <w:sz w:val="24"/>
                <w:szCs w:val="24"/>
                <w:highlight w:val="none"/>
              </w:rPr>
              <w:t xml:space="preserve">文体活动 </w:t>
            </w:r>
          </w:p>
        </w:tc>
        <w:tc>
          <w:tcPr>
            <w:tcW w:w="357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5.文体讲座</w:t>
            </w:r>
          </w:p>
        </w:tc>
        <w:tc>
          <w:tcPr>
            <w:tcW w:w="8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活动组 织单位</w:t>
            </w:r>
          </w:p>
        </w:tc>
        <w:tc>
          <w:tcPr>
            <w:tcW w:w="103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41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 xml:space="preserve">工作履历 </w:t>
            </w:r>
          </w:p>
        </w:tc>
        <w:tc>
          <w:tcPr>
            <w:tcW w:w="357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5.退伍军人</w:t>
            </w:r>
          </w:p>
        </w:tc>
        <w:tc>
          <w:tcPr>
            <w:tcW w:w="8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活动组 织单位</w:t>
            </w:r>
          </w:p>
        </w:tc>
        <w:tc>
          <w:tcPr>
            <w:tcW w:w="103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41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技能特长 </w:t>
            </w:r>
          </w:p>
        </w:tc>
        <w:tc>
          <w:tcPr>
            <w:tcW w:w="357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5.技能比赛获奖</w:t>
            </w:r>
          </w:p>
        </w:tc>
        <w:tc>
          <w:tcPr>
            <w:tcW w:w="8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活动组 织单位</w:t>
            </w:r>
          </w:p>
        </w:tc>
        <w:tc>
          <w:tcPr>
            <w:tcW w:w="103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41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4"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其他</w:t>
            </w:r>
          </w:p>
        </w:tc>
        <w:tc>
          <w:tcPr>
            <w:tcW w:w="357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color w:val="auto"/>
                <w:sz w:val="24"/>
                <w:szCs w:val="24"/>
                <w:highlight w:val="none"/>
                <w:lang w:val="en-US" w:eastAsia="zh-CN"/>
              </w:rPr>
              <w:t>3.升旗仪式工作人员</w:t>
            </w:r>
          </w:p>
        </w:tc>
        <w:tc>
          <w:tcPr>
            <w:tcW w:w="87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活动组 织单位</w:t>
            </w:r>
          </w:p>
        </w:tc>
        <w:tc>
          <w:tcPr>
            <w:tcW w:w="1039"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41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highlight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rPr>
      </w:pPr>
      <w:bookmarkStart w:id="51" w:name="_Toc20828"/>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51"/>
    </w:p>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52" w:name="_Toc19100"/>
      <w:r>
        <w:rPr>
          <w:rFonts w:hint="eastAsia" w:ascii="楷体" w:hAnsi="楷体" w:eastAsia="楷体" w:cs="楷体"/>
          <w:color w:val="auto"/>
          <w:sz w:val="32"/>
          <w:szCs w:val="32"/>
        </w:rPr>
        <w:t>（一）教学环节分配表</w:t>
      </w:r>
      <w:bookmarkEnd w:id="52"/>
      <w:r>
        <w:rPr>
          <w:rFonts w:hint="eastAsia" w:ascii="楷体" w:hAnsi="楷体" w:eastAsia="楷体" w:cs="楷体"/>
          <w:color w:val="auto"/>
          <w:sz w:val="32"/>
          <w:szCs w:val="32"/>
        </w:rPr>
        <w:t xml:space="preserve">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1"/>
        <w:tblW w:w="5551" w:type="pct"/>
        <w:tblInd w:w="-5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1"/>
        <w:gridCol w:w="1230"/>
        <w:gridCol w:w="1108"/>
        <w:gridCol w:w="1108"/>
        <w:gridCol w:w="1108"/>
        <w:gridCol w:w="1108"/>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51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rPr>
            </w:pPr>
          </w:p>
          <w:p>
            <w:pPr>
              <w:spacing w:after="0" w:line="240" w:lineRule="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周数</w:t>
            </w: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内容</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学年</w:t>
            </w:r>
          </w:p>
        </w:tc>
        <w:tc>
          <w:tcPr>
            <w:tcW w:w="1133"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一</w:t>
            </w:r>
          </w:p>
        </w:tc>
        <w:tc>
          <w:tcPr>
            <w:tcW w:w="1074"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二</w:t>
            </w:r>
          </w:p>
        </w:tc>
        <w:tc>
          <w:tcPr>
            <w:tcW w:w="1274"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517" w:type="pct"/>
            <w:vMerge w:val="continue"/>
          </w:tcPr>
          <w:p>
            <w:pPr>
              <w:spacing w:after="0" w:line="240" w:lineRule="auto"/>
              <w:rPr>
                <w:rFonts w:hint="eastAsia" w:ascii="仿宋_GB2312" w:hAnsi="仿宋_GB2312" w:eastAsia="仿宋_GB2312" w:cs="仿宋_GB2312"/>
                <w:sz w:val="24"/>
                <w:szCs w:val="24"/>
                <w:highlight w:val="none"/>
              </w:rPr>
            </w:pPr>
          </w:p>
        </w:tc>
        <w:tc>
          <w:tcPr>
            <w:tcW w:w="59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51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课堂教学</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1-18</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51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考试</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19-20</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51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军训</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1-2</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517"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入学教育</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3-8</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517"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毕业设计</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51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岗位实习</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517"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517"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毕业教育</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51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学期教学总周数</w:t>
            </w:r>
          </w:p>
        </w:tc>
        <w:tc>
          <w:tcPr>
            <w:tcW w:w="59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37"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73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bCs/>
          <w:color w:val="auto"/>
          <w:sz w:val="32"/>
          <w:szCs w:val="32"/>
        </w:rPr>
      </w:pPr>
      <w:bookmarkStart w:id="53" w:name="_Toc17763"/>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53"/>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highlight w:val="none"/>
        </w:rPr>
        <w:t>本专业教学总学时为</w:t>
      </w:r>
      <w:r>
        <w:rPr>
          <w:rFonts w:hint="eastAsia" w:ascii="仿宋_GB2312" w:hAnsi="仿宋_GB2312" w:eastAsia="仿宋_GB2312" w:cs="仿宋_GB2312"/>
          <w:bCs/>
          <w:color w:val="auto"/>
          <w:sz w:val="32"/>
          <w:szCs w:val="32"/>
          <w:highlight w:val="none"/>
          <w:lang w:val="en-US" w:eastAsia="zh-CN"/>
        </w:rPr>
        <w:t>2684</w:t>
      </w:r>
      <w:r>
        <w:rPr>
          <w:rFonts w:hint="eastAsia" w:ascii="仿宋_GB2312" w:hAnsi="仿宋_GB2312" w:eastAsia="仿宋_GB2312" w:cs="仿宋_GB2312"/>
          <w:bCs/>
          <w:color w:val="auto"/>
          <w:sz w:val="32"/>
          <w:szCs w:val="32"/>
          <w:highlight w:val="none"/>
        </w:rPr>
        <w:t>学时。其中理论教学</w:t>
      </w:r>
      <w:r>
        <w:rPr>
          <w:rFonts w:hint="eastAsia" w:ascii="仿宋_GB2312" w:hAnsi="仿宋_GB2312" w:eastAsia="仿宋_GB2312" w:cs="仿宋_GB2312"/>
          <w:bCs/>
          <w:color w:val="auto"/>
          <w:sz w:val="32"/>
          <w:szCs w:val="32"/>
          <w:highlight w:val="none"/>
          <w:lang w:val="en-US" w:eastAsia="zh-CN"/>
        </w:rPr>
        <w:t>1308</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bCs/>
          <w:color w:val="auto"/>
          <w:sz w:val="32"/>
          <w:szCs w:val="32"/>
          <w:highlight w:val="none"/>
          <w:lang w:val="en-US" w:eastAsia="zh-CN"/>
        </w:rPr>
        <w:t>48.73</w:t>
      </w:r>
      <w:r>
        <w:rPr>
          <w:rFonts w:hint="eastAsia" w:ascii="仿宋_GB2312" w:hAnsi="仿宋_GB2312" w:eastAsia="仿宋_GB2312" w:cs="仿宋_GB2312"/>
          <w:bCs/>
          <w:color w:val="auto"/>
          <w:sz w:val="32"/>
          <w:szCs w:val="32"/>
          <w:highlight w:val="none"/>
        </w:rPr>
        <w:t>%；实践教学</w:t>
      </w:r>
      <w:r>
        <w:rPr>
          <w:rFonts w:hint="eastAsia" w:ascii="仿宋_GB2312" w:hAnsi="仿宋_GB2312" w:eastAsia="仿宋_GB2312" w:cs="仿宋_GB2312"/>
          <w:bCs/>
          <w:color w:val="auto"/>
          <w:sz w:val="32"/>
          <w:szCs w:val="32"/>
          <w:highlight w:val="none"/>
          <w:lang w:val="en-US" w:eastAsia="zh-CN"/>
        </w:rPr>
        <w:t>1376</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bCs/>
          <w:color w:val="auto"/>
          <w:sz w:val="32"/>
          <w:szCs w:val="32"/>
          <w:highlight w:val="none"/>
          <w:lang w:val="en-US" w:eastAsia="zh-CN"/>
        </w:rPr>
        <w:t>51.27</w:t>
      </w:r>
      <w:r>
        <w:rPr>
          <w:rFonts w:hint="eastAsia" w:ascii="仿宋_GB2312" w:hAnsi="仿宋_GB2312" w:eastAsia="仿宋_GB2312" w:cs="仿宋_GB2312"/>
          <w:bCs/>
          <w:color w:val="auto"/>
          <w:sz w:val="32"/>
          <w:szCs w:val="32"/>
          <w:highlight w:val="none"/>
        </w:rPr>
        <w:t>%，其中岗位实习累计时间6个月。公共基础课</w:t>
      </w:r>
      <w:r>
        <w:rPr>
          <w:rFonts w:hint="eastAsia" w:ascii="仿宋_GB2312" w:hAnsi="仿宋_GB2312" w:eastAsia="仿宋_GB2312" w:cs="仿宋_GB2312"/>
          <w:bCs/>
          <w:color w:val="auto"/>
          <w:sz w:val="32"/>
          <w:szCs w:val="32"/>
          <w:highlight w:val="none"/>
          <w:lang w:val="en-US" w:eastAsia="zh-CN"/>
        </w:rPr>
        <w:t>954</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bCs/>
          <w:color w:val="auto"/>
          <w:sz w:val="32"/>
          <w:szCs w:val="32"/>
          <w:highlight w:val="none"/>
          <w:lang w:val="en-US" w:eastAsia="zh-CN"/>
        </w:rPr>
        <w:t>35.54</w:t>
      </w:r>
      <w:r>
        <w:rPr>
          <w:rFonts w:hint="eastAsia" w:ascii="仿宋_GB2312" w:hAnsi="仿宋_GB2312" w:eastAsia="仿宋_GB2312" w:cs="仿宋_GB2312"/>
          <w:bCs/>
          <w:color w:val="auto"/>
          <w:sz w:val="32"/>
          <w:szCs w:val="32"/>
          <w:highlight w:val="none"/>
        </w:rPr>
        <w:t>%；选修课</w:t>
      </w:r>
      <w:r>
        <w:rPr>
          <w:rFonts w:hint="eastAsia" w:ascii="仿宋_GB2312" w:hAnsi="仿宋_GB2312" w:eastAsia="仿宋_GB2312" w:cs="仿宋_GB2312"/>
          <w:bCs/>
          <w:color w:val="auto"/>
          <w:sz w:val="32"/>
          <w:szCs w:val="32"/>
          <w:highlight w:val="none"/>
          <w:lang w:val="en-US" w:eastAsia="zh-CN"/>
        </w:rPr>
        <w:t>272</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bCs/>
          <w:color w:val="auto"/>
          <w:sz w:val="32"/>
          <w:szCs w:val="32"/>
          <w:highlight w:val="none"/>
          <w:lang w:val="en-US" w:eastAsia="zh-CN"/>
        </w:rPr>
        <w:t>10.13</w:t>
      </w:r>
      <w:r>
        <w:rPr>
          <w:rFonts w:hint="eastAsia" w:ascii="仿宋_GB2312" w:hAnsi="仿宋_GB2312" w:eastAsia="仿宋_GB2312" w:cs="仿宋_GB2312"/>
          <w:bCs/>
          <w:color w:val="auto"/>
          <w:sz w:val="32"/>
          <w:szCs w:val="32"/>
          <w:highlight w:val="none"/>
        </w:rPr>
        <w:t xml:space="preserve">%。  </w:t>
      </w:r>
      <w:r>
        <w:rPr>
          <w:rFonts w:hint="eastAsia" w:ascii="仿宋_GB2312" w:hAnsi="仿宋_GB2312" w:eastAsia="仿宋_GB2312" w:cs="仿宋_GB2312"/>
          <w:bCs/>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0"/>
        <w:tblW w:w="103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5"/>
        <w:gridCol w:w="1699"/>
        <w:gridCol w:w="1276"/>
        <w:gridCol w:w="715"/>
        <w:gridCol w:w="1115"/>
        <w:gridCol w:w="892"/>
        <w:gridCol w:w="838"/>
        <w:gridCol w:w="1122"/>
        <w:gridCol w:w="735"/>
        <w:gridCol w:w="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269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课程类别</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课程性质</w:t>
            </w: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学分</w:t>
            </w: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占专业总学分比例</w:t>
            </w:r>
          </w:p>
        </w:tc>
        <w:tc>
          <w:tcPr>
            <w:tcW w:w="455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26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合计</w:t>
            </w:r>
          </w:p>
        </w:tc>
        <w:tc>
          <w:tcPr>
            <w:tcW w:w="1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理论教学</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26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学时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占专业总学时比例（%）</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学时</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269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公共基础课</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30.34%</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826</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446</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16.62%</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380</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26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 w:val="24"/>
                <w:szCs w:val="24"/>
                <w:highlight w:val="none"/>
                <w:lang w:val="en-US" w:eastAsia="zh-CN"/>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5.52%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2.98%</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26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 w:val="24"/>
                <w:szCs w:val="24"/>
                <w:highlight w:val="none"/>
                <w:lang w:val="en-US" w:eastAsia="zh-CN"/>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35.86%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954</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526</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19.60%</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428</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99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专业课</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专业基础课</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19.31%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462</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378</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14.08%</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84</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99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 w:val="24"/>
                <w:szCs w:val="24"/>
                <w:highlight w:val="none"/>
                <w:lang w:val="en-US" w:eastAsia="zh-CN"/>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专业核心课</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34</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23.45%</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612</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312</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11.62%</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300</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99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 w:val="24"/>
                <w:szCs w:val="24"/>
                <w:highlight w:val="none"/>
                <w:lang w:val="en-US" w:eastAsia="zh-CN"/>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专业拓展课</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5.52%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2.68%</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99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highlight w:val="none"/>
              </w:rPr>
            </w:pPr>
            <w:r>
              <w:rPr>
                <w:rFonts w:hint="eastAsia" w:ascii="仿宋_GB2312" w:hAnsi="仿宋_GB2312" w:eastAsia="仿宋_GB2312" w:cs="仿宋_GB2312"/>
                <w:i w:val="0"/>
                <w:iCs w:val="0"/>
                <w:color w:val="000000"/>
                <w:sz w:val="20"/>
                <w:szCs w:val="20"/>
                <w:highlight w:val="none"/>
                <w:u w:val="none"/>
              </w:rPr>
              <w:t>实践</w:t>
            </w:r>
            <w:r>
              <w:rPr>
                <w:rFonts w:hint="eastAsia" w:ascii="仿宋_GB2312" w:hAnsi="仿宋_GB2312" w:eastAsia="仿宋_GB2312" w:cs="仿宋_GB2312"/>
                <w:i w:val="0"/>
                <w:iCs w:val="0"/>
                <w:color w:val="000000"/>
                <w:sz w:val="20"/>
                <w:szCs w:val="20"/>
                <w:highlight w:val="none"/>
                <w:u w:val="none"/>
                <w:lang w:val="en-US" w:eastAsia="zh-CN"/>
              </w:rPr>
              <w:t>性</w:t>
            </w:r>
            <w:r>
              <w:rPr>
                <w:rFonts w:hint="eastAsia" w:ascii="仿宋_GB2312" w:hAnsi="仿宋_GB2312" w:eastAsia="仿宋_GB2312" w:cs="仿宋_GB2312"/>
                <w:i w:val="0"/>
                <w:iCs w:val="0"/>
                <w:color w:val="000000"/>
                <w:sz w:val="20"/>
                <w:szCs w:val="20"/>
                <w:highlight w:val="none"/>
                <w:u w:val="none"/>
              </w:rPr>
              <w:t>教学环节</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23</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15.86%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512</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0.75%</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492</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jc w:val="center"/>
        </w:trPr>
        <w:tc>
          <w:tcPr>
            <w:tcW w:w="99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93</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64.14%</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1730</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782</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29.14%</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948</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9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i w:val="0"/>
                <w:color w:val="000000"/>
                <w:kern w:val="0"/>
                <w:sz w:val="20"/>
                <w:szCs w:val="20"/>
                <w:highlight w:val="none"/>
                <w:u w:val="none"/>
                <w:lang w:val="en-US" w:eastAsia="zh-CN" w:bidi="ar"/>
              </w:rPr>
              <w:t>合计</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145</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100.00%</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2684</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1308</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48.73%</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1376</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51.27%</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color w:val="auto"/>
          <w:sz w:val="32"/>
          <w:szCs w:val="32"/>
          <w:lang w:eastAsia="zh-CN"/>
        </w:rPr>
      </w:pPr>
      <w:bookmarkStart w:id="54" w:name="_Toc683"/>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54"/>
    </w:p>
    <w:p>
      <w:pPr>
        <w:pStyle w:val="9"/>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W w:w="578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3"/>
        <w:gridCol w:w="382"/>
        <w:gridCol w:w="480"/>
        <w:gridCol w:w="484"/>
        <w:gridCol w:w="1350"/>
        <w:gridCol w:w="1638"/>
        <w:gridCol w:w="750"/>
        <w:gridCol w:w="1012"/>
        <w:gridCol w:w="811"/>
        <w:gridCol w:w="802"/>
        <w:gridCol w:w="402"/>
        <w:gridCol w:w="324"/>
        <w:gridCol w:w="325"/>
        <w:gridCol w:w="337"/>
        <w:gridCol w:w="346"/>
        <w:gridCol w:w="292"/>
        <w:gridCol w:w="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bookmarkStart w:id="55" w:name="OLE_LINK3"/>
            <w:r>
              <w:rPr>
                <w:rFonts w:hint="eastAsia" w:ascii="仿宋_GB2312" w:hAnsi="仿宋_GB2312" w:eastAsia="仿宋_GB2312" w:cs="仿宋_GB2312"/>
                <w:sz w:val="20"/>
                <w:szCs w:val="20"/>
                <w:highlight w:val="none"/>
                <w:lang w:val="en-US" w:eastAsia="zh-CN"/>
              </w:rPr>
              <w:t>课程类型</w:t>
            </w: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序号</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课程代码</w:t>
            </w:r>
          </w:p>
        </w:tc>
        <w:tc>
          <w:tcPr>
            <w:tcW w:w="16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课程名称</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学分</w:t>
            </w:r>
          </w:p>
        </w:tc>
        <w:tc>
          <w:tcPr>
            <w:tcW w:w="26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教学学时数</w:t>
            </w:r>
          </w:p>
        </w:tc>
        <w:tc>
          <w:tcPr>
            <w:tcW w:w="2026"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开课学期和周学时</w:t>
            </w:r>
          </w:p>
        </w:tc>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6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合计</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理论学时</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实践学时</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一</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二</w:t>
            </w: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三</w:t>
            </w: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四</w:t>
            </w: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五</w:t>
            </w: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六</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必修</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1B410101101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思想道德与法治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1A410101102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形势与政策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1到4学期开课，每学期8学时。</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1A410101103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国家安全教育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1A410101104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军事理论</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1C410101105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军训</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112</w:t>
            </w:r>
          </w:p>
        </w:tc>
        <w:tc>
          <w:tcPr>
            <w:tcW w:w="202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第1学期，实际训练时间不少于14天</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1B410101106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计算机基础</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1B410101107</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高等数学</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1B410101108</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大学英语</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104</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1C410101109</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大学体育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144</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144</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大学生职业发展与就业指导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大学生心理健康教育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1C410101112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劳动教育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nil"/>
              <w:left w:val="nil"/>
              <w:bottom w:val="nil"/>
              <w:right w:val="nil"/>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13</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毛泽东思想和中国特色社会主义理论体系概论</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创新创业教育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nil"/>
              <w:left w:val="nil"/>
              <w:bottom w:val="nil"/>
              <w:right w:val="nil"/>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1B410101115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习近平新时代中国特色社会主义思想概论</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选修</w:t>
            </w: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1B410101201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中国民俗剪纸技法</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2026"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公共选修课最低学分要求为 8学分，其中要求2个学分为思政选修课学分。</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1B410101202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影视与鉴赏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中华优秀传统文化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中国共产党简史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改革开放简史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中华人民共和国简史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1A410101207</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社会主义发展简史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1A410101208</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中华民族共同体概论</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nil"/>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1A410101210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语文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9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公共必修课程学分、学时小计</w:t>
            </w:r>
          </w:p>
        </w:tc>
        <w:tc>
          <w:tcPr>
            <w:tcW w:w="750" w:type="dxa"/>
            <w:tcBorders>
              <w:top w:val="nil"/>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44</w:t>
            </w:r>
          </w:p>
        </w:tc>
        <w:tc>
          <w:tcPr>
            <w:tcW w:w="1012" w:type="dxa"/>
            <w:tcBorders>
              <w:top w:val="nil"/>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826</w:t>
            </w:r>
          </w:p>
        </w:tc>
        <w:tc>
          <w:tcPr>
            <w:tcW w:w="811" w:type="dxa"/>
            <w:tcBorders>
              <w:top w:val="nil"/>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446</w:t>
            </w:r>
          </w:p>
        </w:tc>
        <w:tc>
          <w:tcPr>
            <w:tcW w:w="802" w:type="dxa"/>
            <w:tcBorders>
              <w:top w:val="nil"/>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380</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9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公共必修课程学分、学时占比</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30.34%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30.77%</w:t>
            </w:r>
          </w:p>
        </w:tc>
        <w:tc>
          <w:tcPr>
            <w:tcW w:w="811" w:type="dxa"/>
            <w:tcBorders>
              <w:top w:val="single" w:color="000000" w:sz="4" w:space="0"/>
              <w:left w:val="single" w:color="000000" w:sz="4" w:space="0"/>
              <w:bottom w:val="nil"/>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34.10%</w:t>
            </w:r>
          </w:p>
        </w:tc>
        <w:tc>
          <w:tcPr>
            <w:tcW w:w="802" w:type="dxa"/>
            <w:tcBorders>
              <w:top w:val="single" w:color="000000" w:sz="4" w:space="0"/>
              <w:left w:val="single" w:color="000000" w:sz="4" w:space="0"/>
              <w:bottom w:val="nil"/>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pacing w:val="-20"/>
                <w:sz w:val="20"/>
                <w:szCs w:val="20"/>
                <w:highlight w:val="none"/>
                <w:lang w:val="en-US" w:eastAsia="zh-CN"/>
              </w:rPr>
            </w:pPr>
            <w:r>
              <w:rPr>
                <w:rFonts w:hint="eastAsia" w:ascii="仿宋_GB2312" w:hAnsi="仿宋_GB2312" w:eastAsia="仿宋_GB2312" w:cs="仿宋_GB2312"/>
                <w:spacing w:val="-20"/>
                <w:sz w:val="20"/>
                <w:szCs w:val="20"/>
                <w:highlight w:val="none"/>
                <w:lang w:val="en-US" w:eastAsia="zh-CN"/>
              </w:rPr>
              <w:t>27.62%</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95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公共选修课程学分、学时小计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012" w:type="dxa"/>
            <w:tcBorders>
              <w:top w:val="single" w:color="000000" w:sz="4" w:space="0"/>
              <w:left w:val="single" w:color="000000" w:sz="4" w:space="0"/>
              <w:bottom w:val="single" w:color="000000" w:sz="4" w:space="0"/>
              <w:right w:val="nil"/>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128</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95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公共选修课程学分、学时占比</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5.52%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4.77%</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6.12%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3.49%</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23"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专业课</w:t>
            </w:r>
          </w:p>
        </w:tc>
        <w:tc>
          <w:tcPr>
            <w:tcW w:w="382"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专业基础课</w:t>
            </w:r>
          </w:p>
        </w:tc>
        <w:tc>
          <w:tcPr>
            <w:tcW w:w="48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必修</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5A530302301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会计基础</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98</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98</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5A530302302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经济法基础</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5A530302303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经济学原理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5A530302304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企业管理基础</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5A530301306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财政金融基础</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5B530302305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大数据技术应用基础</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44</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5B530302307</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统计基础</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bottom w:val="nil"/>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bottom w:val="nil"/>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5B530302309</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习近平经济思想概论</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28</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必修</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企业财务会计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108</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5B530301401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财务管理实务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5B530302405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智能化成本核算与管理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5B530301403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企业纳税实务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5B530301404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内部控制与风险管理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5A530301406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管理会计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5B530301407</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财务大数据分析与可视化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5B530301408</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财务机器人应用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3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专业拓展课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选修</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5B530301501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财务共享实务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restart"/>
            <w:tcBorders>
              <w:top w:val="single" w:color="000000" w:sz="4" w:space="0"/>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p>
            <w:pPr>
              <w:spacing w:after="0" w:line="240" w:lineRule="auto"/>
              <w:jc w:val="center"/>
              <w:rPr>
                <w:rFonts w:hint="eastAsia" w:ascii="仿宋_GB2312" w:hAnsi="仿宋_GB2312" w:eastAsia="仿宋_GB2312" w:cs="仿宋_GB2312"/>
                <w:sz w:val="20"/>
                <w:szCs w:val="20"/>
                <w:highlight w:val="none"/>
                <w:lang w:val="en-US" w:eastAsia="zh-CN"/>
              </w:rPr>
            </w:pPr>
          </w:p>
          <w:p>
            <w:pPr>
              <w:spacing w:after="0" w:line="240" w:lineRule="auto"/>
              <w:jc w:val="center"/>
              <w:rPr>
                <w:rFonts w:hint="eastAsia" w:ascii="仿宋_GB2312" w:hAnsi="仿宋_GB2312" w:eastAsia="仿宋_GB2312" w:cs="仿宋_GB2312"/>
                <w:sz w:val="20"/>
                <w:szCs w:val="20"/>
                <w:highlight w:val="none"/>
                <w:lang w:val="en-US" w:eastAsia="zh-CN"/>
              </w:rPr>
            </w:pPr>
          </w:p>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专业拓展课最低学分要求为8学分。</w:t>
            </w: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5B530302509</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财经法规与会计职业道德</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5B530301503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企业财务管理案例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5B530301504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ERP沙盘模拟经营</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5B530301505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税收筹划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5B530301506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财务管理综合实训</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left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5B530302503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中国会计文化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000000" w:sz="4" w:space="0"/>
              <w:left w:val="single" w:color="000000" w:sz="4" w:space="0"/>
              <w:bottom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5B530301508</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资产评估</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5B530301509</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企业营运管理</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5B530301510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供应链管理</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管理学</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both"/>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5B530302511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电子商务</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c>
          <w:tcPr>
            <w:tcW w:w="81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802"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2026" w:type="dxa"/>
            <w:gridSpan w:val="6"/>
            <w:vMerge w:val="continue"/>
            <w:tcBorders>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p>
        </w:tc>
        <w:tc>
          <w:tcPr>
            <w:tcW w:w="38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highlight w:val="none"/>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必修</w:t>
            </w:r>
          </w:p>
        </w:tc>
        <w:tc>
          <w:tcPr>
            <w:tcW w:w="48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w:t>
            </w:r>
          </w:p>
        </w:tc>
        <w:tc>
          <w:tcPr>
            <w:tcW w:w="135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1B410101601</w:t>
            </w:r>
          </w:p>
        </w:tc>
        <w:tc>
          <w:tcPr>
            <w:tcW w:w="1638" w:type="dxa"/>
            <w:tcBorders>
              <w:top w:val="single" w:color="000000" w:sz="4" w:space="0"/>
              <w:left w:val="single" w:color="000000" w:sz="4" w:space="0"/>
              <w:bottom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毕业设计</w:t>
            </w:r>
          </w:p>
        </w:tc>
        <w:tc>
          <w:tcPr>
            <w:tcW w:w="75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101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80</w:t>
            </w:r>
          </w:p>
        </w:tc>
        <w:tc>
          <w:tcPr>
            <w:tcW w:w="81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w:t>
            </w:r>
          </w:p>
        </w:tc>
        <w:tc>
          <w:tcPr>
            <w:tcW w:w="802"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60</w:t>
            </w:r>
          </w:p>
        </w:tc>
        <w:tc>
          <w:tcPr>
            <w:tcW w:w="402"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w:t>
            </w:r>
          </w:p>
        </w:tc>
        <w:tc>
          <w:tcPr>
            <w:tcW w:w="292" w:type="dxa"/>
            <w:tcBorders>
              <w:top w:val="single" w:color="000000" w:sz="4" w:space="0"/>
              <w:left w:val="single" w:color="000000" w:sz="4" w:space="0"/>
              <w:bottom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auto"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82" w:type="dxa"/>
            <w:vMerge w:val="continue"/>
            <w:tcBorders>
              <w:left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1C410101602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岗位实习</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432</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432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专业必修课程学分、学时小计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85</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1586</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876</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专业必修课程学分、学时占比</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pacing w:val="-11"/>
                <w:sz w:val="20"/>
                <w:szCs w:val="20"/>
                <w:highlight w:val="none"/>
                <w:lang w:val="en-US" w:eastAsia="zh-CN"/>
              </w:rPr>
            </w:pPr>
            <w:r>
              <w:rPr>
                <w:rFonts w:hint="eastAsia" w:ascii="仿宋_GB2312" w:hAnsi="仿宋_GB2312" w:eastAsia="仿宋_GB2312" w:cs="仿宋_GB2312"/>
                <w:spacing w:val="-11"/>
                <w:sz w:val="20"/>
                <w:szCs w:val="20"/>
                <w:highlight w:val="none"/>
                <w:lang w:val="en-US" w:eastAsia="zh-CN"/>
              </w:rPr>
              <w:t>58.62%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pacing w:val="-11"/>
                <w:sz w:val="20"/>
                <w:szCs w:val="20"/>
                <w:highlight w:val="none"/>
                <w:lang w:val="en-US" w:eastAsia="zh-CN"/>
              </w:rPr>
            </w:pPr>
            <w:r>
              <w:rPr>
                <w:rFonts w:hint="eastAsia" w:ascii="仿宋_GB2312" w:hAnsi="仿宋_GB2312" w:eastAsia="仿宋_GB2312" w:cs="仿宋_GB2312"/>
                <w:spacing w:val="-11"/>
                <w:sz w:val="20"/>
                <w:szCs w:val="20"/>
                <w:highlight w:val="none"/>
                <w:lang w:val="en-US" w:eastAsia="zh-CN"/>
              </w:rPr>
              <w:t>59.09%</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pacing w:val="-11"/>
                <w:sz w:val="20"/>
                <w:szCs w:val="20"/>
                <w:highlight w:val="none"/>
                <w:lang w:val="en-US" w:eastAsia="zh-CN"/>
              </w:rPr>
            </w:pPr>
            <w:r>
              <w:rPr>
                <w:rFonts w:hint="eastAsia" w:ascii="仿宋_GB2312" w:hAnsi="仿宋_GB2312" w:eastAsia="仿宋_GB2312" w:cs="仿宋_GB2312"/>
                <w:spacing w:val="-11"/>
                <w:sz w:val="20"/>
                <w:szCs w:val="20"/>
                <w:highlight w:val="none"/>
                <w:lang w:val="en-US" w:eastAsia="zh-CN"/>
              </w:rPr>
              <w:t>54.28%</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pacing w:val="-11"/>
                <w:sz w:val="20"/>
                <w:szCs w:val="20"/>
                <w:highlight w:val="none"/>
                <w:lang w:val="en-US" w:eastAsia="zh-CN"/>
              </w:rPr>
            </w:pPr>
            <w:r>
              <w:rPr>
                <w:rFonts w:hint="eastAsia" w:ascii="仿宋_GB2312" w:hAnsi="仿宋_GB2312" w:eastAsia="仿宋_GB2312" w:cs="仿宋_GB2312"/>
                <w:spacing w:val="-11"/>
                <w:sz w:val="20"/>
                <w:szCs w:val="20"/>
                <w:highlight w:val="none"/>
                <w:lang w:val="en-US" w:eastAsia="zh-CN"/>
              </w:rPr>
              <w:t>63.66%</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专业拓展课程学分、学时小计</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144</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专业拓展课程学分、学时占比</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5.52%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5.37%</w:t>
            </w:r>
          </w:p>
        </w:tc>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5.50%</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5.23%</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6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总学分、学时合计</w:t>
            </w:r>
          </w:p>
        </w:tc>
        <w:tc>
          <w:tcPr>
            <w:tcW w:w="750" w:type="dxa"/>
            <w:tcBorders>
              <w:top w:val="single" w:color="000000" w:sz="4" w:space="0"/>
              <w:left w:val="single" w:color="000000" w:sz="4" w:space="0"/>
              <w:bottom w:val="single" w:color="000000" w:sz="4" w:space="0"/>
              <w:right w:val="nil"/>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145</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2684</w:t>
            </w:r>
          </w:p>
        </w:tc>
        <w:tc>
          <w:tcPr>
            <w:tcW w:w="811" w:type="dxa"/>
            <w:tcBorders>
              <w:top w:val="single" w:color="000000" w:sz="4" w:space="0"/>
              <w:left w:val="nil"/>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1308</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1376</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after="0" w:line="240" w:lineRule="auto"/>
              <w:jc w:val="center"/>
              <w:rPr>
                <w:rFonts w:hint="eastAsia" w:ascii="仿宋_GB2312" w:hAnsi="仿宋_GB2312" w:eastAsia="仿宋_GB2312" w:cs="仿宋_GB2312"/>
                <w:sz w:val="20"/>
                <w:szCs w:val="20"/>
                <w:highlight w:val="none"/>
                <w:lang w:val="en-US" w:eastAsia="zh-CN"/>
              </w:rPr>
            </w:pPr>
          </w:p>
        </w:tc>
      </w:tr>
      <w:bookmarkEnd w:id="55"/>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color w:val="auto"/>
          <w:sz w:val="32"/>
          <w:szCs w:val="32"/>
          <w:lang w:val="en-US" w:eastAsia="zh-CN"/>
        </w:rPr>
      </w:pPr>
      <w:bookmarkStart w:id="56" w:name="_Toc24173"/>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5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57" w:name="_Toc31495"/>
      <w:r>
        <w:rPr>
          <w:rFonts w:hint="eastAsia" w:ascii="楷体" w:hAnsi="楷体" w:eastAsia="楷体" w:cs="楷体"/>
          <w:b w:val="0"/>
          <w:bCs w:val="0"/>
          <w:color w:val="auto"/>
          <w:sz w:val="32"/>
          <w:szCs w:val="32"/>
          <w:highlight w:val="none"/>
          <w:lang w:val="en-US" w:eastAsia="zh-CN"/>
        </w:rPr>
        <w:t>队伍结构</w:t>
      </w:r>
      <w:bookmarkEnd w:id="5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学生数与专业专任教师数比例不高于25∶1，“双师型”教师占专业课教师数比例不低于60%，高级职称专任教师的比例不低于20%，专任教师队伍考虑职称、年龄、工作 经验，形成梯队结构。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整合校内外优质人才资源，选聘企业高级技术人员担任行业导师，组建校企合作、专兼结合的教师团队，建立定期开展专业教研机制。</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58" w:name="_Toc5514"/>
      <w:r>
        <w:rPr>
          <w:rFonts w:hint="eastAsia" w:ascii="楷体" w:hAnsi="楷体" w:eastAsia="楷体" w:cs="楷体"/>
          <w:color w:val="auto"/>
          <w:sz w:val="32"/>
          <w:szCs w:val="32"/>
        </w:rPr>
        <w:t>专业带头人</w:t>
      </w:r>
      <w:bookmarkEnd w:id="5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具有本专业及相关专业副高及以上职称和较强的实践能力，能够较好地把握国内外会计、审计及税务服务行业、专业发展，能广泛联系行业企业，了解行业企业对本专业人才的需求实际，主持专业建设、开展教育教学改革，教科研工作和社会服务能力强，在专业改革发展中起引领作用。</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lang w:val="en-US" w:eastAsia="zh-CN"/>
        </w:rPr>
      </w:pPr>
      <w:bookmarkStart w:id="59" w:name="_Toc1362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5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60" w:name="_Toc2030"/>
      <w:r>
        <w:rPr>
          <w:rFonts w:hint="eastAsia" w:ascii="仿宋_GB2312" w:hAnsi="仿宋_GB2312" w:eastAsia="仿宋_GB2312" w:cs="仿宋_GB2312"/>
          <w:b w:val="0"/>
          <w:bCs w:val="0"/>
          <w:color w:val="auto"/>
          <w:sz w:val="32"/>
          <w:szCs w:val="32"/>
          <w:highlight w:val="none"/>
          <w:lang w:val="en-US" w:eastAsia="zh-CN"/>
        </w:rPr>
        <w:t>具有高校教师资格；具有会计学、审计学、财务管理，大数据与会计、大数据与财务管理、大数据与审计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每年至少1个月在企业或生产性实训基地锻炼，每5年累计不少于6个月的企业实践经历。</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楷体" w:hAnsi="楷体" w:eastAsia="楷体" w:cs="楷体"/>
          <w:color w:val="auto"/>
          <w:sz w:val="32"/>
          <w:szCs w:val="32"/>
        </w:rPr>
        <w:t xml:space="preserve">    </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60"/>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从本专业相关行业企业的高技能人才中聘任，具有扎实的专业知识和丰富的实际工作经验，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 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rPr>
      </w:pPr>
      <w:bookmarkStart w:id="61" w:name="_Toc15414"/>
      <w:r>
        <w:rPr>
          <w:rFonts w:hint="eastAsia" w:ascii="黑体" w:hAnsi="黑体" w:eastAsia="黑体" w:cs="黑体"/>
          <w:color w:val="auto"/>
          <w:sz w:val="32"/>
          <w:szCs w:val="32"/>
          <w:lang w:val="en-US" w:eastAsia="zh-CN"/>
        </w:rPr>
        <w:t>十、教学条件</w:t>
      </w:r>
      <w:bookmarkEnd w:id="61"/>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62" w:name="_Toc5416"/>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62"/>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1"/>
        <w:tblW w:w="1007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1470"/>
        <w:gridCol w:w="1622"/>
        <w:gridCol w:w="3793"/>
        <w:gridCol w:w="1740"/>
        <w:gridCol w:w="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49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实验实训室名称</w:t>
            </w:r>
          </w:p>
        </w:tc>
        <w:tc>
          <w:tcPr>
            <w:tcW w:w="162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实训适用</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w:t>
            </w:r>
          </w:p>
        </w:tc>
        <w:tc>
          <w:tcPr>
            <w:tcW w:w="379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实训项目</w:t>
            </w:r>
          </w:p>
        </w:tc>
        <w:tc>
          <w:tcPr>
            <w:tcW w:w="17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主要设备名称及配置数量</w:t>
            </w:r>
          </w:p>
        </w:tc>
        <w:tc>
          <w:tcPr>
            <w:tcW w:w="95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49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会计师事务所</w:t>
            </w:r>
          </w:p>
        </w:tc>
        <w:tc>
          <w:tcPr>
            <w:tcW w:w="162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eastAsia="zh-CN"/>
              </w:rPr>
              <w:t>财务大数据分析与可视化</w:t>
            </w:r>
          </w:p>
        </w:tc>
        <w:tc>
          <w:tcPr>
            <w:tcW w:w="3793" w:type="dxa"/>
            <w:vAlign w:val="top"/>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审查企业会计报表，出具审计报告；验证企业资本，出具验资报告；办理企业合并、分立、清算事宜中的审计业务，出具有关报告；办理法律、行政法规规定的其他审计业务</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设计财务会计制度</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担任会计顾问，提供会计、财务、税务和其他经济管理</w:t>
            </w:r>
            <w:r>
              <w:rPr>
                <w:rFonts w:hint="eastAsia" w:ascii="仿宋_GB2312" w:hAnsi="仿宋_GB2312" w:eastAsia="仿宋_GB2312" w:cs="仿宋_GB2312"/>
                <w:color w:val="auto"/>
                <w:sz w:val="24"/>
                <w:highlight w:val="none"/>
                <w:lang w:val="en-US" w:eastAsia="zh-CN"/>
              </w:rPr>
              <w:t>咨询</w:t>
            </w:r>
            <w:r>
              <w:rPr>
                <w:rFonts w:hint="eastAsia" w:ascii="仿宋_GB2312" w:hAnsi="仿宋_GB2312" w:eastAsia="仿宋_GB2312" w:cs="仿宋_GB2312"/>
                <w:color w:val="auto"/>
                <w:sz w:val="24"/>
                <w:highlight w:val="none"/>
              </w:rPr>
              <w:t>。</w:t>
            </w:r>
          </w:p>
        </w:tc>
        <w:tc>
          <w:tcPr>
            <w:tcW w:w="1740"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模拟事务台15台</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tc>
        <w:tc>
          <w:tcPr>
            <w:tcW w:w="95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49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财会综合实训室</w:t>
            </w:r>
          </w:p>
        </w:tc>
        <w:tc>
          <w:tcPr>
            <w:tcW w:w="162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财务综合模拟实训</w:t>
            </w:r>
          </w:p>
        </w:tc>
        <w:tc>
          <w:tcPr>
            <w:tcW w:w="3793" w:type="dxa"/>
            <w:vAlign w:val="top"/>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建立新账套</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审核财务单据</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填制会计凭证</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对相关凭证进行审核记账</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登记各种账</w:t>
            </w:r>
            <w:r>
              <w:rPr>
                <w:rFonts w:hint="eastAsia" w:ascii="仿宋_GB2312" w:hAnsi="仿宋_GB2312" w:eastAsia="仿宋_GB2312" w:cs="仿宋_GB2312"/>
                <w:color w:val="auto"/>
                <w:sz w:val="24"/>
                <w:highlight w:val="none"/>
                <w:lang w:val="en-US" w:eastAsia="zh-CN"/>
              </w:rPr>
              <w:t>簿</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编制财务报表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装订凭证</w:t>
            </w:r>
            <w:r>
              <w:rPr>
                <w:rFonts w:hint="eastAsia" w:ascii="仿宋_GB2312" w:hAnsi="仿宋_GB2312" w:eastAsia="仿宋_GB2312" w:cs="仿宋_GB2312"/>
                <w:color w:val="auto"/>
                <w:sz w:val="24"/>
                <w:highlight w:val="none"/>
                <w:lang w:eastAsia="zh-CN"/>
              </w:rPr>
              <w:t>。</w:t>
            </w:r>
          </w:p>
        </w:tc>
        <w:tc>
          <w:tcPr>
            <w:tcW w:w="1740"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凭证装订机10台</w:t>
            </w:r>
          </w:p>
        </w:tc>
        <w:tc>
          <w:tcPr>
            <w:tcW w:w="95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trPr>
        <w:tc>
          <w:tcPr>
            <w:tcW w:w="49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3</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财会实训资料室</w:t>
            </w:r>
          </w:p>
        </w:tc>
        <w:tc>
          <w:tcPr>
            <w:tcW w:w="162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财务综合模拟实训</w:t>
            </w:r>
          </w:p>
        </w:tc>
        <w:tc>
          <w:tcPr>
            <w:tcW w:w="3793"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专业相关实训资料、会计资料档案保管。</w:t>
            </w:r>
          </w:p>
        </w:tc>
        <w:tc>
          <w:tcPr>
            <w:tcW w:w="17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资料箱、资料柜6个</w:t>
            </w:r>
          </w:p>
        </w:tc>
        <w:tc>
          <w:tcPr>
            <w:tcW w:w="95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49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4</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模拟教学公司</w:t>
            </w:r>
          </w:p>
        </w:tc>
        <w:tc>
          <w:tcPr>
            <w:tcW w:w="162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eastAsia="zh-CN"/>
              </w:rPr>
              <w:t>会计基础</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eastAsia="zh-CN"/>
              </w:rPr>
              <w:t>智能化成本核算与管理</w:t>
            </w:r>
            <w:r>
              <w:rPr>
                <w:rFonts w:hint="eastAsia" w:ascii="仿宋_GB2312" w:hAnsi="仿宋_GB2312" w:eastAsia="仿宋_GB2312" w:cs="仿宋_GB2312"/>
                <w:color w:val="auto"/>
                <w:sz w:val="24"/>
                <w:highlight w:val="none"/>
              </w:rPr>
              <w:t>、财务管理</w:t>
            </w:r>
            <w:r>
              <w:rPr>
                <w:rFonts w:hint="eastAsia" w:ascii="仿宋_GB2312" w:hAnsi="仿宋_GB2312" w:eastAsia="仿宋_GB2312" w:cs="仿宋_GB2312"/>
                <w:color w:val="auto"/>
                <w:sz w:val="24"/>
                <w:highlight w:val="none"/>
                <w:lang w:val="en-US" w:eastAsia="zh-CN"/>
              </w:rPr>
              <w:t>实务</w:t>
            </w:r>
          </w:p>
        </w:tc>
        <w:tc>
          <w:tcPr>
            <w:tcW w:w="3793" w:type="dxa"/>
            <w:vAlign w:val="top"/>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适应企业特点，熟悉会计核算原理和操作</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成本核算及成本费用计算表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财务费用核算以及资金筹集、投资、营运规划与选择</w:t>
            </w:r>
          </w:p>
        </w:tc>
        <w:tc>
          <w:tcPr>
            <w:tcW w:w="17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课桌椅90套，成本核算资料4套、财务方案6套模拟事务台15台</w:t>
            </w:r>
          </w:p>
        </w:tc>
        <w:tc>
          <w:tcPr>
            <w:tcW w:w="95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49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5</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综合实</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训室</w:t>
            </w:r>
          </w:p>
        </w:tc>
        <w:tc>
          <w:tcPr>
            <w:tcW w:w="162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eastAsia="zh-CN"/>
              </w:rPr>
              <w:t>会计基础</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eastAsia="zh-CN"/>
              </w:rPr>
              <w:t>财务大数据分析与可视化</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eastAsia="zh-CN"/>
              </w:rPr>
              <w:t>智能化成本核算与管理</w:t>
            </w:r>
            <w:r>
              <w:rPr>
                <w:rFonts w:hint="eastAsia" w:ascii="仿宋_GB2312" w:hAnsi="仿宋_GB2312" w:eastAsia="仿宋_GB2312" w:cs="仿宋_GB2312"/>
                <w:color w:val="auto"/>
                <w:sz w:val="24"/>
                <w:highlight w:val="none"/>
              </w:rPr>
              <w:t>、财务管理</w:t>
            </w:r>
            <w:r>
              <w:rPr>
                <w:rFonts w:hint="eastAsia" w:ascii="仿宋_GB2312" w:hAnsi="仿宋_GB2312" w:eastAsia="仿宋_GB2312" w:cs="仿宋_GB2312"/>
                <w:color w:val="auto"/>
                <w:sz w:val="24"/>
                <w:highlight w:val="none"/>
                <w:lang w:val="en-US" w:eastAsia="zh-CN"/>
              </w:rPr>
              <w:t>实务</w:t>
            </w:r>
          </w:p>
        </w:tc>
        <w:tc>
          <w:tcPr>
            <w:tcW w:w="3793" w:type="dxa"/>
            <w:vAlign w:val="top"/>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适应企业特点，熟悉会计核算原理和操作</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设计财务会计制度</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担任会计顾问，提供会计、财务、税务和其他经济管理</w:t>
            </w:r>
            <w:r>
              <w:rPr>
                <w:rFonts w:hint="eastAsia" w:ascii="仿宋_GB2312" w:hAnsi="仿宋_GB2312" w:eastAsia="仿宋_GB2312" w:cs="仿宋_GB2312"/>
                <w:color w:val="auto"/>
                <w:sz w:val="24"/>
                <w:highlight w:val="none"/>
                <w:lang w:val="en-US" w:eastAsia="zh-CN"/>
              </w:rPr>
              <w:t>咨询</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成本核算及成本费用计算表</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财务费用核算以及资金筹集、投资、营运规划与选择</w:t>
            </w:r>
          </w:p>
        </w:tc>
        <w:tc>
          <w:tcPr>
            <w:tcW w:w="17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课桌椅90套，成本核算资料4套、财务方案6套模拟事务台15台</w:t>
            </w:r>
          </w:p>
        </w:tc>
        <w:tc>
          <w:tcPr>
            <w:tcW w:w="95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90</w:t>
            </w:r>
          </w:p>
        </w:tc>
      </w:tr>
    </w:tbl>
    <w:p>
      <w:pPr>
        <w:pageBreakBefore w:val="0"/>
        <w:widowControl/>
        <w:kinsoku/>
        <w:wordWrap/>
        <w:topLinePunct w:val="0"/>
        <w:autoSpaceDE/>
        <w:autoSpaceDN/>
        <w:bidi w:val="0"/>
        <w:snapToGrid/>
        <w:spacing w:before="0" w:after="0" w:line="520" w:lineRule="exact"/>
        <w:ind w:left="0" w:firstLine="640" w:firstLineChars="200"/>
        <w:textAlignment w:val="auto"/>
        <w:outlineLvl w:val="9"/>
        <w:rPr>
          <w:rFonts w:hint="eastAsia" w:ascii="仿宋_GB2312" w:hAnsi="仿宋_GB2312" w:eastAsia="仿宋_GB2312" w:cs="仿宋_GB2312"/>
          <w:color w:val="auto"/>
          <w:sz w:val="32"/>
          <w:szCs w:val="32"/>
        </w:rPr>
      </w:pPr>
    </w:p>
    <w:p>
      <w:pPr>
        <w:pageBreakBefore w:val="0"/>
        <w:widowControl/>
        <w:kinsoku/>
        <w:wordWrap/>
        <w:topLinePunct w:val="0"/>
        <w:autoSpaceDE/>
        <w:autoSpaceDN/>
        <w:bidi w:val="0"/>
        <w:snapToGrid/>
        <w:spacing w:before="0" w:after="0" w:line="520" w:lineRule="exact"/>
        <w:ind w:left="0" w:firstLine="640" w:firstLineChars="200"/>
        <w:textAlignment w:val="auto"/>
        <w:outlineLvl w:val="9"/>
        <w:rPr>
          <w:rFonts w:hint="eastAsia" w:ascii="仿宋_GB2312" w:hAnsi="仿宋_GB2312" w:eastAsia="仿宋_GB2312" w:cs="仿宋_GB2312"/>
          <w:color w:val="auto"/>
          <w:sz w:val="32"/>
          <w:szCs w:val="32"/>
        </w:rPr>
      </w:pPr>
    </w:p>
    <w:p>
      <w:pPr>
        <w:pageBreakBefore w:val="0"/>
        <w:widowControl/>
        <w:kinsoku/>
        <w:wordWrap/>
        <w:topLinePunct w:val="0"/>
        <w:autoSpaceDE/>
        <w:autoSpaceDN/>
        <w:bidi w:val="0"/>
        <w:snapToGrid/>
        <w:spacing w:before="0"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3.校外实训资源</w:t>
      </w:r>
    </w:p>
    <w:p>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具有稳定的校外实训基地2个以上；能够开展会计核算、成本核算、全盘账等实训活动；实训设施齐备，实训岗位、实训指导教师确定，实训管理及实施规章制度齐全。</w:t>
      </w:r>
    </w:p>
    <w:p>
      <w:pPr>
        <w:pageBreakBefore w:val="0"/>
        <w:numPr>
          <w:ilvl w:val="0"/>
          <w:numId w:val="3"/>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学生实习基地基本要求</w:t>
      </w:r>
    </w:p>
    <w:p>
      <w:pPr>
        <w:overflowPunct w:val="0"/>
        <w:adjustRightInd w:val="0"/>
        <w:spacing w:line="5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具有稳定的校外实习基地2个以上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能提供实习会计、 会计助理、出纳等相关实习岗位，能涵盖当前相关产业的主流技术，可接纳一定规模的学生实习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能够配备相应数量的指导教师对学生实习进行指导和管理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1"/>
        <w:tblW w:w="10077"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255"/>
        <w:gridCol w:w="2111"/>
        <w:gridCol w:w="2850"/>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325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校外实习基地名称</w:t>
            </w:r>
          </w:p>
        </w:tc>
        <w:tc>
          <w:tcPr>
            <w:tcW w:w="211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合作企业名称</w:t>
            </w:r>
          </w:p>
        </w:tc>
        <w:tc>
          <w:tcPr>
            <w:tcW w:w="285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合作内容</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70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325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广西工程职业学院大数据与财务管理专业校外实习基地</w:t>
            </w:r>
          </w:p>
        </w:tc>
        <w:tc>
          <w:tcPr>
            <w:tcW w:w="211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平果海翔财务咨询有限公司</w:t>
            </w:r>
          </w:p>
        </w:tc>
        <w:tc>
          <w:tcPr>
            <w:tcW w:w="285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共同研究专业设置</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共同开发课程、共同开发教材</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70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325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广西工程职业学院大数据与财务管理专业校外实习基地</w:t>
            </w:r>
          </w:p>
        </w:tc>
        <w:tc>
          <w:tcPr>
            <w:tcW w:w="211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中国工商银行平果支行</w:t>
            </w:r>
          </w:p>
        </w:tc>
        <w:tc>
          <w:tcPr>
            <w:tcW w:w="285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共同研究人才培养方案、共同研究人才评价标准、</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0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325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广西工程职业学院大数据与财务管理专业校外实习基地</w:t>
            </w:r>
          </w:p>
        </w:tc>
        <w:tc>
          <w:tcPr>
            <w:tcW w:w="211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广西平果农村合作银行</w:t>
            </w:r>
          </w:p>
        </w:tc>
        <w:tc>
          <w:tcPr>
            <w:tcW w:w="285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共同组建教学团队</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共同开发课程</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325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广西工程职业学院大数据与财务管理专业校外实习基地</w:t>
            </w:r>
          </w:p>
        </w:tc>
        <w:tc>
          <w:tcPr>
            <w:tcW w:w="211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中国邮政储蓄银行平果市支行</w:t>
            </w:r>
          </w:p>
        </w:tc>
        <w:tc>
          <w:tcPr>
            <w:tcW w:w="285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共同建设实训实习平台</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70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325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广西工程职业学院大数据与财务管理专业校外实习基地</w:t>
            </w:r>
          </w:p>
        </w:tc>
        <w:tc>
          <w:tcPr>
            <w:tcW w:w="2111"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广西平果市中兴恒联投资有限公司</w:t>
            </w:r>
          </w:p>
        </w:tc>
        <w:tc>
          <w:tcPr>
            <w:tcW w:w="285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共同开发课程、共同开发教材</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63" w:name="_Toc30755"/>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63"/>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1.教材选用基本要求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color w:val="auto"/>
          <w:sz w:val="32"/>
          <w:szCs w:val="32"/>
        </w:rPr>
        <w:t>按照国家规定，优先选用国家规划教材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国家优秀教材</w:t>
      </w:r>
      <w:r>
        <w:rPr>
          <w:rFonts w:hint="eastAsia" w:ascii="仿宋_GB2312" w:hAnsi="仿宋_GB2312"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rPr>
        <w:t>专业课程教材</w:t>
      </w:r>
      <w:r>
        <w:rPr>
          <w:rFonts w:hint="eastAsia" w:ascii="仿宋_GB2312" w:hAnsi="仿宋_GB2312" w:eastAsia="仿宋_GB2312" w:cs="仿宋_GB2312"/>
          <w:color w:val="auto"/>
          <w:sz w:val="32"/>
          <w:szCs w:val="32"/>
          <w:lang w:val="en-US" w:eastAsia="zh-CN"/>
        </w:rPr>
        <w:t>应</w:t>
      </w:r>
      <w:r>
        <w:rPr>
          <w:rFonts w:hint="eastAsia" w:ascii="仿宋_GB2312" w:hAnsi="仿宋_GB2312" w:eastAsia="仿宋_GB2312" w:cs="仿宋_GB2312"/>
          <w:color w:val="auto"/>
          <w:sz w:val="32"/>
          <w:szCs w:val="32"/>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强化意识形态审查，杜绝政治导向问题或内容陈旧、拼凑的教材。</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图书文献配备基本要求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书文献配备能满足人才培养、专业建设、教科研等工作的需要，方便师生查询、借阅。专业类文献主要包括：财务会计相关行业政策法规、行业标准、技术规范以及财务会计从业人员素养要求等与服务相关专业类图书和实务案例类图书。专业图书资料（含电子图书）不低于500册，5 种以上财务会计类专业学术期刊，并能保持每年更新。</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数字教学资源配置基本要求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16" w:firstLineChars="200"/>
        <w:textAlignment w:val="auto"/>
        <w:rPr>
          <w:rFonts w:hint="eastAsia" w:ascii="仿宋_GB2312" w:hAnsi="仿宋_GB2312" w:eastAsia="仿宋_GB2312" w:cs="仿宋_GB2312"/>
          <w:color w:val="auto"/>
          <w:spacing w:val="-6"/>
          <w:sz w:val="32"/>
          <w:szCs w:val="32"/>
          <w:highlight w:val="none"/>
        </w:rPr>
      </w:pPr>
      <w:r>
        <w:rPr>
          <w:rFonts w:hint="eastAsia" w:ascii="仿宋_GB2312" w:hAnsi="仿宋_GB2312" w:eastAsia="仿宋_GB2312" w:cs="仿宋_GB2312"/>
          <w:color w:val="auto"/>
          <w:spacing w:val="-6"/>
          <w:sz w:val="32"/>
          <w:szCs w:val="32"/>
          <w:highlight w:val="none"/>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64" w:name="_Toc22572"/>
      <w:r>
        <w:rPr>
          <w:rFonts w:hint="eastAsia" w:ascii="楷体" w:hAnsi="楷体" w:eastAsia="楷体" w:cs="楷体"/>
          <w:color w:val="auto"/>
          <w:sz w:val="32"/>
          <w:szCs w:val="32"/>
        </w:rPr>
        <w:t>教学方法</w:t>
      </w:r>
      <w:bookmarkEnd w:id="6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根据不同课程的性质</w:t>
      </w:r>
      <w:r>
        <w:rPr>
          <w:rFonts w:hint="eastAsia" w:ascii="仿宋_GB2312" w:hAnsi="仿宋_GB2312" w:eastAsia="仿宋_GB2312" w:cs="仿宋_GB2312"/>
          <w:color w:val="auto"/>
          <w:sz w:val="32"/>
          <w:szCs w:val="32"/>
          <w:highlight w:val="none"/>
        </w:rPr>
        <w:t>特点</w:t>
      </w:r>
      <w:r>
        <w:rPr>
          <w:rFonts w:ascii="仿宋_GB2312" w:hAnsi="仿宋_GB2312" w:eastAsia="仿宋_GB2312" w:cs="仿宋_GB2312"/>
          <w:color w:val="auto"/>
          <w:sz w:val="32"/>
          <w:szCs w:val="32"/>
          <w:highlight w:val="none"/>
        </w:rPr>
        <w:t>，在保留传统讲授法、演示法、讨论法、问答法、案例分析法等的基础上</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200" w:firstLine="320" w:firstLineChars="100"/>
        <w:textAlignment w:val="auto"/>
        <w:outlineLvl w:val="1"/>
        <w:rPr>
          <w:rFonts w:hint="eastAsia" w:ascii="楷体" w:hAnsi="楷体" w:eastAsia="楷体" w:cs="楷体"/>
          <w:color w:val="auto"/>
          <w:sz w:val="32"/>
          <w:szCs w:val="32"/>
        </w:rPr>
      </w:pPr>
      <w:bookmarkStart w:id="65" w:name="_Toc26067"/>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65"/>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教学评价方式</w:t>
      </w:r>
    </w:p>
    <w:p>
      <w:pPr>
        <w:keepNext w:val="0"/>
        <w:keepLines w:val="0"/>
        <w:pageBreakBefore w:val="0"/>
        <w:widowControl w:val="0"/>
        <w:kinsoku/>
        <w:wordWrap/>
        <w:overflowPunct w:val="0"/>
        <w:topLinePunct w:val="0"/>
        <w:autoSpaceDE/>
        <w:autoSpaceDN/>
        <w:bidi w:val="0"/>
        <w:adjustRightInd w:val="0"/>
        <w:snapToGrid/>
        <w:spacing w:after="0" w:line="500" w:lineRule="exact"/>
        <w:ind w:firstLine="640" w:firstLineChars="200"/>
        <w:textAlignment w:val="auto"/>
        <w:rPr>
          <w:rFonts w:hint="eastAsia" w:ascii="仿宋_GB2312" w:hAnsi="仿宋_GB2312" w:eastAsia="仿宋_GB2312" w:cs="仿宋_GB2312"/>
          <w:color w:val="auto"/>
          <w:spacing w:val="-6"/>
          <w:sz w:val="32"/>
          <w:szCs w:val="32"/>
          <w:highlight w:val="none"/>
        </w:rPr>
      </w:pPr>
      <w:r>
        <w:rPr>
          <w:rFonts w:hint="eastAsia" w:ascii="仿宋_GB2312" w:hAnsi="仿宋_GB2312" w:eastAsia="仿宋_GB2312" w:cs="仿宋_GB2312"/>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w:t>
      </w:r>
      <w:r>
        <w:rPr>
          <w:rFonts w:hint="eastAsia" w:ascii="仿宋_GB2312" w:hAnsi="仿宋_GB2312" w:eastAsia="仿宋_GB2312" w:cs="仿宋_GB2312"/>
          <w:color w:val="auto"/>
          <w:spacing w:val="-6"/>
          <w:sz w:val="32"/>
          <w:szCs w:val="32"/>
          <w:highlight w:val="none"/>
        </w:rPr>
        <w:t>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66" w:name="_Toc6540"/>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66"/>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1D41D5"/>
          <w:sz w:val="32"/>
          <w:szCs w:val="32"/>
          <w:highlight w:val="none"/>
          <w:lang w:eastAsia="zh-CN"/>
        </w:rPr>
      </w:pPr>
      <w:bookmarkStart w:id="67" w:name="_Toc30343"/>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6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68" w:name="_Toc3218"/>
      <w:r>
        <w:rPr>
          <w:rFonts w:hint="eastAsia" w:ascii="楷体" w:hAnsi="楷体" w:eastAsia="楷体" w:cs="楷体"/>
          <w:color w:val="auto"/>
          <w:kern w:val="2"/>
          <w:sz w:val="32"/>
          <w:szCs w:val="32"/>
          <w:lang w:val="en-US" w:eastAsia="zh-CN" w:bidi="ar-SA"/>
        </w:rPr>
        <w:t>（一）学分要求</w:t>
      </w:r>
      <w:bookmarkEnd w:id="6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00" w:lineRule="exact"/>
        <w:ind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69" w:name="_Toc17975"/>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145学分。其中，必修课129学分，选修课16学分。公共必修课44学分，公共选修课8学分。专业必修课85学分，专业选修课8学分。</w:t>
      </w:r>
      <w:bookmarkEnd w:id="6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70" w:name="_Toc17195"/>
      <w:r>
        <w:rPr>
          <w:rFonts w:hint="eastAsia" w:ascii="楷体" w:hAnsi="楷体" w:eastAsia="楷体" w:cs="楷体"/>
          <w:color w:val="auto"/>
          <w:kern w:val="2"/>
          <w:sz w:val="32"/>
          <w:szCs w:val="32"/>
          <w:lang w:val="en-US" w:eastAsia="zh-CN" w:bidi="ar-SA"/>
        </w:rPr>
        <w:t>（二）职业类证书要求</w:t>
      </w:r>
      <w:bookmarkEnd w:id="7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00" w:lineRule="exact"/>
        <w:ind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将初级会计专业技术资格、“1+X”职业技能等级证书、等证书纳入培养要求，鼓励学生考取相关证书。通过职业证书的考取，提高学生的专业技能和就业竞争力，使学生更好地适应社会和企业的需求。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00" w:lineRule="exact"/>
        <w:ind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学生接受职业培训取得的职业技能等级证书、培训证书等学习成果，经学校认定，可以转化为相应的学历教育学分，以支撑学生未来在就业、创业、学业等方面持续发展。</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120" w:firstLineChars="40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表13大数据与财务管理专业职业证书一览表</w:t>
      </w:r>
    </w:p>
    <w:tbl>
      <w:tblPr>
        <w:tblStyle w:val="11"/>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3901"/>
        <w:gridCol w:w="3427"/>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61"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序号</w:t>
            </w:r>
          </w:p>
        </w:tc>
        <w:tc>
          <w:tcPr>
            <w:tcW w:w="3901"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证书名称</w:t>
            </w:r>
          </w:p>
        </w:tc>
        <w:tc>
          <w:tcPr>
            <w:tcW w:w="3427"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发证机构</w:t>
            </w:r>
          </w:p>
        </w:tc>
        <w:tc>
          <w:tcPr>
            <w:tcW w:w="1268"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6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w:t>
            </w:r>
          </w:p>
        </w:tc>
        <w:tc>
          <w:tcPr>
            <w:tcW w:w="390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高职学历证书</w:t>
            </w:r>
          </w:p>
        </w:tc>
        <w:tc>
          <w:tcPr>
            <w:tcW w:w="34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广西工程职业学院</w:t>
            </w:r>
          </w:p>
        </w:tc>
        <w:tc>
          <w:tcPr>
            <w:tcW w:w="1268"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86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w:t>
            </w:r>
          </w:p>
        </w:tc>
        <w:tc>
          <w:tcPr>
            <w:tcW w:w="390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大学英语B级证书</w:t>
            </w:r>
          </w:p>
        </w:tc>
        <w:tc>
          <w:tcPr>
            <w:tcW w:w="34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国家教育部、高等学校英语应用能力考试委员会</w:t>
            </w:r>
          </w:p>
        </w:tc>
        <w:tc>
          <w:tcPr>
            <w:tcW w:w="1268"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6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3</w:t>
            </w:r>
          </w:p>
        </w:tc>
        <w:tc>
          <w:tcPr>
            <w:tcW w:w="390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1+X</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职业技能等级证书</w:t>
            </w:r>
          </w:p>
        </w:tc>
        <w:tc>
          <w:tcPr>
            <w:tcW w:w="34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lang w:val="en-US" w:eastAsia="zh-CN"/>
              </w:rPr>
              <w:t>国家教育部</w:t>
            </w:r>
          </w:p>
        </w:tc>
        <w:tc>
          <w:tcPr>
            <w:tcW w:w="1268"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6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w:t>
            </w:r>
          </w:p>
        </w:tc>
        <w:tc>
          <w:tcPr>
            <w:tcW w:w="390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全国计算机等级考试（一级）证书</w:t>
            </w:r>
          </w:p>
        </w:tc>
        <w:tc>
          <w:tcPr>
            <w:tcW w:w="3427"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国家教育部</w:t>
            </w:r>
          </w:p>
        </w:tc>
        <w:tc>
          <w:tcPr>
            <w:tcW w:w="1268"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0"/>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6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5</w:t>
            </w:r>
          </w:p>
        </w:tc>
        <w:tc>
          <w:tcPr>
            <w:tcW w:w="390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初级会计专业技术资格</w:t>
            </w:r>
          </w:p>
        </w:tc>
        <w:tc>
          <w:tcPr>
            <w:tcW w:w="34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rPr>
              <w:t>百色市职业技能鉴定中心</w:t>
            </w:r>
          </w:p>
        </w:tc>
        <w:tc>
          <w:tcPr>
            <w:tcW w:w="1268"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6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6</w:t>
            </w:r>
          </w:p>
        </w:tc>
        <w:tc>
          <w:tcPr>
            <w:tcW w:w="390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初级审计专业技术资格</w:t>
            </w:r>
          </w:p>
        </w:tc>
        <w:tc>
          <w:tcPr>
            <w:tcW w:w="34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人力资源和社会保障厅</w:t>
            </w:r>
          </w:p>
        </w:tc>
        <w:tc>
          <w:tcPr>
            <w:tcW w:w="1268"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w:t>
            </w:r>
          </w:p>
        </w:tc>
        <w:tc>
          <w:tcPr>
            <w:tcW w:w="390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经济专业初级资格</w:t>
            </w:r>
          </w:p>
        </w:tc>
        <w:tc>
          <w:tcPr>
            <w:tcW w:w="34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人力资源和社会保障厅</w:t>
            </w:r>
          </w:p>
        </w:tc>
        <w:tc>
          <w:tcPr>
            <w:tcW w:w="1268"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6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8"/>
                <w:szCs w:val="28"/>
                <w:vertAlign w:val="baseline"/>
                <w:lang w:val="en-US" w:eastAsia="zh-CN"/>
              </w:rPr>
            </w:pPr>
            <w:bookmarkStart w:id="71" w:name="_Toc30239"/>
            <w:r>
              <w:rPr>
                <w:rFonts w:hint="eastAsia" w:ascii="仿宋_GB2312" w:hAnsi="仿宋_GB2312" w:eastAsia="仿宋_GB2312" w:cs="仿宋_GB2312"/>
                <w:color w:val="auto"/>
                <w:sz w:val="28"/>
                <w:szCs w:val="28"/>
                <w:vertAlign w:val="baseline"/>
                <w:lang w:val="en-US" w:eastAsia="zh-CN"/>
              </w:rPr>
              <w:t>8</w:t>
            </w:r>
          </w:p>
        </w:tc>
        <w:tc>
          <w:tcPr>
            <w:tcW w:w="3901"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银行业专业人员职业资格证</w:t>
            </w:r>
          </w:p>
        </w:tc>
        <w:tc>
          <w:tcPr>
            <w:tcW w:w="3427"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lang w:val="en-US" w:eastAsia="zh-CN"/>
              </w:rPr>
              <w:t>中国银行业协会</w:t>
            </w:r>
          </w:p>
        </w:tc>
        <w:tc>
          <w:tcPr>
            <w:tcW w:w="1268"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r>
        <w:rPr>
          <w:rFonts w:hint="eastAsia" w:ascii="楷体" w:hAnsi="楷体" w:eastAsia="楷体" w:cs="楷体"/>
          <w:color w:val="auto"/>
          <w:kern w:val="2"/>
          <w:sz w:val="32"/>
          <w:szCs w:val="32"/>
          <w:lang w:val="en-US" w:eastAsia="zh-CN" w:bidi="ar-SA"/>
        </w:rPr>
        <w:t>（三）综合素质要求</w:t>
      </w:r>
      <w:bookmarkEnd w:id="7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符合要求，国家学生体质健康测试合格，以"德技并修"为核心，构建涵盖思想品德、专业素养、身心素质、创新实践及文化修养的全面培养体系。要求学生坚定政治立场，恪守会计职业道德；掌握财务核算、大数据分析等专业技能，熟练应用智能财税工具；具备健康身心素质与团队协作能力；通过岗位实习、第二课堂及创新创业实践，培养业财融合思维与终身学习能力。通过课程学习、实习实训等多路径实施，旨在培养兼具专业技能、职业精神与社会责任感的复合型财务管理人才。</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kern w:val="2"/>
          <w:sz w:val="32"/>
          <w:szCs w:val="32"/>
          <w:lang w:val="en-US" w:eastAsia="zh-CN" w:bidi="ar-SA"/>
        </w:rPr>
      </w:pPr>
    </w:p>
    <w:p>
      <w:pPr>
        <w:pageBreakBefore w:val="0"/>
        <w:kinsoku/>
        <w:wordWrap/>
        <w:topLinePunct w:val="0"/>
        <w:autoSpaceDE/>
        <w:autoSpaceDN/>
        <w:bidi w:val="0"/>
        <w:spacing w:after="0" w:line="520" w:lineRule="exact"/>
        <w:ind w:left="0"/>
        <w:textAlignment w:val="auto"/>
        <w:rPr>
          <w:color w:val="auto"/>
        </w:rPr>
      </w:pPr>
    </w:p>
    <w:p>
      <w:pPr>
        <w:pageBreakBefore w:val="0"/>
        <w:kinsoku/>
        <w:wordWrap/>
        <w:topLinePunct w:val="0"/>
        <w:autoSpaceDE/>
        <w:autoSpaceDN/>
        <w:bidi w:val="0"/>
        <w:spacing w:after="0"/>
        <w:ind w:left="0"/>
      </w:pPr>
    </w:p>
    <w:p>
      <w:pPr>
        <w:pageBreakBefore w:val="0"/>
        <w:kinsoku/>
        <w:wordWrap/>
        <w:topLinePunct w:val="0"/>
        <w:autoSpaceDE/>
        <w:autoSpaceDN/>
        <w:bidi w:val="0"/>
        <w:rPr>
          <w:color w:val="auto"/>
          <w:sz w:val="28"/>
          <w:szCs w:val="36"/>
        </w:rPr>
      </w:pPr>
    </w:p>
    <w:p>
      <w:pPr>
        <w:pageBreakBefore w:val="0"/>
        <w:kinsoku/>
        <w:wordWrap/>
        <w:topLinePunct w:val="0"/>
        <w:autoSpaceDE/>
        <w:autoSpaceDN/>
        <w:bidi w:val="0"/>
        <w:rPr>
          <w:color w:val="auto"/>
        </w:rPr>
      </w:pPr>
    </w:p>
    <w:sectPr>
      <w:footerReference r:id="rId8"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709AE3-7964-4F5E-BA06-2EAC41A633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D245F72-105E-4671-8D4A-1E5951B5708E}"/>
  </w:font>
  <w:font w:name="华文新魏">
    <w:panose1 w:val="02010800040101010101"/>
    <w:charset w:val="86"/>
    <w:family w:val="auto"/>
    <w:pitch w:val="default"/>
    <w:sig w:usb0="00000001" w:usb1="080F0000" w:usb2="00000000" w:usb3="00000000" w:csb0="00040000" w:csb1="00000000"/>
    <w:embedRegular r:id="rId3" w:fontKey="{81F8DEFA-6B65-49A3-9432-547C180F9EB3}"/>
  </w:font>
  <w:font w:name="方正小标宋简体">
    <w:panose1 w:val="02010601030101010101"/>
    <w:charset w:val="86"/>
    <w:family w:val="script"/>
    <w:pitch w:val="default"/>
    <w:sig w:usb0="00000001" w:usb1="080E0000" w:usb2="00000000" w:usb3="00000000" w:csb0="00040000" w:csb1="00000000"/>
    <w:embedRegular r:id="rId4" w:fontKey="{F4F6EF5C-80B7-4883-AF07-9B63AF2C8ED4}"/>
  </w:font>
  <w:font w:name="仿宋_GB2312">
    <w:panose1 w:val="02010609030101010101"/>
    <w:charset w:val="86"/>
    <w:family w:val="modern"/>
    <w:pitch w:val="default"/>
    <w:sig w:usb0="00000001" w:usb1="080E0000" w:usb2="00000000" w:usb3="00000000" w:csb0="00040000" w:csb1="00000000"/>
    <w:embedRegular r:id="rId5" w:fontKey="{F28E6AF7-BC70-455D-BC63-89E4D34DC149}"/>
  </w:font>
  <w:font w:name="楷体">
    <w:panose1 w:val="02010609060101010101"/>
    <w:charset w:val="86"/>
    <w:family w:val="modern"/>
    <w:pitch w:val="default"/>
    <w:sig w:usb0="800002BF" w:usb1="38CF7CFA" w:usb2="00000016" w:usb3="00000000" w:csb0="00040001" w:csb1="00000000"/>
    <w:embedRegular r:id="rId6" w:fontKey="{2EC3A008-1A8D-428B-AA7C-0BD91D7B5A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536"/>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536"/>
        <w:tab w:val="clear" w:pos="4153"/>
      </w:tabs>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536"/>
        <w:tab w:val="clear" w:pos="4153"/>
      </w:tabs>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536"/>
        <w:tab w:val="clear" w:pos="4153"/>
      </w:tabs>
    </w:pP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536"/>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F87CB573"/>
    <w:multiLevelType w:val="singleLevel"/>
    <w:tmpl w:val="F87CB573"/>
    <w:lvl w:ilvl="0" w:tentative="0">
      <w:start w:val="1"/>
      <w:numFmt w:val="chineseCounting"/>
      <w:suff w:val="nothing"/>
      <w:lvlText w:val="（%1）"/>
      <w:lvlJc w:val="left"/>
      <w:pPr>
        <w:ind w:left="-10"/>
      </w:pPr>
      <w:rPr>
        <w:rFonts w:hint="eastAsia"/>
      </w:rPr>
    </w:lvl>
  </w:abstractNum>
  <w:abstractNum w:abstractNumId="2">
    <w:nsid w:val="FFD2B22F"/>
    <w:multiLevelType w:val="singleLevel"/>
    <w:tmpl w:val="FFD2B22F"/>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304250"/>
    <w:rsid w:val="03A07894"/>
    <w:rsid w:val="041428A5"/>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4D790A"/>
    <w:rsid w:val="095347F5"/>
    <w:rsid w:val="09BF3D68"/>
    <w:rsid w:val="09CB082F"/>
    <w:rsid w:val="09D45935"/>
    <w:rsid w:val="0A1E4E03"/>
    <w:rsid w:val="0A634F0B"/>
    <w:rsid w:val="0AC91212"/>
    <w:rsid w:val="0AFF69E2"/>
    <w:rsid w:val="0B2B2F81"/>
    <w:rsid w:val="0B64718D"/>
    <w:rsid w:val="0B9E269F"/>
    <w:rsid w:val="0BB93035"/>
    <w:rsid w:val="0C0A3BA0"/>
    <w:rsid w:val="0CE642FD"/>
    <w:rsid w:val="0D3000CB"/>
    <w:rsid w:val="0DE924A0"/>
    <w:rsid w:val="0E2350DD"/>
    <w:rsid w:val="0E5E6115"/>
    <w:rsid w:val="0ED4462A"/>
    <w:rsid w:val="0F386966"/>
    <w:rsid w:val="0FA47B58"/>
    <w:rsid w:val="0FA67D74"/>
    <w:rsid w:val="0FD20B69"/>
    <w:rsid w:val="0FE4089C"/>
    <w:rsid w:val="10093E5F"/>
    <w:rsid w:val="10152804"/>
    <w:rsid w:val="10234F21"/>
    <w:rsid w:val="10914580"/>
    <w:rsid w:val="10EE36A0"/>
    <w:rsid w:val="116752E1"/>
    <w:rsid w:val="11EA0347"/>
    <w:rsid w:val="12485112"/>
    <w:rsid w:val="127F665A"/>
    <w:rsid w:val="129605A8"/>
    <w:rsid w:val="12DC3AAD"/>
    <w:rsid w:val="12F708E7"/>
    <w:rsid w:val="13203999"/>
    <w:rsid w:val="135C5E82"/>
    <w:rsid w:val="139A199E"/>
    <w:rsid w:val="139B5716"/>
    <w:rsid w:val="13C46A1B"/>
    <w:rsid w:val="13C77F07"/>
    <w:rsid w:val="13F454F6"/>
    <w:rsid w:val="14A800EA"/>
    <w:rsid w:val="15001CD4"/>
    <w:rsid w:val="150317C5"/>
    <w:rsid w:val="15202377"/>
    <w:rsid w:val="15542020"/>
    <w:rsid w:val="165F0C7D"/>
    <w:rsid w:val="1699418F"/>
    <w:rsid w:val="16995FBA"/>
    <w:rsid w:val="16A42B33"/>
    <w:rsid w:val="16DC051F"/>
    <w:rsid w:val="170B4961"/>
    <w:rsid w:val="1740285C"/>
    <w:rsid w:val="1749510D"/>
    <w:rsid w:val="1796247C"/>
    <w:rsid w:val="18231BC4"/>
    <w:rsid w:val="18610CDC"/>
    <w:rsid w:val="18CB084B"/>
    <w:rsid w:val="19481E9C"/>
    <w:rsid w:val="19AF3CC9"/>
    <w:rsid w:val="19FA12B7"/>
    <w:rsid w:val="1A262FB5"/>
    <w:rsid w:val="1AE45BF4"/>
    <w:rsid w:val="1AE8049A"/>
    <w:rsid w:val="1BAE7956"/>
    <w:rsid w:val="1BCC19A4"/>
    <w:rsid w:val="1BF93A5C"/>
    <w:rsid w:val="1C27223D"/>
    <w:rsid w:val="1C6F14EE"/>
    <w:rsid w:val="1CB25FAA"/>
    <w:rsid w:val="1D0377EB"/>
    <w:rsid w:val="1D24677C"/>
    <w:rsid w:val="1DD46F9A"/>
    <w:rsid w:val="1DD51824"/>
    <w:rsid w:val="1E4B3DFE"/>
    <w:rsid w:val="1E91399D"/>
    <w:rsid w:val="1EA77665"/>
    <w:rsid w:val="1ECC6B87"/>
    <w:rsid w:val="1EFA4CED"/>
    <w:rsid w:val="1F3A7811"/>
    <w:rsid w:val="1F5350F7"/>
    <w:rsid w:val="1FB17C46"/>
    <w:rsid w:val="1FB21E1D"/>
    <w:rsid w:val="1FBC2C9C"/>
    <w:rsid w:val="20125FC6"/>
    <w:rsid w:val="202A40A9"/>
    <w:rsid w:val="205C1171"/>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5388E"/>
    <w:rsid w:val="237D0994"/>
    <w:rsid w:val="23954DD6"/>
    <w:rsid w:val="23D42CAA"/>
    <w:rsid w:val="244D65B8"/>
    <w:rsid w:val="249D12EE"/>
    <w:rsid w:val="24BE5675"/>
    <w:rsid w:val="24E76143"/>
    <w:rsid w:val="24F353B2"/>
    <w:rsid w:val="267A11BB"/>
    <w:rsid w:val="27075144"/>
    <w:rsid w:val="27441EF5"/>
    <w:rsid w:val="27AE3812"/>
    <w:rsid w:val="27BB7D5F"/>
    <w:rsid w:val="27F5401D"/>
    <w:rsid w:val="28557849"/>
    <w:rsid w:val="285A12A4"/>
    <w:rsid w:val="289A5B44"/>
    <w:rsid w:val="28BD30CD"/>
    <w:rsid w:val="296E1A2F"/>
    <w:rsid w:val="29B449E4"/>
    <w:rsid w:val="29C72B81"/>
    <w:rsid w:val="29F55728"/>
    <w:rsid w:val="2B0F281A"/>
    <w:rsid w:val="2B8D373E"/>
    <w:rsid w:val="2BF11F1F"/>
    <w:rsid w:val="2C717E24"/>
    <w:rsid w:val="2C802418"/>
    <w:rsid w:val="2CB341C7"/>
    <w:rsid w:val="2CC66F08"/>
    <w:rsid w:val="2CEB2E12"/>
    <w:rsid w:val="2D017E00"/>
    <w:rsid w:val="2D5704A8"/>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5220C"/>
    <w:rsid w:val="31342FDA"/>
    <w:rsid w:val="318A49A8"/>
    <w:rsid w:val="31A83FF1"/>
    <w:rsid w:val="31AA329C"/>
    <w:rsid w:val="31D2634F"/>
    <w:rsid w:val="31E57005"/>
    <w:rsid w:val="321D581C"/>
    <w:rsid w:val="32E71163"/>
    <w:rsid w:val="32F32A21"/>
    <w:rsid w:val="32F92E4C"/>
    <w:rsid w:val="32FA3DAF"/>
    <w:rsid w:val="33260700"/>
    <w:rsid w:val="33266952"/>
    <w:rsid w:val="3361798A"/>
    <w:rsid w:val="33955C11"/>
    <w:rsid w:val="33AE06F6"/>
    <w:rsid w:val="33B93C14"/>
    <w:rsid w:val="348B3F97"/>
    <w:rsid w:val="34B65AB4"/>
    <w:rsid w:val="34C46423"/>
    <w:rsid w:val="34EA50C0"/>
    <w:rsid w:val="357449D1"/>
    <w:rsid w:val="35E93C67"/>
    <w:rsid w:val="36052BF9"/>
    <w:rsid w:val="364315C9"/>
    <w:rsid w:val="36657792"/>
    <w:rsid w:val="370E7E29"/>
    <w:rsid w:val="37360836"/>
    <w:rsid w:val="376B0DD8"/>
    <w:rsid w:val="3770165B"/>
    <w:rsid w:val="37960DB8"/>
    <w:rsid w:val="37AD2573"/>
    <w:rsid w:val="37EE37B7"/>
    <w:rsid w:val="381153F4"/>
    <w:rsid w:val="38481119"/>
    <w:rsid w:val="385834E1"/>
    <w:rsid w:val="38877EE4"/>
    <w:rsid w:val="3892511D"/>
    <w:rsid w:val="38C22C79"/>
    <w:rsid w:val="39372651"/>
    <w:rsid w:val="396C0E37"/>
    <w:rsid w:val="39A700C1"/>
    <w:rsid w:val="39FC040D"/>
    <w:rsid w:val="3A451367"/>
    <w:rsid w:val="3A60099C"/>
    <w:rsid w:val="3A7A7584"/>
    <w:rsid w:val="3A8765F3"/>
    <w:rsid w:val="3AEA4709"/>
    <w:rsid w:val="3B4007CD"/>
    <w:rsid w:val="3BDE299C"/>
    <w:rsid w:val="3C17152E"/>
    <w:rsid w:val="3CFD4438"/>
    <w:rsid w:val="3D0047E4"/>
    <w:rsid w:val="3D766728"/>
    <w:rsid w:val="3D9F7A2D"/>
    <w:rsid w:val="3E4D7489"/>
    <w:rsid w:val="3E725142"/>
    <w:rsid w:val="3EB92D70"/>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A42FA1"/>
    <w:rsid w:val="41BB6E00"/>
    <w:rsid w:val="41CF62FB"/>
    <w:rsid w:val="41DE5079"/>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A43B7B"/>
    <w:rsid w:val="44B71B00"/>
    <w:rsid w:val="44B862E9"/>
    <w:rsid w:val="455530C7"/>
    <w:rsid w:val="45C2075D"/>
    <w:rsid w:val="4602706C"/>
    <w:rsid w:val="465F042C"/>
    <w:rsid w:val="46733805"/>
    <w:rsid w:val="46B856BC"/>
    <w:rsid w:val="46EE10DD"/>
    <w:rsid w:val="46F661E4"/>
    <w:rsid w:val="47103740"/>
    <w:rsid w:val="471C3E9C"/>
    <w:rsid w:val="47846F9A"/>
    <w:rsid w:val="4803505C"/>
    <w:rsid w:val="480A0199"/>
    <w:rsid w:val="48A57EC2"/>
    <w:rsid w:val="48AE4FC8"/>
    <w:rsid w:val="48BA396D"/>
    <w:rsid w:val="48BD16AF"/>
    <w:rsid w:val="48DF1625"/>
    <w:rsid w:val="48E56510"/>
    <w:rsid w:val="491533A3"/>
    <w:rsid w:val="49395702"/>
    <w:rsid w:val="49843F7B"/>
    <w:rsid w:val="49A63EF1"/>
    <w:rsid w:val="4A3C6604"/>
    <w:rsid w:val="4A9744D6"/>
    <w:rsid w:val="4AA20B5D"/>
    <w:rsid w:val="4AD8632C"/>
    <w:rsid w:val="4AF15640"/>
    <w:rsid w:val="4AFA62A3"/>
    <w:rsid w:val="4B726781"/>
    <w:rsid w:val="4BC70E4B"/>
    <w:rsid w:val="4C0272E2"/>
    <w:rsid w:val="4C0C0983"/>
    <w:rsid w:val="4C1149B8"/>
    <w:rsid w:val="4C675BBA"/>
    <w:rsid w:val="4D135D42"/>
    <w:rsid w:val="4D1473C4"/>
    <w:rsid w:val="4E1048D5"/>
    <w:rsid w:val="4E514358"/>
    <w:rsid w:val="4E5C7274"/>
    <w:rsid w:val="4EE21ECA"/>
    <w:rsid w:val="4F1B712F"/>
    <w:rsid w:val="4F585C8E"/>
    <w:rsid w:val="4F6B3C13"/>
    <w:rsid w:val="4F7D56F4"/>
    <w:rsid w:val="509C4C8B"/>
    <w:rsid w:val="5135219E"/>
    <w:rsid w:val="517A5B1D"/>
    <w:rsid w:val="51C30881"/>
    <w:rsid w:val="51D535C6"/>
    <w:rsid w:val="51FE1E87"/>
    <w:rsid w:val="522105B9"/>
    <w:rsid w:val="5259656B"/>
    <w:rsid w:val="535B634F"/>
    <w:rsid w:val="53807561"/>
    <w:rsid w:val="53A024CF"/>
    <w:rsid w:val="53C71634"/>
    <w:rsid w:val="542919A7"/>
    <w:rsid w:val="544A2B4B"/>
    <w:rsid w:val="547D6E43"/>
    <w:rsid w:val="54855FA4"/>
    <w:rsid w:val="55D87B28"/>
    <w:rsid w:val="56397652"/>
    <w:rsid w:val="565C2507"/>
    <w:rsid w:val="566118CC"/>
    <w:rsid w:val="56A23A63"/>
    <w:rsid w:val="56F95FA8"/>
    <w:rsid w:val="5717642E"/>
    <w:rsid w:val="572D5C52"/>
    <w:rsid w:val="580D2693"/>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BC75A4"/>
    <w:rsid w:val="5BCC4E68"/>
    <w:rsid w:val="5C0C052C"/>
    <w:rsid w:val="5C0E6052"/>
    <w:rsid w:val="5C38700F"/>
    <w:rsid w:val="5C4E644E"/>
    <w:rsid w:val="5C606182"/>
    <w:rsid w:val="5C8C341B"/>
    <w:rsid w:val="5C9B365E"/>
    <w:rsid w:val="5CA81427"/>
    <w:rsid w:val="5CC44589"/>
    <w:rsid w:val="5CD1707F"/>
    <w:rsid w:val="5D01298C"/>
    <w:rsid w:val="5D206DB4"/>
    <w:rsid w:val="5D2323D7"/>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3C0745"/>
    <w:rsid w:val="62571DD5"/>
    <w:rsid w:val="62CC05A9"/>
    <w:rsid w:val="62D11B87"/>
    <w:rsid w:val="62DD677E"/>
    <w:rsid w:val="62E80EC0"/>
    <w:rsid w:val="62EF28B3"/>
    <w:rsid w:val="62F37D50"/>
    <w:rsid w:val="631D301E"/>
    <w:rsid w:val="631F49AF"/>
    <w:rsid w:val="632717A7"/>
    <w:rsid w:val="63765C24"/>
    <w:rsid w:val="6384309D"/>
    <w:rsid w:val="638D0589"/>
    <w:rsid w:val="63BC0E58"/>
    <w:rsid w:val="63CE39A4"/>
    <w:rsid w:val="63D27965"/>
    <w:rsid w:val="64025D70"/>
    <w:rsid w:val="643017E4"/>
    <w:rsid w:val="644840CB"/>
    <w:rsid w:val="64966BE4"/>
    <w:rsid w:val="65165F77"/>
    <w:rsid w:val="65FE0EE5"/>
    <w:rsid w:val="663F14FE"/>
    <w:rsid w:val="66707909"/>
    <w:rsid w:val="66B141AA"/>
    <w:rsid w:val="67470A9D"/>
    <w:rsid w:val="67697E95"/>
    <w:rsid w:val="6773145F"/>
    <w:rsid w:val="67B90B06"/>
    <w:rsid w:val="67FA56DC"/>
    <w:rsid w:val="681A3FD0"/>
    <w:rsid w:val="6888718C"/>
    <w:rsid w:val="68A4680D"/>
    <w:rsid w:val="68B25FB7"/>
    <w:rsid w:val="69164798"/>
    <w:rsid w:val="69D837FB"/>
    <w:rsid w:val="6A246A40"/>
    <w:rsid w:val="6A9C6F1F"/>
    <w:rsid w:val="6ABA1153"/>
    <w:rsid w:val="6AF44665"/>
    <w:rsid w:val="6BDB75D3"/>
    <w:rsid w:val="6BF80185"/>
    <w:rsid w:val="6C2B055A"/>
    <w:rsid w:val="6C423AF6"/>
    <w:rsid w:val="6C8A72E3"/>
    <w:rsid w:val="6C923EBF"/>
    <w:rsid w:val="6CCE7137"/>
    <w:rsid w:val="6D1D49F8"/>
    <w:rsid w:val="6D21705F"/>
    <w:rsid w:val="6D8F2D6B"/>
    <w:rsid w:val="6E0C43BB"/>
    <w:rsid w:val="6E661D1D"/>
    <w:rsid w:val="6EF07839"/>
    <w:rsid w:val="6F2F65B3"/>
    <w:rsid w:val="6F721644"/>
    <w:rsid w:val="6FB45967"/>
    <w:rsid w:val="6FC4358D"/>
    <w:rsid w:val="6FF128C8"/>
    <w:rsid w:val="6FF60E7F"/>
    <w:rsid w:val="713C6D66"/>
    <w:rsid w:val="71DD2CB4"/>
    <w:rsid w:val="72011973"/>
    <w:rsid w:val="72563E57"/>
    <w:rsid w:val="72DA6836"/>
    <w:rsid w:val="72F21DD2"/>
    <w:rsid w:val="72FF629D"/>
    <w:rsid w:val="730022F6"/>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1A53DD"/>
    <w:rsid w:val="7535244A"/>
    <w:rsid w:val="75504B8E"/>
    <w:rsid w:val="7585069B"/>
    <w:rsid w:val="76191423"/>
    <w:rsid w:val="761C2872"/>
    <w:rsid w:val="76326989"/>
    <w:rsid w:val="76562678"/>
    <w:rsid w:val="7718792D"/>
    <w:rsid w:val="77D965A0"/>
    <w:rsid w:val="77FC484A"/>
    <w:rsid w:val="782C5979"/>
    <w:rsid w:val="7847671C"/>
    <w:rsid w:val="789254BD"/>
    <w:rsid w:val="79002D6F"/>
    <w:rsid w:val="791660EE"/>
    <w:rsid w:val="79751DE3"/>
    <w:rsid w:val="7A1E674C"/>
    <w:rsid w:val="7A7248B8"/>
    <w:rsid w:val="7AD52274"/>
    <w:rsid w:val="7B821819"/>
    <w:rsid w:val="7BAC4AE8"/>
    <w:rsid w:val="7C7E0F8D"/>
    <w:rsid w:val="7C9C690A"/>
    <w:rsid w:val="7D1172F8"/>
    <w:rsid w:val="7D7B6E68"/>
    <w:rsid w:val="7DAC0DCF"/>
    <w:rsid w:val="7DF80183"/>
    <w:rsid w:val="7E372159"/>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宋体" w:hAnsi="宋体" w:cs="宋体"/>
      <w:szCs w:val="21"/>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table" w:customStyle="1" w:styleId="16">
    <w:name w:val="网格型1"/>
    <w:basedOn w:val="10"/>
    <w:qFormat/>
    <w:uiPriority w:val="0"/>
    <w:pPr>
      <w:widowControl w:val="0"/>
      <w:spacing w:after="160" w:line="278"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43b4afe0-41f4-4dbb-9063-198b47e50d2a</errorID>
      <errorWord>适于</errorWord>
      <group>L1_AI</group>
      <groupName>深度校对</groupName>
      <ability>L2_AI_Word</ability>
      <abilityName>字词纠错</abilityName>
      <candidateList>
        <item>适用于</item>
      </candidateList>
      <explain/>
      <paraID>2816B7A5</paraID>
      <start>9</start>
      <end>11</end>
      <status>unmodified</status>
      <modifiedWord/>
      <trackRevisions>false</trackRevisions>
    </reviewItem>
    <reviewItem>
      <errorID>b57a9c30-304e-477a-bba0-7c08216851ba</errorID>
      <errorWord>制订</errorWord>
      <group>L1_AI</group>
      <groupName>深度校对</groupName>
      <ability>L2_AI_Word</ability>
      <abilityName>字词纠错</abilityName>
      <candidateList>
        <item>制定</item>
      </candidateList>
      <explain/>
      <paraID>2816B7A5</paraID>
      <start>98</start>
      <end>100</end>
      <status>unmodified</status>
      <modifiedWord/>
      <trackRevisions>false</trackRevisions>
    </reviewItem>
    <reviewItem>
      <errorID>540911c6-b26f-42f8-a68c-5daa10334377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1B041175</paraID>
      <start>22</start>
      <end>23</end>
      <status>unmodified</status>
      <modifiedWord/>
      <trackRevisions>false</trackRevisions>
    </reviewItem>
    <reviewItem>
      <errorID>458f27f7-5a7d-4a02-bd24-26a52ecd5b57</errorID>
      <errorWord>公共</errorWord>
      <group>L1_AI</group>
      <groupName>深度校对</groupName>
      <ability>L2_AI_Word</ability>
      <abilityName>字词纠错</abilityName>
      <candidateList>
        <item> 公共</item>
      </candidateList>
      <explain/>
      <paraID>15E33F86</paraID>
      <start>2</start>
      <end>4</end>
      <status>unmodified</status>
      <modifiedWord/>
      <trackRevisions>false</trackRevisions>
    </reviewItem>
    <reviewItem>
      <errorID>b6945ddd-fb49-4e06-8886-d7f03a5ba289</errorID>
      <errorWord>判断上</errorWord>
      <group>L1_Word</group>
      <groupName>字词问题</groupName>
      <ability>L2_Typo</ability>
      <abilityName>字词错误</abilityName>
      <candidateList>
        <item>判断</item>
      </candidateList>
      <explain/>
      <paraID>1437ADFF</paraID>
      <start>47</start>
      <end>50</end>
      <status>unmodified</status>
      <modifiedWord/>
      <trackRevisions>false</trackRevisions>
    </reviewItem>
    <reviewItem>
      <errorID>d1d06700-ae7d-438c-87ab-da2d19f1173a</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2643D568</paraID>
      <start>94</start>
      <end>101</end>
      <status>unmodified</status>
      <modifiedWord/>
      <trackRevisions>false</trackRevisions>
    </reviewItem>
    <reviewItem>
      <errorID>68f722ad-c303-4670-9fe9-62c9f952f9f6</errorID>
      <errorWord>围绕在</errorWord>
      <group>L1_Word</group>
      <groupName>字词问题</groupName>
      <ability>L2_Typo</ability>
      <abilityName>字词错误</abilityName>
      <candidateList>
        <item>围绕</item>
      </candidateList>
      <explain/>
      <paraID>2643D568</paraID>
      <start>104</start>
      <end>107</end>
      <status>unmodified</status>
      <modifiedWord/>
      <trackRevisions>false</trackRevisions>
    </reviewItem>
    <reviewItem>
      <errorID>8b8ae9db-499d-4e58-928b-ce878c733636</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18CD4386</paraID>
      <start>133</start>
      <end>138</end>
      <status>unmodified</status>
      <modifiedWord/>
      <trackRevisions>false</trackRevisions>
    </reviewItem>
    <reviewItem>
      <errorID>1e0930fe-2564-4cb8-8e5a-0c8f3f2665c9</errorID>
      <errorWord>情景教学法</errorWord>
      <group>L1_Knowledge</group>
      <groupName>知识性问题</groupName>
      <ability>L2_Term</ability>
      <abilityName>专业术语</abilityName>
      <candidateList>
        <item>情境教学法</item>
      </candidateList>
      <explain/>
      <paraID>459C2C3F</paraID>
      <start>9</start>
      <end>14</end>
      <status>unmodified</status>
      <modifiedWord/>
      <trackRevisions>false</trackRevisions>
    </reviewItem>
    <reviewItem>
      <errorID>e7e0730a-db87-4e00-bb2d-f9239e4966ab</errorID>
      <errorWord>；</errorWord>
      <group>L1_Word</group>
      <groupName>字词问题</groupName>
      <ability>L2_Typo</ability>
      <abilityName>字词错误</abilityName>
      <candidateList>
        <item>；在</item>
      </candidateList>
      <explain/>
      <paraID>1D049FB7</paraID>
      <start>18</start>
      <end>19</end>
      <status>unmodified</status>
      <modifiedWord/>
      <trackRevisions>false</trackRevisions>
    </reviewItem>
    <reviewItem>
      <errorID>f642df54-d439-40f0-822d-c584d96fe863</errorID>
      <errorWord>时代化的</errorWord>
      <group>L1_Word</group>
      <groupName>字词问题</groupName>
      <ability>L2_Typo</ability>
      <abilityName>字词错误</abilityName>
      <candidateList>
        <item>时代化</item>
      </candidateList>
      <explain/>
      <paraID>1CB5FBCA</paraID>
      <start>113</start>
      <end>117</end>
      <status>unmodified</status>
      <modifiedWord/>
      <trackRevisions>false</trackRevisions>
    </reviewItem>
    <reviewItem>
      <errorID>d029efad-51fa-469b-a57d-804d37d59918</errorID>
      <errorWord>扩大</errorWord>
      <group>L1_Word</group>
      <groupName>字词问题</groupName>
      <ability>L2_Typo</ability>
      <abilityName>字词错误</abilityName>
      <candidateList>
        <item>扩宽</item>
      </candidateList>
      <explain/>
      <paraID>5546672C</paraID>
      <start>119</start>
      <end>121</end>
      <status>unmodified</status>
      <modifiedWord/>
      <trackRevisions>false</trackRevisions>
    </reviewItem>
    <reviewItem>
      <errorID>7f6098c1-f3ae-4747-8e75-bed95afba9b2</errorID>
      <errorWord>坚持和加强党的领导</errorWord>
      <group>L1_Word</group>
      <groupName>字词问题</groupName>
      <ability>L2_Typo</ability>
      <abilityName>字词错误</abilityName>
      <candidateList>
        <item>坚持和加强党的全面领导</item>
      </candidateList>
      <explain/>
      <paraID>6524F043</paraID>
      <start>101</start>
      <end>110</end>
      <status>unmodified</status>
      <modifiedWord/>
      <trackRevisions>false</trackRevisions>
    </reviewItem>
    <reviewItem>
      <errorID>c12e7653-d582-45ad-b38d-8200d6d0a249</errorID>
      <errorWord>，</errorWord>
      <group>L1_Word</group>
      <groupName>字词问题</groupName>
      <ability>L2_Typo</ability>
      <abilityName>字词错误</abilityName>
      <candidateList>
        <item>，及</item>
      </candidateList>
      <explain/>
      <paraID>2E850CDB</paraID>
      <start>35</start>
      <end>36</end>
      <status>unmodified</status>
      <modifiedWord/>
      <trackRevisions>false</trackRevisions>
    </reviewItem>
    <reviewItem>
      <errorID>6fe7ec71-56f1-499d-b29f-e14e76e71fa6</errorID>
      <errorWord>的</errorWord>
      <group>L1_Word</group>
      <groupName>字词问题</groupName>
      <ability>L2_Typo</ability>
      <abilityName>字词错误</abilityName>
      <candidateList>
        <item>的国</item>
      </candidateList>
      <explain/>
      <paraID>2E850CDB</paraID>
      <start>154</start>
      <end>155</end>
      <status>unmodified</status>
      <modifiedWord/>
      <trackRevisions>false</trackRevisions>
    </reviewItem>
    <reviewItem>
      <errorID>2510be4c-3ce6-4dd6-a446-f887b169afd9</errorID>
      <errorWord>全面建设小康社会</errorWord>
      <group>L1_Word</group>
      <groupName>字词问题</groupName>
      <ability>L2_Typo</ability>
      <abilityName>字词错误</abilityName>
      <candidateList>
        <item>全面建成小康社会</item>
      </candidateList>
      <explain/>
      <paraID>4EFB04FF</paraID>
      <start>90</start>
      <end>98</end>
      <status>unmodified</status>
      <modifiedWord/>
      <trackRevisions>false</trackRevisions>
    </reviewItem>
    <reviewItem>
      <errorID>8e8ccb39-8bcc-4fc4-b88d-a6d38f5e0f6c</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 9E1F5ED</paraID>
      <start>116</start>
      <end>129</end>
      <status>unmodified</status>
      <modifiedWord/>
      <trackRevisions>false</trackRevisions>
    </reviewItem>
    <reviewItem>
      <errorID>16f7659f-a9ab-4dea-bd1a-409e0d246ef3</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4034A187</paraID>
      <start>0</start>
      <end>8</end>
      <status>unmodified</status>
      <modifiedWord/>
      <trackRevisions>false</trackRevisions>
    </reviewItem>
    <reviewItem>
      <errorID>2ddab81e-74ae-4059-83a2-25dcfecd0118</errorID>
      <errorWord>增强</errorWord>
      <group>L1_Grammar</group>
      <groupName>语法问题</groupName>
      <ability>L2_Grammar</ability>
      <abilityName>语法错误</abilityName>
      <candidateList>
        <item>加深</item>
      </candidateList>
      <explain>“增强～认识”搭配不当，建议修改为“加深～认识”。</explain>
      <paraID>64F4BA2A</paraID>
      <start>92</start>
      <end>94</end>
      <status>unmodified</status>
      <modifiedWord/>
      <trackRevisions>false</trackRevisions>
    </reviewItem>
    <reviewItem>
      <errorID>a514f19d-3960-4d12-9154-84aad353d90f</errorID>
      <errorWord>界线</errorWord>
      <group>L1_Word</group>
      <groupName>字词问题</groupName>
      <ability>L2_Typo</ability>
      <abilityName>字词错误</abilityName>
      <candidateList>
        <item>界限</item>
      </candidateList>
      <explain/>
      <paraID> E2FF705</paraID>
      <start>161</start>
      <end>163</end>
      <status>unmodified</status>
      <modifiedWord/>
      <trackRevisions>false</trackRevisions>
    </reviewItem>
    <reviewItem>
      <errorID>04a185ed-87c5-47a8-87c6-e99f4b027eef</errorID>
      <errorWord>了解了</errorWord>
      <group>L1_Word</group>
      <groupName>字词问题</groupName>
      <ability>L2_Typo</ability>
      <abilityName>字词错误</abilityName>
      <candidateList>
        <item>了解</item>
      </candidateList>
      <explain/>
      <paraID>685C10D8</paraID>
      <start>34</start>
      <end>37</end>
      <status>unmodified</status>
      <modifiedWord/>
      <trackRevisions>false</trackRevisions>
    </reviewItem>
    <reviewItem>
      <errorID>115206a9-bca6-4e98-a0a0-a74cd05563cc</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15AC04EC</paraID>
      <start>163</start>
      <end>174</end>
      <status>unmodified</status>
      <modifiedWord/>
      <trackRevisions>false</trackRevisions>
    </reviewItem>
    <reviewItem>
      <errorID>5987a282-fb87-49dc-835f-611aeb43e3f1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3D0AF58E</paraID>
      <start>7</start>
      <end>8</end>
      <status>unmodified</status>
      <modifiedWord/>
      <trackRevisions>false</trackRevisions>
    </reviewItem>
    <reviewItem>
      <errorID>1b97e706-678e-42ac-8778-a2e0be917866</errorID>
      <errorWord>合同法</errorWord>
      <group>L1_Knowledge</group>
      <groupName>知识性问题</groupName>
      <ability>L2_Knowledge</ability>
      <abilityName>其他知识</abilityName>
      <candidateList/>
      <explain>已废止</explain>
      <paraID>698B86E5</paraID>
      <start>17</start>
      <end>20</end>
      <status>unmodified</status>
      <modifiedWord/>
      <trackRevisions>false</trackRevisions>
    </reviewItem>
    <reviewItem>
      <errorID>80a9f8f3-21b2-41b7-b884-9a866f396c10</errorID>
      <errorWord>新发展理念、高质量发展</errorWord>
      <group>L1_Political</group>
      <groupName>政治性问题</groupName>
      <ability>L2_Keyword</ability>
      <abilityName>固定表述</abilityName>
      <candidateList>
        <item>新发展理念引领高质量发展</item>
      </candidateList>
      <explain>词汇“新发展理念引领高质量发展”在特定场景下为固定表述形式，请确认此处的“新发展理念、高质量发展”是否存在不当。</explain>
      <paraID>16EBA225</paraID>
      <start>37</start>
      <end>49</end>
      <status>modified</status>
      <modifiedWord>新发展理念引领高质量发展</modifiedWord>
      <trackRevisions>false</trackRevisions>
    </reviewItem>
    <reviewItem>
      <errorID>bbba0a73-0e05-4c09-a98c-719a1e4a1501</errorID>
      <errorWord>课</errorWord>
      <group>L1_Word</group>
      <groupName>字词问题</groupName>
      <ability>L2_Typo</ability>
      <abilityName>字词错误</abilityName>
      <candidateList>
        <item>课程</item>
      </candidateList>
      <explain/>
      <paraID>4875C711</paraID>
      <start>4</start>
      <end>5</end>
      <status>unmodified</status>
      <modifiedWord/>
      <trackRevisions>false</trackRevisions>
    </reviewItem>
    <reviewItem>
      <errorID>59998955-a800-4548-af6d-d89f1bd901ed</errorID>
      <errorWord>通</errorWord>
      <group>L1_Word</group>
      <groupName>字词问题</groupName>
      <ability>L2_Typo</ability>
      <abilityName>字词错误</abilityName>
      <candidateList>
        <item>通能</item>
      </candidateList>
      <explain/>
      <paraID> 81831A7</paraID>
      <start>13</start>
      <end>14</end>
      <status>unmodified</status>
      <modifiedWord/>
      <trackRevisions>false</trackRevisions>
    </reviewItem>
    <reviewItem>
      <errorID>d1b3d278-1c67-4172-a3bd-be7e016e2e20</errorID>
      <errorWord>树</errorWord>
      <group>L1_Word</group>
      <groupName>字词问题</groupName>
      <ability>L2_Typo</ability>
      <abilityName>字词错误</abilityName>
      <candidateList>
        <item>树立</item>
      </candidateList>
      <explain>〈动〉建立（多用于抽象的好的事情）：～榜样｜～典型｜～助人为乐的风尚。</explain>
      <paraID>2FA172C0</paraID>
      <start>30</start>
      <end>31</end>
      <status>unmodified</status>
      <modifiedWord/>
      <trackRevisions>false</trackRevisions>
    </reviewItem>
    <reviewItem>
      <errorID>1b42e07b-579a-4ab5-bd72-8e39b0c0888f</errorID>
      <errorWord>时</errorWord>
      <group>L1_Word</group>
      <groupName>字词问题</groupName>
      <ability>L2_Typo</ability>
      <abilityName>字词错误</abilityName>
      <candidateList>
        <item>时在</item>
      </candidateList>
      <explain/>
      <paraID>11E9AEAB</paraID>
      <start>58</start>
      <end>59</end>
      <status>unmodified</status>
      <modifiedWord/>
      <trackRevisions>false</trackRevisions>
    </reviewItem>
    <reviewItem>
      <errorID>3561db7d-d3c4-4830-a660-fc5ba992415a</errorID>
      <errorWord>，</errorWord>
      <group>L1_Word</group>
      <groupName>字词问题</groupName>
      <ability>L2_Typo</ability>
      <abilityName>字词错误</abilityName>
      <candidateList>
        <item>，在</item>
      </candidateList>
      <explain/>
      <paraID>11E9AEAB</paraID>
      <start>102</start>
      <end>103</end>
      <status>unmodified</status>
      <modifiedWord/>
      <trackRevisions>false</trackRevisions>
    </reviewItem>
    <reviewItem>
      <errorID>3ab7c74a-6ffd-4491-a751-939c465c589f</errorID>
      <errorWord>融</errorWord>
      <group>L1_Word</group>
      <groupName>字词问题</groupName>
      <ability>L2_Typo</ability>
      <abilityName>字词错误</abilityName>
      <candidateList>
        <item>融合</item>
      </candidateList>
      <explain>〈动〉几种不同的事物合成一体：文化～｜～各家之长。也作融和。</explain>
      <paraID>53AE7DA2</paraID>
      <start>9</start>
      <end>10</end>
      <status>unmodified</status>
      <modifiedWord/>
      <trackRevisions>false</trackRevisions>
    </reviewItem>
    <reviewItem>
      <errorID>51d88185-9dfc-4c99-9eb6-f49b9ada5f76</errorID>
      <errorWord>融</errorWord>
      <group>L1_Word</group>
      <groupName>字词问题</groupName>
      <ability>L2_Typo</ability>
      <abilityName>字词错误</abilityName>
      <candidateList>
        <item>融合</item>
      </candidateList>
      <explain>〈动〉几种不同的事物合成一体：文化～｜～各家之长。也作融和。</explain>
      <paraID> FC3DEE6</paraID>
      <start>9</start>
      <end>10</end>
      <status>unmodified</status>
      <modifiedWord/>
      <trackRevisions>false</trackRevisions>
    </reviewItem>
    <reviewItem>
      <errorID>31d2f53e-9f45-43b9-84a3-b9588a96d46f</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 26593B0</paraID>
      <start>0</start>
      <end>8</end>
      <status>unmodified</status>
      <modifiedWord/>
      <trackRevisions>false</trackRevisions>
    </reviewItem>
    <reviewItem>
      <errorID>a6beee17-0c63-40e3-800e-1a1f9ba14109</errorID>
      <errorWord>开展</errorWord>
      <group>L1_Grammar</group>
      <groupName>语法问题</groupName>
      <ability>L2_Grammar</ability>
      <abilityName>语法错误</abilityName>
      <candidateList>
        <item>推行</item>
      </candidateList>
      <explain>“开展～机制”搭配不当，建议修改为“推行～机制”。</explain>
      <paraID>2B924564</paraID>
      <start>50</start>
      <end>52</end>
      <status>unmodified</status>
      <modifiedWord/>
      <trackRevisions>false</trackRevisions>
    </reviewItem>
    <reviewItem>
      <errorID>9766e36b-5fef-4daa-8685-5fbbd8260fd2</errorID>
      <errorWord>成</errorWord>
      <group>L1_Word</group>
      <groupName>字词问题</groupName>
      <ability>L2_Typo</ability>
      <abilityName>字词错误</abilityName>
      <candidateList>
        <item>成绩</item>
      </candidateList>
      <explain/>
      <paraID>3C4641B1</paraID>
      <start>16</start>
      <end>17</end>
      <status>unmodified</status>
      <modifiedWord/>
      <trackRevisions>false</trackRevisions>
    </reviewItem>
    <reviewItem>
      <errorID>db1d9c39-7aea-41ed-aff8-de52a6f24d41</errorID>
      <errorWord>、等</errorWord>
      <group>L1_Punc</group>
      <groupName>标点问题</groupName>
      <ability>L2_Punc</ability>
      <abilityName>标点符号检查</abilityName>
      <candidateList>
        <item>等</item>
      </candidateList>
      <explain>“及”“和”“等”连词前不宜使用顿号，建议删除（或使用逗号）。</explain>
      <paraID>64A7C4AC</paraID>
      <start>25</start>
      <end>27</end>
      <status>unmodified</status>
      <modifiedWord/>
      <trackRevisions>false</trackRevisions>
    </reviewItem>
    <reviewItem>
      <errorID>bd57bc00-d94f-4da9-88c7-1e66d847b6f6</errorID>
      <errorWord>"</errorWord>
      <group>L1_Format</group>
      <groupName>格式问题</groupName>
      <ability>L2_HalfPunc</ability>
      <abilityName>全半角检查</abilityName>
      <candidateList>
        <item>“</item>
      </candidateList>
      <explain>文本全半角错误。</explain>
      <paraID>5E87D1DF</paraID>
      <start>26</start>
      <end>27</end>
      <status>unmodified</status>
      <modifiedWord/>
      <trackRevisions>false</trackRevisions>
    </reviewItem>
    <reviewItem>
      <errorID>bfe855d8-ab72-4820-9880-ba59318ed86b</errorID>
      <errorWord>"</errorWord>
      <group>L1_Format</group>
      <groupName>格式问题</groupName>
      <ability>L2_HalfPunc</ability>
      <abilityName>全半角检查</abilityName>
      <candidateList>
        <item>”</item>
      </candidateList>
      <explain>文本全半角错误。</explain>
      <paraID>5E87D1DF</paraID>
      <start>31</start>
      <end>32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8bffd7-4303-49fd-88bf-f9d34cf4417c}">
  <ds:schemaRefs/>
</ds:datastoreItem>
</file>

<file path=docProps/app.xml><?xml version="1.0" encoding="utf-8"?>
<Properties xmlns="http://schemas.openxmlformats.org/officeDocument/2006/extended-properties" xmlns:vt="http://schemas.openxmlformats.org/officeDocument/2006/docPropsVTypes">
  <Template>Normal</Template>
  <Pages>52</Pages>
  <Words>17907</Words>
  <Characters>18031</Characters>
  <Lines>1850</Lines>
  <Paragraphs>1270</Paragraphs>
  <TotalTime>2</TotalTime>
  <ScaleCrop>false</ScaleCrop>
  <LinksUpToDate>false</LinksUpToDate>
  <CharactersWithSpaces>18329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何莹苑</cp:lastModifiedBy>
  <cp:lastPrinted>2026-03-24T12:37:44Z</cp:lastPrinted>
  <dcterms:modified xsi:type="dcterms:W3CDTF">2026-03-24T14:08:21Z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12A3A296160E4C10893C42E2B6E407BC_13</vt:lpwstr>
  </property>
  <property fmtid="{D5CDD505-2E9C-101B-9397-08002B2CF9AE}" pid="4" name="KSOTemplateDocerSaveRecord">
    <vt:lpwstr>eyJoZGlkIjoiOTlkYjc2ZWYyMDRiNWJjZTRkYjI2Yzk5M2I2MDljMjYiLCJ1c2VySWQiOiIyOTg5OTU1NTEifQ==</vt:lpwstr>
  </property>
</Properties>
</file>