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10"/>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智慧健康养老服务与管理</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lang w:val="en-US" w:eastAsia="zh-CN"/>
        </w:rPr>
        <w:tab/>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590302</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ab/>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ab/>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ab/>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lang w:val="en-US" w:eastAsia="zh-CN"/>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经济管理学院</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ab/>
      </w:r>
    </w:p>
    <w:p>
      <w:pPr>
        <w:rPr>
          <w:rFonts w:hint="eastAsia" w:ascii="仿宋_GB2312" w:hAnsi="仿宋_GB2312" w:eastAsia="仿宋_GB2312" w:cs="仿宋_GB2312"/>
          <w:color w:val="auto"/>
          <w:kern w:val="0"/>
          <w:sz w:val="32"/>
          <w:szCs w:val="32"/>
          <w:shd w:val="clear" w:color="auto" w:fill="FFFFFF"/>
        </w:rPr>
      </w:pP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rPr>
          <w:rFonts w:hint="eastAsia" w:ascii="仿宋_GB2312" w:hAnsi="仿宋_GB2312" w:eastAsia="仿宋_GB2312" w:cs="仿宋_GB2312"/>
          <w:color w:val="FF0000"/>
          <w:kern w:val="0"/>
          <w:sz w:val="32"/>
          <w:szCs w:val="32"/>
          <w:shd w:val="clear" w:color="auto" w:fill="FFFFFF"/>
          <w:lang w:val="en-US" w:eastAsia="zh-CN"/>
        </w:rPr>
        <w:sectPr>
          <w:headerReference r:id="rId3"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FF0000"/>
          <w:kern w:val="0"/>
          <w:sz w:val="32"/>
          <w:szCs w:val="32"/>
          <w:shd w:val="clear" w:color="auto" w:fill="FFFFFF"/>
          <w:lang w:val="en-US" w:eastAsia="zh-CN"/>
        </w:rPr>
        <w:sectPr>
          <w:footerReference r:id="rId4"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pPr>
        <w:keepNext w:val="0"/>
        <w:keepLines w:val="0"/>
        <w:pageBreakBefore w:val="0"/>
        <w:widowControl w:val="0"/>
        <w:kinsoku/>
        <w:wordWrap/>
        <w:overflowPunct/>
        <w:topLinePunct w:val="0"/>
        <w:autoSpaceDE/>
        <w:autoSpaceDN/>
        <w:bidi w:val="0"/>
        <w:adjustRightInd/>
        <w:snapToGrid/>
        <w:spacing w:after="0" w:line="279" w:lineRule="auto"/>
        <w:ind w:firstLine="880" w:firstLineChars="200"/>
        <w:textAlignment w:val="auto"/>
        <w:rPr>
          <w:rFonts w:hint="eastAsia" w:ascii="黑体" w:hAnsi="黑体" w:eastAsia="黑体" w:cs="黑体"/>
          <w:b w:val="0"/>
          <w:bCs/>
          <w:color w:val="auto"/>
          <w:sz w:val="44"/>
          <w:szCs w:val="44"/>
        </w:rPr>
      </w:pPr>
    </w:p>
    <w:p>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工程职业学院智慧健康养老服务与管理</w:t>
      </w:r>
      <w:r>
        <w:rPr>
          <w:rFonts w:hint="eastAsia" w:ascii="仿宋_GB2312" w:hAnsi="仿宋_GB2312" w:eastAsia="仿宋_GB2312" w:cs="仿宋_GB2312"/>
          <w:b w:val="0"/>
          <w:bCs/>
          <w:color w:val="auto"/>
          <w:sz w:val="32"/>
          <w:szCs w:val="32"/>
        </w:rPr>
        <w:t>专业团队与广西锦华建设工程有限公司</w:t>
      </w:r>
      <w:r>
        <w:rPr>
          <w:rFonts w:hint="eastAsia" w:ascii="仿宋_GB2312" w:hAnsi="仿宋_GB2312" w:eastAsia="仿宋_GB2312" w:cs="仿宋_GB2312"/>
          <w:b w:val="0"/>
          <w:bCs/>
          <w:color w:val="auto"/>
          <w:sz w:val="32"/>
          <w:szCs w:val="32"/>
          <w:lang w:val="en-US" w:eastAsia="zh-CN"/>
        </w:rPr>
        <w:t>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450"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2800" w:type="dxa"/>
          </w:tcPr>
          <w:p>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833"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727"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450" w:type="dxa"/>
            <w:vAlign w:val="center"/>
          </w:tcPr>
          <w:p>
            <w:pPr>
              <w:jc w:val="center"/>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rPr>
              <w:t>黄力</w:t>
            </w:r>
          </w:p>
        </w:tc>
        <w:tc>
          <w:tcPr>
            <w:tcW w:w="2800" w:type="dxa"/>
            <w:vAlign w:val="center"/>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广西锦华建设工程有限公</w:t>
            </w:r>
            <w:bookmarkStart w:id="51" w:name="_GoBack"/>
            <w:bookmarkEnd w:id="51"/>
            <w:r>
              <w:rPr>
                <w:rFonts w:hint="eastAsia" w:ascii="仿宋_GB2312" w:hAnsi="仿宋_GB2312" w:eastAsia="仿宋_GB2312" w:cs="仿宋_GB2312"/>
                <w:b w:val="0"/>
                <w:bCs/>
                <w:color w:val="auto"/>
                <w:sz w:val="32"/>
                <w:szCs w:val="32"/>
                <w:vertAlign w:val="baseline"/>
                <w:lang w:val="en-US" w:eastAsia="zh-CN"/>
              </w:rPr>
              <w:t>司</w:t>
            </w:r>
          </w:p>
        </w:tc>
        <w:tc>
          <w:tcPr>
            <w:tcW w:w="1833" w:type="dxa"/>
            <w:vAlign w:val="center"/>
          </w:tcPr>
          <w:p>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项目经理</w:t>
            </w:r>
          </w:p>
        </w:tc>
        <w:tc>
          <w:tcPr>
            <w:tcW w:w="1727" w:type="dxa"/>
            <w:vAlign w:val="center"/>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2</w:t>
            </w:r>
          </w:p>
        </w:tc>
        <w:tc>
          <w:tcPr>
            <w:tcW w:w="1450" w:type="dxa"/>
            <w:vAlign w:val="center"/>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黄华</w:t>
            </w:r>
          </w:p>
        </w:tc>
        <w:tc>
          <w:tcPr>
            <w:tcW w:w="2800" w:type="dxa"/>
            <w:vAlign w:val="center"/>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rPr>
              <w:t>专任教师</w:t>
            </w:r>
          </w:p>
        </w:tc>
        <w:tc>
          <w:tcPr>
            <w:tcW w:w="1727" w:type="dxa"/>
            <w:vAlign w:val="center"/>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护师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1450" w:type="dxa"/>
            <w:vAlign w:val="center"/>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赖莹莹</w:t>
            </w:r>
          </w:p>
        </w:tc>
        <w:tc>
          <w:tcPr>
            <w:tcW w:w="2800" w:type="dxa"/>
            <w:vAlign w:val="center"/>
          </w:tcPr>
          <w:p>
            <w:pPr>
              <w:jc w:val="center"/>
              <w:rPr>
                <w:rFonts w:hint="eastAsia" w:ascii="仿宋_GB2312" w:hAnsi="仿宋_GB2312" w:eastAsia="仿宋_GB2312" w:cs="仿宋_GB2312"/>
                <w:b w:val="0"/>
                <w:bCs/>
                <w:color w:val="auto"/>
                <w:sz w:val="32"/>
                <w:szCs w:val="32"/>
                <w:vertAlign w:val="baseline"/>
                <w:lang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专任教师</w:t>
            </w:r>
          </w:p>
        </w:tc>
        <w:tc>
          <w:tcPr>
            <w:tcW w:w="1727" w:type="dxa"/>
            <w:vAlign w:val="center"/>
          </w:tcPr>
          <w:p>
            <w:pPr>
              <w:jc w:val="center"/>
              <w:rPr>
                <w:rFonts w:hint="eastAsia" w:ascii="仿宋_GB2312" w:hAnsi="仿宋_GB2312" w:eastAsia="仿宋_GB2312" w:cs="仿宋_GB2312"/>
                <w:b w:val="0"/>
                <w:bCs/>
                <w:color w:val="auto"/>
                <w:sz w:val="32"/>
                <w:szCs w:val="32"/>
                <w:vertAlign w:val="baseline"/>
                <w:lang w:eastAsia="zh-CN"/>
              </w:rPr>
            </w:pPr>
            <w:r>
              <w:rPr>
                <w:rFonts w:hint="eastAsia" w:ascii="仿宋_GB2312" w:hAnsi="仿宋_GB2312" w:eastAsia="仿宋_GB2312" w:cs="仿宋_GB2312"/>
                <w:b w:val="0"/>
                <w:bCs/>
                <w:color w:val="auto"/>
                <w:sz w:val="32"/>
                <w:szCs w:val="32"/>
                <w:vertAlign w:val="baseline"/>
                <w:lang w:val="en-US" w:eastAsia="zh-CN"/>
              </w:rPr>
              <w:t>护师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4</w:t>
            </w:r>
          </w:p>
        </w:tc>
        <w:tc>
          <w:tcPr>
            <w:tcW w:w="1450" w:type="dxa"/>
            <w:vAlign w:val="center"/>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黄雯</w:t>
            </w:r>
          </w:p>
        </w:tc>
        <w:tc>
          <w:tcPr>
            <w:tcW w:w="2800" w:type="dxa"/>
            <w:vAlign w:val="center"/>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专任教师</w:t>
            </w:r>
          </w:p>
        </w:tc>
        <w:tc>
          <w:tcPr>
            <w:tcW w:w="1727" w:type="dxa"/>
            <w:vAlign w:val="center"/>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护师</w:t>
            </w:r>
          </w:p>
        </w:tc>
      </w:tr>
    </w:tbl>
    <w:p>
      <w:pPr>
        <w:rPr>
          <w:rFonts w:hint="eastAsia" w:ascii="黑体" w:hAnsi="黑体" w:eastAsia="黑体" w:cs="黑体"/>
          <w:b w:val="0"/>
          <w:bCs/>
          <w:color w:val="FF0000"/>
          <w:sz w:val="44"/>
          <w:szCs w:val="44"/>
        </w:rPr>
        <w:sectPr>
          <w:footerReference r:id="rId5" w:type="default"/>
          <w:pgSz w:w="11906" w:h="16838"/>
          <w:pgMar w:top="1417" w:right="1417" w:bottom="1417" w:left="1417" w:header="851" w:footer="992" w:gutter="0"/>
          <w:pgNumType w:start="1"/>
          <w:cols w:space="425" w:num="1"/>
          <w:docGrid w:type="lines" w:linePitch="312" w:charSpace="0"/>
        </w:sectPr>
      </w:pPr>
      <w:r>
        <w:rPr>
          <w:rFonts w:hint="eastAsia" w:ascii="黑体" w:hAnsi="黑体" w:eastAsia="黑体" w:cs="黑体"/>
          <w:b w:val="0"/>
          <w:bCs/>
          <w:color w:val="FF0000"/>
          <w:sz w:val="44"/>
          <w:szCs w:val="44"/>
        </w:rPr>
        <w:br w:type="page"/>
      </w:r>
    </w:p>
    <w:p>
      <w:pPr>
        <w:rPr>
          <w:rFonts w:hint="eastAsia" w:ascii="黑体" w:hAnsi="黑体" w:eastAsia="黑体" w:cs="黑体"/>
          <w:b w:val="0"/>
          <w:bCs/>
          <w:color w:val="FF0000"/>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lang w:val="en-US" w:eastAsia="zh-CN"/>
        </w:rPr>
        <w:sectPr>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FF0000"/>
          <w:sz w:val="44"/>
          <w:szCs w:val="44"/>
          <w:lang w:val="en-US" w:eastAsia="zh-CN"/>
        </w:rPr>
      </w:pPr>
      <w:r>
        <w:rPr>
          <w:rFonts w:hint="eastAsia" w:ascii="黑体" w:hAnsi="黑体" w:eastAsia="黑体" w:cs="黑体"/>
          <w:b w:val="0"/>
          <w:bCs/>
          <w:color w:val="auto"/>
          <w:sz w:val="44"/>
          <w:szCs w:val="44"/>
          <w:lang w:val="en-US" w:eastAsia="zh-CN"/>
        </w:rPr>
        <w:t>目  录</w:t>
      </w:r>
    </w:p>
    <w:sdt>
      <w:sdtPr>
        <w:rPr>
          <w:rFonts w:ascii="宋体" w:hAnsi="宋体" w:eastAsia="宋体" w:cs="Times New Roman"/>
          <w:kern w:val="2"/>
          <w:sz w:val="21"/>
          <w:szCs w:val="24"/>
          <w:lang w:val="en-US" w:eastAsia="zh-CN" w:bidi="ar-SA"/>
        </w:rPr>
        <w:id w:val="147478040"/>
        <w15:color w:val="DBDBDB"/>
        <w:docPartObj>
          <w:docPartGallery w:val="Table of Contents"/>
          <w:docPartUnique/>
        </w:docPartObj>
      </w:sdtPr>
      <w:sdtEndPr>
        <w:rPr>
          <w:rFonts w:hint="eastAsia" w:ascii="仿宋_GB2312" w:hAnsi="仿宋_GB2312" w:eastAsia="仿宋_GB2312" w:cs="仿宋_GB2312"/>
          <w:b/>
          <w:bCs/>
          <w:color w:val="FF0000"/>
          <w:kern w:val="2"/>
          <w:sz w:val="32"/>
          <w:szCs w:val="32"/>
          <w:lang w:val="en-US" w:eastAsia="zh-CN" w:bidi="ar-SA"/>
        </w:rPr>
      </w:sdtEndPr>
      <w:sdtContent>
        <w:p>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jc w:val="center"/>
            <w:textAlignment w:val="auto"/>
            <w:rPr>
              <w:rFonts w:hint="eastAsia" w:ascii="仿宋_GB2312" w:hAnsi="仿宋_GB2312" w:eastAsia="仿宋_GB2312" w:cs="仿宋_GB2312"/>
              <w:bCs/>
              <w:color w:val="FF0000"/>
              <w:kern w:val="2"/>
              <w:sz w:val="32"/>
              <w:szCs w:val="32"/>
              <w:lang w:val="en-US" w:eastAsia="zh-CN" w:bidi="ar-SA"/>
            </w:rPr>
          </w:pPr>
          <w:r>
            <w:rPr>
              <w:rFonts w:hint="eastAsia" w:ascii="仿宋_GB2312" w:hAnsi="仿宋_GB2312" w:eastAsia="仿宋_GB2312" w:cs="仿宋_GB2312"/>
              <w:b w:val="0"/>
              <w:bCs/>
              <w:color w:val="FF0000"/>
              <w:sz w:val="32"/>
              <w:szCs w:val="32"/>
              <w:lang w:val="en-US" w:eastAsia="zh-CN"/>
            </w:rPr>
            <w:fldChar w:fldCharType="begin"/>
          </w:r>
          <w:r>
            <w:rPr>
              <w:rFonts w:hint="eastAsia" w:ascii="仿宋_GB2312" w:hAnsi="仿宋_GB2312" w:eastAsia="仿宋_GB2312" w:cs="仿宋_GB2312"/>
              <w:b w:val="0"/>
              <w:bCs/>
              <w:color w:val="FF0000"/>
              <w:sz w:val="32"/>
              <w:szCs w:val="32"/>
              <w:lang w:val="en-US" w:eastAsia="zh-CN"/>
            </w:rPr>
            <w:instrText xml:space="preserve">TOC \o "1-2" \h \u </w:instrText>
          </w:r>
          <w:r>
            <w:rPr>
              <w:rFonts w:hint="eastAsia" w:ascii="仿宋_GB2312" w:hAnsi="仿宋_GB2312" w:eastAsia="仿宋_GB2312" w:cs="仿宋_GB2312"/>
              <w:b w:val="0"/>
              <w:bCs/>
              <w:color w:val="FF0000"/>
              <w:sz w:val="32"/>
              <w:szCs w:val="32"/>
              <w:lang w:val="en-US" w:eastAsia="zh-CN"/>
            </w:rPr>
            <w:fldChar w:fldCharType="separate"/>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_Toc28960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_Toc28960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_Toc14786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_Toc14786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_Toc19672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highlight w:val="none"/>
            </w:rPr>
            <w:t>三、</w:t>
          </w:r>
          <w:r>
            <w:rPr>
              <w:rFonts w:hint="eastAsia" w:ascii="仿宋_GB2312" w:hAnsi="仿宋_GB2312" w:eastAsia="仿宋_GB2312" w:cs="仿宋_GB2312"/>
              <w:sz w:val="32"/>
              <w:szCs w:val="32"/>
              <w:highlight w:val="none"/>
              <w:lang w:val="en-US" w:eastAsia="zh-CN"/>
            </w:rPr>
            <w:t>基本</w:t>
          </w:r>
          <w:r>
            <w:rPr>
              <w:rFonts w:hint="eastAsia" w:ascii="仿宋_GB2312" w:hAnsi="仿宋_GB2312" w:eastAsia="仿宋_GB2312" w:cs="仿宋_GB2312"/>
              <w:sz w:val="32"/>
              <w:szCs w:val="32"/>
              <w:highlight w:val="none"/>
            </w:rPr>
            <w:t>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_Toc19672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_Toc11480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_Toc11480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_Toc24709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_Toc24709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_Toc11303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、培养</w:t>
          </w:r>
          <w:r>
            <w:rPr>
              <w:rFonts w:hint="eastAsia" w:ascii="仿宋_GB2312" w:hAnsi="仿宋_GB2312" w:eastAsia="仿宋_GB2312" w:cs="仿宋_GB2312"/>
              <w:sz w:val="32"/>
              <w:szCs w:val="32"/>
              <w:lang w:val="en-US" w:eastAsia="zh-CN"/>
            </w:rPr>
            <w:t>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_Toc11303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_Toc12339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知识</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_Toc12339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_Toc24169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能力</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_Toc24169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_Toc5928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素质</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_Toc5928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_Toc2934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_Toc2934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_Toc22753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_Toc22753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_Toc8142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bCs/>
              <w:sz w:val="32"/>
              <w:szCs w:val="32"/>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_Toc8142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_Toc29420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（三）第二课堂</w:t>
          </w:r>
          <w:r>
            <w:rPr>
              <w:rFonts w:hint="eastAsia" w:ascii="仿宋_GB2312" w:hAnsi="仿宋_GB2312" w:eastAsia="仿宋_GB2312" w:cs="仿宋_GB2312"/>
              <w:sz w:val="32"/>
              <w:szCs w:val="32"/>
              <w:lang w:val="en-US" w:eastAsia="zh-CN"/>
            </w:rPr>
            <w:t>素质教育课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_Toc29420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_Toc8595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_Toc8595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_Toc32388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（一）教学环节分配表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_Toc32388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_Toc18994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sz w:val="32"/>
              <w:szCs w:val="32"/>
            </w:rPr>
            <w:t>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_Toc18994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_Toc10266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_Toc10266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_Toc21051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_Toc21051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_Toc13369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bCs w:val="0"/>
              <w:sz w:val="32"/>
              <w:szCs w:val="32"/>
              <w:highlight w:val="none"/>
              <w:lang w:val="en-US" w:eastAsia="zh-CN"/>
            </w:rPr>
            <w:t>（一）队伍结构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_Toc13369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_Toc10572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专业带头人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_Toc10572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_Toc1119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bCs w:val="0"/>
              <w:sz w:val="32"/>
              <w:szCs w:val="32"/>
              <w:highlight w:val="none"/>
              <w:lang w:val="en-US" w:eastAsia="zh-CN"/>
            </w:rPr>
            <w:t>（三）专任教师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_Toc1119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_Toc25075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兼职教师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_Toc25075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_Toc25536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lang w:val="en-US" w:eastAsia="zh-CN"/>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_Toc6638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_Toc6638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bCs/>
              <w:color w:val="FF0000"/>
              <w:sz w:val="32"/>
              <w:szCs w:val="32"/>
              <w:lang w:val="en-US" w:eastAsia="zh-CN"/>
            </w:rPr>
            <w:sectPr>
              <w:footerReference r:id="rId6" w:type="default"/>
              <w:pgSz w:w="11906" w:h="16838"/>
              <w:pgMar w:top="1417" w:right="1417" w:bottom="1417" w:left="1417" w:header="851" w:footer="992" w:gutter="0"/>
              <w:pgNumType w:fmt="upperRoman" w:start="1"/>
              <w:cols w:space="425" w:num="1"/>
              <w:docGrid w:type="lines" w:linePitch="312" w:charSpace="0"/>
            </w:sectPr>
          </w:pP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_Toc25364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_Toc25364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_Toc10558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_Toc10558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_Toc989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_Toc989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_Toc30427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bCs w:val="0"/>
              <w:sz w:val="32"/>
              <w:szCs w:val="32"/>
              <w:highlight w:val="none"/>
              <w:lang w:val="en-US" w:eastAsia="zh-CN"/>
            </w:rPr>
            <w:t>十一、</w:t>
          </w:r>
          <w:r>
            <w:rPr>
              <w:rFonts w:hint="eastAsia" w:ascii="仿宋_GB2312" w:hAnsi="仿宋_GB2312" w:eastAsia="仿宋_GB2312" w:cs="仿宋_GB2312"/>
              <w:bCs w:val="0"/>
              <w:sz w:val="32"/>
              <w:szCs w:val="32"/>
              <w:highlight w:val="none"/>
            </w:rPr>
            <w:t>质量</w:t>
          </w:r>
          <w:r>
            <w:rPr>
              <w:rFonts w:hint="eastAsia" w:ascii="仿宋_GB2312" w:hAnsi="仿宋_GB2312" w:eastAsia="仿宋_GB2312" w:cs="仿宋_GB2312"/>
              <w:bCs w:val="0"/>
              <w:sz w:val="32"/>
              <w:szCs w:val="32"/>
              <w:highlight w:val="none"/>
              <w:lang w:val="en-US" w:eastAsia="zh-CN"/>
            </w:rPr>
            <w:t>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_Toc30427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7"/>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_Toc14018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bCs w:val="0"/>
              <w:sz w:val="32"/>
              <w:szCs w:val="32"/>
              <w:highlight w:val="none"/>
              <w:lang w:val="en-US" w:eastAsia="zh-CN"/>
            </w:rPr>
            <w:t>十二、</w:t>
          </w:r>
          <w:r>
            <w:rPr>
              <w:rFonts w:hint="eastAsia" w:ascii="仿宋_GB2312" w:hAnsi="仿宋_GB2312" w:eastAsia="仿宋_GB2312" w:cs="仿宋_GB2312"/>
              <w:bCs w:val="0"/>
              <w:sz w:val="32"/>
              <w:szCs w:val="32"/>
              <w:highlight w:val="none"/>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_Toc14018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_Toc2067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kern w:val="2"/>
              <w:sz w:val="32"/>
              <w:szCs w:val="32"/>
              <w:lang w:val="en-US" w:eastAsia="zh-CN" w:bidi="ar-SA"/>
            </w:rPr>
            <w:t>（一）学分要求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_Toc2067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_Toc3581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kern w:val="2"/>
              <w:sz w:val="32"/>
              <w:szCs w:val="32"/>
              <w:lang w:val="en-US" w:eastAsia="zh-CN" w:bidi="ar-SA"/>
            </w:rPr>
            <w:t>（二）职业类证书要求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_Toc3581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pStyle w:val="8"/>
            <w:keepNext w:val="0"/>
            <w:keepLines w:val="0"/>
            <w:pageBreakBefore w:val="0"/>
            <w:widowControl w:val="0"/>
            <w:tabs>
              <w:tab w:val="right" w:leader="dot" w:pos="9072"/>
            </w:tabs>
            <w:kinsoku/>
            <w:wordWrap/>
            <w:overflowPunct/>
            <w:topLinePunct w:val="0"/>
            <w:autoSpaceDE/>
            <w:autoSpaceDN/>
            <w:bidi w:val="0"/>
            <w:adjustRightInd w:val="0"/>
            <w:snapToGrid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FF0000"/>
              <w:sz w:val="32"/>
              <w:szCs w:val="32"/>
              <w:lang w:val="en-US" w:eastAsia="zh-CN"/>
            </w:rPr>
            <w:fldChar w:fldCharType="begin"/>
          </w:r>
          <w:r>
            <w:rPr>
              <w:rFonts w:hint="eastAsia" w:ascii="仿宋_GB2312" w:hAnsi="仿宋_GB2312" w:eastAsia="仿宋_GB2312" w:cs="仿宋_GB2312"/>
              <w:bCs/>
              <w:sz w:val="32"/>
              <w:szCs w:val="32"/>
              <w:lang w:val="en-US" w:eastAsia="zh-CN"/>
            </w:rPr>
            <w:instrText xml:space="preserve"> HYPERLINK \l _Toc18394 </w:instrText>
          </w:r>
          <w:r>
            <w:rPr>
              <w:rFonts w:hint="eastAsia" w:ascii="仿宋_GB2312" w:hAnsi="仿宋_GB2312" w:eastAsia="仿宋_GB2312" w:cs="仿宋_GB2312"/>
              <w:bCs/>
              <w:sz w:val="32"/>
              <w:szCs w:val="32"/>
              <w:lang w:val="en-US" w:eastAsia="zh-CN"/>
            </w:rPr>
            <w:fldChar w:fldCharType="separate"/>
          </w:r>
          <w:r>
            <w:rPr>
              <w:rFonts w:hint="eastAsia" w:ascii="仿宋_GB2312" w:hAnsi="仿宋_GB2312" w:eastAsia="仿宋_GB2312" w:cs="仿宋_GB2312"/>
              <w:kern w:val="2"/>
              <w:sz w:val="32"/>
              <w:szCs w:val="32"/>
              <w:lang w:val="en-US" w:eastAsia="zh-CN" w:bidi="ar-SA"/>
            </w:rPr>
            <w:t>（三）综合素质要求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_Toc18394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FF0000"/>
              <w:sz w:val="32"/>
              <w:szCs w:val="32"/>
              <w:lang w:val="en-US" w:eastAsia="zh-CN"/>
            </w:rPr>
            <w:fldChar w:fldCharType="end"/>
          </w:r>
        </w:p>
        <w:p>
          <w:pPr>
            <w:keepNext w:val="0"/>
            <w:keepLines w:val="0"/>
            <w:pageBreakBefore w:val="0"/>
            <w:widowControl w:val="0"/>
            <w:kinsoku/>
            <w:wordWrap/>
            <w:overflowPunct w:val="0"/>
            <w:topLinePunct w:val="0"/>
            <w:autoSpaceDE/>
            <w:autoSpaceDN/>
            <w:bidi w:val="0"/>
            <w:adjustRightInd w:val="0"/>
            <w:snapToGrid w:val="0"/>
            <w:spacing w:before="0" w:beforeLines="0" w:after="0" w:afterLines="0" w:line="240" w:lineRule="auto"/>
            <w:ind w:left="0" w:leftChars="0" w:right="0" w:rightChars="0" w:firstLine="0" w:firstLineChars="0"/>
            <w:jc w:val="left"/>
            <w:textAlignment w:val="auto"/>
            <w:rPr>
              <w:rFonts w:hint="eastAsia" w:ascii="仿宋_GB2312" w:hAnsi="仿宋_GB2312" w:eastAsia="仿宋_GB2312" w:cs="仿宋_GB2312"/>
              <w:b w:val="0"/>
              <w:bCs/>
              <w:color w:val="FF0000"/>
              <w:sz w:val="32"/>
              <w:szCs w:val="32"/>
              <w:lang w:val="en-US" w:eastAsia="zh-CN"/>
            </w:rPr>
          </w:pPr>
          <w:r>
            <w:rPr>
              <w:rFonts w:hint="eastAsia" w:ascii="仿宋_GB2312" w:hAnsi="仿宋_GB2312" w:eastAsia="仿宋_GB2312" w:cs="仿宋_GB2312"/>
              <w:bCs/>
              <w:color w:val="FF0000"/>
              <w:sz w:val="32"/>
              <w:szCs w:val="32"/>
              <w:lang w:val="en-US" w:eastAsia="zh-CN"/>
            </w:rPr>
            <w:fldChar w:fldCharType="end"/>
          </w:r>
        </w:p>
      </w:sdtContent>
    </w:sdt>
    <w:p>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jc w:val="center"/>
        <w:textAlignment w:val="auto"/>
        <w:outlineLvl w:val="9"/>
        <w:rPr>
          <w:rFonts w:hint="eastAsia" w:ascii="仿宋_GB2312" w:hAnsi="仿宋_GB2312" w:eastAsia="仿宋_GB2312" w:cs="仿宋_GB2312"/>
          <w:bCs/>
          <w:color w:val="auto"/>
          <w:sz w:val="32"/>
          <w:szCs w:val="32"/>
          <w:highlight w:val="none"/>
          <w:lang w:val="en-US" w:eastAsia="zh-CN"/>
        </w:rPr>
        <w:sectPr>
          <w:footerReference r:id="rId7" w:type="default"/>
          <w:pgSz w:w="11906" w:h="16838"/>
          <w:pgMar w:top="1417" w:right="1417" w:bottom="1417" w:left="1417" w:header="851" w:footer="992" w:gutter="0"/>
          <w:pgNumType w:fmt="upperRoman"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outlineLvl w:val="9"/>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highlight w:val="none"/>
          <w:lang w:val="en-US" w:eastAsia="zh-CN"/>
        </w:rPr>
        <w:t>智慧健康养老服务与管理</w:t>
      </w:r>
      <w:r>
        <w:rPr>
          <w:rFonts w:hint="eastAsia" w:ascii="方正小标宋简体" w:hAnsi="方正小标宋简体" w:eastAsia="方正小标宋简体" w:cs="方正小标宋简体"/>
          <w:bCs/>
          <w:color w:val="auto"/>
          <w:sz w:val="44"/>
          <w:szCs w:val="44"/>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rPr>
      </w:pPr>
      <w:bookmarkStart w:id="0" w:name="_Toc28960"/>
      <w:r>
        <w:rPr>
          <w:rFonts w:hint="eastAsia" w:ascii="黑体" w:hAnsi="黑体" w:eastAsia="黑体" w:cs="黑体"/>
          <w:color w:val="auto"/>
          <w:sz w:val="32"/>
          <w:szCs w:val="32"/>
        </w:rPr>
        <w:t>一、专业名称及代码</w:t>
      </w:r>
      <w:bookmarkEnd w:id="0"/>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专业名称：</w:t>
      </w:r>
      <w:r>
        <w:rPr>
          <w:rFonts w:hint="eastAsia" w:ascii="仿宋_GB2312" w:hAnsi="仿宋_GB2312" w:eastAsia="仿宋_GB2312" w:cs="仿宋_GB2312"/>
          <w:color w:val="auto"/>
          <w:sz w:val="32"/>
          <w:szCs w:val="32"/>
          <w:highlight w:val="none"/>
          <w:lang w:val="en-US" w:eastAsia="zh-CN"/>
        </w:rPr>
        <w:t>智慧健康养老服务与管理</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rPr>
        <w:t>专业代码：</w:t>
      </w:r>
      <w:r>
        <w:rPr>
          <w:rFonts w:hint="eastAsia" w:ascii="仿宋_GB2312" w:hAnsi="仿宋_GB2312" w:eastAsia="仿宋_GB2312" w:cs="仿宋_GB2312"/>
          <w:color w:val="auto"/>
          <w:sz w:val="32"/>
          <w:szCs w:val="32"/>
          <w:highlight w:val="none"/>
          <w:lang w:val="en-US" w:eastAsia="zh-CN"/>
        </w:rPr>
        <w:t>590302</w:t>
      </w:r>
      <w:r>
        <w:rPr>
          <w:rFonts w:hint="eastAsia" w:ascii="仿宋_GB2312" w:hAnsi="仿宋_GB2312" w:eastAsia="仿宋_GB2312" w:cs="仿宋_GB2312"/>
          <w:color w:val="auto"/>
          <w:sz w:val="32"/>
          <w:szCs w:val="32"/>
          <w:lang w:val="en-US" w:eastAsia="zh-CN"/>
        </w:rPr>
        <w:t xml:space="preserve"> </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rPr>
      </w:pPr>
      <w:bookmarkStart w:id="1" w:name="_Toc14786"/>
      <w:r>
        <w:rPr>
          <w:rFonts w:hint="eastAsia" w:ascii="黑体" w:hAnsi="黑体" w:eastAsia="黑体" w:cs="黑体"/>
          <w:color w:val="auto"/>
          <w:sz w:val="32"/>
          <w:szCs w:val="32"/>
        </w:rPr>
        <w:t>二、入学要求</w:t>
      </w:r>
      <w:bookmarkEnd w:id="1"/>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highlight w:val="none"/>
        </w:rPr>
      </w:pPr>
      <w:bookmarkStart w:id="2" w:name="_Toc19672"/>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rPr>
      </w:pPr>
      <w:bookmarkStart w:id="3" w:name="_Toc11480"/>
      <w:r>
        <w:rPr>
          <w:rFonts w:hint="eastAsia" w:ascii="黑体" w:hAnsi="黑体" w:eastAsia="黑体" w:cs="黑体"/>
          <w:color w:val="auto"/>
          <w:sz w:val="32"/>
          <w:szCs w:val="32"/>
        </w:rPr>
        <w:t>四、职业面向</w:t>
      </w:r>
      <w:bookmarkEnd w:id="3"/>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1"/>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455"/>
        <w:gridCol w:w="1532"/>
        <w:gridCol w:w="2186"/>
        <w:gridCol w:w="1546"/>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45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53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对应行业（代码）</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主要职业类别</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54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主要岗位（群）或技术领域</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仿宋_GB2312" w:hAnsi="仿宋_GB2312" w:eastAsia="仿宋_GB2312" w:cs="仿宋_GB2312"/>
                <w:color w:val="auto"/>
                <w:sz w:val="24"/>
                <w:highlight w:val="none"/>
              </w:rPr>
            </w:pPr>
            <w:bookmarkStart w:id="4" w:name="OLE_LINK1" w:colFirst="0" w:colLast="5"/>
            <w:r>
              <w:rPr>
                <w:rFonts w:hint="eastAsia" w:ascii="仿宋_GB2312" w:hAnsi="仿宋_GB2312" w:eastAsia="仿宋_GB2312" w:cs="仿宋_GB2312"/>
                <w:color w:val="auto"/>
                <w:sz w:val="24"/>
                <w:highlight w:val="none"/>
              </w:rPr>
              <w:t>公共管理与服务大类（59）</w:t>
            </w:r>
          </w:p>
        </w:tc>
        <w:tc>
          <w:tcPr>
            <w:tcW w:w="145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公共服务类（5903</w:t>
            </w:r>
            <w:r>
              <w:rPr>
                <w:rFonts w:hint="eastAsia" w:ascii="仿宋_GB2312" w:hAnsi="仿宋_GB2312" w:eastAsia="仿宋_GB2312" w:cs="仿宋_GB2312"/>
                <w:color w:val="auto"/>
                <w:sz w:val="24"/>
                <w:highlight w:val="none"/>
                <w:lang w:val="en-US" w:eastAsia="zh-CN"/>
              </w:rPr>
              <w:t>）</w:t>
            </w:r>
          </w:p>
        </w:tc>
        <w:tc>
          <w:tcPr>
            <w:tcW w:w="153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老年人、残疾人养护服务（8514）</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养老护理员（4-10-01-05）、失智老年人照护员（4-10-01-05）、</w:t>
            </w:r>
          </w:p>
          <w:p>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老年人能力评估师（4-14-02-05）、健康照护师（4-14-01-03）</w:t>
            </w:r>
          </w:p>
        </w:tc>
        <w:tc>
          <w:tcPr>
            <w:tcW w:w="154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老年评估、老年照护、养老运营管理</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老年照护、失智老年人照护、医养个案管理、老年康体指导、 老年护理服务需求评估</w:t>
            </w:r>
          </w:p>
        </w:tc>
      </w:tr>
      <w:bookmarkEnd w:id="4"/>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color w:val="auto"/>
          <w:sz w:val="32"/>
          <w:szCs w:val="32"/>
        </w:rPr>
      </w:pPr>
      <w:bookmarkStart w:id="5" w:name="_Toc24709"/>
      <w:r>
        <w:rPr>
          <w:rFonts w:hint="eastAsia" w:ascii="黑体" w:hAnsi="黑体" w:eastAsia="黑体" w:cs="黑体"/>
          <w:color w:val="auto"/>
          <w:sz w:val="32"/>
          <w:szCs w:val="32"/>
        </w:rPr>
        <w:t>五、培养目标</w:t>
      </w:r>
      <w:bookmarkEnd w:id="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rPr>
        <w:t>本专业秉持着“服务区域经济发展、培育优秀工程人才”的办学理念，同时恪守“厚德博学，至材健行”的校训精神，致力于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老年人、残疾人养护服务行业的老年评估、老年照护、养老运营与管理等技术领域，能够从事老年照护、老年评估、失智老年人照护、养老机构运营管理、养老服务规划与咨询工作的高技能人才。</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color w:val="auto"/>
          <w:sz w:val="32"/>
          <w:szCs w:val="32"/>
          <w:lang w:eastAsia="zh-CN"/>
        </w:rPr>
      </w:pPr>
      <w:bookmarkStart w:id="6" w:name="_Toc11303"/>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本专业学</w:t>
      </w:r>
      <w:r>
        <w:rPr>
          <w:rFonts w:hint="eastAsia" w:ascii="仿宋_GB2312" w:hAnsi="仿宋_GB2312" w:eastAsia="仿宋_GB2312" w:cs="仿宋_GB2312"/>
          <w:color w:val="auto"/>
          <w:sz w:val="32"/>
          <w:szCs w:val="32"/>
          <w:highlight w:val="none"/>
          <w:lang w:val="en-US" w:eastAsia="zh-CN"/>
        </w:rPr>
        <w:t>生</w:t>
      </w:r>
      <w:r>
        <w:rPr>
          <w:rFonts w:hint="eastAsia" w:ascii="仿宋_GB2312" w:hAnsi="仿宋_GB2312" w:eastAsia="仿宋_GB2312" w:cs="仿宋_GB2312"/>
          <w:color w:val="auto"/>
          <w:sz w:val="32"/>
          <w:szCs w:val="32"/>
          <w:highlight w:val="none"/>
          <w:lang w:eastAsia="zh-CN"/>
        </w:rPr>
        <w:t>应在系统学习本专业知识并完成有关实习实训基础上，全面提升知识、能力、素质，掌握并实际运用岗位（群）需要的专业核心技术技能，实现德智体美劳全面发展，总体上须达到以下要求：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highlight w:val="none"/>
          <w:lang w:val="en-US" w:eastAsia="zh-CN"/>
        </w:rPr>
      </w:pPr>
      <w:bookmarkStart w:id="7" w:name="_Toc12339"/>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rPr>
        <w:t>知识</w:t>
      </w:r>
      <w:r>
        <w:rPr>
          <w:rFonts w:hint="eastAsia" w:ascii="楷体" w:hAnsi="楷体" w:eastAsia="楷体" w:cs="楷体"/>
          <w:color w:val="auto"/>
          <w:sz w:val="32"/>
          <w:szCs w:val="32"/>
          <w:highlight w:val="none"/>
          <w:lang w:val="en-US" w:eastAsia="zh-CN"/>
        </w:rPr>
        <w:t>目标</w:t>
      </w:r>
      <w:bookmarkEnd w:id="7"/>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掌握与本专业对应职业活动相关的国家法律、行业规定，掌握绿色生产、环境保护、安全防护、质量管理等相关知识与技能，了解相关行业文化，具有爱岗敬业的职业精神，遵守职业道德准则和行为规范，具备社会责任感和担当精神；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2.掌握支撑本专业学习和可持续发展必备的语文、数学、外语（英语等）、信息技术等文化基础知识，具有良好的人文素养与科学素养，具备职业生涯规划能力；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3.具有良好的语言表达能力、文字表达能力、沟通合作能力，具有较强的集体意识和 团队合作意识，学习1门外语并结合本专业加以运用；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楷体" w:hAnsi="楷体" w:eastAsia="楷体" w:cs="楷体"/>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4.掌握养老职业素养与安全、养老产业与养老服务业、养老服务礼仪与沟通、老年人体结构与功能、养老政策法规与标准、老年常见慢性病健康管理、健康养老大数据应用等专业基础理论知识。</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1"/>
        <w:rPr>
          <w:rFonts w:hint="eastAsia" w:ascii="楷体" w:hAnsi="楷体" w:eastAsia="楷体" w:cs="楷体"/>
          <w:color w:val="auto"/>
          <w:sz w:val="32"/>
          <w:szCs w:val="32"/>
          <w:highlight w:val="none"/>
          <w:lang w:val="en-US" w:eastAsia="zh-CN"/>
        </w:rPr>
      </w:pPr>
      <w:bookmarkStart w:id="8" w:name="_Toc24169"/>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能力</w:t>
      </w:r>
      <w:r>
        <w:rPr>
          <w:rFonts w:hint="eastAsia" w:ascii="楷体" w:hAnsi="楷体" w:eastAsia="楷体" w:cs="楷体"/>
          <w:color w:val="auto"/>
          <w:sz w:val="32"/>
          <w:szCs w:val="32"/>
          <w:highlight w:val="none"/>
          <w:lang w:val="en-US" w:eastAsia="zh-CN"/>
        </w:rPr>
        <w:t>目标</w:t>
      </w:r>
      <w:bookmarkEnd w:id="8"/>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1.掌握老年人日常生活能力、认知功能和精神状态、感知觉与沟通、社会参与及服务需求知识，具备进行老年人评估的能力或实践能力；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2.掌握老年人饮食照护、排泄照护、清洁照护、睡眠照护、生命体征测量、消毒防护等生活与基础照护知识，具备为失能失智老年人提供生活照护、基础照护的能力或实践能力；</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3.掌握老年人生活能力康复训练以及辅助器具、助行器具选配与使用、生活环境适老化改造与控制技术知识，具备协助与指导老年人进行康复训练的能力或实践能力；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4.掌握老年常见慢性疾病的健康照护知识，具备为老年人提供常见慢性病整体照护并能运用智慧养老设备及系统协助完成健康监测及照护的能力或实践能力；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5.掌握老年人心理特点、老年心理评估方法与辅疗技巧、常见心理健康问题等心理护理知识，具备初步为老年人进行心理健康评估、心理辅疗服务的能力或实践能力；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6.掌握活动策划方案写作、策划组织与实施、活动创意设计等知识，具备策划、组织与实施、设计各类老年活动的能力或实践能力；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7.掌握养老机构的论证、申报、审批及备案、运营管理等知识，具备养老设施筹建、业务及运营管理并熟练运用智能化设施设备及信息平台进行管理的能力或实践能力；</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8.掌握社区居家养老基础设施选址设计、标准化建设、智慧化管理、风险管理等知识，能进行社区居家养老管理并熟练运用智能化设施设备及信息平台进行管理的能力或实践能力；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9.掌握信息技术基础知识，具有适应本行业数字化和智能化发展需求的数字技能； </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10.具有探究学习、终身学习和可持续发展的能力，具有整合知识和综合运用知识分析问题和解决问题的能力。</w:t>
      </w:r>
    </w:p>
    <w:p>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11.鼓励学生考取养老护理员（初级）职业资格证书，同时鼓励考取健康管理师、老年人能力评估师证书、1+X 失智老年照护职业技能等级证书，以及根据个人兴趣和职业规划考取社会工作师、康复治疗师、保健按摩师等与智慧健康养老服务与管理领域相关的其他证书以拓宽职业发展空间。</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lang w:val="en-US" w:eastAsia="zh-CN"/>
        </w:rPr>
      </w:pPr>
      <w:bookmarkStart w:id="9" w:name="_Toc5928"/>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素质</w:t>
      </w:r>
      <w:r>
        <w:rPr>
          <w:rFonts w:hint="eastAsia" w:ascii="楷体" w:hAnsi="楷体" w:eastAsia="楷体" w:cs="楷体"/>
          <w:color w:val="auto"/>
          <w:sz w:val="32"/>
          <w:szCs w:val="32"/>
          <w:highlight w:val="none"/>
          <w:lang w:val="en-US" w:eastAsia="zh-CN"/>
        </w:rPr>
        <w:t>目标</w:t>
      </w:r>
      <w:bookmarkEnd w:id="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1.坚定拥护中国共产党领导和中国特色社会主义制度，以习近平新时代中国特色社会主义思想为指导，践行社会主义核心价值观，具有坚定的理想信念、深厚的爱国情感和中华民族自豪感； </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2.掌握身体运动的基本知识和至少1项体育运动技能，达到国家大学生体质健康测试合格标准，养成良好的运动习惯、卫生习惯和行为习惯；具备一定的心理调适能力； </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3.掌握必备的美育知识，具有一定的文化修养、审美能力，形成至少1项艺术特长或爱好；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highlight w:val="none"/>
          <w:lang w:val="en-US" w:eastAsia="zh-CN"/>
        </w:rPr>
        <w:t>4.树立正确的劳动观，尊重劳动，热爱劳动，具备与本专业职业发展相适应的劳动素养，弘扬劳模精神、劳动精神、工匠精神，弘扬劳动光荣、技能宝贵、创造伟大的时代风尚。</w:t>
      </w:r>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lang w:val="en-US" w:eastAsia="zh-CN"/>
        </w:rPr>
      </w:pPr>
      <w:bookmarkStart w:id="10" w:name="_Toc2934"/>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0"/>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11" w:name="_Toc22753"/>
      <w:r>
        <w:rPr>
          <w:rFonts w:hint="eastAsia" w:ascii="楷体" w:hAnsi="楷体" w:eastAsia="楷体" w:cs="楷体"/>
          <w:color w:val="auto"/>
          <w:sz w:val="32"/>
          <w:szCs w:val="32"/>
        </w:rPr>
        <w:t>（一）公共基础课程</w:t>
      </w:r>
      <w:bookmarkEnd w:id="1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语文、物理、化学、职业素养</w:t>
      </w:r>
      <w:r>
        <w:rPr>
          <w:rFonts w:hint="eastAsia" w:ascii="仿宋_GB2312" w:hAnsi="仿宋_GB2312" w:eastAsia="仿宋_GB2312" w:cs="仿宋_GB2312"/>
          <w:b w:val="0"/>
          <w:bCs w:val="0"/>
          <w:color w:val="auto"/>
          <w:sz w:val="32"/>
          <w:szCs w:val="32"/>
          <w:highlight w:val="none"/>
          <w:lang w:eastAsia="zh-CN"/>
        </w:rPr>
        <w:t>。</w:t>
      </w:r>
    </w:p>
    <w:p>
      <w:pPr>
        <w:pageBreakBefore w:val="0"/>
        <w:kinsoku/>
        <w:wordWrap/>
        <w:overflowPunct w:val="0"/>
        <w:topLinePunct w:val="0"/>
        <w:autoSpaceDE/>
        <w:autoSpaceDN/>
        <w:bidi w:val="0"/>
        <w:adjustRightInd w:val="0"/>
        <w:spacing w:after="0" w:line="520" w:lineRule="exact"/>
        <w:ind w:left="0"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spacing w:line="360" w:lineRule="exact"/>
              <w:jc w:val="center"/>
              <w:rPr>
                <w:rFonts w:hint="eastAsia" w:ascii="仿宋_GB2312" w:hAnsi="仿宋_GB2312" w:eastAsia="仿宋_GB2312" w:cs="仿宋_GB2312"/>
                <w:color w:val="000000"/>
                <w:sz w:val="24"/>
                <w:szCs w:val="24"/>
                <w:highlight w:val="none"/>
              </w:rPr>
            </w:pPr>
            <w:bookmarkStart w:id="13" w:name="_Toc90734979"/>
            <w:bookmarkStart w:id="14" w:name="_Toc2022"/>
            <w:r>
              <w:rPr>
                <w:rFonts w:hint="eastAsia" w:ascii="仿宋_GB2312" w:hAnsi="仿宋_GB2312" w:eastAsia="仿宋_GB2312" w:cs="仿宋_GB2312"/>
                <w:color w:val="000000"/>
                <w:sz w:val="24"/>
                <w:szCs w:val="24"/>
                <w:highlight w:val="none"/>
              </w:rPr>
              <w:t>序号</w:t>
            </w:r>
            <w:bookmarkEnd w:id="13"/>
            <w:bookmarkEnd w:id="14"/>
          </w:p>
        </w:tc>
        <w:tc>
          <w:tcPr>
            <w:tcW w:w="752" w:type="dxa"/>
            <w:vAlign w:val="center"/>
          </w:tcPr>
          <w:p>
            <w:pPr>
              <w:spacing w:line="360" w:lineRule="exact"/>
              <w:jc w:val="center"/>
              <w:rPr>
                <w:rFonts w:hint="eastAsia" w:ascii="仿宋_GB2312" w:hAnsi="仿宋_GB2312" w:eastAsia="仿宋_GB2312" w:cs="仿宋_GB2312"/>
                <w:color w:val="000000"/>
                <w:sz w:val="24"/>
                <w:szCs w:val="24"/>
                <w:highlight w:val="none"/>
              </w:rPr>
            </w:pPr>
            <w:bookmarkStart w:id="15" w:name="_Toc2635"/>
            <w:bookmarkStart w:id="16" w:name="_Toc90734980"/>
            <w:r>
              <w:rPr>
                <w:rFonts w:hint="eastAsia" w:ascii="仿宋_GB2312" w:hAnsi="仿宋_GB2312" w:eastAsia="仿宋_GB2312" w:cs="仿宋_GB2312"/>
                <w:color w:val="000000"/>
                <w:sz w:val="24"/>
                <w:szCs w:val="24"/>
                <w:highlight w:val="none"/>
              </w:rPr>
              <w:t>课程名称</w:t>
            </w:r>
            <w:bookmarkEnd w:id="15"/>
            <w:bookmarkEnd w:id="16"/>
          </w:p>
        </w:tc>
        <w:tc>
          <w:tcPr>
            <w:tcW w:w="3928" w:type="dxa"/>
            <w:vAlign w:val="center"/>
          </w:tcPr>
          <w:p>
            <w:pPr>
              <w:spacing w:line="360" w:lineRule="exact"/>
              <w:jc w:val="center"/>
              <w:rPr>
                <w:rFonts w:hint="eastAsia" w:ascii="仿宋_GB2312" w:hAnsi="仿宋_GB2312" w:eastAsia="仿宋_GB2312" w:cs="仿宋_GB2312"/>
                <w:color w:val="000000"/>
                <w:sz w:val="24"/>
                <w:szCs w:val="24"/>
                <w:highlight w:val="none"/>
              </w:rPr>
            </w:pPr>
            <w:bookmarkStart w:id="17" w:name="_Toc24608"/>
            <w:bookmarkStart w:id="18" w:name="_Toc90734981"/>
            <w:r>
              <w:rPr>
                <w:rFonts w:hint="eastAsia" w:ascii="仿宋_GB2312" w:hAnsi="仿宋_GB2312" w:eastAsia="仿宋_GB2312" w:cs="仿宋_GB2312"/>
                <w:color w:val="000000"/>
                <w:sz w:val="24"/>
                <w:szCs w:val="24"/>
                <w:highlight w:val="none"/>
                <w:lang w:val="en-US" w:eastAsia="zh-CN"/>
              </w:rPr>
              <w:t>课程</w:t>
            </w:r>
            <w:r>
              <w:rPr>
                <w:rFonts w:hint="eastAsia" w:ascii="仿宋_GB2312" w:hAnsi="仿宋_GB2312" w:eastAsia="仿宋_GB2312" w:cs="仿宋_GB2312"/>
                <w:color w:val="000000"/>
                <w:sz w:val="24"/>
                <w:szCs w:val="24"/>
                <w:highlight w:val="none"/>
              </w:rPr>
              <w:t>目标</w:t>
            </w:r>
            <w:bookmarkEnd w:id="17"/>
            <w:bookmarkEnd w:id="18"/>
          </w:p>
        </w:tc>
        <w:tc>
          <w:tcPr>
            <w:tcW w:w="2960" w:type="dxa"/>
            <w:vAlign w:val="center"/>
          </w:tcPr>
          <w:p>
            <w:pPr>
              <w:spacing w:line="360" w:lineRule="exact"/>
              <w:jc w:val="center"/>
              <w:rPr>
                <w:rFonts w:hint="eastAsia" w:ascii="仿宋_GB2312" w:hAnsi="仿宋_GB2312" w:eastAsia="仿宋_GB2312" w:cs="仿宋_GB2312"/>
                <w:color w:val="000000"/>
                <w:sz w:val="24"/>
                <w:szCs w:val="24"/>
                <w:highlight w:val="none"/>
              </w:rPr>
            </w:pPr>
            <w:bookmarkStart w:id="19" w:name="_Toc23051"/>
            <w:bookmarkStart w:id="20" w:name="_Toc90734982"/>
            <w:r>
              <w:rPr>
                <w:rFonts w:hint="eastAsia" w:ascii="仿宋_GB2312" w:hAnsi="仿宋_GB2312" w:eastAsia="仿宋_GB2312" w:cs="仿宋_GB2312"/>
                <w:color w:val="000000"/>
                <w:sz w:val="24"/>
                <w:szCs w:val="24"/>
                <w:highlight w:val="none"/>
                <w:lang w:val="en-US" w:eastAsia="zh-CN"/>
              </w:rPr>
              <w:t>主要</w:t>
            </w:r>
            <w:r>
              <w:rPr>
                <w:rFonts w:hint="eastAsia" w:ascii="仿宋_GB2312" w:hAnsi="仿宋_GB2312" w:eastAsia="仿宋_GB2312" w:cs="仿宋_GB2312"/>
                <w:color w:val="000000"/>
                <w:sz w:val="24"/>
                <w:szCs w:val="24"/>
                <w:highlight w:val="none"/>
              </w:rPr>
              <w:t>教学内容</w:t>
            </w:r>
            <w:bookmarkEnd w:id="19"/>
            <w:bookmarkEnd w:id="20"/>
          </w:p>
        </w:tc>
        <w:tc>
          <w:tcPr>
            <w:tcW w:w="2626" w:type="dxa"/>
            <w:vAlign w:val="center"/>
          </w:tcPr>
          <w:p>
            <w:pPr>
              <w:spacing w:line="360" w:lineRule="exact"/>
              <w:jc w:val="center"/>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知识目标：</w:t>
            </w:r>
            <w:r>
              <w:rPr>
                <w:rFonts w:hint="eastAsia" w:ascii="仿宋_GB2312" w:hAnsi="仿宋_GB2312" w:eastAsia="仿宋_GB2312" w:cs="仿宋_GB2312"/>
                <w:b w:val="0"/>
                <w:bCs w:val="0"/>
                <w:color w:val="000000"/>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能力目标</w:t>
            </w:r>
            <w:r>
              <w:rPr>
                <w:rFonts w:hint="eastAsia" w:ascii="仿宋_GB2312" w:hAnsi="仿宋_GB2312" w:eastAsia="仿宋_GB2312" w:cs="仿宋_GB2312"/>
                <w:color w:val="000000"/>
                <w:sz w:val="24"/>
                <w:szCs w:val="24"/>
                <w:highlight w:val="none"/>
                <w:lang w:val="en-US" w:eastAsia="zh-CN"/>
              </w:rPr>
              <w:t>：</w:t>
            </w:r>
            <w:r>
              <w:rPr>
                <w:rFonts w:hint="eastAsia" w:ascii="仿宋_GB2312" w:hAnsi="仿宋_GB2312" w:eastAsia="仿宋_GB2312" w:cs="仿宋_GB2312"/>
                <w:b w:val="0"/>
                <w:bCs w:val="0"/>
                <w:color w:val="000000"/>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b w:val="0"/>
                <w:bCs w:val="0"/>
                <w:color w:val="000000"/>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b w:val="0"/>
                <w:bCs w:val="0"/>
                <w:color w:val="000000"/>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sz w:val="24"/>
                <w:szCs w:val="24"/>
                <w:highlight w:val="none"/>
                <w:lang w:val="en-US" w:eastAsia="zh-CN"/>
              </w:rPr>
              <w:t>和</w:t>
            </w:r>
            <w:r>
              <w:rPr>
                <w:rFonts w:hint="eastAsia" w:ascii="仿宋_GB2312" w:hAnsi="仿宋_GB2312" w:eastAsia="仿宋_GB2312" w:cs="仿宋_GB2312"/>
                <w:b w:val="0"/>
                <w:bCs w:val="0"/>
                <w:color w:val="000000"/>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shd w:val="clear" w:color="auto" w:fill="FFFFFF"/>
              </w:rPr>
            </w:pPr>
            <w:r>
              <w:rPr>
                <w:rFonts w:hint="eastAsia" w:ascii="仿宋_GB2312" w:hAnsi="仿宋_GB2312" w:eastAsia="仿宋_GB2312" w:cs="仿宋_GB2312"/>
                <w:color w:val="000000"/>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难点问题，紧跟时代脉搏，融入变革潮流；重点是了解</w:t>
            </w:r>
            <w:r>
              <w:rPr>
                <w:rFonts w:hint="eastAsia" w:ascii="仿宋_GB2312" w:hAnsi="仿宋_GB2312" w:eastAsia="仿宋_GB2312" w:cs="仿宋_GB2312"/>
                <w:b w:val="0"/>
                <w:bCs w:val="0"/>
                <w:color w:val="000000"/>
                <w:sz w:val="24"/>
                <w:szCs w:val="24"/>
                <w:highlight w:val="none"/>
                <w:lang w:val="en-US" w:eastAsia="zh-CN"/>
              </w:rPr>
              <w:t>党的二十</w:t>
            </w:r>
            <w:r>
              <w:rPr>
                <w:rFonts w:hint="eastAsia" w:ascii="仿宋_GB2312" w:hAnsi="仿宋_GB2312" w:eastAsia="仿宋_GB2312" w:cs="仿宋_GB2312"/>
                <w:b w:val="0"/>
                <w:bCs w:val="0"/>
                <w:color w:val="000000"/>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能力目标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b w:val="0"/>
                <w:bCs w:val="0"/>
                <w:color w:val="000000"/>
                <w:sz w:val="24"/>
                <w:szCs w:val="24"/>
                <w:highlight w:val="none"/>
                <w:lang w:val="en-US" w:eastAsia="zh-CN"/>
              </w:rPr>
              <w:t>帮助</w:t>
            </w:r>
            <w:r>
              <w:rPr>
                <w:rFonts w:hint="eastAsia" w:ascii="仿宋_GB2312" w:hAnsi="仿宋_GB2312" w:eastAsia="仿宋_GB2312" w:cs="仿宋_GB2312"/>
                <w:b w:val="0"/>
                <w:bCs w:val="0"/>
                <w:color w:val="000000"/>
                <w:sz w:val="24"/>
                <w:szCs w:val="24"/>
                <w:highlight w:val="none"/>
              </w:rPr>
              <w:t>学生感知国情民意，</w:t>
            </w:r>
            <w:r>
              <w:rPr>
                <w:rFonts w:hint="eastAsia" w:ascii="仿宋_GB2312" w:hAnsi="仿宋_GB2312" w:eastAsia="仿宋_GB2312" w:cs="仿宋_GB2312"/>
                <w:b w:val="0"/>
                <w:bCs w:val="0"/>
                <w:color w:val="000000"/>
                <w:sz w:val="24"/>
                <w:szCs w:val="24"/>
                <w:highlight w:val="none"/>
                <w:lang w:val="en-US" w:eastAsia="zh-CN"/>
              </w:rPr>
              <w:t>认可</w:t>
            </w:r>
            <w:r>
              <w:rPr>
                <w:rFonts w:hint="eastAsia" w:ascii="仿宋_GB2312" w:hAnsi="仿宋_GB2312" w:eastAsia="仿宋_GB2312" w:cs="仿宋_GB2312"/>
                <w:b w:val="0"/>
                <w:bCs w:val="0"/>
                <w:color w:val="000000"/>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000000"/>
                <w:sz w:val="24"/>
                <w:szCs w:val="24"/>
                <w:highlight w:val="none"/>
                <w:lang w:val="en-US" w:eastAsia="zh-CN"/>
              </w:rPr>
              <w:t>不断增强</w:t>
            </w:r>
            <w:r>
              <w:rPr>
                <w:rFonts w:hint="eastAsia" w:ascii="仿宋_GB2312" w:hAnsi="仿宋_GB2312" w:eastAsia="仿宋_GB2312" w:cs="仿宋_GB2312"/>
                <w:b w:val="0"/>
                <w:bCs w:val="0"/>
                <w:color w:val="000000"/>
                <w:sz w:val="24"/>
                <w:szCs w:val="24"/>
                <w:highlight w:val="none"/>
              </w:rPr>
              <w:t>“四个意识”</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坚定“四个自信”</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根据</w:t>
            </w:r>
            <w:r>
              <w:rPr>
                <w:rFonts w:hint="eastAsia" w:ascii="仿宋_GB2312" w:hAnsi="仿宋_GB2312" w:eastAsia="仿宋_GB2312" w:cs="仿宋_GB2312"/>
                <w:color w:val="000000"/>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000000"/>
                <w:sz w:val="24"/>
                <w:szCs w:val="24"/>
                <w:highlight w:val="none"/>
              </w:rPr>
              <w:t>涵盖国际形势、国内形势、社会热点、国家政策等</w:t>
            </w:r>
            <w:r>
              <w:rPr>
                <w:rFonts w:hint="eastAsia" w:ascii="仿宋_GB2312" w:hAnsi="仿宋_GB2312" w:eastAsia="仿宋_GB2312" w:cs="仿宋_GB2312"/>
                <w:color w:val="000000"/>
                <w:sz w:val="24"/>
                <w:szCs w:val="24"/>
                <w:highlight w:val="none"/>
                <w:lang w:val="en-US" w:eastAsia="zh-CN"/>
              </w:rPr>
              <w:t>内容</w:t>
            </w:r>
            <w:r>
              <w:rPr>
                <w:rFonts w:hint="eastAsia" w:ascii="仿宋_GB2312" w:hAnsi="仿宋_GB2312" w:eastAsia="仿宋_GB2312" w:cs="仿宋_GB2312"/>
                <w:color w:val="000000"/>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000000"/>
                <w:sz w:val="24"/>
                <w:szCs w:val="24"/>
                <w:highlight w:val="none"/>
              </w:rPr>
              <w:t>教师</w:t>
            </w:r>
            <w:r>
              <w:rPr>
                <w:rFonts w:hint="eastAsia" w:ascii="仿宋_GB2312" w:hAnsi="仿宋_GB2312" w:eastAsia="仿宋_GB2312" w:cs="仿宋_GB2312"/>
                <w:color w:val="000000"/>
                <w:sz w:val="24"/>
                <w:szCs w:val="24"/>
                <w:highlight w:val="none"/>
                <w:lang w:val="en-US" w:eastAsia="zh-CN"/>
              </w:rPr>
              <w:t>应</w:t>
            </w:r>
            <w:r>
              <w:rPr>
                <w:rFonts w:hint="eastAsia" w:ascii="仿宋_GB2312" w:hAnsi="仿宋_GB2312" w:eastAsia="仿宋_GB2312" w:cs="仿宋_GB2312"/>
                <w:color w:val="000000"/>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知识目标：</w:t>
            </w:r>
            <w:r>
              <w:rPr>
                <w:rFonts w:hint="eastAsia" w:ascii="仿宋_GB2312" w:hAnsi="仿宋_GB2312" w:eastAsia="仿宋_GB2312" w:cs="仿宋_GB2312"/>
                <w:color w:val="000000"/>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b/>
                <w:bCs/>
                <w:color w:val="000000"/>
                <w:sz w:val="24"/>
                <w:szCs w:val="24"/>
                <w:highlight w:val="none"/>
                <w:lang w:val="en-US" w:eastAsia="zh-CN"/>
              </w:rPr>
              <w:t>能</w:t>
            </w:r>
            <w:r>
              <w:rPr>
                <w:rFonts w:hint="eastAsia" w:ascii="仿宋_GB2312" w:hAnsi="仿宋_GB2312" w:eastAsia="仿宋_GB2312" w:cs="仿宋_GB2312"/>
                <w:b/>
                <w:bCs/>
                <w:color w:val="000000"/>
                <w:sz w:val="24"/>
                <w:szCs w:val="24"/>
                <w:highlight w:val="none"/>
              </w:rPr>
              <w:t>力目标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color w:val="000000"/>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color w:val="000000"/>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sz w:val="24"/>
                <w:szCs w:val="24"/>
                <w:highlight w:val="none"/>
                <w:lang w:val="en-US" w:eastAsia="zh-CN"/>
              </w:rPr>
              <w:t>课程思政育人目标：</w:t>
            </w:r>
            <w:r>
              <w:rPr>
                <w:rFonts w:hint="eastAsia" w:ascii="仿宋_GB2312" w:hAnsi="仿宋_GB2312" w:eastAsia="仿宋_GB2312" w:cs="仿宋_GB2312"/>
                <w:color w:val="000000"/>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sz w:val="24"/>
                <w:szCs w:val="24"/>
                <w:highlight w:val="none"/>
                <w:lang w:val="en-US" w:eastAsia="zh-CN"/>
              </w:rPr>
              <w:t>论文</w:t>
            </w:r>
            <w:r>
              <w:rPr>
                <w:rFonts w:hint="eastAsia" w:ascii="仿宋_GB2312" w:hAnsi="仿宋_GB2312" w:eastAsia="仿宋_GB2312" w:cs="仿宋_GB2312"/>
                <w:color w:val="000000"/>
                <w:sz w:val="24"/>
                <w:szCs w:val="24"/>
                <w:highlight w:val="none"/>
              </w:rPr>
              <w:t>考</w:t>
            </w:r>
            <w:r>
              <w:rPr>
                <w:rFonts w:hint="eastAsia" w:ascii="仿宋_GB2312" w:hAnsi="仿宋_GB2312" w:eastAsia="仿宋_GB2312" w:cs="仿宋_GB2312"/>
                <w:color w:val="000000"/>
                <w:sz w:val="24"/>
                <w:szCs w:val="24"/>
                <w:highlight w:val="none"/>
                <w:lang w:val="en-US" w:eastAsia="zh-CN"/>
              </w:rPr>
              <w:t>查</w:t>
            </w:r>
            <w:r>
              <w:rPr>
                <w:rFonts w:hint="eastAsia" w:ascii="仿宋_GB2312" w:hAnsi="仿宋_GB2312" w:eastAsia="仿宋_GB2312" w:cs="仿宋_GB2312"/>
                <w:color w:val="000000"/>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军事理论</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知识目标：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能力目标：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素质目标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kern w:val="2"/>
                <w:sz w:val="24"/>
                <w:szCs w:val="24"/>
                <w:highlight w:val="none"/>
                <w:shd w:val="clear" w:color="auto" w:fill="FFFFFF"/>
                <w:lang w:val="en-US" w:eastAsia="zh-CN" w:bidi="ar-SA"/>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课程思政育人目标：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p>
        </w:tc>
        <w:tc>
          <w:tcPr>
            <w:tcW w:w="2626"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78" w:lineRule="auto"/>
              <w:ind w:left="0" w:right="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zh-CN"/>
              </w:rPr>
              <w:t>军训</w:t>
            </w:r>
          </w:p>
        </w:tc>
        <w:tc>
          <w:tcPr>
            <w:tcW w:w="3928"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知识目标：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掌握基本的军事技能、完成基础军事训练。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能力目标：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素质目标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kern w:val="2"/>
                <w:sz w:val="24"/>
                <w:szCs w:val="24"/>
                <w:highlight w:val="none"/>
                <w:shd w:val="clear" w:color="auto" w:fill="FFFFFF"/>
                <w:lang w:val="en-US" w:eastAsia="zh-CN" w:bidi="ar-SA"/>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课程思政育人目标：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计算机基础</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知识目标：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能力目标：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素质目标：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课程思政育人目标：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高等数学</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知识目标：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能力目标：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素质目标：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课程思政育人目标：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大学英语</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知识目标：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能力目标：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素质目标：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i w:val="0"/>
                <w:iCs w:val="0"/>
                <w:caps w:val="0"/>
                <w:color w:val="000000"/>
                <w:spacing w:val="0"/>
                <w:kern w:val="0"/>
                <w:sz w:val="24"/>
                <w:szCs w:val="24"/>
                <w:highlight w:val="none"/>
                <w:shd w:val="clear" w:fill="FFFFFF"/>
                <w:lang w:val="en-US" w:eastAsia="zh-CN" w:bidi="ar"/>
              </w:rPr>
              <w:t>课程思政育人目标：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color w:val="000000"/>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color w:val="000000"/>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能力目标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color w:val="000000"/>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000000"/>
                <w:sz w:val="24"/>
                <w:szCs w:val="24"/>
                <w:highlight w:val="none"/>
              </w:rPr>
              <w:t>提升体育运动能力，提高职业体能水平。</w:t>
            </w:r>
            <w:r>
              <w:rPr>
                <w:rFonts w:hint="eastAsia" w:ascii="仿宋_GB2312" w:hAnsi="仿宋_GB2312" w:eastAsia="仿宋_GB2312" w:cs="仿宋_GB2312"/>
                <w:color w:val="000000"/>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lang w:eastAsia="zh-CN"/>
              </w:rPr>
            </w:pPr>
            <w:r>
              <w:rPr>
                <w:rFonts w:hint="eastAsia" w:ascii="仿宋_GB2312" w:hAnsi="仿宋_GB2312" w:eastAsia="仿宋_GB2312" w:cs="仿宋_GB2312"/>
                <w:b/>
                <w:bCs/>
                <w:color w:val="000000"/>
                <w:sz w:val="24"/>
                <w:szCs w:val="24"/>
                <w:highlight w:val="none"/>
              </w:rPr>
              <w:t>素质目标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shd w:val="clear" w:color="auto" w:fill="FFFFFF"/>
                <w:lang w:val="en-US" w:eastAsia="zh-CN" w:bidi="ar-SA"/>
              </w:rPr>
            </w:pPr>
            <w:r>
              <w:rPr>
                <w:rFonts w:hint="eastAsia" w:ascii="仿宋_GB2312" w:hAnsi="仿宋_GB2312" w:eastAsia="仿宋_GB2312" w:cs="仿宋_GB2312"/>
                <w:b/>
                <w:bCs/>
                <w:color w:val="000000"/>
                <w:sz w:val="24"/>
                <w:szCs w:val="24"/>
                <w:highlight w:val="none"/>
              </w:rPr>
              <w:t>课程思政育人目标</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基础体能训练提升身体素质；球类、田径等专项技能教学；特色项目如</w:t>
            </w:r>
            <w:r>
              <w:rPr>
                <w:rFonts w:hint="eastAsia" w:ascii="仿宋_GB2312" w:hAnsi="仿宋_GB2312" w:eastAsia="仿宋_GB2312" w:cs="仿宋_GB2312"/>
                <w:color w:val="000000"/>
                <w:sz w:val="24"/>
                <w:szCs w:val="24"/>
                <w:highlight w:val="none"/>
                <w:lang w:val="en-US" w:eastAsia="zh-CN"/>
              </w:rPr>
              <w:t>武术</w:t>
            </w:r>
            <w:r>
              <w:rPr>
                <w:rFonts w:hint="eastAsia" w:ascii="仿宋_GB2312" w:hAnsi="仿宋_GB2312" w:eastAsia="仿宋_GB2312" w:cs="仿宋_GB2312"/>
                <w:color w:val="000000"/>
                <w:sz w:val="24"/>
                <w:szCs w:val="24"/>
                <w:highlight w:val="none"/>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shd w:val="clear" w:color="auto" w:fill="FFFFFF"/>
                <w:lang w:val="en-US" w:eastAsia="zh-CN" w:bidi="ar-SA"/>
              </w:rPr>
            </w:pPr>
            <w:r>
              <w:rPr>
                <w:rFonts w:hint="eastAsia" w:ascii="仿宋_GB2312" w:hAnsi="仿宋_GB2312" w:eastAsia="仿宋_GB2312" w:cs="仿宋_GB2312"/>
                <w:color w:val="000000"/>
                <w:sz w:val="24"/>
                <w:szCs w:val="24"/>
                <w:highlight w:val="none"/>
                <w:lang w:val="en-US" w:eastAsia="zh-CN"/>
              </w:rPr>
              <w:t>教师需</w:t>
            </w:r>
            <w:r>
              <w:rPr>
                <w:rFonts w:hint="eastAsia" w:ascii="仿宋_GB2312" w:hAnsi="仿宋_GB2312" w:eastAsia="仿宋_GB2312" w:cs="仿宋_GB2312"/>
                <w:color w:val="000000"/>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color w:val="000000"/>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b/>
                <w:bCs/>
                <w:color w:val="000000"/>
                <w:sz w:val="24"/>
                <w:szCs w:val="24"/>
                <w:highlight w:val="none"/>
              </w:rPr>
              <w:t>能力目标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color w:val="000000"/>
                <w:sz w:val="24"/>
                <w:szCs w:val="24"/>
                <w:highlight w:val="none"/>
              </w:rPr>
              <w:t>培养职业规划与决策能力，提升简历制作与面试技巧</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提高学生求职应职技巧，</w:t>
            </w:r>
            <w:r>
              <w:rPr>
                <w:rFonts w:hint="eastAsia" w:ascii="仿宋_GB2312" w:hAnsi="仿宋_GB2312" w:eastAsia="仿宋_GB2312" w:cs="仿宋_GB2312"/>
                <w:color w:val="000000"/>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素质目标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b/>
                <w:bCs/>
                <w:color w:val="000000"/>
                <w:sz w:val="24"/>
                <w:szCs w:val="24"/>
                <w:highlight w:val="none"/>
              </w:rPr>
              <w:t>课程思政育人目标：</w:t>
            </w:r>
            <w:r>
              <w:rPr>
                <w:rFonts w:hint="eastAsia" w:ascii="仿宋_GB2312" w:hAnsi="仿宋_GB2312" w:eastAsia="仿宋_GB2312" w:cs="仿宋_GB2312"/>
                <w:b w:val="0"/>
                <w:bCs w:val="0"/>
                <w:color w:val="000000"/>
                <w:sz w:val="24"/>
                <w:szCs w:val="24"/>
                <w:highlight w:val="none"/>
              </w:rPr>
              <w:t>通过加强就业形势和政策的宣传教育，</w:t>
            </w:r>
            <w:r>
              <w:rPr>
                <w:rFonts w:hint="eastAsia" w:ascii="仿宋_GB2312" w:hAnsi="仿宋_GB2312" w:eastAsia="仿宋_GB2312" w:cs="仿宋_GB2312"/>
                <w:b w:val="0"/>
                <w:bCs w:val="0"/>
                <w:color w:val="000000"/>
                <w:kern w:val="2"/>
                <w:sz w:val="24"/>
                <w:szCs w:val="24"/>
                <w:highlight w:val="none"/>
                <w:lang w:val="en-US" w:eastAsia="zh-CN" w:bidi="ar-SA"/>
              </w:rPr>
              <w:t>引导广大学生深刻认识到党和国家</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“以人民为中心”</w:t>
            </w:r>
            <w:r>
              <w:rPr>
                <w:rFonts w:hint="eastAsia" w:ascii="仿宋_GB2312" w:hAnsi="仿宋_GB2312" w:eastAsia="仿宋_GB2312" w:cs="仿宋_GB2312"/>
                <w:b w:val="0"/>
                <w:bCs w:val="0"/>
                <w:color w:val="000000"/>
                <w:kern w:val="2"/>
                <w:sz w:val="24"/>
                <w:szCs w:val="24"/>
                <w:highlight w:val="none"/>
                <w:lang w:val="en-US" w:eastAsia="zh-CN" w:bidi="ar-SA"/>
              </w:rPr>
              <w:t>的发展理念，切实增强对国家保就业、稳增长工作的信心，充分感知国家在相关领域的坚实能力。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color w:val="000000"/>
                <w:sz w:val="24"/>
                <w:szCs w:val="24"/>
                <w:highlight w:val="none"/>
              </w:rPr>
              <w:t>掌握心理健康基本概念和标准，了解常见心理问题表现及成因。</w:t>
            </w:r>
            <w:r>
              <w:rPr>
                <w:rFonts w:hint="eastAsia" w:ascii="仿宋_GB2312" w:hAnsi="仿宋_GB2312" w:eastAsia="仿宋_GB2312" w:cs="仿宋_GB2312"/>
                <w:color w:val="000000"/>
                <w:sz w:val="24"/>
                <w:szCs w:val="24"/>
                <w:highlight w:val="none"/>
                <w:lang w:val="en-US" w:eastAsia="zh-CN"/>
              </w:rPr>
              <w:t>掌握</w:t>
            </w:r>
            <w:r>
              <w:rPr>
                <w:rFonts w:hint="eastAsia" w:ascii="仿宋_GB2312" w:hAnsi="仿宋_GB2312" w:eastAsia="仿宋_GB2312" w:cs="仿宋_GB2312"/>
                <w:color w:val="000000"/>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rPr>
              <w:t>能力目标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color w:val="000000"/>
                <w:sz w:val="24"/>
                <w:szCs w:val="24"/>
                <w:highlight w:val="none"/>
              </w:rPr>
              <w:t>培养</w:t>
            </w:r>
            <w:r>
              <w:rPr>
                <w:rFonts w:hint="eastAsia" w:ascii="仿宋_GB2312" w:hAnsi="仿宋_GB2312" w:eastAsia="仿宋_GB2312" w:cs="仿宋_GB2312"/>
                <w:color w:val="000000"/>
                <w:sz w:val="24"/>
                <w:szCs w:val="24"/>
                <w:highlight w:val="none"/>
                <w:lang w:val="en-US" w:eastAsia="zh-CN"/>
              </w:rPr>
              <w:t>学生</w:t>
            </w:r>
            <w:r>
              <w:rPr>
                <w:rFonts w:hint="eastAsia" w:ascii="仿宋_GB2312" w:hAnsi="仿宋_GB2312" w:eastAsia="仿宋_GB2312" w:cs="仿宋_GB2312"/>
                <w:color w:val="000000"/>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rPr>
              <w:t>素质目标</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color w:val="000000"/>
                <w:sz w:val="24"/>
                <w:szCs w:val="24"/>
                <w:highlight w:val="none"/>
              </w:rPr>
              <w:t>培养</w:t>
            </w:r>
            <w:r>
              <w:rPr>
                <w:rFonts w:hint="eastAsia" w:ascii="仿宋_GB2312" w:hAnsi="仿宋_GB2312" w:eastAsia="仿宋_GB2312" w:cs="仿宋_GB2312"/>
                <w:color w:val="000000"/>
                <w:sz w:val="24"/>
                <w:szCs w:val="24"/>
                <w:highlight w:val="none"/>
                <w:lang w:val="en-US" w:eastAsia="zh-CN"/>
              </w:rPr>
              <w:t>学生</w:t>
            </w:r>
            <w:r>
              <w:rPr>
                <w:rFonts w:hint="eastAsia" w:ascii="仿宋_GB2312" w:hAnsi="仿宋_GB2312" w:eastAsia="仿宋_GB2312" w:cs="仿宋_GB2312"/>
                <w:color w:val="000000"/>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rPr>
              <w:t>课程思政育人目标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shd w:val="clear" w:color="auto" w:fill="FFFFFF"/>
                <w:lang w:val="en-US" w:eastAsia="zh-CN" w:bidi="ar-SA"/>
              </w:rPr>
            </w:pPr>
            <w:r>
              <w:rPr>
                <w:rFonts w:hint="eastAsia" w:ascii="仿宋_GB2312" w:hAnsi="仿宋_GB2312" w:eastAsia="仿宋_GB2312" w:cs="仿宋_GB2312"/>
                <w:color w:val="000000"/>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shd w:val="clear" w:color="auto" w:fill="FFFFFF"/>
                <w:lang w:val="en-US" w:eastAsia="zh-CN" w:bidi="ar-SA"/>
              </w:rPr>
            </w:pPr>
            <w:r>
              <w:rPr>
                <w:rFonts w:hint="eastAsia" w:ascii="仿宋_GB2312" w:hAnsi="仿宋_GB2312" w:eastAsia="仿宋_GB2312" w:cs="仿宋_GB2312"/>
                <w:color w:val="000000"/>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b w:val="0"/>
                <w:bCs w:val="0"/>
                <w:color w:val="000000"/>
                <w:sz w:val="24"/>
                <w:szCs w:val="24"/>
                <w:highlight w:val="none"/>
              </w:rPr>
              <w:t>：</w:t>
            </w:r>
            <w:r>
              <w:rPr>
                <w:rFonts w:hint="eastAsia" w:ascii="仿宋_GB2312" w:hAnsi="仿宋_GB2312" w:eastAsia="仿宋_GB2312" w:cs="仿宋_GB2312"/>
                <w:color w:val="000000"/>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lang w:val="en-US" w:eastAsia="zh-CN"/>
              </w:rPr>
              <w:t>能力目标</w:t>
            </w:r>
            <w:r>
              <w:rPr>
                <w:rFonts w:hint="eastAsia" w:ascii="仿宋_GB2312" w:hAnsi="仿宋_GB2312" w:eastAsia="仿宋_GB2312" w:cs="仿宋_GB2312"/>
                <w:color w:val="000000"/>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素质目标：</w:t>
            </w:r>
            <w:r>
              <w:rPr>
                <w:rFonts w:hint="eastAsia" w:ascii="仿宋_GB2312" w:hAnsi="仿宋_GB2312" w:eastAsia="仿宋_GB2312" w:cs="仿宋_GB2312"/>
                <w:b w:val="0"/>
                <w:bCs w:val="0"/>
                <w:color w:val="000000"/>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rPr>
              <w:t>课程思政育人目标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000000"/>
                <w:sz w:val="24"/>
                <w:szCs w:val="24"/>
                <w:highlight w:val="none"/>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b w:val="0"/>
                <w:bCs w:val="0"/>
                <w:color w:val="000000"/>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000000"/>
                <w:sz w:val="24"/>
                <w:szCs w:val="24"/>
                <w:highlight w:val="none"/>
                <w:lang w:val="en-US" w:eastAsia="zh-CN"/>
              </w:rPr>
              <w:t xml:space="preserve">  </w:t>
            </w:r>
            <w:r>
              <w:rPr>
                <w:rFonts w:hint="eastAsia" w:ascii="仿宋_GB2312" w:hAnsi="仿宋_GB2312" w:eastAsia="仿宋_GB2312" w:cs="仿宋_GB2312"/>
                <w:b/>
                <w:bCs/>
                <w:color w:val="000000"/>
                <w:sz w:val="24"/>
                <w:szCs w:val="24"/>
                <w:highlight w:val="none"/>
              </w:rPr>
              <w:t>能力目标：</w:t>
            </w:r>
            <w:r>
              <w:rPr>
                <w:rFonts w:hint="eastAsia" w:ascii="仿宋_GB2312" w:hAnsi="仿宋_GB2312" w:eastAsia="仿宋_GB2312" w:cs="仿宋_GB2312"/>
                <w:b w:val="0"/>
                <w:bCs w:val="0"/>
                <w:color w:val="000000"/>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素质</w:t>
            </w:r>
            <w:r>
              <w:rPr>
                <w:rFonts w:hint="eastAsia" w:ascii="仿宋_GB2312" w:hAnsi="仿宋_GB2312" w:eastAsia="仿宋_GB2312" w:cs="仿宋_GB2312"/>
                <w:b/>
                <w:bCs/>
                <w:color w:val="000000"/>
                <w:sz w:val="24"/>
                <w:szCs w:val="24"/>
                <w:highlight w:val="none"/>
              </w:rPr>
              <w:t>目标</w:t>
            </w:r>
            <w:r>
              <w:rPr>
                <w:rFonts w:hint="eastAsia" w:ascii="仿宋_GB2312" w:hAnsi="仿宋_GB2312" w:eastAsia="仿宋_GB2312" w:cs="仿宋_GB2312"/>
                <w:b w:val="0"/>
                <w:bCs w:val="0"/>
                <w:color w:val="000000"/>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sz w:val="24"/>
                <w:szCs w:val="24"/>
                <w:highlight w:val="none"/>
                <w:lang w:val="en-US" w:eastAsia="zh-CN"/>
              </w:rPr>
              <w:t>自觉</w:t>
            </w:r>
            <w:r>
              <w:rPr>
                <w:rFonts w:hint="eastAsia" w:ascii="仿宋_GB2312" w:hAnsi="仿宋_GB2312" w:eastAsia="仿宋_GB2312" w:cs="仿宋_GB2312"/>
                <w:b w:val="0"/>
                <w:bCs w:val="0"/>
                <w:color w:val="000000"/>
                <w:sz w:val="24"/>
                <w:szCs w:val="24"/>
                <w:highlight w:val="none"/>
                <w:lang w:eastAsia="zh-CN"/>
              </w:rPr>
              <w:t>增强“四个意识”、坚定“四个自信”、</w:t>
            </w:r>
            <w:r>
              <w:rPr>
                <w:rFonts w:hint="eastAsia" w:ascii="仿宋_GB2312" w:hAnsi="仿宋_GB2312" w:eastAsia="仿宋_GB2312" w:cs="仿宋_GB2312"/>
                <w:b w:val="0"/>
                <w:bCs w:val="0"/>
                <w:color w:val="000000"/>
                <w:sz w:val="24"/>
                <w:szCs w:val="24"/>
                <w:highlight w:val="none"/>
              </w:rPr>
              <w:t>做到“两个维护”，</w:t>
            </w:r>
            <w:r>
              <w:rPr>
                <w:rFonts w:hint="eastAsia" w:ascii="仿宋_GB2312" w:hAnsi="仿宋_GB2312" w:eastAsia="仿宋_GB2312" w:cs="仿宋_GB2312"/>
                <w:b w:val="0"/>
                <w:bCs w:val="0"/>
                <w:color w:val="000000"/>
                <w:sz w:val="24"/>
                <w:szCs w:val="24"/>
                <w:highlight w:val="none"/>
                <w:lang w:val="en-US" w:eastAsia="zh-CN"/>
              </w:rPr>
              <w:t>努力学习</w:t>
            </w:r>
            <w:r>
              <w:rPr>
                <w:rFonts w:hint="eastAsia" w:ascii="仿宋_GB2312" w:hAnsi="仿宋_GB2312" w:eastAsia="仿宋_GB2312" w:cs="仿宋_GB2312"/>
                <w:i w:val="0"/>
                <w:iCs w:val="0"/>
                <w:caps w:val="0"/>
                <w:color w:val="000000"/>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000000"/>
                <w:spacing w:val="0"/>
                <w:sz w:val="24"/>
                <w:szCs w:val="24"/>
                <w:highlight w:val="none"/>
                <w:shd w:val="clear" w:fill="FFFFFF"/>
                <w:lang w:eastAsia="zh-CN"/>
              </w:rPr>
              <w:t>，</w:t>
            </w:r>
            <w:r>
              <w:rPr>
                <w:rFonts w:hint="eastAsia" w:ascii="仿宋_GB2312" w:hAnsi="仿宋_GB2312" w:eastAsia="仿宋_GB2312" w:cs="仿宋_GB2312"/>
                <w:b w:val="0"/>
                <w:bCs w:val="0"/>
                <w:color w:val="000000"/>
                <w:sz w:val="24"/>
                <w:szCs w:val="24"/>
                <w:highlight w:val="none"/>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课程</w:t>
            </w:r>
            <w:r>
              <w:rPr>
                <w:rFonts w:hint="eastAsia" w:ascii="仿宋_GB2312" w:hAnsi="仿宋_GB2312" w:eastAsia="仿宋_GB2312" w:cs="仿宋_GB2312"/>
                <w:b w:val="0"/>
                <w:bCs w:val="0"/>
                <w:color w:val="000000"/>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p>
        </w:tc>
        <w:tc>
          <w:tcPr>
            <w:tcW w:w="2626" w:type="dxa"/>
            <w:shd w:val="clear" w:color="auto" w:fill="auto"/>
            <w:vAlign w:val="top"/>
          </w:tcPr>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val="0"/>
                <w:color w:val="000000"/>
                <w:kern w:val="2"/>
                <w:sz w:val="24"/>
                <w:szCs w:val="24"/>
                <w:highlight w:val="none"/>
                <w:lang w:val="en-US" w:eastAsia="zh-CN" w:bidi="ar-SA"/>
              </w:rPr>
            </w:pPr>
            <w:r>
              <w:rPr>
                <w:rFonts w:hint="eastAsia" w:ascii="仿宋_GB2312" w:hAnsi="仿宋_GB2312" w:eastAsia="仿宋_GB2312" w:cs="仿宋_GB2312"/>
                <w:b w:val="0"/>
                <w:bCs w:val="0"/>
                <w:color w:val="000000"/>
                <w:kern w:val="0"/>
                <w:sz w:val="24"/>
                <w:szCs w:val="24"/>
                <w:highlight w:val="none"/>
                <w:lang w:val="en-US" w:eastAsia="zh-CN" w:bidi="ar"/>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kern w:val="2"/>
                <w:sz w:val="24"/>
                <w:szCs w:val="24"/>
                <w:highlight w:val="none"/>
                <w:lang w:val="en-US" w:eastAsia="zh-CN" w:bidi="ar-SA"/>
              </w:rPr>
              <w:t>教学以马</w:t>
            </w:r>
            <w:r>
              <w:rPr>
                <w:rFonts w:hint="eastAsia" w:ascii="仿宋_GB2312" w:hAnsi="仿宋_GB2312" w:eastAsia="仿宋_GB2312" w:cs="仿宋_GB2312"/>
                <w:b w:val="0"/>
                <w:bCs w:val="0"/>
                <w:color w:val="000000"/>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b w:val="0"/>
                <w:bCs w:val="0"/>
                <w:color w:val="000000"/>
                <w:sz w:val="24"/>
                <w:szCs w:val="24"/>
                <w:highlight w:val="none"/>
              </w:rPr>
              <w:t>熟悉创新思维的内涵及其基本训练方法；</w:t>
            </w:r>
            <w:r>
              <w:rPr>
                <w:rFonts w:hint="eastAsia" w:ascii="仿宋_GB2312" w:hAnsi="仿宋_GB2312" w:eastAsia="仿宋_GB2312" w:cs="仿宋_GB2312"/>
                <w:color w:val="000000"/>
                <w:sz w:val="24"/>
                <w:szCs w:val="24"/>
                <w:highlight w:val="none"/>
                <w:lang w:val="en-US" w:eastAsia="zh-CN"/>
              </w:rPr>
              <w:t>了解商业模式设计要点，</w:t>
            </w:r>
            <w:r>
              <w:rPr>
                <w:rFonts w:hint="eastAsia" w:ascii="仿宋_GB2312" w:hAnsi="仿宋_GB2312" w:eastAsia="仿宋_GB2312" w:cs="仿宋_GB2312"/>
                <w:b w:val="0"/>
                <w:bCs w:val="0"/>
                <w:color w:val="000000"/>
                <w:sz w:val="24"/>
                <w:szCs w:val="24"/>
                <w:highlight w:val="none"/>
              </w:rPr>
              <w:t>掌握常用的创新方法；掌握保护创新成果的方法</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能力目标：</w:t>
            </w:r>
            <w:r>
              <w:rPr>
                <w:rFonts w:hint="eastAsia" w:ascii="仿宋_GB2312" w:hAnsi="仿宋_GB2312" w:eastAsia="仿宋_GB2312" w:cs="仿宋_GB2312"/>
                <w:b w:val="0"/>
                <w:bCs w:val="0"/>
                <w:color w:val="000000"/>
                <w:sz w:val="24"/>
                <w:szCs w:val="24"/>
                <w:highlight w:val="none"/>
              </w:rPr>
              <w:t xml:space="preserve"> </w:t>
            </w:r>
            <w:r>
              <w:rPr>
                <w:rFonts w:hint="eastAsia" w:ascii="仿宋_GB2312" w:hAnsi="仿宋_GB2312" w:eastAsia="仿宋_GB2312" w:cs="仿宋_GB2312"/>
                <w:color w:val="000000"/>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素质目标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color w:val="000000"/>
                <w:sz w:val="24"/>
                <w:szCs w:val="24"/>
                <w:highlight w:val="none"/>
              </w:rPr>
              <w:t>课程思政育人目标：</w:t>
            </w:r>
            <w:r>
              <w:rPr>
                <w:rFonts w:hint="eastAsia" w:ascii="仿宋_GB2312" w:hAnsi="仿宋_GB2312" w:eastAsia="仿宋_GB2312" w:cs="仿宋_GB2312"/>
                <w:b w:val="0"/>
                <w:bCs w:val="0"/>
                <w:color w:val="000000"/>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sz w:val="24"/>
                <w:szCs w:val="24"/>
                <w:highlight w:val="none"/>
                <w:lang w:val="en-US" w:eastAsia="zh-CN"/>
              </w:rPr>
              <w:t>发展</w:t>
            </w:r>
            <w:r>
              <w:rPr>
                <w:rFonts w:hint="eastAsia" w:ascii="仿宋_GB2312" w:hAnsi="仿宋_GB2312" w:eastAsia="仿宋_GB2312" w:cs="仿宋_GB2312"/>
                <w:b w:val="0"/>
                <w:bCs w:val="0"/>
                <w:color w:val="000000"/>
                <w:sz w:val="24"/>
                <w:szCs w:val="24"/>
                <w:highlight w:val="none"/>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能力目标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b w:val="0"/>
                <w:bCs w:val="0"/>
                <w:color w:val="000000"/>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b w:val="0"/>
                <w:bCs w:val="0"/>
                <w:color w:val="000000"/>
                <w:sz w:val="24"/>
                <w:szCs w:val="24"/>
                <w:highlight w:val="none"/>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课程主要的知识模块</w:t>
            </w:r>
            <w:r>
              <w:rPr>
                <w:rFonts w:hint="eastAsia" w:ascii="仿宋_GB2312" w:hAnsi="仿宋_GB2312" w:eastAsia="仿宋_GB2312" w:cs="仿宋_GB2312"/>
                <w:color w:val="000000"/>
                <w:sz w:val="24"/>
                <w:szCs w:val="24"/>
                <w:highlight w:val="none"/>
                <w:lang w:val="en-US" w:eastAsia="zh-CN"/>
              </w:rPr>
              <w:t>包括</w:t>
            </w:r>
            <w:r>
              <w:rPr>
                <w:rFonts w:hint="eastAsia" w:ascii="仿宋_GB2312" w:hAnsi="仿宋_GB2312" w:eastAsia="仿宋_GB2312" w:cs="仿宋_GB2312"/>
                <w:color w:val="000000"/>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000000"/>
                <w:sz w:val="24"/>
                <w:szCs w:val="24"/>
                <w:highlight w:val="none"/>
                <w:lang w:val="en-US" w:eastAsia="zh-CN"/>
              </w:rPr>
              <w:t xml:space="preserve"> </w:t>
            </w:r>
            <w:r>
              <w:rPr>
                <w:rFonts w:hint="eastAsia" w:ascii="仿宋_GB2312" w:hAnsi="仿宋_GB2312" w:eastAsia="仿宋_GB2312" w:cs="仿宋_GB2312"/>
                <w:color w:val="000000"/>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sz w:val="24"/>
                <w:szCs w:val="24"/>
                <w:highlight w:val="none"/>
                <w:lang w:val="en-US" w:eastAsia="zh-CN"/>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知识目标：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000000"/>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pPr>
            <w:r>
              <w:rPr>
                <w:rFonts w:hint="eastAsia" w:ascii="仿宋_GB2312" w:hAnsi="仿宋_GB2312" w:eastAsia="仿宋_GB2312" w:cs="仿宋_GB2312"/>
                <w:b/>
                <w:bCs/>
                <w:color w:val="000000"/>
                <w:sz w:val="24"/>
                <w:szCs w:val="24"/>
                <w:highlight w:val="none"/>
                <w:lang w:val="en-US" w:eastAsia="zh-CN"/>
              </w:rPr>
              <w:t>能力目标：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000000"/>
                <w:sz w:val="24"/>
                <w:szCs w:val="24"/>
                <w:highlight w:val="none"/>
                <w:lang w:val="en-US" w:eastAsia="zh-CN"/>
              </w:rPr>
              <w:t>培养图案设计与剪刀运用能力，掌握对称、连续等基础剪纸技法。</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color w:val="000000"/>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color w:val="000000"/>
                <w:sz w:val="24"/>
                <w:szCs w:val="24"/>
                <w:highlight w:val="none"/>
                <w:lang w:val="en-US" w:eastAsia="zh-CN"/>
              </w:rPr>
              <w:t>课程思政育人目标：</w:t>
            </w:r>
            <w:r>
              <w:rPr>
                <w:rFonts w:hint="eastAsia" w:ascii="仿宋_GB2312" w:hAnsi="仿宋_GB2312" w:eastAsia="仿宋_GB2312" w:cs="仿宋_GB2312"/>
                <w:color w:val="000000"/>
                <w:sz w:val="24"/>
                <w:szCs w:val="24"/>
                <w:highlight w:val="none"/>
                <w:lang w:val="en-US" w:eastAsia="zh-CN"/>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知识目标：</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能力目标：</w:t>
            </w:r>
            <w:r>
              <w:rPr>
                <w:rFonts w:hint="eastAsia" w:ascii="仿宋_GB2312" w:hAnsi="仿宋_GB2312" w:eastAsia="仿宋_GB2312" w:cs="仿宋_GB2312"/>
                <w:color w:val="000000"/>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color w:val="000000"/>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课程思政育人目标：</w:t>
            </w:r>
            <w:r>
              <w:rPr>
                <w:rFonts w:hint="eastAsia" w:ascii="仿宋_GB2312" w:hAnsi="仿宋_GB2312" w:eastAsia="仿宋_GB2312" w:cs="仿宋_GB2312"/>
                <w:color w:val="000000"/>
                <w:sz w:val="24"/>
                <w:szCs w:val="24"/>
                <w:highlight w:val="none"/>
                <w:lang w:val="en-US" w:eastAsia="zh-CN"/>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b/>
                <w:bCs/>
                <w:color w:val="000000"/>
                <w:sz w:val="24"/>
                <w:szCs w:val="24"/>
                <w:highlight w:val="none"/>
                <w:lang w:val="en-US" w:eastAsia="zh-CN"/>
              </w:rPr>
              <w:t>知识目标：</w:t>
            </w:r>
            <w:r>
              <w:rPr>
                <w:rFonts w:hint="eastAsia" w:ascii="仿宋_GB2312" w:hAnsi="仿宋_GB2312" w:eastAsia="仿宋_GB2312" w:cs="仿宋_GB2312"/>
                <w:color w:val="000000"/>
                <w:sz w:val="24"/>
                <w:szCs w:val="24"/>
                <w:highlight w:val="none"/>
              </w:rPr>
              <w:t>把握中国共产党历史发展脉络，了解中国共产党百年奋</w:t>
            </w:r>
            <w:r>
              <w:rPr>
                <w:rFonts w:hint="eastAsia" w:ascii="仿宋_GB2312" w:hAnsi="仿宋_GB2312" w:eastAsia="仿宋_GB2312" w:cs="仿宋_GB2312"/>
                <w:color w:val="000000"/>
                <w:sz w:val="24"/>
                <w:szCs w:val="24"/>
                <w:highlight w:val="none"/>
                <w:lang w:eastAsia="zh-CN"/>
              </w:rPr>
              <w:t>斗的</w:t>
            </w:r>
            <w:r>
              <w:rPr>
                <w:rFonts w:hint="eastAsia" w:ascii="仿宋_GB2312" w:hAnsi="仿宋_GB2312" w:eastAsia="仿宋_GB2312" w:cs="仿宋_GB2312"/>
                <w:color w:val="000000"/>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能力目标：</w:t>
            </w:r>
            <w:r>
              <w:rPr>
                <w:rFonts w:hint="eastAsia" w:ascii="仿宋_GB2312" w:hAnsi="仿宋_GB2312" w:eastAsia="仿宋_GB2312" w:cs="仿宋_GB2312"/>
                <w:color w:val="000000"/>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color w:val="000000"/>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课程内容包括中国共产党的创建和投身大革命</w:t>
            </w:r>
            <w:r>
              <w:rPr>
                <w:rFonts w:hint="eastAsia" w:ascii="仿宋_GB2312" w:hAnsi="仿宋_GB2312" w:eastAsia="仿宋_GB2312" w:cs="仿宋_GB2312"/>
                <w:color w:val="000000"/>
                <w:sz w:val="24"/>
                <w:szCs w:val="24"/>
                <w:highlight w:val="none"/>
                <w:lang w:val="en-US" w:eastAsia="zh-CN"/>
              </w:rPr>
              <w:t>的洪流</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掀起土地革命</w:t>
            </w:r>
            <w:r>
              <w:rPr>
                <w:rFonts w:hint="eastAsia" w:ascii="仿宋_GB2312" w:hAnsi="仿宋_GB2312" w:eastAsia="仿宋_GB2312" w:cs="仿宋_GB2312"/>
                <w:color w:val="000000"/>
                <w:sz w:val="24"/>
                <w:szCs w:val="24"/>
                <w:highlight w:val="none"/>
                <w:lang w:val="en-US" w:eastAsia="zh-CN"/>
              </w:rPr>
              <w:t>的</w:t>
            </w:r>
            <w:r>
              <w:rPr>
                <w:rFonts w:hint="eastAsia" w:ascii="仿宋_GB2312" w:hAnsi="仿宋_GB2312" w:eastAsia="仿宋_GB2312" w:cs="仿宋_GB2312"/>
                <w:color w:val="000000"/>
                <w:sz w:val="24"/>
                <w:szCs w:val="24"/>
                <w:highlight w:val="none"/>
              </w:rPr>
              <w:t>风暴</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全民族抗日战争的中流砥柱</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夺取新民主主义革命的全国性胜利</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中华人民共和国的成立和社会主义制度的建立</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社会主义建设的探索和曲折发展</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伟大</w:t>
            </w:r>
            <w:r>
              <w:rPr>
                <w:rFonts w:hint="eastAsia" w:ascii="仿宋_GB2312" w:hAnsi="仿宋_GB2312" w:eastAsia="仿宋_GB2312" w:cs="仿宋_GB2312"/>
                <w:color w:val="000000"/>
                <w:sz w:val="24"/>
                <w:szCs w:val="24"/>
                <w:highlight w:val="none"/>
                <w:lang w:val="en-US" w:eastAsia="zh-CN"/>
              </w:rPr>
              <w:t>历史</w:t>
            </w:r>
            <w:r>
              <w:rPr>
                <w:rFonts w:hint="eastAsia" w:ascii="仿宋_GB2312" w:hAnsi="仿宋_GB2312" w:eastAsia="仿宋_GB2312" w:cs="仿宋_GB2312"/>
                <w:color w:val="000000"/>
                <w:sz w:val="24"/>
                <w:szCs w:val="24"/>
                <w:highlight w:val="none"/>
              </w:rPr>
              <w:t>转折和中国特色社会主义的开创</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把中国特色社会主义全面推向21世纪</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在新</w:t>
            </w:r>
            <w:r>
              <w:rPr>
                <w:rFonts w:hint="eastAsia" w:ascii="仿宋_GB2312" w:hAnsi="仿宋_GB2312" w:eastAsia="仿宋_GB2312" w:cs="仿宋_GB2312"/>
                <w:color w:val="000000"/>
                <w:sz w:val="24"/>
                <w:szCs w:val="24"/>
                <w:highlight w:val="none"/>
                <w:lang w:val="en-US" w:eastAsia="zh-CN"/>
              </w:rPr>
              <w:t>的</w:t>
            </w:r>
            <w:r>
              <w:rPr>
                <w:rFonts w:hint="eastAsia" w:ascii="仿宋_GB2312" w:hAnsi="仿宋_GB2312" w:eastAsia="仿宋_GB2312" w:cs="仿宋_GB2312"/>
                <w:color w:val="000000"/>
                <w:sz w:val="24"/>
                <w:szCs w:val="24"/>
                <w:highlight w:val="none"/>
              </w:rPr>
              <w:t>形势下坚持和发展中国特色社会主义</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中国特色社会主义进入新时代</w:t>
            </w:r>
            <w:r>
              <w:rPr>
                <w:rFonts w:hint="eastAsia" w:ascii="仿宋_GB2312" w:hAnsi="仿宋_GB2312" w:eastAsia="仿宋_GB2312" w:cs="仿宋_GB2312"/>
                <w:color w:val="000000"/>
                <w:sz w:val="24"/>
                <w:szCs w:val="24"/>
                <w:highlight w:val="none"/>
                <w:lang w:val="en-US" w:eastAsia="zh-CN"/>
              </w:rPr>
              <w:t>等</w:t>
            </w:r>
            <w:r>
              <w:rPr>
                <w:rFonts w:hint="eastAsia" w:ascii="仿宋_GB2312" w:hAnsi="仿宋_GB2312" w:eastAsia="仿宋_GB2312" w:cs="仿宋_GB2312"/>
                <w:color w:val="000000"/>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000000"/>
                <w:sz w:val="24"/>
                <w:szCs w:val="24"/>
                <w:highlight w:val="none"/>
                <w:lang w:eastAsia="zh-CN"/>
              </w:rPr>
              <w:t>学史明理、学史增信、学史崇德、学史力行</w:t>
            </w:r>
            <w:r>
              <w:rPr>
                <w:rFonts w:hint="eastAsia" w:ascii="仿宋_GB2312" w:hAnsi="仿宋_GB2312" w:eastAsia="仿宋_GB2312" w:cs="仿宋_GB2312"/>
                <w:color w:val="000000"/>
                <w:sz w:val="24"/>
                <w:szCs w:val="24"/>
                <w:highlight w:val="none"/>
              </w:rPr>
              <w:t>”，感悟党的伟大，做“青春心向党</w:t>
            </w:r>
            <w:r>
              <w:rPr>
                <w:rFonts w:hint="eastAsia" w:ascii="仿宋_GB2312" w:hAnsi="仿宋_GB2312" w:eastAsia="仿宋_GB2312" w:cs="仿宋_GB2312"/>
                <w:color w:val="000000"/>
                <w:sz w:val="24"/>
                <w:szCs w:val="24"/>
                <w:highlight w:val="none"/>
                <w:lang w:val="en-US" w:eastAsia="zh-CN"/>
              </w:rPr>
              <w:t xml:space="preserve"> </w:t>
            </w:r>
            <w:r>
              <w:rPr>
                <w:rFonts w:hint="eastAsia" w:ascii="仿宋_GB2312" w:hAnsi="仿宋_GB2312" w:eastAsia="仿宋_GB2312" w:cs="仿宋_GB2312"/>
                <w:color w:val="000000"/>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知识目标：</w:t>
            </w:r>
            <w:r>
              <w:rPr>
                <w:rFonts w:hint="eastAsia" w:ascii="仿宋_GB2312" w:hAnsi="仿宋_GB2312" w:eastAsia="仿宋_GB2312" w:cs="仿宋_GB2312"/>
                <w:i w:val="0"/>
                <w:iCs w:val="0"/>
                <w:caps w:val="0"/>
                <w:color w:val="000000"/>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spacing w:val="0"/>
                <w:sz w:val="24"/>
                <w:szCs w:val="24"/>
                <w:highlight w:val="none"/>
              </w:rPr>
            </w:pPr>
            <w:r>
              <w:rPr>
                <w:rFonts w:hint="eastAsia" w:ascii="仿宋_GB2312" w:hAnsi="仿宋_GB2312" w:eastAsia="仿宋_GB2312" w:cs="仿宋_GB2312"/>
                <w:b/>
                <w:bCs/>
                <w:color w:val="000000"/>
                <w:sz w:val="24"/>
                <w:szCs w:val="24"/>
                <w:highlight w:val="none"/>
                <w:lang w:val="en-US" w:eastAsia="zh-CN"/>
              </w:rPr>
              <w:t>能力目标：</w:t>
            </w:r>
            <w:r>
              <w:rPr>
                <w:rFonts w:hint="eastAsia" w:ascii="仿宋_GB2312" w:hAnsi="仿宋_GB2312" w:eastAsia="仿宋_GB2312" w:cs="仿宋_GB2312"/>
                <w:i w:val="0"/>
                <w:iCs w:val="0"/>
                <w:caps w:val="0"/>
                <w:color w:val="000000"/>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i w:val="0"/>
                <w:iCs w:val="0"/>
                <w:caps w:val="0"/>
                <w:color w:val="000000"/>
                <w:spacing w:val="0"/>
                <w:sz w:val="24"/>
                <w:szCs w:val="24"/>
                <w:highlight w:val="none"/>
                <w:lang w:val="en-US" w:eastAsia="zh-CN"/>
              </w:rPr>
              <w:t>素质目标：</w:t>
            </w:r>
            <w:r>
              <w:rPr>
                <w:rFonts w:hint="eastAsia" w:ascii="仿宋_GB2312" w:hAnsi="仿宋_GB2312" w:eastAsia="仿宋_GB2312" w:cs="仿宋_GB2312"/>
                <w:i w:val="0"/>
                <w:iCs w:val="0"/>
                <w:caps w:val="0"/>
                <w:color w:val="000000"/>
                <w:spacing w:val="0"/>
                <w:sz w:val="24"/>
                <w:szCs w:val="24"/>
                <w:highlight w:val="none"/>
                <w:lang w:val="en-US" w:eastAsia="zh-CN"/>
              </w:rPr>
              <w:t>引导学生</w:t>
            </w:r>
            <w:r>
              <w:rPr>
                <w:rFonts w:hint="eastAsia" w:ascii="仿宋_GB2312" w:hAnsi="仿宋_GB2312" w:eastAsia="仿宋_GB2312" w:cs="仿宋_GB2312"/>
                <w:i w:val="0"/>
                <w:iCs w:val="0"/>
                <w:caps w:val="0"/>
                <w:color w:val="000000"/>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zh-CN"/>
              </w:rPr>
              <w:t>课程主要包括：</w:t>
            </w:r>
            <w:r>
              <w:rPr>
                <w:rFonts w:hint="eastAsia" w:ascii="仿宋_GB2312" w:hAnsi="仿宋_GB2312" w:eastAsia="仿宋_GB2312" w:cs="仿宋_GB2312"/>
                <w:color w:val="000000"/>
                <w:sz w:val="24"/>
                <w:szCs w:val="24"/>
                <w:highlight w:val="none"/>
              </w:rPr>
              <w:t>新中国成立和社会主义基本制度的确立</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社会主义建设的艰辛探索和曲折发展</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改革开放与中国特色社会主义的开创</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建立社会主义市场经济体制和把中国特色社会主义全面推向21世纪</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全面建设</w:t>
            </w:r>
            <w:r>
              <w:rPr>
                <w:rFonts w:hint="eastAsia" w:ascii="仿宋_GB2312" w:hAnsi="仿宋_GB2312" w:eastAsia="仿宋_GB2312" w:cs="仿宋_GB2312"/>
                <w:color w:val="000000"/>
                <w:sz w:val="24"/>
                <w:szCs w:val="24"/>
                <w:highlight w:val="none"/>
              </w:rPr>
              <w:t>小康社会与新的形势下坚持和发展中国特色社会主义</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中国特色社会主义进入新时代和实现中华民族伟大复兴的中国梦</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color w:val="000000"/>
                <w:kern w:val="2"/>
                <w:sz w:val="24"/>
                <w:szCs w:val="24"/>
                <w:highlight w:val="none"/>
                <w:lang w:val="en-US" w:eastAsia="zh-CN" w:bidi="ar-SA"/>
              </w:rPr>
              <w:t>知识目标</w:t>
            </w:r>
            <w:r>
              <w:rPr>
                <w:rFonts w:hint="eastAsia" w:ascii="仿宋_GB2312" w:hAnsi="仿宋_GB2312" w:eastAsia="仿宋_GB2312" w:cs="仿宋_GB2312"/>
                <w:color w:val="000000"/>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color w:val="000000"/>
                <w:kern w:val="2"/>
                <w:sz w:val="24"/>
                <w:szCs w:val="24"/>
                <w:highlight w:val="none"/>
                <w:lang w:val="en-US" w:eastAsia="zh-CN" w:bidi="ar-SA"/>
              </w:rPr>
              <w:t>能力目标：</w:t>
            </w:r>
            <w:r>
              <w:rPr>
                <w:rFonts w:hint="eastAsia" w:ascii="仿宋_GB2312" w:hAnsi="仿宋_GB2312" w:eastAsia="仿宋_GB2312" w:cs="仿宋_GB2312"/>
                <w:color w:val="000000"/>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color w:val="000000"/>
                <w:kern w:val="2"/>
                <w:sz w:val="24"/>
                <w:szCs w:val="24"/>
                <w:highlight w:val="none"/>
                <w:lang w:val="en-US" w:eastAsia="zh-CN" w:bidi="ar-SA"/>
              </w:rPr>
              <w:t>素质目标：</w:t>
            </w:r>
            <w:r>
              <w:rPr>
                <w:rFonts w:hint="eastAsia" w:ascii="仿宋_GB2312" w:hAnsi="仿宋_GB2312" w:eastAsia="仿宋_GB2312" w:cs="仿宋_GB2312"/>
                <w:color w:val="000000"/>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课程内容涵盖</w:t>
            </w:r>
            <w:r>
              <w:rPr>
                <w:rFonts w:hint="eastAsia" w:ascii="仿宋_GB2312" w:hAnsi="仿宋_GB2312" w:eastAsia="仿宋_GB2312" w:cs="仿宋_GB2312"/>
                <w:color w:val="000000"/>
                <w:sz w:val="24"/>
                <w:szCs w:val="24"/>
                <w:highlight w:val="none"/>
              </w:rPr>
              <w:t>改革开放拉开大幕</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改革开放全面展开</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改革开放开创新局面</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改革开放在科学发展中深化</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改革开放进入新时代</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坚定不移推进全面深化改革</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坚定不移扩大高水平对外开放</w:t>
            </w:r>
            <w:r>
              <w:rPr>
                <w:rFonts w:hint="eastAsia" w:ascii="仿宋_GB2312" w:hAnsi="仿宋_GB2312" w:eastAsia="仿宋_GB2312" w:cs="仿宋_GB2312"/>
                <w:color w:val="000000"/>
                <w:sz w:val="24"/>
                <w:szCs w:val="24"/>
                <w:highlight w:val="none"/>
                <w:lang w:val="en-US" w:eastAsia="zh-CN"/>
              </w:rPr>
              <w:t>等。</w:t>
            </w:r>
            <w:r>
              <w:rPr>
                <w:rFonts w:hint="eastAsia" w:ascii="仿宋_GB2312" w:hAnsi="仿宋_GB2312" w:eastAsia="仿宋_GB2312" w:cs="仿宋_GB2312"/>
                <w:color w:val="000000"/>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通过专题讲授法、情境通过专题讲授法、情境教学法</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案例教学法等</w:t>
            </w:r>
            <w:r>
              <w:rPr>
                <w:rFonts w:hint="eastAsia" w:ascii="仿宋_GB2312" w:hAnsi="仿宋_GB2312" w:eastAsia="仿宋_GB2312" w:cs="仿宋_GB2312"/>
                <w:color w:val="000000"/>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000000"/>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b/>
                <w:bCs/>
                <w:color w:val="000000"/>
                <w:sz w:val="24"/>
                <w:szCs w:val="24"/>
                <w:highlight w:val="none"/>
                <w:lang w:val="en-US" w:eastAsia="zh-CN"/>
              </w:rPr>
              <w:t>知识目标：</w:t>
            </w:r>
            <w:r>
              <w:rPr>
                <w:rFonts w:hint="eastAsia" w:ascii="仿宋_GB2312" w:hAnsi="仿宋_GB2312" w:eastAsia="仿宋_GB2312" w:cs="仿宋_GB2312"/>
                <w:color w:val="000000"/>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能力目标</w:t>
            </w:r>
            <w:r>
              <w:rPr>
                <w:rFonts w:hint="eastAsia" w:ascii="仿宋_GB2312" w:hAnsi="仿宋_GB2312" w:eastAsia="仿宋_GB2312" w:cs="仿宋_GB2312"/>
                <w:color w:val="000000"/>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color w:val="000000"/>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sz w:val="24"/>
                <w:szCs w:val="24"/>
                <w:highlight w:val="none"/>
                <w:lang w:val="en-US" w:eastAsia="zh-CN"/>
              </w:rPr>
              <w:t>能激发学生的学习情趣</w:t>
            </w:r>
            <w:r>
              <w:rPr>
                <w:rFonts w:hint="eastAsia" w:ascii="仿宋_GB2312" w:hAnsi="仿宋_GB2312" w:eastAsia="仿宋_GB2312" w:cs="仿宋_GB2312"/>
                <w:color w:val="000000"/>
                <w:sz w:val="24"/>
                <w:szCs w:val="24"/>
                <w:highlight w:val="none"/>
              </w:rPr>
              <w:t>，又有利于提高学生的认知、动手和研究能力，进而</w:t>
            </w:r>
            <w:r>
              <w:rPr>
                <w:rFonts w:hint="eastAsia" w:ascii="仿宋_GB2312" w:hAnsi="仿宋_GB2312" w:eastAsia="仿宋_GB2312" w:cs="仿宋_GB2312"/>
                <w:color w:val="000000"/>
                <w:sz w:val="24"/>
                <w:szCs w:val="24"/>
                <w:highlight w:val="none"/>
                <w:lang w:eastAsia="zh-CN"/>
              </w:rPr>
              <w:t>增强</w:t>
            </w:r>
            <w:r>
              <w:rPr>
                <w:rFonts w:hint="eastAsia" w:ascii="仿宋_GB2312" w:hAnsi="仿宋_GB2312" w:eastAsia="仿宋_GB2312" w:cs="仿宋_GB2312"/>
                <w:color w:val="000000"/>
                <w:sz w:val="24"/>
                <w:szCs w:val="24"/>
                <w:highlight w:val="none"/>
                <w:lang w:val="en-US" w:eastAsia="zh-CN"/>
              </w:rPr>
              <w:t>学生的爱国情怀</w:t>
            </w:r>
            <w:r>
              <w:rPr>
                <w:rFonts w:hint="eastAsia" w:ascii="仿宋_GB2312" w:hAnsi="仿宋_GB2312" w:eastAsia="仿宋_GB2312" w:cs="仿宋_GB2312"/>
                <w:color w:val="000000"/>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掌握并传承中</w:t>
            </w:r>
            <w:r>
              <w:rPr>
                <w:rFonts w:hint="eastAsia" w:ascii="仿宋_GB2312" w:hAnsi="仿宋_GB2312" w:eastAsia="仿宋_GB2312" w:cs="仿宋_GB2312"/>
                <w:b w:val="0"/>
                <w:bCs w:val="0"/>
                <w:color w:val="000000"/>
                <w:sz w:val="24"/>
                <w:szCs w:val="24"/>
                <w:highlight w:val="none"/>
                <w:lang w:val="en-US" w:eastAsia="zh-CN"/>
              </w:rPr>
              <w:t>华优秀</w:t>
            </w:r>
            <w:r>
              <w:rPr>
                <w:rFonts w:hint="eastAsia" w:ascii="仿宋_GB2312" w:hAnsi="仿宋_GB2312" w:eastAsia="仿宋_GB2312" w:cs="仿宋_GB2312"/>
                <w:b w:val="0"/>
                <w:bCs w:val="0"/>
                <w:color w:val="000000"/>
                <w:sz w:val="24"/>
                <w:szCs w:val="24"/>
                <w:highlight w:val="none"/>
              </w:rPr>
              <w:t>传统文化的基本内涵</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主要内容</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基本精神，了解了中国传统哲学、文学、</w:t>
            </w:r>
            <w:r>
              <w:rPr>
                <w:rFonts w:hint="eastAsia" w:ascii="仿宋_GB2312" w:hAnsi="仿宋_GB2312" w:eastAsia="仿宋_GB2312" w:cs="仿宋_GB2312"/>
                <w:b w:val="0"/>
                <w:bCs w:val="0"/>
                <w:color w:val="000000"/>
                <w:sz w:val="24"/>
                <w:szCs w:val="24"/>
                <w:highlight w:val="none"/>
                <w:lang w:val="en-US" w:eastAsia="zh-CN"/>
              </w:rPr>
              <w:t>仪式</w:t>
            </w:r>
            <w:r>
              <w:rPr>
                <w:rFonts w:hint="eastAsia" w:ascii="仿宋_GB2312" w:hAnsi="仿宋_GB2312" w:eastAsia="仿宋_GB2312" w:cs="仿宋_GB2312"/>
                <w:b w:val="0"/>
                <w:bCs w:val="0"/>
                <w:color w:val="000000"/>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bCs/>
                <w:color w:val="000000"/>
                <w:sz w:val="24"/>
                <w:szCs w:val="24"/>
                <w:highlight w:val="none"/>
              </w:rPr>
              <w:t>能力目标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rPr>
              <w:t>素质目标</w:t>
            </w:r>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sz w:val="24"/>
                <w:szCs w:val="24"/>
                <w:highlight w:val="none"/>
              </w:rPr>
              <w:t>弘扬中华优秀传统文化</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color w:val="000000"/>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sz w:val="24"/>
                <w:szCs w:val="24"/>
                <w:highlight w:val="none"/>
                <w:lang w:val="en-US" w:eastAsia="zh-CN"/>
              </w:rPr>
              <w:t>具有较好的审美情趣和审美能力，</w:t>
            </w:r>
            <w:r>
              <w:rPr>
                <w:rFonts w:hint="eastAsia" w:ascii="仿宋_GB2312" w:hAnsi="仿宋_GB2312" w:eastAsia="仿宋_GB2312" w:cs="仿宋_GB2312"/>
                <w:b w:val="0"/>
                <w:bCs w:val="0"/>
                <w:color w:val="000000"/>
                <w:sz w:val="24"/>
                <w:szCs w:val="24"/>
                <w:highlight w:val="none"/>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rPr>
              <w:t>知识目标</w:t>
            </w:r>
            <w:r>
              <w:rPr>
                <w:rFonts w:hint="eastAsia" w:ascii="仿宋_GB2312" w:hAnsi="仿宋_GB2312" w:eastAsia="仿宋_GB2312" w:cs="仿宋_GB2312"/>
                <w:b w:val="0"/>
                <w:bCs w:val="0"/>
                <w:color w:val="000000"/>
                <w:sz w:val="24"/>
                <w:szCs w:val="24"/>
                <w:highlight w:val="none"/>
                <w:lang w:eastAsia="zh-CN"/>
              </w:rPr>
              <w:t>：</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能力目标</w:t>
            </w:r>
            <w:r>
              <w:rPr>
                <w:rFonts w:hint="eastAsia" w:ascii="仿宋_GB2312" w:hAnsi="仿宋_GB2312" w:eastAsia="仿宋_GB2312" w:cs="仿宋_GB2312"/>
                <w:color w:val="000000"/>
                <w:sz w:val="24"/>
                <w:szCs w:val="24"/>
                <w:highlight w:val="none"/>
                <w:lang w:val="en-US" w:eastAsia="zh-CN"/>
              </w:rPr>
              <w:t>：</w:t>
            </w:r>
            <w:r>
              <w:rPr>
                <w:rFonts w:hint="eastAsia" w:ascii="仿宋_GB2312" w:hAnsi="仿宋_GB2312" w:eastAsia="仿宋_GB2312" w:cs="仿宋_GB2312"/>
                <w:b w:val="0"/>
                <w:bCs w:val="0"/>
                <w:i w:val="0"/>
                <w:iCs w:val="0"/>
                <w:caps w:val="0"/>
                <w:color w:val="000000"/>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color w:val="000000"/>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知识目标：</w:t>
            </w:r>
            <w:r>
              <w:rPr>
                <w:rFonts w:hint="eastAsia" w:ascii="仿宋_GB2312" w:hAnsi="仿宋_GB2312" w:eastAsia="仿宋_GB2312" w:cs="仿宋_GB2312"/>
                <w:color w:val="000000"/>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能力目标</w:t>
            </w:r>
            <w:r>
              <w:rPr>
                <w:rFonts w:hint="eastAsia" w:ascii="仿宋_GB2312" w:hAnsi="仿宋_GB2312" w:eastAsia="仿宋_GB2312" w:cs="仿宋_GB2312"/>
                <w:color w:val="000000"/>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b/>
                <w:bCs/>
                <w:color w:val="000000"/>
                <w:sz w:val="24"/>
                <w:szCs w:val="24"/>
                <w:highlight w:val="none"/>
                <w:lang w:val="en-US" w:eastAsia="zh-CN"/>
              </w:rPr>
              <w:t>素质目标：</w:t>
            </w:r>
            <w:r>
              <w:rPr>
                <w:rFonts w:hint="eastAsia" w:ascii="仿宋_GB2312" w:hAnsi="仿宋_GB2312" w:eastAsia="仿宋_GB2312" w:cs="仿宋_GB2312"/>
                <w:color w:val="000000"/>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b/>
                <w:bCs/>
                <w:color w:val="000000"/>
                <w:sz w:val="24"/>
                <w:szCs w:val="24"/>
                <w:highlight w:val="none"/>
                <w:lang w:val="en-US" w:eastAsia="zh-CN"/>
              </w:rPr>
              <w:t>课程思政育人目标：</w:t>
            </w:r>
            <w:r>
              <w:rPr>
                <w:rFonts w:hint="eastAsia" w:ascii="仿宋_GB2312" w:hAnsi="仿宋_GB2312" w:eastAsia="仿宋_GB2312" w:cs="仿宋_GB2312"/>
                <w:color w:val="000000"/>
                <w:sz w:val="24"/>
                <w:szCs w:val="24"/>
                <w:highlight w:val="none"/>
                <w:lang w:val="en-US" w:eastAsia="zh-CN"/>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lang w:val="en-US" w:eastAsia="zh-CN"/>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b/>
                <w:bCs/>
                <w:color w:val="000000"/>
                <w:sz w:val="24"/>
                <w:szCs w:val="24"/>
                <w:lang w:val="en-US" w:eastAsia="zh-CN"/>
              </w:rPr>
              <w:t>知识目标：</w:t>
            </w:r>
            <w:r>
              <w:rPr>
                <w:rFonts w:hint="eastAsia" w:ascii="仿宋_GB2312" w:hAnsi="仿宋_GB2312" w:eastAsia="仿宋_GB2312" w:cs="仿宋_GB2312"/>
                <w:color w:val="000000"/>
                <w:sz w:val="24"/>
                <w:szCs w:val="24"/>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b/>
                <w:bCs/>
                <w:color w:val="000000"/>
                <w:sz w:val="24"/>
                <w:szCs w:val="24"/>
                <w:lang w:val="en-US" w:eastAsia="zh-CN"/>
              </w:rPr>
              <w:t>能力目标：</w:t>
            </w:r>
            <w:r>
              <w:rPr>
                <w:rFonts w:hint="eastAsia" w:ascii="仿宋_GB2312" w:hAnsi="仿宋_GB2312" w:eastAsia="仿宋_GB2312" w:cs="仿宋_GB2312"/>
                <w:color w:val="000000"/>
                <w:sz w:val="24"/>
                <w:szCs w:val="24"/>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b/>
                <w:bCs/>
                <w:color w:val="000000"/>
                <w:sz w:val="24"/>
                <w:szCs w:val="24"/>
                <w:lang w:val="en-US" w:eastAsia="zh-CN"/>
              </w:rPr>
              <w:t>素质目标：</w:t>
            </w:r>
            <w:r>
              <w:rPr>
                <w:rFonts w:hint="eastAsia" w:ascii="仿宋_GB2312" w:hAnsi="仿宋_GB2312" w:eastAsia="仿宋_GB2312" w:cs="仿宋_GB2312"/>
                <w:color w:val="000000"/>
                <w:sz w:val="24"/>
                <w:szCs w:val="24"/>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b/>
                <w:bCs/>
                <w:color w:val="000000"/>
                <w:sz w:val="24"/>
                <w:szCs w:val="24"/>
                <w:lang w:val="en-US" w:eastAsia="zh-CN"/>
              </w:rPr>
              <w:t>课程思政育人目标：</w:t>
            </w:r>
            <w:r>
              <w:rPr>
                <w:rFonts w:hint="eastAsia" w:ascii="仿宋_GB2312" w:hAnsi="仿宋_GB2312" w:eastAsia="仿宋_GB2312" w:cs="仿宋_GB2312"/>
                <w:color w:val="000000"/>
                <w:sz w:val="24"/>
                <w:szCs w:val="24"/>
                <w:lang w:val="en-US" w:eastAsia="zh-CN"/>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lang w:val="en-US" w:eastAsia="zh-CN"/>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b/>
                <w:bCs/>
                <w:color w:val="000000"/>
                <w:sz w:val="24"/>
                <w:szCs w:val="24"/>
                <w:lang w:val="en-US" w:eastAsia="zh-CN"/>
              </w:rPr>
              <w:t>知识目标：</w:t>
            </w:r>
            <w:r>
              <w:rPr>
                <w:rFonts w:hint="eastAsia" w:ascii="仿宋_GB2312" w:hAnsi="仿宋_GB2312" w:eastAsia="仿宋_GB2312" w:cs="仿宋_GB2312"/>
                <w:color w:val="000000"/>
                <w:sz w:val="24"/>
                <w:szCs w:val="24"/>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b/>
                <w:bCs/>
                <w:color w:val="000000"/>
                <w:sz w:val="24"/>
                <w:szCs w:val="24"/>
                <w:lang w:val="en-US" w:eastAsia="zh-CN"/>
              </w:rPr>
              <w:t>能力目标：</w:t>
            </w:r>
            <w:r>
              <w:rPr>
                <w:rFonts w:hint="eastAsia" w:ascii="仿宋_GB2312" w:hAnsi="仿宋_GB2312" w:eastAsia="仿宋_GB2312" w:cs="仿宋_GB2312"/>
                <w:color w:val="000000"/>
                <w:sz w:val="24"/>
                <w:szCs w:val="24"/>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b/>
                <w:bCs/>
                <w:color w:val="000000"/>
                <w:sz w:val="24"/>
                <w:szCs w:val="24"/>
                <w:lang w:val="en-US" w:eastAsia="zh-CN"/>
              </w:rPr>
              <w:t>素质目标：</w:t>
            </w:r>
            <w:r>
              <w:rPr>
                <w:rFonts w:hint="eastAsia" w:ascii="仿宋_GB2312" w:hAnsi="仿宋_GB2312" w:eastAsia="仿宋_GB2312" w:cs="仿宋_GB2312"/>
                <w:color w:val="000000"/>
                <w:sz w:val="24"/>
                <w:szCs w:val="24"/>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b/>
                <w:bCs/>
                <w:color w:val="000000"/>
                <w:sz w:val="24"/>
                <w:szCs w:val="24"/>
                <w:lang w:val="en-US" w:eastAsia="zh-CN"/>
              </w:rPr>
              <w:t>课程思政育人目标：</w:t>
            </w:r>
            <w:r>
              <w:rPr>
                <w:rFonts w:hint="eastAsia" w:ascii="仿宋_GB2312" w:hAnsi="仿宋_GB2312" w:eastAsia="仿宋_GB2312" w:cs="仿宋_GB2312"/>
                <w:color w:val="000000"/>
                <w:sz w:val="24"/>
                <w:szCs w:val="24"/>
                <w:lang w:val="en-US" w:eastAsia="zh-CN"/>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eastAsia" w:ascii="仿宋_GB2312" w:hAnsi="仿宋_GB2312" w:eastAsia="仿宋_GB2312" w:cs="仿宋_GB2312"/>
                <w:color w:val="000000"/>
                <w:sz w:val="24"/>
                <w:szCs w:val="24"/>
                <w:lang w:val="en-US" w:eastAsia="zh-CN"/>
              </w:rPr>
              <w:t>职业素养</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b/>
                <w:bCs/>
                <w:color w:val="000000"/>
                <w:sz w:val="24"/>
                <w:szCs w:val="24"/>
                <w:lang w:val="en-US" w:eastAsia="zh-CN"/>
              </w:rPr>
              <w:t>知识目标：</w:t>
            </w:r>
            <w:r>
              <w:rPr>
                <w:rFonts w:hint="default" w:ascii="仿宋_GB2312" w:hAnsi="仿宋_GB2312" w:eastAsia="仿宋_GB2312" w:cs="仿宋_GB2312"/>
                <w:color w:val="000000"/>
                <w:sz w:val="24"/>
                <w:szCs w:val="24"/>
                <w:lang w:val="en-US" w:eastAsia="zh-CN"/>
              </w:rPr>
              <w:t>系统</w:t>
            </w:r>
            <w:r>
              <w:rPr>
                <w:rFonts w:hint="eastAsia" w:ascii="仿宋_GB2312" w:hAnsi="仿宋_GB2312" w:eastAsia="仿宋_GB2312" w:cs="仿宋_GB2312"/>
                <w:color w:val="000000"/>
                <w:sz w:val="24"/>
                <w:szCs w:val="24"/>
                <w:lang w:val="en-US" w:eastAsia="zh-CN"/>
              </w:rPr>
              <w:t>的</w:t>
            </w:r>
            <w:r>
              <w:rPr>
                <w:rFonts w:hint="default" w:ascii="仿宋_GB2312" w:hAnsi="仿宋_GB2312" w:eastAsia="仿宋_GB2312" w:cs="仿宋_GB2312"/>
                <w:color w:val="000000"/>
                <w:sz w:val="24"/>
                <w:szCs w:val="24"/>
                <w:lang w:val="en-US" w:eastAsia="zh-CN"/>
              </w:rPr>
              <w:t>了解职业道德、职业礼仪、沟通协作、时间管理等基本规范与要求，理解职业角色定位与责任。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sz w:val="24"/>
                <w:szCs w:val="24"/>
                <w:lang w:val="en-US" w:eastAsia="zh-CN"/>
              </w:rPr>
            </w:pPr>
            <w:r>
              <w:rPr>
                <w:rFonts w:hint="default" w:ascii="仿宋_GB2312" w:hAnsi="仿宋_GB2312" w:eastAsia="仿宋_GB2312" w:cs="仿宋_GB2312"/>
                <w:b/>
                <w:bCs/>
                <w:color w:val="000000"/>
                <w:sz w:val="24"/>
                <w:szCs w:val="24"/>
                <w:lang w:val="en-US" w:eastAsia="zh-CN"/>
              </w:rPr>
              <w:t>能力目标：</w:t>
            </w:r>
            <w:r>
              <w:rPr>
                <w:rFonts w:hint="default" w:ascii="仿宋_GB2312" w:hAnsi="仿宋_GB2312" w:eastAsia="仿宋_GB2312" w:cs="仿宋_GB2312"/>
                <w:color w:val="000000"/>
                <w:sz w:val="24"/>
                <w:szCs w:val="24"/>
                <w:lang w:val="en-US" w:eastAsia="zh-CN"/>
              </w:rPr>
              <w:t>能够有效进行职场沟通与团队协作，具备解决职场常见矛盾、管理情绪与压力及进行职业规划的实践能力。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000000"/>
                <w:sz w:val="24"/>
                <w:szCs w:val="24"/>
                <w:lang w:val="en-US" w:eastAsia="zh-CN"/>
              </w:rPr>
            </w:pPr>
            <w:r>
              <w:rPr>
                <w:rFonts w:hint="default" w:ascii="仿宋_GB2312" w:hAnsi="仿宋_GB2312" w:eastAsia="仿宋_GB2312" w:cs="仿宋_GB2312"/>
                <w:b/>
                <w:bCs/>
                <w:color w:val="000000"/>
                <w:sz w:val="24"/>
                <w:szCs w:val="24"/>
                <w:lang w:val="en-US" w:eastAsia="zh-CN"/>
              </w:rPr>
              <w:t>素质目标：</w:t>
            </w:r>
            <w:r>
              <w:rPr>
                <w:rFonts w:hint="default" w:ascii="仿宋_GB2312" w:hAnsi="仿宋_GB2312" w:eastAsia="仿宋_GB2312" w:cs="仿宋_GB2312"/>
                <w:color w:val="000000"/>
                <w:sz w:val="24"/>
                <w:szCs w:val="24"/>
                <w:lang w:val="en-US" w:eastAsia="zh-CN"/>
              </w:rPr>
              <w:t>内化敬业、诚信、责任、专注的工匠精神，塑造阳光积极的职业心态，实现从“学生”到“职业人”的角色转变。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000000"/>
                <w:kern w:val="2"/>
                <w:sz w:val="24"/>
                <w:szCs w:val="24"/>
                <w:highlight w:val="none"/>
                <w:lang w:val="en-US" w:eastAsia="zh-CN" w:bidi="ar-SA"/>
              </w:rPr>
            </w:pPr>
            <w:r>
              <w:rPr>
                <w:rFonts w:hint="default" w:ascii="仿宋_GB2312" w:hAnsi="仿宋_GB2312" w:eastAsia="仿宋_GB2312" w:cs="仿宋_GB2312"/>
                <w:b/>
                <w:bCs/>
                <w:color w:val="000000"/>
                <w:sz w:val="24"/>
                <w:szCs w:val="24"/>
                <w:lang w:val="en-US" w:eastAsia="zh-CN"/>
              </w:rPr>
              <w:t>课程思政育人目标：</w:t>
            </w:r>
            <w:r>
              <w:rPr>
                <w:rFonts w:hint="default" w:ascii="仿宋_GB2312" w:hAnsi="仿宋_GB2312" w:eastAsia="仿宋_GB2312" w:cs="仿宋_GB2312"/>
                <w:color w:val="000000"/>
                <w:sz w:val="24"/>
                <w:szCs w:val="24"/>
                <w:lang w:val="en-US" w:eastAsia="zh-CN"/>
              </w:rPr>
              <w:t>培育社会主义核心价值观，强化劳动精神、劳模精神和工匠精神教育，树立正确的职业观、事业观和成才观。</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default" w:ascii="仿宋_GB2312" w:hAnsi="仿宋_GB2312" w:eastAsia="仿宋_GB2312" w:cs="仿宋_GB2312"/>
                <w:color w:val="000000"/>
                <w:sz w:val="24"/>
                <w:szCs w:val="24"/>
                <w:lang w:val="en-US" w:eastAsia="zh-CN"/>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kern w:val="2"/>
                <w:sz w:val="24"/>
                <w:szCs w:val="24"/>
                <w:highlight w:val="none"/>
                <w:lang w:val="en-US" w:eastAsia="zh-CN" w:bidi="ar-SA"/>
              </w:rPr>
            </w:pPr>
            <w:r>
              <w:rPr>
                <w:rFonts w:hint="default" w:ascii="仿宋_GB2312" w:hAnsi="仿宋_GB2312" w:eastAsia="仿宋_GB2312" w:cs="仿宋_GB2312"/>
                <w:color w:val="000000"/>
                <w:sz w:val="24"/>
                <w:szCs w:val="24"/>
                <w:lang w:val="en-US" w:eastAsia="zh-CN"/>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bl>
    <w:p>
      <w:pPr>
        <w:pStyle w:val="2"/>
        <w:pageBreakBefore w:val="0"/>
        <w:widowControl/>
        <w:kinsoku/>
        <w:wordWrap/>
        <w:topLinePunct w:val="0"/>
        <w:autoSpaceDE/>
        <w:autoSpaceDN/>
        <w:bidi w:val="0"/>
        <w:snapToGrid/>
        <w:spacing w:before="0" w:after="0" w:line="520" w:lineRule="exact"/>
        <w:ind w:left="0" w:firstLine="640" w:firstLineChars="200"/>
        <w:jc w:val="left"/>
        <w:textAlignment w:val="auto"/>
        <w:outlineLvl w:val="1"/>
        <w:rPr>
          <w:rFonts w:hint="eastAsia" w:ascii="楷体" w:hAnsi="楷体" w:eastAsia="楷体" w:cs="楷体"/>
          <w:color w:val="auto"/>
          <w:sz w:val="32"/>
          <w:szCs w:val="32"/>
        </w:rPr>
      </w:pPr>
      <w:bookmarkStart w:id="21" w:name="_Toc8142"/>
      <w:r>
        <w:rPr>
          <w:rFonts w:hint="eastAsia" w:ascii="楷体" w:hAnsi="楷体" w:eastAsia="楷体" w:cs="楷体"/>
          <w:b w:val="0"/>
          <w:bCs/>
          <w:color w:val="auto"/>
          <w:sz w:val="32"/>
          <w:szCs w:val="32"/>
        </w:rPr>
        <w:t>（二）专业课程</w:t>
      </w:r>
      <w:bookmarkEnd w:id="2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bookmarkStart w:id="22" w:name="_Toc90734975"/>
      <w:r>
        <w:rPr>
          <w:rFonts w:hint="eastAsia" w:ascii="仿宋_GB2312" w:hAnsi="仿宋_GB2312" w:eastAsia="仿宋_GB2312" w:cs="仿宋_GB2312"/>
          <w:b w:val="0"/>
          <w:bCs w:val="0"/>
          <w:color w:val="auto"/>
          <w:sz w:val="32"/>
          <w:szCs w:val="32"/>
          <w:highlight w:val="none"/>
        </w:rPr>
        <w:t>1.专业基础课程</w:t>
      </w:r>
      <w:bookmarkEnd w:id="22"/>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rPr>
        <w:t>专业基础课程</w:t>
      </w:r>
      <w:r>
        <w:rPr>
          <w:rFonts w:hint="eastAsia" w:ascii="仿宋_GB2312" w:hAnsi="仿宋_GB2312" w:eastAsia="仿宋_GB2312" w:cs="仿宋_GB2312"/>
          <w:color w:val="auto"/>
          <w:sz w:val="32"/>
          <w:szCs w:val="32"/>
          <w:highlight w:val="none"/>
          <w:lang w:val="en-US" w:eastAsia="zh-CN"/>
        </w:rPr>
        <w:t>是为后续专业课程学习打基础的课程。包括：老龄事业与产业发展、康养政策法规与标准、老年服务礼仪与沟通、管理学、人力资源管理、正常人体结构与功能、健康养老职业素养与安全、健康养老大数据应用等课程</w:t>
      </w:r>
      <w:r>
        <w:rPr>
          <w:rFonts w:hint="eastAsia" w:ascii="仿宋_GB2312" w:hAnsi="仿宋_GB2312" w:eastAsia="仿宋_GB2312" w:cs="仿宋_GB2312"/>
          <w:color w:val="auto"/>
          <w:spacing w:val="-4"/>
          <w:sz w:val="32"/>
          <w:szCs w:val="32"/>
          <w:highlight w:val="none"/>
        </w:rPr>
        <w:t>。</w:t>
      </w:r>
    </w:p>
    <w:p>
      <w:pPr>
        <w:pageBreakBefore w:val="0"/>
        <w:kinsoku/>
        <w:wordWrap/>
        <w:overflowPunct w:val="0"/>
        <w:topLinePunct w:val="0"/>
        <w:autoSpaceDE/>
        <w:autoSpaceDN/>
        <w:bidi w:val="0"/>
        <w:adjustRightInd w:val="0"/>
        <w:spacing w:after="0" w:line="520" w:lineRule="exact"/>
        <w:ind w:left="0"/>
        <w:jc w:val="center"/>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6" w:type="dxa"/>
          <w:left w:w="96" w:type="dxa"/>
          <w:bottom w:w="56" w:type="dxa"/>
          <w:right w:w="96" w:type="dxa"/>
        </w:tblCellMar>
      </w:tblPr>
      <w:tblGrid>
        <w:gridCol w:w="792"/>
        <w:gridCol w:w="864"/>
        <w:gridCol w:w="4543"/>
        <w:gridCol w:w="2464"/>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843" w:hRule="atLeast"/>
          <w:jc w:val="center"/>
        </w:trPr>
        <w:tc>
          <w:tcPr>
            <w:tcW w:w="792"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b w:val="0"/>
                <w:bCs/>
                <w:color w:val="auto"/>
                <w:sz w:val="24"/>
                <w:szCs w:val="24"/>
                <w:highlight w:val="none"/>
                <w:lang w:eastAsia="zh-CN"/>
              </w:rPr>
            </w:pPr>
            <w:bookmarkStart w:id="23" w:name="_Toc90734977"/>
            <w:r>
              <w:rPr>
                <w:rFonts w:hint="eastAsia" w:ascii="仿宋_GB2312" w:hAnsi="仿宋_GB2312" w:eastAsia="仿宋_GB2312" w:cs="仿宋_GB2312"/>
                <w:b w:val="0"/>
                <w:bCs/>
                <w:color w:val="auto"/>
                <w:sz w:val="24"/>
                <w:szCs w:val="24"/>
                <w:highlight w:val="none"/>
                <w:lang w:eastAsia="zh-CN"/>
              </w:rPr>
              <w:t>序号</w:t>
            </w:r>
          </w:p>
        </w:tc>
        <w:tc>
          <w:tcPr>
            <w:tcW w:w="864"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eastAsia="zh-CN"/>
              </w:rPr>
              <w:t>课程名称</w:t>
            </w:r>
          </w:p>
        </w:tc>
        <w:tc>
          <w:tcPr>
            <w:tcW w:w="4543"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lang w:val="en-US" w:eastAsia="zh-CN"/>
              </w:rPr>
              <w:t>课程目标</w:t>
            </w:r>
          </w:p>
        </w:tc>
        <w:tc>
          <w:tcPr>
            <w:tcW w:w="2464"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lang w:val="en-US" w:eastAsia="zh-CN"/>
              </w:rPr>
              <w:t>主要教学内容</w:t>
            </w:r>
          </w:p>
        </w:tc>
        <w:tc>
          <w:tcPr>
            <w:tcW w:w="2243"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792"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864"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老龄事业与产业发展</w:t>
            </w:r>
          </w:p>
        </w:tc>
        <w:tc>
          <w:tcPr>
            <w:tcW w:w="45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掌握老龄事业产业概念、政策、智慧养老技术，明晰老龄化特征影响，熟悉法规，构建老龄知识体系。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具备老龄服务规划等能力，能设计养老方案、整合资源、解决老人问题，适应老龄需求。</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树立尊老理念，恪守职业道德，增强责任感，关注弱势老人，培养协作与终身学习能力。</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弘扬尊老美德，反思刻板印象，结合战略增强家国情怀，强化职业法治思维，践行“科技向善”。</w:t>
            </w:r>
          </w:p>
        </w:tc>
        <w:tc>
          <w:tcPr>
            <w:tcW w:w="2464"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涵盖全球老龄政策解析、养老机构运营管理实训、传统文化在老年服务中的应用创新，以及智慧养老技术实践与伦理研讨，培养政策分析、服务设计、文化转化及科研能力。</w:t>
            </w:r>
          </w:p>
        </w:tc>
        <w:tc>
          <w:tcPr>
            <w:tcW w:w="22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本课程要求采用“理论+实践+文化”多维教学法，通过政策解析、沙盘模拟、国际案例研讨及智慧养老技术实践，培养老龄产业规划、服务设计、技术创新及跨文化协作能力，强化社会责任感与终身发展意识。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792"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bookmarkStart w:id="24" w:name="_Hlk194587108"/>
            <w:r>
              <w:rPr>
                <w:rFonts w:hint="eastAsia" w:ascii="仿宋_GB2312" w:hAnsi="仿宋_GB2312" w:eastAsia="仿宋_GB2312" w:cs="仿宋_GB2312"/>
                <w:color w:val="auto"/>
                <w:sz w:val="24"/>
                <w:szCs w:val="24"/>
                <w:highlight w:val="none"/>
                <w:lang w:val="en-US" w:eastAsia="zh-CN"/>
              </w:rPr>
              <w:t>2</w:t>
            </w:r>
          </w:p>
        </w:tc>
        <w:tc>
          <w:tcPr>
            <w:tcW w:w="864"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康养政策法规与标准</w:t>
            </w:r>
          </w:p>
        </w:tc>
        <w:tc>
          <w:tcPr>
            <w:tcW w:w="45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掌握康养政策法规标准核心概念、框架及演变逻辑，理解国内外政策导向</w:t>
            </w:r>
            <w:r>
              <w:rPr>
                <w:rFonts w:hint="eastAsia" w:ascii="仿宋_GB2312" w:hAnsi="仿宋_GB2312" w:eastAsia="仿宋_GB2312" w:cs="仿宋_GB2312"/>
                <w:color w:val="auto"/>
                <w:spacing w:val="-6"/>
                <w:sz w:val="24"/>
                <w:szCs w:val="24"/>
                <w:highlight w:val="none"/>
              </w:rPr>
              <w:t>（如医养结合），熟悉服务标准与相关法规，构建康养政策</w:t>
            </w:r>
            <w:r>
              <w:rPr>
                <w:rFonts w:hint="eastAsia" w:ascii="仿宋_GB2312" w:hAnsi="仿宋_GB2312" w:eastAsia="仿宋_GB2312" w:cs="仿宋_GB2312"/>
                <w:color w:val="auto"/>
                <w:spacing w:val="-6"/>
                <w:sz w:val="24"/>
                <w:szCs w:val="24"/>
                <w:highlight w:val="none"/>
                <w:lang w:eastAsia="zh-CN"/>
              </w:rPr>
              <w:t>－</w:t>
            </w:r>
            <w:r>
              <w:rPr>
                <w:rFonts w:hint="eastAsia" w:ascii="仿宋_GB2312" w:hAnsi="仿宋_GB2312" w:eastAsia="仿宋_GB2312" w:cs="仿宋_GB2312"/>
                <w:color w:val="auto"/>
                <w:spacing w:val="-6"/>
                <w:sz w:val="24"/>
                <w:szCs w:val="24"/>
                <w:highlight w:val="none"/>
              </w:rPr>
              <w:t>标准</w:t>
            </w:r>
            <w:r>
              <w:rPr>
                <w:rFonts w:hint="eastAsia" w:ascii="仿宋_GB2312" w:hAnsi="仿宋_GB2312" w:eastAsia="仿宋_GB2312" w:cs="仿宋_GB2312"/>
                <w:color w:val="auto"/>
                <w:spacing w:val="-6"/>
                <w:sz w:val="24"/>
                <w:szCs w:val="24"/>
                <w:highlight w:val="none"/>
                <w:lang w:eastAsia="zh-CN"/>
              </w:rPr>
              <w:t>－</w:t>
            </w:r>
            <w:r>
              <w:rPr>
                <w:rFonts w:hint="eastAsia" w:ascii="仿宋_GB2312" w:hAnsi="仿宋_GB2312" w:eastAsia="仿宋_GB2312" w:cs="仿宋_GB2312"/>
                <w:color w:val="auto"/>
                <w:spacing w:val="-6"/>
                <w:sz w:val="24"/>
                <w:szCs w:val="24"/>
                <w:highlight w:val="none"/>
              </w:rPr>
              <w:t>实践知识体系。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能解读政策、应用标准，分析区域需求并制定合规方案，整合资源推动落地；掌握质量评估、风险防控技巧，用法律思维解决纠纷，适应产业趋势。</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树立“以人为本”理念，恪守职业伦理法治，增强责任感与公益心，关注弱势群体；培养协作与终身学习能力，跟踪政策标准更新，适应行业变革。</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w:t>
            </w:r>
            <w:r>
              <w:rPr>
                <w:rFonts w:hint="eastAsia" w:ascii="仿宋_GB2312" w:hAnsi="仿宋_GB2312" w:eastAsia="仿宋_GB2312" w:cs="仿宋_GB2312"/>
                <w:b/>
                <w:bCs/>
                <w:color w:val="auto"/>
                <w:sz w:val="24"/>
                <w:szCs w:val="24"/>
                <w:highlight w:val="none"/>
                <w:lang w:val="en-US" w:eastAsia="zh-CN"/>
              </w:rPr>
              <w:t>育人目标</w:t>
            </w:r>
            <w:r>
              <w:rPr>
                <w:rFonts w:hint="eastAsia" w:ascii="仿宋_GB2312" w:hAnsi="仿宋_GB2312" w:eastAsia="仿宋_GB2312" w:cs="仿宋_GB2312"/>
                <w:b/>
                <w:bCs/>
                <w:color w:val="auto"/>
                <w:sz w:val="24"/>
                <w:szCs w:val="24"/>
                <w:highlight w:val="none"/>
              </w:rPr>
              <w:t>：</w:t>
            </w:r>
            <w:r>
              <w:rPr>
                <w:rFonts w:hint="eastAsia" w:ascii="仿宋_GB2312" w:hAnsi="仿宋_GB2312" w:eastAsia="仿宋_GB2312" w:cs="仿宋_GB2312"/>
                <w:color w:val="auto"/>
                <w:sz w:val="24"/>
                <w:szCs w:val="24"/>
                <w:highlight w:val="none"/>
              </w:rPr>
              <w:t>弘扬“健康优先”理念，反思资源分配问题，结合战略增强使命感；强化法治与职业操守，借案例培育规则意识；鼓励探索智慧康养创新，践行“科技赋能健康”观。</w:t>
            </w:r>
          </w:p>
        </w:tc>
        <w:tc>
          <w:tcPr>
            <w:tcW w:w="2464"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涵盖国内外康养政策体系解析、行业标准对比、合规运营案例分析，通过政策解读、模拟审批及风险评估实践，培养政策应用与标准化管理能力。</w:t>
            </w:r>
          </w:p>
        </w:tc>
        <w:tc>
          <w:tcPr>
            <w:tcW w:w="22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通过政策解读、标准对比及合规案例分析，培养政策理解、标准应用及风险评估能力，强调理论与实践结合，提升康养产业合规运营水平。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792"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864"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老年服务礼仪与沟通</w:t>
            </w:r>
          </w:p>
        </w:tc>
        <w:tc>
          <w:tcPr>
            <w:tcW w:w="45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sz w:val="24"/>
                <w:szCs w:val="24"/>
                <w:highlight w:val="none"/>
              </w:rPr>
              <w:t>掌握老年服务礼仪规范与沟通技巧，理解老</w:t>
            </w:r>
            <w:r>
              <w:rPr>
                <w:rFonts w:hint="eastAsia" w:ascii="仿宋_GB2312" w:hAnsi="仿宋_GB2312" w:eastAsia="仿宋_GB2312" w:cs="仿宋_GB2312"/>
                <w:sz w:val="24"/>
                <w:szCs w:val="24"/>
                <w:highlight w:val="none"/>
                <w:lang w:eastAsia="zh-CN"/>
              </w:rPr>
              <w:t>年人</w:t>
            </w:r>
            <w:r>
              <w:rPr>
                <w:rFonts w:hint="eastAsia" w:ascii="仿宋_GB2312" w:hAnsi="仿宋_GB2312" w:eastAsia="仿宋_GB2312" w:cs="仿宋_GB2312"/>
                <w:sz w:val="24"/>
                <w:szCs w:val="24"/>
                <w:highlight w:val="none"/>
              </w:rPr>
              <w:t>心理特征及文化差异，熟悉《老年人权益保障法》中人格尊严保护条款，形成“礼仪</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心理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法律”融合的知识体系。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sz w:val="24"/>
                <w:szCs w:val="24"/>
                <w:highlight w:val="none"/>
              </w:rPr>
              <w:t>能灵活运用服务礼仪化解沟通冲突，设计个性化关怀方案，整合多方资</w:t>
            </w:r>
            <w:r>
              <w:rPr>
                <w:rFonts w:hint="eastAsia" w:ascii="仿宋_GB2312" w:hAnsi="仿宋_GB2312" w:eastAsia="仿宋_GB2312" w:cs="仿宋_GB2312"/>
                <w:spacing w:val="-11"/>
                <w:sz w:val="24"/>
                <w:szCs w:val="24"/>
                <w:highlight w:val="none"/>
              </w:rPr>
              <w:t>源优化服务流程，适应多元化养老场景需求。</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sz w:val="24"/>
                <w:szCs w:val="24"/>
                <w:highlight w:val="none"/>
              </w:rPr>
              <w:t>树立尊老敬老价值观，恪守职业伦理，增强社会责任感，关注弱势老年群体，培养跨文化协作与终身学习能力。</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sz w:val="24"/>
                <w:szCs w:val="24"/>
                <w:highlight w:val="none"/>
              </w:rPr>
              <w:t>弘扬传统美德，反思年龄歧视，结合“积极老龄化”战略增强使命感，强化法治思维，鼓励学生创新“礼仪+科技”服务模式，践行人文关怀理念。</w:t>
            </w:r>
          </w:p>
        </w:tc>
        <w:tc>
          <w:tcPr>
            <w:tcW w:w="2464"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涵盖适老化沟通技巧、非语言交流实践、多元文化敏感训练，通过情景模拟与角色扮演提升共情能力，培养专业服务素养。</w:t>
            </w:r>
          </w:p>
        </w:tc>
        <w:tc>
          <w:tcPr>
            <w:tcW w:w="22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掌握适老化沟通话术与非语言交流技巧，通过情景模拟、角色扮演强化实践应用，培养共情能力与文化敏感性，提升专业服务品质。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792"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64"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管理学</w:t>
            </w:r>
          </w:p>
        </w:tc>
        <w:tc>
          <w:tcPr>
            <w:tcW w:w="45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掌握管理学基础理论、方法及工具，理解组织行为、战略规划与运营模式，熟悉《公司法》等相关法规，形成“理论</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实践</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法律”融合的管理知识体系。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具备组织设计、决策分析与危机应对能力，能制定高效管理方案，整合人财物资源，运用沟通协调技巧解决团队问题，适应多元化管理场景需求。</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树立责任意识与全局观念，恪守职业道德，增强社会责任感，关注弱势群体权益，培养跨文化协作与终身学习能力，形成适应时代发展的管理素养。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弘扬诚信协作精神，反思管理中的功利倾向，结合国家战略增强使命担当，强化法治思维与伦理意识，鼓励学生探索管理创新模式，践行“以人为本”理念。</w:t>
            </w:r>
          </w:p>
        </w:tc>
        <w:tc>
          <w:tcPr>
            <w:tcW w:w="2464"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涵盖管理理论演进（古典、现代、当代），核心职能（计划、组织、领导、控制），经典案例分析，实践技能（决策、沟通、领导力）培养，及全球化、创新、可持续发展等前沿趋势。</w:t>
            </w:r>
          </w:p>
        </w:tc>
        <w:tc>
          <w:tcPr>
            <w:tcW w:w="22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要求掌握管理基础理论，培养决策、沟通、领导力；注重案例分析与实战模拟，强化团队协作与问题解决能力；关注创新思维与伦理责任，提升战略视野与跨文化管理能力。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792"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64"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人力资源管理</w:t>
            </w:r>
          </w:p>
        </w:tc>
        <w:tc>
          <w:tcPr>
            <w:tcW w:w="45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掌握人力资源管理理论、流程及工具，理解组织行为与劳动法规，熟悉《劳动法》等相关法律，形成“理论</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实践</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法律”融合的人力资源管理知识体系。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具备招聘、培训、绩效管理等核心技能，能设计人才发展方案，整合内外部资源，运用沟通协调技巧解决团队冲突，适应多元化组织管理需求。</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树立以人为本理念，恪守职业伦理，增强社会责任感，关注员工权益与弱势群体就业，培养跨文化协作与终身学习能力，形成适应时代发展的管理素养。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树立以人为本理念，恪守职业伦理，增强社会责任感，关注员工权益与弱势群体就业，培养跨文化协作与终身学习能力，形成适应时代发展的管理素养。</w:t>
            </w:r>
          </w:p>
        </w:tc>
        <w:tc>
          <w:tcPr>
            <w:tcW w:w="2464"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人力资源规划、招聘配置、培训开发、绩效管理、薪酬福利、劳动关系六大模块，融合战略人力资源管理理念，引入数字化工具（如HRIS、AI招聘），强调劳动法合规与员工关系管理，培养数据驱动的决策能力。</w:t>
            </w:r>
          </w:p>
        </w:tc>
        <w:tc>
          <w:tcPr>
            <w:tcW w:w="22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要求掌握人力资源核心理论，培养招聘、培训、绩效管理等实操技能；注重劳动法合规与员工关系管理，强化数据分析与数字化工具应用；通过案例研讨提升战略思维，培养跨文化沟通与团队协作能力。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792"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864"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正常人体结构与功能</w:t>
            </w:r>
          </w:p>
        </w:tc>
        <w:tc>
          <w:tcPr>
            <w:tcW w:w="45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掌握人体各系统结构、功能及相互关系，理解生命活动规律与健康维护机制，熟悉解剖学、生理学等基础理论，形成“结构</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功能</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健康”融合的人体科学知识体系。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具备人体结构辨识、功能分析及健康评估能力，能运用解剖生理知识解释疾病现象，整合临床与预防资源，解决基础医学问题，适应健康服务领域需求。</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树立生命敬畏理念，恪守医学伦理，增强社会责任感，关注特殊群体健康需求，培养跨学科协作与终身学习能力，形成适应医学发展的综合素质。</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弘扬“生命至上”价值观，反思健康歧视现象，结合“健康中国”战略增强使命担当，强化职业操守与法治思维，鼓励学生探索医学技术创新，践行“科技护佑生命”理念。</w:t>
            </w:r>
          </w:p>
        </w:tc>
        <w:tc>
          <w:tcPr>
            <w:tcW w:w="2464"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涵盖人体九大系统（运动、消化、呼吸、泌尿、循环、神经、内分泌、生殖、感觉器），解析器官形态结构与生理功能，强调系统间协调机制，融合解剖学、组织学、胚胎学及生理学核心内容。</w:t>
            </w:r>
          </w:p>
        </w:tc>
        <w:tc>
          <w:tcPr>
            <w:tcW w:w="22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要求掌握基础理论与实验技能，理解系统间联系；培养三维解剖思维与临床逻辑；关注结构与功能的动态关联；强化科学严谨态度与医学人文关怀，为后续课程奠定基础。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792"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864"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健康养老职业素养与安全</w:t>
            </w:r>
          </w:p>
        </w:tc>
        <w:tc>
          <w:tcPr>
            <w:tcW w:w="45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掌握健康养老职业素养规范、安全风险类型及防控措施，理解服务伦理与职业防护要求，熟悉《养老机构服务安全基本规范》等法规，形成“素养</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安全</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法规”融合的知识体系。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具备职业素养实践与安全风险识别能力，能制定应急预案、规范操作流程，整合资源优化服务环境，运用沟通技巧化解安全冲突，适应健康养老服务场景需求。</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树立“安全至上、人文关怀”价值观，恪守职业伦理，增强风险防范意识与社会责任感，关注弱势老年群体安全需求，培养跨团队协作与终身学习能力，形成职业安全素养。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弘扬敬老爱老美德，反思服务中的安全疏忽问题，结合“健康中国”战略增强使命担当，强化法治思维与责任意识，鼓励学生探索智慧安全防护技术，践行“科技守护安全”理念。</w:t>
            </w:r>
          </w:p>
        </w:tc>
        <w:tc>
          <w:tcPr>
            <w:tcW w:w="2464"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涵盖老年照护职业道德、安全护理（防跌倒、用药管理、急救技能）、健康养老政策法规、感染防控及人文关怀实践，结合模拟训练培养实操能力，强调跨学科团队协作与个性化照护方案设计。</w:t>
            </w:r>
          </w:p>
        </w:tc>
        <w:tc>
          <w:tcPr>
            <w:tcW w:w="22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要求培养老年照护责任心、同理心与沟通技能；掌握安全护理、应急救护及感染防控知识；强化实践操作能力；熟悉健康养老政策法规；塑造人文关怀精神，提升职业道德与团队协作意识。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792"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864" w:type="dxa"/>
            <w:vAlign w:val="center"/>
          </w:tcPr>
          <w:p>
            <w:pPr>
              <w:keepNext w:val="0"/>
              <w:keepLines w:val="0"/>
              <w:pageBreakBefore w:val="0"/>
              <w:widowControl/>
              <w:kinsoku/>
              <w:wordWrap/>
              <w:overflowPunct/>
              <w:topLinePunct w:val="0"/>
              <w:autoSpaceDE/>
              <w:autoSpaceDN/>
              <w:bidi w:val="0"/>
              <w:adjustRightInd/>
              <w:snapToGrid w:val="0"/>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健康养老大数据应用</w:t>
            </w:r>
          </w:p>
        </w:tc>
        <w:tc>
          <w:tcPr>
            <w:tcW w:w="45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掌握健康养老大数据的采集、分析及应用技术，理解老龄健康数据特征与挖掘方法，熟悉《数据安全法》等法规，形成“数据</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技术</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法规”融合的健康养老数据知识体系。</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具备数据建模、风险预测与决策支持能力，能设计个性化健康管理方案，整合多源数据优化服务流程，运用可视化工具解决养老问题，适应智慧养老场景需求。</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树立数据伦理意识，恪守职业规范，增强社会责任感，关注弱势老年群体数据权益，培养跨学科协作与终身学习能力，形成适应数字化养老的综合素质。</w:t>
            </w:r>
          </w:p>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弘扬科技惠老理念，反思数据滥用与隐私泄露问题，结合“数字中国”战略增强使命担当，强化法治思维与伦理意识，鼓励学生探索适老化数据技术，践行“数据向善”理念</w:t>
            </w:r>
            <w:r>
              <w:rPr>
                <w:rFonts w:hint="eastAsia" w:ascii="仿宋_GB2312" w:hAnsi="仿宋_GB2312" w:eastAsia="仿宋_GB2312" w:cs="仿宋_GB2312"/>
                <w:sz w:val="24"/>
                <w:szCs w:val="24"/>
                <w:highlight w:val="none"/>
                <w:lang w:eastAsia="zh-CN"/>
              </w:rPr>
              <w:t>。</w:t>
            </w:r>
          </w:p>
        </w:tc>
        <w:tc>
          <w:tcPr>
            <w:tcW w:w="2464"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涵盖大数据基础、健康养老数据特征、采集清洗技术、分析挖掘算法（如疾病预测、服务需求建模）、可视化工具应用、跨领域实践项目，强调数据安全与伦理合规，培养智慧养老创新思维能力。</w:t>
            </w:r>
          </w:p>
        </w:tc>
        <w:tc>
          <w:tcPr>
            <w:tcW w:w="2243" w:type="dxa"/>
            <w:vAlign w:val="top"/>
          </w:tcPr>
          <w:p>
            <w:pPr>
              <w:keepNext w:val="0"/>
              <w:keepLines w:val="0"/>
              <w:pageBreakBefore w:val="0"/>
              <w:widowControl/>
              <w:kinsoku/>
              <w:wordWrap/>
              <w:overflowPunct/>
              <w:topLinePunct w:val="0"/>
              <w:autoSpaceDE/>
              <w:autoSpaceDN/>
              <w:bidi w:val="0"/>
              <w:adjustRightInd/>
              <w:snapToGrid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掌握大数据工具操作与健康养老数据特征，培养采集、清洗、分析及可视化技能；通过案例研讨与项目实践提升数据驱动决策能力；强调团队协作与伦理安全意识，培养智慧养老创新应用思维。</w:t>
            </w:r>
          </w:p>
        </w:tc>
      </w:tr>
      <w:bookmarkEnd w:id="24"/>
    </w:tbl>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2.专业核心课程</w:t>
      </w:r>
      <w:bookmarkEnd w:id="23"/>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pacing w:val="-4"/>
          <w:sz w:val="32"/>
          <w:szCs w:val="32"/>
        </w:rPr>
      </w:pPr>
      <w:bookmarkStart w:id="25" w:name="OLE_LINK7"/>
      <w:r>
        <w:rPr>
          <w:rFonts w:hint="eastAsia" w:ascii="仿宋_GB2312" w:hAnsi="仿宋_GB2312" w:eastAsia="仿宋_GB2312" w:cs="仿宋_GB2312"/>
          <w:color w:val="auto"/>
          <w:sz w:val="32"/>
          <w:szCs w:val="32"/>
          <w:highlight w:val="none"/>
        </w:rPr>
        <w:t>专业核心课是</w:t>
      </w:r>
      <w:bookmarkEnd w:id="25"/>
      <w:r>
        <w:rPr>
          <w:rFonts w:hint="eastAsia" w:ascii="仿宋_GB2312" w:hAnsi="仿宋_GB2312" w:eastAsia="仿宋_GB2312" w:cs="仿宋_GB2312"/>
          <w:color w:val="auto"/>
          <w:sz w:val="32"/>
          <w:szCs w:val="32"/>
          <w:highlight w:val="none"/>
          <w:lang w:val="en-US" w:eastAsia="zh-CN"/>
        </w:rPr>
        <w:t>面向老年评估、老年照护、失智老年人照护、医养个案管理、健康养老顾问、养老机构运营与管理等岗位（群），结合养老护理员、失智老年人照护员、健康照护师、老年人能力评估师的就业岗位，建立智慧健康养老服务与管理专业核心课程，培养学生老年评估、老年照护、失智老年人照护、养老机构运营与管理等方面的能力。包括老年活动策划与设计、老年人能力评估实务、老年人生活与基础照护实务、老年心理护理实务、老年健康照护、老年人生活能力康复训练、社区居家智慧康养管理、养老机构智慧运营与管理等课程</w:t>
      </w:r>
      <w:r>
        <w:rPr>
          <w:rFonts w:hint="eastAsia" w:ascii="仿宋_GB2312" w:hAnsi="仿宋_GB2312" w:eastAsia="仿宋_GB2312" w:cs="仿宋_GB2312"/>
          <w:color w:val="auto"/>
          <w:spacing w:val="-4"/>
          <w:sz w:val="32"/>
          <w:szCs w:val="32"/>
          <w:highlight w:val="none"/>
        </w:rPr>
        <w:t>。</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850"/>
        <w:gridCol w:w="2164"/>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bookmarkStart w:id="26" w:name="_Toc90734991"/>
            <w:r>
              <w:rPr>
                <w:rFonts w:hint="eastAsia" w:ascii="仿宋_GB2312" w:hAnsi="仿宋_GB2312" w:eastAsia="仿宋_GB2312" w:cs="仿宋_GB2312"/>
                <w:color w:val="auto"/>
                <w:sz w:val="24"/>
                <w:szCs w:val="24"/>
                <w:highlight w:val="none"/>
              </w:rPr>
              <w:t>序号</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课程名称</w:t>
            </w:r>
          </w:p>
        </w:tc>
        <w:tc>
          <w:tcPr>
            <w:tcW w:w="485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164"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18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老年活动策划与设计</w:t>
            </w:r>
          </w:p>
        </w:tc>
        <w:tc>
          <w:tcPr>
            <w:tcW w:w="485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掌握老年活动类型、策划流程及设计原则，理解老年人身心特点与活动需求，熟悉《老年人权益保障法》中文化权益保障条款，形成“需求－设计－法规”融合的老年活动知识体系。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具备活动创意策划、资源整合与风险管控能力，能设计适老化活动方案，协调政企社多方参与，运用互动技巧提升参与感，满足多元化养老精神需求。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树立“以老为本”服务理念，恪守活动安全伦理，增强社会责任感，关注弱势老年群体文化需求，培养跨领域协作与终身学习能力，形成创新适老服务素养。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弘扬代际共融精神，反思年龄歧视与活动形式化问题，结合“文化养老”战略增强使命担当，强化法治思维与人文关怀</w:t>
            </w:r>
            <w:r>
              <w:rPr>
                <w:rFonts w:hint="eastAsia" w:ascii="仿宋_GB2312" w:hAnsi="仿宋_GB2312" w:eastAsia="仿宋_GB2312" w:cs="仿宋_GB2312"/>
                <w:color w:val="auto"/>
                <w:spacing w:val="-6"/>
                <w:sz w:val="24"/>
                <w:szCs w:val="24"/>
                <w:highlight w:val="none"/>
                <w:lang w:val="en-US" w:eastAsia="zh-CN"/>
              </w:rPr>
              <w:t>，鼓励学生探索科技赋能活动模式，践行“活动助老”理念。</w:t>
            </w:r>
          </w:p>
        </w:tc>
        <w:tc>
          <w:tcPr>
            <w:tcW w:w="216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国内外关于活动策划的成果以及对实际工作的指导意义；活动策划的含义、类型和主要作用，活动策划的基本原则、基本要素和基本程序，活动策划的创新思维模型和典型方法；各类老年活动的策划、组织实施与设计的技巧、活动策划方案写作的程序与技巧等。</w:t>
            </w:r>
          </w:p>
        </w:tc>
        <w:tc>
          <w:tcPr>
            <w:tcW w:w="218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了解国内外关于活动策划的成果以及对实际工作的指导意义。熟悉活动策划的含义、类型和主要作用，活动策划的基本原则、基本要素和基本程序，活动策划的创新思维模型和典型方法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掌握各类老年活动的策划、组织实施与设计的技巧、活动策划方案写作的程序与技巧。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老年人能力评估实务</w:t>
            </w:r>
          </w:p>
        </w:tc>
        <w:tc>
          <w:tcPr>
            <w:tcW w:w="4850"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掌握老年人能力评估标准、工具及流程，理解身心功能衰退规律与评估伦理，熟悉《老年人能力评估规范》等法规，形成“评估</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干预</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法规”融合的专业知识体系。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具备精准评估、需求分析与报告撰写能力，能制定个性化照护计划，整合医疗、社工资源，运用沟通技巧获取真实信息，适应多元化养老服务场景需求。</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树立客观公正评估理念，恪守职业伦理，增强社会责任感，关注失能失智老年群体权益</w:t>
            </w:r>
            <w:r>
              <w:rPr>
                <w:rFonts w:hint="eastAsia" w:ascii="仿宋_GB2312" w:hAnsi="仿宋_GB2312" w:eastAsia="仿宋_GB2312" w:cs="仿宋_GB2312"/>
                <w:spacing w:val="-11"/>
                <w:sz w:val="24"/>
                <w:szCs w:val="24"/>
                <w:highlight w:val="none"/>
              </w:rPr>
              <w:t>，培养跨学科协作与终身学习能力，形成专业评估综合素养。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弘扬人道主义精神，反思评估中的标签化倾向，结合“积极老龄化”战略增强使命担当，强化法治思维与人文关怀，鼓励学生探索智能化评估技术，践行“精准助老”理念。</w:t>
            </w:r>
          </w:p>
        </w:tc>
        <w:tc>
          <w:tcPr>
            <w:tcW w:w="2164"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涵盖老年人评估基本要求；老年人评估的内涵、方法、评分标准和注意事项、评估的管理方法与技巧、常见风险对应处理办法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老年人评估沟通的技巧、老年人评估技术等知识；评估信息管理等。</w:t>
            </w:r>
          </w:p>
        </w:tc>
        <w:tc>
          <w:tcPr>
            <w:tcW w:w="2185"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了解老年人评估基本要求。熟悉老年人评估的内涵、方法、评分标准和注意事项、评估的管理方法与技巧、常见风险对应处理办法。掌握老年人评估沟通的技巧、老年人评估技术等知识，具有为老年人进行自理能力、基础运动能力、精神状态、感知觉与社会参与能力评估的能力。熟练进行评估信息管理；并能熟练运用智能化评估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老年人生活与基础照护实务</w:t>
            </w:r>
          </w:p>
        </w:tc>
        <w:tc>
          <w:tcPr>
            <w:tcW w:w="4850"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掌握老年人生活照护技能、健康监测方法及安全防护要点，理解老年</w:t>
            </w:r>
            <w:r>
              <w:rPr>
                <w:rFonts w:hint="eastAsia" w:ascii="仿宋_GB2312" w:hAnsi="仿宋_GB2312" w:eastAsia="仿宋_GB2312" w:cs="仿宋_GB2312"/>
                <w:sz w:val="24"/>
                <w:szCs w:val="24"/>
                <w:highlight w:val="none"/>
                <w:lang w:val="en-US" w:eastAsia="zh-CN"/>
              </w:rPr>
              <w:t>人</w:t>
            </w:r>
            <w:r>
              <w:rPr>
                <w:rFonts w:hint="eastAsia" w:ascii="仿宋_GB2312" w:hAnsi="仿宋_GB2312" w:eastAsia="仿宋_GB2312" w:cs="仿宋_GB2312"/>
                <w:sz w:val="24"/>
                <w:szCs w:val="24"/>
                <w:highlight w:val="none"/>
              </w:rPr>
              <w:t>生理心理变化与照护需求，熟悉《养老护理员国家职业技能标准》等规范，形成“生活</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健康</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安全”融合的照护知识体系。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具备生活照料、健康管理与应急处理能力，能制定个性化照护计划，规范操作助</w:t>
            </w:r>
            <w:r>
              <w:rPr>
                <w:rFonts w:hint="eastAsia" w:ascii="仿宋_GB2312" w:hAnsi="仿宋_GB2312" w:eastAsia="仿宋_GB2312" w:cs="仿宋_GB2312"/>
                <w:spacing w:val="-6"/>
                <w:sz w:val="24"/>
                <w:szCs w:val="24"/>
                <w:highlight w:val="none"/>
              </w:rPr>
              <w:t>浴、进食等基础服务，运用沟通技巧提升服务温度，适应居家</w:t>
            </w:r>
            <w:r>
              <w:rPr>
                <w:rFonts w:hint="eastAsia" w:ascii="仿宋_GB2312" w:hAnsi="仿宋_GB2312" w:eastAsia="仿宋_GB2312" w:cs="仿宋_GB2312"/>
                <w:spacing w:val="-6"/>
                <w:sz w:val="24"/>
                <w:szCs w:val="24"/>
                <w:highlight w:val="none"/>
                <w:lang w:eastAsia="zh-CN"/>
              </w:rPr>
              <w:t>－</w:t>
            </w:r>
            <w:r>
              <w:rPr>
                <w:rFonts w:hint="eastAsia" w:ascii="仿宋_GB2312" w:hAnsi="仿宋_GB2312" w:eastAsia="仿宋_GB2312" w:cs="仿宋_GB2312"/>
                <w:spacing w:val="-6"/>
                <w:sz w:val="24"/>
                <w:szCs w:val="24"/>
                <w:highlight w:val="none"/>
              </w:rPr>
              <w:t>机构多场景照护需求</w:t>
            </w:r>
            <w:r>
              <w:rPr>
                <w:rFonts w:hint="eastAsia" w:ascii="仿宋_GB2312" w:hAnsi="仿宋_GB2312" w:eastAsia="仿宋_GB2312" w:cs="仿宋_GB2312"/>
                <w:sz w:val="24"/>
                <w:szCs w:val="24"/>
                <w:highlight w:val="none"/>
              </w:rPr>
              <w:t>。</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树立“生命尊严”照护理念，恪守职业伦理，增强责任意识与人文关怀，关注失能失智等弱势群体，培养跨学科协作与终身学习能力，形成专业照护综合素养。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弘扬孝亲敬老传统，反思照护中的“任务化”倾向，结合“健康中国”战略增强使命担当，强化法治思维与细节关怀</w:t>
            </w:r>
            <w:r>
              <w:rPr>
                <w:rFonts w:hint="eastAsia" w:ascii="仿宋_GB2312" w:hAnsi="仿宋_GB2312" w:eastAsia="仿宋_GB2312" w:cs="仿宋_GB2312"/>
                <w:spacing w:val="-6"/>
                <w:sz w:val="24"/>
                <w:szCs w:val="24"/>
                <w:highlight w:val="none"/>
              </w:rPr>
              <w:t>，鼓励学生探索适老化照护技术，践行“科技暖老”理念。</w:t>
            </w:r>
          </w:p>
        </w:tc>
        <w:tc>
          <w:tcPr>
            <w:tcW w:w="2164"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涵盖生活与基础照护的含义、适应症与禁忌</w:t>
            </w:r>
            <w:r>
              <w:rPr>
                <w:rFonts w:hint="eastAsia" w:ascii="仿宋_GB2312" w:hAnsi="仿宋_GB2312" w:eastAsia="仿宋_GB2312" w:cs="仿宋_GB2312"/>
                <w:color w:val="auto"/>
                <w:sz w:val="24"/>
                <w:szCs w:val="24"/>
                <w:highlight w:val="none"/>
                <w:lang w:val="en-US" w:eastAsia="zh-CN"/>
              </w:rPr>
              <w:t>症</w:t>
            </w:r>
            <w:r>
              <w:rPr>
                <w:rFonts w:hint="eastAsia" w:ascii="仿宋_GB2312" w:hAnsi="仿宋_GB2312" w:eastAsia="仿宋_GB2312" w:cs="仿宋_GB2312"/>
                <w:color w:val="auto"/>
                <w:sz w:val="24"/>
                <w:szCs w:val="24"/>
                <w:highlight w:val="none"/>
              </w:rPr>
              <w:t>；老年人排泄照护、清洁照护、 睡眠照护、消毒防护等生活照护知识；老年人饮食照护、生命体征观 测、用药照护等。</w:t>
            </w:r>
          </w:p>
        </w:tc>
        <w:tc>
          <w:tcPr>
            <w:tcW w:w="2185"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了解生活与基础照护的含义、适应症与</w:t>
            </w:r>
            <w:r>
              <w:rPr>
                <w:rFonts w:hint="eastAsia" w:ascii="仿宋_GB2312" w:hAnsi="仿宋_GB2312" w:eastAsia="仿宋_GB2312" w:cs="仿宋_GB2312"/>
                <w:color w:val="auto"/>
                <w:sz w:val="24"/>
                <w:szCs w:val="24"/>
                <w:highlight w:val="none"/>
                <w:lang w:val="en-US" w:eastAsia="zh-CN"/>
              </w:rPr>
              <w:t>禁忌症</w:t>
            </w:r>
            <w:r>
              <w:rPr>
                <w:rFonts w:hint="eastAsia" w:ascii="仿宋_GB2312" w:hAnsi="仿宋_GB2312" w:eastAsia="仿宋_GB2312" w:cs="仿宋_GB2312"/>
                <w:color w:val="auto"/>
                <w:sz w:val="24"/>
                <w:szCs w:val="24"/>
                <w:highlight w:val="none"/>
              </w:rPr>
              <w:t>。</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熟悉老年人排泄照护、清洁照护、睡眠照护、消毒防护等生活照护知识，具备为老年人提供生活照护的能力。掌握老年人饮食照护、生命体征观 测、用药照护等，具备为失能失智老年 人提供基础照护的能力。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老年心理护理实务</w:t>
            </w:r>
          </w:p>
        </w:tc>
        <w:tc>
          <w:tcPr>
            <w:tcW w:w="4850" w:type="dxa"/>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掌握老年心理发展规律、常见心理问题及干预方法，理解老龄化对心理的影响机制，熟悉《精神卫生法》等相关法规</w:t>
            </w:r>
            <w:r>
              <w:rPr>
                <w:rFonts w:hint="eastAsia" w:ascii="仿宋_GB2312" w:hAnsi="仿宋_GB2312" w:eastAsia="仿宋_GB2312" w:cs="仿宋_GB2312"/>
                <w:spacing w:val="-6"/>
                <w:sz w:val="24"/>
                <w:szCs w:val="24"/>
                <w:highlight w:val="none"/>
              </w:rPr>
              <w:t>，形成“心理</w:t>
            </w:r>
            <w:r>
              <w:rPr>
                <w:rFonts w:hint="eastAsia" w:ascii="仿宋_GB2312" w:hAnsi="仿宋_GB2312" w:eastAsia="仿宋_GB2312" w:cs="仿宋_GB2312"/>
                <w:spacing w:val="-6"/>
                <w:sz w:val="24"/>
                <w:szCs w:val="24"/>
                <w:highlight w:val="none"/>
                <w:lang w:eastAsia="zh-CN"/>
              </w:rPr>
              <w:t>－</w:t>
            </w:r>
            <w:r>
              <w:rPr>
                <w:rFonts w:hint="eastAsia" w:ascii="仿宋_GB2312" w:hAnsi="仿宋_GB2312" w:eastAsia="仿宋_GB2312" w:cs="仿宋_GB2312"/>
                <w:spacing w:val="-6"/>
                <w:sz w:val="24"/>
                <w:szCs w:val="24"/>
                <w:highlight w:val="none"/>
              </w:rPr>
              <w:t>行为</w:t>
            </w:r>
            <w:r>
              <w:rPr>
                <w:rFonts w:hint="eastAsia" w:ascii="仿宋_GB2312" w:hAnsi="仿宋_GB2312" w:eastAsia="仿宋_GB2312" w:cs="仿宋_GB2312"/>
                <w:spacing w:val="-6"/>
                <w:sz w:val="24"/>
                <w:szCs w:val="24"/>
                <w:highlight w:val="none"/>
                <w:lang w:eastAsia="zh-CN"/>
              </w:rPr>
              <w:t>－</w:t>
            </w:r>
            <w:r>
              <w:rPr>
                <w:rFonts w:hint="eastAsia" w:ascii="仿宋_GB2312" w:hAnsi="仿宋_GB2312" w:eastAsia="仿宋_GB2312" w:cs="仿宋_GB2312"/>
                <w:spacing w:val="-6"/>
                <w:sz w:val="24"/>
                <w:szCs w:val="24"/>
                <w:highlight w:val="none"/>
              </w:rPr>
              <w:t>法律”融合的老年心理护理知识体系。</w:t>
            </w:r>
          </w:p>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具备心理评估、情绪疏导与危机干预能力，能设计个性化心理支持方案，运用倾听、共情等技巧改善老年心理状态</w:t>
            </w:r>
            <w:r>
              <w:rPr>
                <w:rFonts w:hint="eastAsia" w:ascii="仿宋_GB2312" w:hAnsi="仿宋_GB2312" w:eastAsia="仿宋_GB2312" w:cs="仿宋_GB2312"/>
                <w:spacing w:val="-6"/>
                <w:sz w:val="24"/>
                <w:szCs w:val="24"/>
                <w:highlight w:val="none"/>
              </w:rPr>
              <w:t>，整合家庭</w:t>
            </w:r>
            <w:r>
              <w:rPr>
                <w:rFonts w:hint="eastAsia" w:ascii="仿宋_GB2312" w:hAnsi="仿宋_GB2312" w:eastAsia="仿宋_GB2312" w:cs="仿宋_GB2312"/>
                <w:spacing w:val="-6"/>
                <w:sz w:val="24"/>
                <w:szCs w:val="24"/>
                <w:highlight w:val="none"/>
                <w:lang w:eastAsia="zh-CN"/>
              </w:rPr>
              <w:t>－</w:t>
            </w:r>
            <w:r>
              <w:rPr>
                <w:rFonts w:hint="eastAsia" w:ascii="仿宋_GB2312" w:hAnsi="仿宋_GB2312" w:eastAsia="仿宋_GB2312" w:cs="仿宋_GB2312"/>
                <w:spacing w:val="-6"/>
                <w:sz w:val="24"/>
                <w:szCs w:val="24"/>
                <w:highlight w:val="none"/>
              </w:rPr>
              <w:t>社区资源构建支持网络，适应多元养老场景需求。</w:t>
            </w:r>
          </w:p>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树立“心身共护”理念，恪守保密与尊重原则，增强人文关怀与社会责任感，关注孤寡、失能等弱势老年群体心理需求，培养跨学科协作与终身学习能力，形成专业心理护理素养。</w:t>
            </w:r>
          </w:p>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弘扬孝亲敬老美德，反思年龄歧视与心理污名化现象，结合“积极老龄化”战略增强使命担当，强化职业伦理与法治思维，鼓励学生探索数字化心理干预技术，践行“科技暖心”理念。</w:t>
            </w:r>
          </w:p>
        </w:tc>
        <w:tc>
          <w:tcPr>
            <w:tcW w:w="2164" w:type="dxa"/>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涵盖不良心理因素对老年人心理和身体健康的不良影响；老年心理辅导、心理障碍、心身疾病、心理评估、老年死亡教育与临终关怀的概念、原理和规律等知识；老年人心理健康问题的心理辅疗技巧。</w:t>
            </w:r>
          </w:p>
        </w:tc>
        <w:tc>
          <w:tcPr>
            <w:tcW w:w="2185" w:type="dxa"/>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了解不良心理因素对老年人心理和身体健康的不良影响。熟悉老年心理辅导、心理障碍、心身疾病、心理评估、老年死亡教育与临 终关怀的概念、原理和规律等知识。掌握老年人心理健康问题的心理 辅疗技巧，具备为老年人进行心理支持及辅疗的能力。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老年健康照护</w:t>
            </w:r>
          </w:p>
        </w:tc>
        <w:tc>
          <w:tcPr>
            <w:tcW w:w="4850"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掌握老年健康评估、常见疾病照护及康复技术，理解老龄化对健康的影响机制，熟悉《基本医疗卫生与健康促进法》等法规，形成“健康</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照护</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法律”融合的老年健康照护知识体系。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具备健康监测、症状管理及应急处置能力，能制定个性化照护计划，运用沟通技巧落实护理措施，整合医疗</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社区资源构建照护网络，适应居家</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机构多元场景需求。</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树立“全人照护”理念，恪守职业伦理与隐私保护原则，增强人文关怀与社会责任感，关注失能、慢病等弱势老年群体健康需求，培养跨学科协作与终身学习能力，形成专业健康照护素养。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弘扬敬老爱老传统，反思“重治疗轻照护”观念偏差，结合“健康中国”战略增强使命担当，强化法治思维与生命尊严意识，鼓励学生探索智慧化照护技术，践行“科技护佑健康”理念。</w:t>
            </w:r>
          </w:p>
        </w:tc>
        <w:tc>
          <w:tcPr>
            <w:tcW w:w="2164"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老年健康照护认知基础知识；老年人感官系统与泌尿生殖系统疾病、常见情绪问题等照护知识；老年人呼吸系统、循环系统、消化系统、运动系统、代谢和内分泌、神经系统等慢性病的照护等知识；设计老年人照护方案；运用智慧养老设备及系统协助完成慢性病老年人健康监测及照护。</w:t>
            </w:r>
          </w:p>
        </w:tc>
        <w:tc>
          <w:tcPr>
            <w:tcW w:w="2185"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了解老年健康照护认知基础知识。 熟悉老年人感官系统与泌尿生殖 系统疾病、常见情绪问题等照护的知识 并提供整体照护。 掌握老年人呼吸系统、循环系统、消化系统、运动系统、代谢和内分泌、 神经系统等慢性病的照护等知识并提供 整体照护。具备设计老年人照护方案的能力。 具备运用智慧养老设备及系统协 助完成慢性病老年人健康监测及照护的能力。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老年人生活能力康复训练</w:t>
            </w:r>
          </w:p>
        </w:tc>
        <w:tc>
          <w:tcPr>
            <w:tcW w:w="4850"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sz w:val="24"/>
                <w:szCs w:val="24"/>
                <w:highlight w:val="none"/>
              </w:rPr>
              <w:t>掌握老年人生活能力评估、康复原理及器具应用，理解衰老疾病影响机制，熟悉相关法规，构建“评估</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训练</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支持”康复知识体系。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sz w:val="24"/>
                <w:szCs w:val="24"/>
                <w:highlight w:val="none"/>
              </w:rPr>
              <w:t>具备精准的功能评估与个性化训练方案的高效执行能力，熟练运用作业疗法提升老年人生活技能，有效整合各类资源构建全方位支持网络，巧妙运用激励技巧增强老年人康复信心，全面适应居家、社区、机构等多场景康复需求。</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sz w:val="24"/>
                <w:szCs w:val="24"/>
                <w:highlight w:val="none"/>
              </w:rPr>
              <w:t>树立“赋能助老”理念，恪守伦理安全规范，增强关怀与责任感，关注弱势老年群体，培养协作与终身学习能力，养成专业素养。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sz w:val="24"/>
                <w:szCs w:val="24"/>
                <w:highlight w:val="none"/>
              </w:rPr>
              <w:t>弘扬生命尊严观，反思康复观念偏差，结合战略增强使命担当，强化法治与无障碍意识，鼓励探索智能康复技术</w:t>
            </w:r>
            <w:r>
              <w:rPr>
                <w:rFonts w:hint="eastAsia" w:ascii="仿宋_GB2312" w:hAnsi="仿宋_GB2312" w:eastAsia="仿宋_GB2312" w:cs="仿宋_GB2312"/>
                <w:spacing w:val="-6"/>
                <w:sz w:val="24"/>
                <w:szCs w:val="24"/>
                <w:highlight w:val="none"/>
              </w:rPr>
              <w:t>，践行“科技赋能康复”。</w:t>
            </w:r>
          </w:p>
        </w:tc>
        <w:tc>
          <w:tcPr>
            <w:tcW w:w="2164"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涵盖生活能力康复训练含义、适应症与禁忌</w:t>
            </w:r>
            <w:r>
              <w:rPr>
                <w:rFonts w:hint="eastAsia" w:ascii="仿宋_GB2312" w:hAnsi="仿宋_GB2312" w:eastAsia="仿宋_GB2312" w:cs="仿宋_GB2312"/>
                <w:color w:val="auto"/>
                <w:sz w:val="24"/>
                <w:szCs w:val="24"/>
                <w:highlight w:val="none"/>
                <w:lang w:val="en-US" w:eastAsia="zh-CN"/>
              </w:rPr>
              <w:t>症</w:t>
            </w:r>
            <w:r>
              <w:rPr>
                <w:rFonts w:hint="eastAsia" w:ascii="仿宋_GB2312" w:hAnsi="仿宋_GB2312" w:eastAsia="仿宋_GB2312" w:cs="仿宋_GB2312"/>
                <w:color w:val="auto"/>
                <w:sz w:val="24"/>
                <w:szCs w:val="24"/>
                <w:highlight w:val="none"/>
              </w:rPr>
              <w:t>；老年人自理能力、家务劳动能力康复训练的方法，老年人辅助器具与助行器具的选配与使用、生活环境改造 与控制技术等知识；老年人生活活动能力、老年人社区活动能力康复训练等知识。</w:t>
            </w:r>
          </w:p>
        </w:tc>
        <w:tc>
          <w:tcPr>
            <w:tcW w:w="2185"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了解生活能力康复训练含义、适应症与禁忌</w:t>
            </w:r>
            <w:r>
              <w:rPr>
                <w:rFonts w:hint="eastAsia" w:ascii="仿宋_GB2312" w:hAnsi="仿宋_GB2312" w:eastAsia="仿宋_GB2312" w:cs="仿宋_GB2312"/>
                <w:color w:val="auto"/>
                <w:sz w:val="24"/>
                <w:szCs w:val="24"/>
                <w:highlight w:val="none"/>
                <w:lang w:val="en-US" w:eastAsia="zh-CN"/>
              </w:rPr>
              <w:t>症</w:t>
            </w:r>
            <w:r>
              <w:rPr>
                <w:rFonts w:hint="eastAsia" w:ascii="仿宋_GB2312" w:hAnsi="仿宋_GB2312" w:eastAsia="仿宋_GB2312" w:cs="仿宋_GB2312"/>
                <w:color w:val="auto"/>
                <w:sz w:val="24"/>
                <w:szCs w:val="24"/>
                <w:highlight w:val="none"/>
              </w:rPr>
              <w:t xml:space="preserve">。 </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熟悉老年人自理能力、家务劳动能 力康复训练的方法，老年人辅助器具与助行器具的选配与使用、生活环境改造 与控制技术等知识。掌握老年人生活活动能力、老年人 社区活动能力康复训练等知识。具备为老年人进行生活活动能力、自理能力、家务能力等康复训练的能力。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社区居家智慧康养管理</w:t>
            </w:r>
          </w:p>
        </w:tc>
        <w:tc>
          <w:tcPr>
            <w:tcW w:w="4850"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掌握社区居家康养模式、智慧技术应用及服务管理流程，理解老龄化对社区服务的影响，熟悉《智慧健康养老产业发展行动计划》等政策，形成“社区</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技术</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政策”融合的康养管理知识体系。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具备需求分析、资源整合与服务质量监控能力，能设计智慧化康养方案，运用物联网设备监测健康数据，协调政企社多方资源，运用沟通技巧提升服务满意度</w:t>
            </w:r>
            <w:r>
              <w:rPr>
                <w:rFonts w:hint="eastAsia" w:ascii="仿宋_GB2312" w:hAnsi="仿宋_GB2312" w:eastAsia="仿宋_GB2312" w:cs="仿宋_GB2312"/>
                <w:spacing w:val="-6"/>
                <w:sz w:val="24"/>
                <w:szCs w:val="24"/>
                <w:highlight w:val="none"/>
              </w:rPr>
              <w:t>，适应社区居家场景需求。</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树立“精准助老”服务理念，恪守职业伦理与数据安全规范，增强社会责任感，关注高龄、独居等弱势群体需求，培养跨学科协作与终身学习能力，形成专业社区康养管理素养。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弘扬邻里互助精神，反思“技术鸿沟”与“服务疏离”问题，结合“基层治理现代化”战略增强使命担当，强化法治思维与人文关怀，鼓励学生探索适老化智能技术，践行“科技惠民”理念。</w:t>
            </w:r>
          </w:p>
        </w:tc>
        <w:tc>
          <w:tcPr>
            <w:tcW w:w="2164"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社区居家养老服务的内涵、现状、发展趋势、特色化服务实践；社区居家养老服务质量、供应商、志愿者、顾客满意度等管理；社区居家养老基础设施选址与设计、标准化建设、服务设计开发、智慧化管理、风险管理等。</w:t>
            </w:r>
          </w:p>
        </w:tc>
        <w:tc>
          <w:tcPr>
            <w:tcW w:w="2185"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了解社区居家养老服务的内涵、现状、发展趋势、特色化服务实践。 熟悉社区居家养老服务质量、供应商、志愿者、顾客满意度等管理。 掌握社区居家养老基础设施选址与设计、标准化建设、服务设计开发、 智慧化管理、风险管理等。 具有社区居家智慧化运营管理的基本能力。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养老机构智慧运营与管理</w:t>
            </w:r>
          </w:p>
        </w:tc>
        <w:tc>
          <w:tcPr>
            <w:tcW w:w="4850"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掌握养老机构运营模式、智慧管理系统及服务标准，理解老龄化对机构管理的影响，熟悉《养老机构管理办法》等法规，形成“管理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技术</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法规”融合的智慧运营知识体系。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具备需求分析、资源优化与风险管控能力，能设计智慧化运营方案，运用大数据提升服务效率，协调医护、社工等多方资源，运用沟通技巧提升服务满意度，适应机构多元化运营需求。</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树立“品质养老”服务理念，恪守职业伦理与安全规范，增强社会责任感，关注失能失智等弱势老年群体需求，培养跨学科协作与终身学习能力，形成专业机构管理综合素养。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老吾老”人文精神，反思机构服务中的“标准化疏离”现象，结合“积极应对老龄化”国家战略增强使命担当，强化法治思维与精细化管理意识，鼓励学生探索适老化智能技术，践行“科技赋能养老”理念。</w:t>
            </w:r>
          </w:p>
        </w:tc>
        <w:tc>
          <w:tcPr>
            <w:tcW w:w="2164"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涵盖养老机构的服务对象、服务特点及类型、民非注册与工商注册的优劣、养老服务模式、养老标准与规范；养老机构的论证、申报审批、 建筑设计、行政管理、后勤管理</w:t>
            </w:r>
            <w:r>
              <w:rPr>
                <w:rFonts w:hint="eastAsia" w:ascii="仿宋_GB2312" w:hAnsi="仿宋_GB2312" w:eastAsia="仿宋_GB2312" w:cs="仿宋_GB2312"/>
                <w:color w:val="auto"/>
                <w:sz w:val="24"/>
                <w:szCs w:val="24"/>
                <w:highlight w:val="none"/>
                <w:lang w:val="en-US" w:eastAsia="zh-CN"/>
              </w:rPr>
              <w:t>与</w:t>
            </w:r>
            <w:r>
              <w:rPr>
                <w:rFonts w:hint="eastAsia" w:ascii="仿宋_GB2312" w:hAnsi="仿宋_GB2312" w:eastAsia="仿宋_GB2312" w:cs="仿宋_GB2312"/>
                <w:color w:val="auto"/>
                <w:sz w:val="24"/>
                <w:szCs w:val="24"/>
                <w:highlight w:val="none"/>
              </w:rPr>
              <w:t>品牌营销、养老机构项目定位的内容与方法；养老机构的照护管理、智慧化管理、风险管理，具有养老机构运营与管理的能力。</w:t>
            </w:r>
          </w:p>
        </w:tc>
        <w:tc>
          <w:tcPr>
            <w:tcW w:w="2185"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了解养老机构的服务对象、服务特点及类型、民非注册与工商注册的优劣、养老服务模式、养老标准与规范。熟悉养老机构的论证、申报审批、 建筑设计、行政管理、后勤管理品牌营销、养老机构项目定位的内容与方法。掌握养老机构的照护管理、智慧化管理、风险管理，具有养老机构运营与管理的能力。</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6"/>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拓展课程是按照岗位迁移，根据智慧健康养老服务与管理行业发展的趋势，依据企业用人需求调研，建立了智慧健康养老服务与管理专业拓展课，并将辅修方向课程纳入其中。由智慧养老技术概论、老龄经济基础、老龄产业市场营销基础、老年消费行为分析、老年运动保健、音乐治疗、适老智能家居规划、养老机构文书拟写与处理、养老机构感染控制管理、社区居家简易急救、社区居家适老化环境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kern w:val="0"/>
          <w:sz w:val="32"/>
          <w:szCs w:val="32"/>
          <w:lang w:val="en-US" w:eastAsia="zh-CN" w:bidi="ar"/>
        </w:rPr>
        <w:t>习近平经济思想概论</w:t>
      </w:r>
      <w:r>
        <w:rPr>
          <w:rFonts w:hint="eastAsia" w:ascii="仿宋_GB2312" w:hAnsi="仿宋_GB2312" w:eastAsia="仿宋_GB2312" w:cs="仿宋_GB2312"/>
          <w:color w:val="auto"/>
          <w:sz w:val="32"/>
          <w:szCs w:val="32"/>
        </w:rPr>
        <w:t>等课程构成专业拓展课。</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rPr>
      </w:pP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000000" w:themeColor="text1"/>
          <w:sz w:val="32"/>
          <w:szCs w:val="32"/>
          <w:highlight w:val="none"/>
          <w14:textFill>
            <w14:solidFill>
              <w14:schemeClr w14:val="tx1"/>
            </w14:solidFill>
          </w14:textFill>
        </w:rPr>
        <w:t>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1"/>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858"/>
        <w:gridCol w:w="4534"/>
        <w:gridCol w:w="2332"/>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序号</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名称</w:t>
            </w:r>
          </w:p>
        </w:tc>
        <w:tc>
          <w:tcPr>
            <w:tcW w:w="4534"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33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12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智慧养老技术概论</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掌握智慧养老技术体系、核心模块（如物联网、AI）及应用场景，理解技术驱动下的养老模式变革，熟悉《智慧健康养老产品及服务推广目录》等政策，形成“技术－产业－政策”融合的知识框架。</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pacing w:val="-6"/>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具备技术选型评估、系统集成与适老化改造能力，能分析老年人需求并匹配智能解决方案</w:t>
            </w:r>
            <w:r>
              <w:rPr>
                <w:rFonts w:hint="eastAsia" w:ascii="仿宋_GB2312" w:hAnsi="仿宋_GB2312" w:eastAsia="仿宋_GB2312" w:cs="仿宋_GB2312"/>
                <w:color w:val="auto"/>
                <w:spacing w:val="-6"/>
                <w:sz w:val="24"/>
                <w:szCs w:val="24"/>
                <w:highlight w:val="none"/>
                <w:lang w:val="en-US" w:eastAsia="zh-CN"/>
              </w:rPr>
              <w:t>，整合硬件、平台与服务资源，运用用户反馈优化技术应用，适应多元养老场景需求。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树立“科技赋能养老”理念，恪守技术伦理与数据安全规范，增强社会责任感，关注农村、失能等弱势老年群体技术可及性，培养跨学科协作与终身学习能力，形成技术人文融合素养。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弘扬“科技为民”价值观，反思“技术至上”与“数字鸿沟”矛盾，结合“新质生产力”战略增强使命担当，强化法治思维与包容性设计意识，鼓励学生探索普惠型智慧养老技术，践行“科技向善惠老”理念。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本课程主要围绕智慧养老领域的前沿技术展开，介绍物联网、大数据、人工智能、云计算等新兴技术在养老场景中的应用原理与方式。通过理论讲解与案例分析，让学生了解智慧养老系统的架构、功能模块以及运行机制，掌握如何利用技术手段实现对老年人健康状况的实时监测、生活服务的精准提供以及安全风险的及时预警，培养学生在智慧养老领域的技术认知与应用能力，为后续深入学习与实践奠定基础。</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理解智慧养老所涉及的关键技术原理，如物联网、大数据、人工智能等在养老场景中的具体应用机制。能够准确分析不同技术解决养老问题的优势与局限，具备结合实际养老需求，初步规划智慧养老技术方案的能力。通过实践操作，熟练掌握常见智慧养老设备的配置与调试方法，培养创新思维，关注行业前沿动态，为后续在智慧养老领域的深入学习与实践奠定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老龄经济基础</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掌握老龄经济内涵、产业分类及市场运行规律，理解人口老龄化对经济结构的影响机制，熟悉养老金融、银发消费等政策工具，形成“宏观</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产业</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政策”融合的老龄经济知识体系。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具备老龄市场分析、产业项目策划与风险评估能力，能设计适老化产品营销方案</w:t>
            </w:r>
            <w:r>
              <w:rPr>
                <w:rFonts w:hint="eastAsia" w:ascii="仿宋_GB2312" w:hAnsi="仿宋_GB2312" w:eastAsia="仿宋_GB2312" w:cs="仿宋_GB2312"/>
                <w:spacing w:val="-6"/>
                <w:sz w:val="24"/>
                <w:szCs w:val="24"/>
                <w:highlight w:val="none"/>
              </w:rPr>
              <w:t>，整合政府、企业、资本资源，运用数据模型预测老龄消费趋势，适应老龄化市场发展需求。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树立“经济赋能养老”理念，恪守商业伦理与社会责任，增强包容性发展意识，关注农村、低收入等弱势老年群体经济权益，培养跨学科协作与终身学习能力，形成老龄经济专业素养。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弘扬“老有所养”经济伦理，反思市场逐利与普惠性的平衡问题，结合“共同富裕”战略增强使命担当，强化法治思维与公平竞争意识，鼓励学生探索可持续老龄经济模式，践行“发展为民”理念。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本</w:t>
            </w:r>
            <w:r>
              <w:rPr>
                <w:rFonts w:hint="eastAsia" w:ascii="仿宋_GB2312" w:hAnsi="仿宋_GB2312" w:eastAsia="仿宋_GB2312" w:cs="仿宋_GB2312"/>
                <w:color w:val="auto"/>
                <w:sz w:val="24"/>
                <w:szCs w:val="24"/>
                <w:highlight w:val="none"/>
              </w:rPr>
              <w:t>课程聚焦于老龄化社会背景下的经济现象与规律。系统阐述老龄</w:t>
            </w:r>
            <w:r>
              <w:rPr>
                <w:rFonts w:hint="eastAsia" w:ascii="仿宋_GB2312" w:hAnsi="仿宋_GB2312" w:eastAsia="仿宋_GB2312" w:cs="仿宋_GB2312"/>
                <w:sz w:val="24"/>
                <w:szCs w:val="24"/>
                <w:highlight w:val="none"/>
              </w:rPr>
              <w:t>经济</w:t>
            </w:r>
            <w:r>
              <w:rPr>
                <w:rFonts w:hint="eastAsia" w:ascii="仿宋_GB2312" w:hAnsi="仿宋_GB2312" w:eastAsia="仿宋_GB2312" w:cs="仿宋_GB2312"/>
                <w:color w:val="auto"/>
                <w:sz w:val="24"/>
                <w:szCs w:val="24"/>
                <w:highlight w:val="none"/>
              </w:rPr>
              <w:t>的内涵、特征与发展趋势，分析老年人口结构变化对消费市场、劳动力市场、社会保障体系等方面产生的深远影响。探讨老龄产业的经济属性、产业链结构以及商业模式，研究如何合理配置资源以推动老龄经济的可持续发展，帮助学生从经济学的视角认识老龄化问题，培养其在老龄经济领域的分析与决策能力。。</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掌握老龄经济的基本概念、特征及运行规律，清晰认识老龄化对宏观经济各层面的影响。能够运用所学经济理论，深入分析老龄产业发展的经济环境、市场结构与竞争态势。通过案例研究，培养解决老龄经济实际问题的能力，如合理规划老龄产业资源、评估老龄产业项目的经济效益等，形成对老龄经济全面、客观的认识，为从事老龄经济相关工作提供理论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老龄产业市场营销基础</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掌握老龄产业市场细分、消费行为特征及营销策略，理解老龄化对市场需求的影响机制，熟悉银发经济政策与适老化产品标准，形成“市场</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消费者</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政策”融合的营销知识体系。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具备市场调研、品牌策划与精准推广能力，能设计适老化产品营销方案，整合线上线下渠道资源，运用情感化沟通提升客户粘性，适应老龄化市场多元化需求。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树立“服务为本”营销理念，恪守商业伦理与适老化设计原则，增强社会责任感，关注农村、失能等弱势老年群体消费权益，培养跨学科协作与终身学习能力，形成专业营销素养。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老吾老以及人之老”的商业伦理，反思营销中的年龄歧视与过度商业化问题，结合“国内国际双循环”战略增强使命担当，强化法治思维与普惠服务意识，鼓励学生探索可持续老龄营销模式，践行“商业向善”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旨在传授老龄产业市场营销的核心知识与技能。介绍老龄产业市场的特点、细分方法以及目标市场选择策略，让学生了解老年消费者的独特需求与消费行为模式。详细讲解产品策略、价格策略、渠道策略和促销策略在老龄产业中的应用，结合实际案例分析如何制定有效的市场营销组合方案，提升学生在老龄产业市场营销方面的策划与执行能力，以更好地满足老年市场需求，促进老龄产业的发展。</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把握老龄产业市场的独特需求与消费特征，熟练掌握市场细分、目标市场选择及市场定位的方法。能够根据老年消费者的心理和行为特点，制定有效的市场营销组合策略，包括产品策略、价格策略、渠道策略和促销策略。通过实际项目模拟，锻炼市场调研、营销策划与执行的能力，学会运用数据分析评估营销效果，提升在老龄产业市场营销领域的综合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老年消费行为分析</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掌握老年消费心理、决策机制及行为特征，理解老龄化对消费结构的影响，熟悉银发市场细分与适老化产品标准，形成“心理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行为</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市场”融合的消费分析知识体系。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具备消费调研、数据解读与策略制定能力，能设计适老化产品定位方案，整合线上线下消费场景资源，运用共情沟通提升服务体验，适应老龄化消费升级需求。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树立“以老为本”服务理念，恪守商业伦理与隐私保护原则，增强社会责任感，关注农村、低收入等弱势老年群体消费公平，培养跨学科协作与终身学习能力，形成专业消费分析能力。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弘扬“代际共融”消费伦理，反思营销中的年龄歧视与过度商业化倾向，结合“扩大内需”战略增强使命担当，强化法治思维与包容性设计意识，鼓励学生探索可持续消费模式，践行“商业惠老”理念。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本课程深入剖析老年群体的消费心理与行为特征。通过研究老年人的生理、心理和社会文化因素对其消费决策的影响，揭示老年消费行为的内在规律。运用市场调研方法收集老年消费数据，分析老年人在不同产品和服务领域的消费偏好、消费习惯以及消费动机。探讨如何根据老年消费行为特点进行市场定位、产品设计和营销推广，为企业开拓老年市场提供理论支持与实践指导，培养学生研究和分析老年消费行为的专业能力。</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了解老年消费群体的生理、心理和社会文化因素对消费行为的影响，能够运用科学的研究方法收集和分析老年消费数据。准确识别老年消费者在不同产品和服务领域的消费偏好、动机及决策过程，通过案例分析，总结老年消费行为的规律和趋势。培养从老年消费行为角度为企业提供市场策略建议的能力，助力企业更好地满足老年市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老年运动保健</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掌握老年运动生理特点、常见疾病运动禁忌及保健方法，理解老龄化对运动能力的影响机制，熟悉《全民健身指南》等适老化运动规范，形成“生理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病理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运动”融合的保健知识体系。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具备运动风险评估、个性化方案设计与动态调整能力，能运用康复器械指导安全训练，整合医疗、社区运动资源，运用激励技巧提升老年人参与度</w:t>
            </w:r>
            <w:r>
              <w:rPr>
                <w:rFonts w:hint="eastAsia" w:ascii="仿宋_GB2312" w:hAnsi="仿宋_GB2312" w:eastAsia="仿宋_GB2312" w:cs="仿宋_GB2312"/>
                <w:spacing w:val="-6"/>
                <w:sz w:val="24"/>
                <w:szCs w:val="24"/>
                <w:highlight w:val="none"/>
              </w:rPr>
              <w:t>，适应不同健康状态需求。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树立“科学助老”运动理念，恪守职业安全与适老化设计原则，增强社会责任感，关注失能、慢病等弱势老年群体运动权益，培养跨学科协作与终身学习能力，形成专业运动保健素养。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弘扬“生命在于运动”的健康伦理，反思“重治疗轻预防”的观念偏差，结合“健康中国”战略增强使命担当，强化法治思维与无障碍服务意识，鼓励学生探索智能化运动监测技术，践行“运动惠老”理念。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围绕老年人的身体特点和健康需求，传授适合老年人的运动保健知识与技能。介绍常见老年疾病的运动康复原理与方法，如心血管疾病、糖尿病、骨关节疾病等的运动干预措施。讲解不同运动项目对老年人身体机能的影响，指导学生如何根据自身健康状况选择合适的运动方式和运动强度。同时，强调运动过程中的安全注意事项和运动损伤的预防与处理，培养学生在老年运动保健领域的指导与服务能力，帮助老年人通过科学运动提高生活质量。</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掌握老年人的生理特点和常见疾病的运动康复原理，能够根据老年人的健康状况制定个性化的运动保健方案。熟练掌握适合老年人的运动项目的操作技能和训练方法，包括运动强度的控制、运动频率的安排等。具备指导老年人正确进行运动锻炼的能力，能够有效预防和处理运动过程中可能出现的问题，如运动损伤的预防与急救等，提高老年人的身体健康水平和生活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音乐治疗</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掌握音乐治疗原理、老年心理干预机制及适老化音乐设计方法，理解老龄化对身心健康的影响，熟悉《精神卫生法》等相关法规，形成“音乐</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心理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生理”融合的治疗知识体系。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具备需求评估、个性化音乐方案设计与动态调整能力，能运用乐器、声乐等多元形式开展干预，整合医疗、社区资源构建支持网络，运用沟通技巧提升老年人参与意愿，适应不同健康状态需求。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树立“以乐愈老”人文理念，恪守职业伦理与隐私保护原则，增强社会责任感，关注认知障碍、抑郁等弱势老年群体心理健康，培养跨学科协作与终身学习能力，形成专业音乐治疗素养。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弘扬“乐以忘忧”的传统文化精髓，反思“老年心理问题污名化”现象，结合“健康中国”战略增强使命担当，强化法治思维与人性化服务意识，鼓励学生探索智能音乐辅助技术，践行“艺术惠老”理念。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本课程主要探索音乐在老年身心健康调理方面的应用。介绍音乐治疗的基本理论、原理和方法，让学生了解音乐如何通过生理、心理和社会文化等途径对老年人产生积极影响。通过实际案例分析和实践操作，教授学生如何运用音乐疗法缓解老年人的焦虑、抑郁等不良情绪，改善睡眠质量，增强认知功能，促进社交互动。培养学生具备运用音乐治疗技术为老年人提供专业服务的能力，丰富老年人的精神文化生活，提升其身心健康水平。</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系统学习音乐治疗的基本理论、方法和技巧，深入理解音乐对老年人身心健康的积极影响机制。能够根据老年人的不同心理和生理状况，选择合适的音乐素材和治疗方式，制定个性化的音乐治疗方案。通过实践操作，熟练掌握音乐治疗的具体实施过程，包括音乐引导、互动环节设计等，培养观察和评估音乐治疗效果的能力，为老年人提供有效的心理支持和健康调理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适老智能家居规划</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掌</w:t>
            </w:r>
            <w:r>
              <w:rPr>
                <w:rFonts w:hint="eastAsia" w:ascii="仿宋_GB2312" w:hAnsi="仿宋_GB2312" w:eastAsia="仿宋_GB2312" w:cs="仿宋_GB2312"/>
                <w:sz w:val="24"/>
                <w:szCs w:val="24"/>
                <w:highlight w:val="none"/>
              </w:rPr>
              <w:t>握适老智能家居设计原则、技术标准及适老化产品类型，理解老龄化对居住环境的需求差异，熟悉《无障碍环境建设条例》等法规，形成“空间</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技术</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法规”融合的规划知识体系。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具备需求分析、功能配置与系统集成能力，能设计安全便捷的智能家居方案，整合硬件、软件及服务资源，运用场景化设计提升用户体验，适应不同健康状态老年群体需求。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树立“科技适老”设计理念，恪守无障碍设计伦理与隐私保护原则，增强社会责任感，关注失能、独居等弱势老年群体居家安全，培养跨学科协作与终身学习能力，形成专业规划素养。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弘扬“居有所安”的人文关怀，反思“技术适老化不足”问题，结合“智慧健康养老”战略增强使命担当，强化法治思维与人性化服务意识，鼓励学生探索普惠型智能家居技术，践行“科技暖老”理念。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课程聚焦于为老年人打造智能舒适的家居环境。介绍适老智能家居的概念、设计原则和发展趋势，分析老年人居家生活中的需求痛点与安全隐患。讲解智能家居系统的组成与功能，如智能安防、智能健康监测、智能家电控制等，指导学生如何根据老年人的身体状况和生活习惯进行智能家居设备的选型与布局规划。通过实际项目案例分析，培养学生具备适老智能家居规划设计的实践能力，为老年人创造安全、便捷、舒适的居家生活环境。</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熟悉适老智能家居的相关技术和产品，了解老年人在居家生活中的需求和痛点。能够运用专业知识，结合老年人的身体状况和生活习惯，进行合理的智能家居设备选型和空间布局规划。掌握智能家居系统的集成与调试方法，确保系统的稳定性和易用性。通过实际项目设计，培养创新思维和解决实际问题的能力，为老年人打造安全、舒适、便捷的智能居家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养老机构文书拟写与处理</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掌握养老机构文书类型、写作规范及档案管理要求，理解老龄政策对文书工作的指导作用，熟悉《档案法</w:t>
            </w:r>
            <w:r>
              <w:rPr>
                <w:rFonts w:hint="eastAsia" w:ascii="仿宋_GB2312" w:hAnsi="仿宋_GB2312" w:eastAsia="仿宋_GB2312" w:cs="仿宋_GB2312"/>
                <w:sz w:val="24"/>
                <w:szCs w:val="24"/>
                <w:highlight w:val="none"/>
                <w:lang w:eastAsia="zh-CN"/>
              </w:rPr>
              <w:t>中华人民共和国老年人权益保障法</w:t>
            </w:r>
            <w:r>
              <w:rPr>
                <w:rFonts w:hint="eastAsia" w:ascii="仿宋_GB2312" w:hAnsi="仿宋_GB2312" w:eastAsia="仿宋_GB2312" w:cs="仿宋_GB2312"/>
                <w:sz w:val="24"/>
                <w:szCs w:val="24"/>
                <w:highlight w:val="none"/>
              </w:rPr>
              <w:t>》等相关法规，形成“政策</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实务</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法规”融合的文书知识体系。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具备需求评估、规范撰写与高效处理能力，能起草服务协议、风险预案等适老化文书，整合电子化与纸质档案管理资源，运用沟通技巧提升跨部门协作效率，适应养老机构运营需求。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树立“文书惠老”服务理念，恪守职业保密与精准规范原则，增强社会责任感，关注失能、失智等弱势老年群体权益记录，培养跨学科协作与终身学习能力，形成专业文书处理素养。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弘扬“文书载道”的职业精神，反思“重服务轻记录”的管理偏差，结合“积极应对老龄化”战略增强使命担当，强化法治思维与人性化服务意识，鼓励学生探索智慧档案管理技术，践行“数字护老”理念。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课程主要培养学生在养老机构中的文书撰写与规范处理能力。介绍养老机构常见文书的种类、格式和写作要求，如工作计划、工作总结、会议记录、请示报告、合同协议等。通过实际案例分析和模拟写作练习，让学生掌握各类文书的写作技巧和规范，提高文字表达能力和逻辑思维能力。同时，讲解文书处理的流程和方法，包括文书的收发、登记、传阅、归档等环节，培养学生严谨细致的工作作风，确保养老机构文书工作的准确、高效运行。</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掌握养老机构各类文书的写作规范和要求，包括文书的格式、内容结构、语言表达等方面。能够根据养老机构的实际工作需求，撰写高质量的工作计划、总结、报告、合同等文书。熟练掌握文书处理的流程和方法，包括文书的收发、登记、传阅、归档等环节，确保文书工作的准确、高效和规范。培养严谨细致的工作态度和良好的沟通协调能力，以适应养老机构文书工作的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养老机构感染控制管理</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掌握养老机构感染传播机制、防控标准及应急预案，理解老龄群体易感特征与感染影响，熟悉《传染病防治法》《养老机构管理办法》等法规，形成“预防</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处置</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法规”融合的感染控制知识体系。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具备风险评估、流程设计与动态监测能力，能制定适老化消毒隔离方案，整合医疗</w:t>
            </w:r>
            <w:r>
              <w:rPr>
                <w:rFonts w:hint="eastAsia" w:ascii="仿宋_GB2312" w:hAnsi="仿宋_GB2312" w:eastAsia="仿宋_GB2312" w:cs="仿宋_GB2312"/>
                <w:spacing w:val="-6"/>
                <w:sz w:val="24"/>
                <w:szCs w:val="24"/>
                <w:highlight w:val="none"/>
              </w:rPr>
              <w:t>、后勤资源构建防控网络，运用沟通技巧提升员工执行效能，适应突发公共卫生事件需求。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树立“生命至上”防控理念，恪守职业安全与隐私保护原则，增强社会责任感，关注失能、认知障碍等弱势老年群体感染防护，培养跨学科协作与终身学习能力，形成专业管理能力。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弘扬“护老安康”的职业精神，反思“重服务轻防控”的认知偏差，结合“健康中国”战略增强使命担当，强化法治思维与科学防控意识，鼓励学生探索智能监测预警技术，践行“科技卫老”理念。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课程围绕养老机构感染预防与控制展开教学。介绍感染控制的基本概念、原则和方法，让学生了解养老机构感染的常见类型、传播途径和危险因素。讲解养老机构感染控制管理体系的建立与运行，包括感染控制制度的制定、人员培训、环境清洁消毒、医疗废物处理等方面。通过实际案例分析和模拟演练，培养学生具备应对养老机构感染突发事件的能力，有效预防和控制感染的发生与传播，保障老年人的身体健康和生命安全。</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了解养老机构感染控制的相关法律法规和标准规范，掌握感染传播的途径和预防控制的基本原理。能够制定科学合理的养老机构感染控制管理制度和应急预案，组织开展感染控制培训和演练活动。熟练掌握环境清洁消毒、医疗废物处理、手卫生等感染控制操作技能，具备对感染事件进行调查分析和处理的能力。通过实践锻炼，提高在养老机构感染控制管理方面的综合素养，保障老年人的身体健康和生命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社区居家简易急救</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掌握社区居家常见急症识别、急救原则及适老化操作规范，理解老龄群体生理特点对急救的影响，熟悉《急救医疗管理条例》等法规，形成“症状</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处置</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法规”融合的急救知识体系。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pacing w:val="-6"/>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具备风险预判、快速响应与规范施救能力，能设计居家急救场景应对方案，整合社区</w:t>
            </w:r>
            <w:r>
              <w:rPr>
                <w:rFonts w:hint="eastAsia" w:ascii="仿宋_GB2312" w:hAnsi="仿宋_GB2312" w:eastAsia="仿宋_GB2312" w:cs="仿宋_GB2312"/>
                <w:spacing w:val="-6"/>
                <w:sz w:val="24"/>
                <w:szCs w:val="24"/>
                <w:highlight w:val="none"/>
              </w:rPr>
              <w:t>、医疗资源构建应急网络，运用沟通技巧安抚患者及家属情绪，适应老龄化社区急救需求。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树立“生命第一”急救理念，恪守职业伦理与隐私保护原则，增强社会责任感，关注独居、失能等弱势老年群体急救权益，培养跨学科协作与终身学习能力，形成专业急救素养。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弘扬“守望相助”的邻里精神，反思“急救知识普及不足”问题，结合“健康中国”战略增强使命担当，强化法治思维与科学施救意识，鼓励学生探索智能急救预警技术，践行“科技护老”理念。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课程旨在传授社区居家场景下应对突发状况的简易急救技能。介绍常见急症和意外伤害的识别与初步处理方法，如心肺复苏、止血包扎、骨折固定、烫伤处理等。通过理论讲解、视频演示和实际操作练习，让学生熟练掌握这些急救技能的操作要领和注意事项。强调急救的时效性和重要性，培养学生在紧急情况下冷静应对、迅速施救的能力，为社区居家老年人的生命健康提供及时有效的保障。</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掌握常见急症和意外伤害的识别方法和初步处理原则，如心肺复苏、止血包扎、骨折固定等急救技能的操作要领。能够在实际场景中迅速、准确地判断病情，并采取有效的急救措施。通过模拟演练和实际操作，提高应急反应能力和实际操作技能水平，培养冷静、果断的心理素质。具备向社区居民普及简易急救知识的能力，提高社区整体的急救意识和应急处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社区居家适老化环境设计</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sz w:val="24"/>
                <w:szCs w:val="24"/>
                <w:highlight w:val="none"/>
              </w:rPr>
              <w:t>掌握社区居家适老化设计原则、人体工学标准及无障碍技术规范，理解老龄化对居住空间的功能需求，熟悉《无障碍环境建设条例》等法规，形成“空间</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功能</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法规”融合的设计知识体系。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sz w:val="24"/>
                <w:szCs w:val="24"/>
                <w:highlight w:val="none"/>
              </w:rPr>
              <w:t>具备需求评估、个性化改造方案设计与动态优化能力，能整合建筑、家具、智能设备资源，运用场景化设计提升居家安全性与便利性，适应不同健康状态老年群体需求。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sz w:val="24"/>
                <w:szCs w:val="24"/>
                <w:highlight w:val="none"/>
              </w:rPr>
              <w:t>树立“环境助老”设计理念，恪守职业伦理与适老化细节规范，增强社会责任感，关注失能、独居等弱势老年群体居家环境改善，培养跨学科协作与终身学习能力，形成专业设计素养。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highlight w:val="none"/>
              </w:rPr>
              <w:t>弘扬“安居乐老”的人文精神，反思“适老化设计形式化”问题，结合“积极应对老龄化”战略增强使命担当，强化法治思维与人性化服务意识，鼓励学生探索模块化适老改造技术，践行“设计暖老”理念。</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课程主要研究如何打造适宜老年人社区居家生活的环境。分析老年人的生理、心理和行为特点对居住环境的需求，介绍社区居家适老化环境设计的原则和标准。讲解室内外空间布局、无障碍设施设置、照明与色彩搭配、家具与设备选型等方面的设计要点，通过实际项目案例分析和设计方案制作练</w:t>
            </w:r>
            <w:r>
              <w:rPr>
                <w:rFonts w:hint="eastAsia" w:ascii="仿宋_GB2312" w:hAnsi="仿宋_GB2312" w:eastAsia="仿宋_GB2312" w:cs="仿宋_GB2312"/>
                <w:sz w:val="21"/>
                <w:szCs w:val="21"/>
                <w:highlight w:val="none"/>
              </w:rPr>
              <w:t>习，培养学生具备社区居家适老化环境设计的实践能力，为老</w:t>
            </w:r>
            <w:r>
              <w:rPr>
                <w:rFonts w:hint="eastAsia" w:ascii="仿宋_GB2312" w:hAnsi="仿宋_GB2312" w:eastAsia="仿宋_GB2312" w:cs="仿宋_GB2312"/>
                <w:sz w:val="24"/>
                <w:szCs w:val="24"/>
                <w:highlight w:val="none"/>
              </w:rPr>
              <w:t>年人创造一个安全、舒适、便利的居住环境，提升其生活品质。</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掌握</w:t>
            </w:r>
            <w:r>
              <w:rPr>
                <w:rFonts w:hint="eastAsia" w:ascii="仿宋_GB2312" w:hAnsi="仿宋_GB2312" w:eastAsia="仿宋_GB2312" w:cs="仿宋_GB2312"/>
                <w:sz w:val="24"/>
                <w:szCs w:val="24"/>
                <w:highlight w:val="none"/>
              </w:rPr>
              <w:t>老年人的生理、心理和行为特点，了解其对社区居家环境的需求和期望。掌握社区居家适老化环境设计的原则和方法，包括空间布局、无障碍设施设置、照明与色彩搭配等方面的设计要点。能够结合实际场地条件，进行合理的适老化环境设计方案设计，并通过效果图、模型等形式进行展示。培养创新思维和团队协作能力，能够与相关部门和人员沟通协调，推动适老化环境设计方案的实施和落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1"/>
                <w:szCs w:val="21"/>
                <w:highlight w:val="none"/>
                <w:lang w:val="en-US" w:eastAsia="zh-CN"/>
              </w:rPr>
              <w:t>习近平经济思想概论</w:t>
            </w:r>
          </w:p>
        </w:tc>
        <w:tc>
          <w:tcPr>
            <w:tcW w:w="453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3"/>
                <w:rFonts w:hint="eastAsia" w:ascii="仿宋_GB2312" w:hAnsi="仿宋_GB2312" w:eastAsia="仿宋_GB2312" w:cs="仿宋_GB2312"/>
                <w:b/>
                <w:bCs/>
                <w:color w:val="000000"/>
                <w:sz w:val="24"/>
                <w:szCs w:val="24"/>
              </w:rPr>
              <w:t>知识目标</w:t>
            </w:r>
            <w:r>
              <w:rPr>
                <w:rFonts w:hint="eastAsia" w:ascii="仿宋_GB2312" w:hAnsi="仿宋_GB2312" w:eastAsia="仿宋_GB2312" w:cs="仿宋_GB2312"/>
                <w:sz w:val="24"/>
                <w:szCs w:val="24"/>
              </w:rPr>
              <w:t>：掌握习近平经济思想的形成背景、科学体系、核心要义和实践要求，理解新发展理念、高质量发展、新发展格局等重要理论。</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3"/>
                <w:rFonts w:hint="eastAsia" w:ascii="仿宋_GB2312" w:hAnsi="仿宋_GB2312" w:eastAsia="仿宋_GB2312" w:cs="仿宋_GB2312"/>
                <w:b/>
                <w:bCs/>
                <w:color w:val="000000"/>
                <w:sz w:val="24"/>
                <w:szCs w:val="24"/>
              </w:rPr>
              <w:t>能力目标</w:t>
            </w:r>
            <w:r>
              <w:rPr>
                <w:rFonts w:hint="eastAsia" w:ascii="仿宋_GB2312" w:hAnsi="仿宋_GB2312" w:eastAsia="仿宋_GB2312" w:cs="仿宋_GB2312"/>
                <w:sz w:val="24"/>
                <w:szCs w:val="24"/>
              </w:rPr>
              <w:t>：提升运用习近平经济思想分析现实经济问题、解读国家经济政策、服务发展实践的能力。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3"/>
                <w:rFonts w:hint="eastAsia" w:ascii="仿宋_GB2312" w:hAnsi="仿宋_GB2312" w:eastAsia="仿宋_GB2312" w:cs="仿宋_GB2312"/>
                <w:b/>
                <w:bCs/>
                <w:color w:val="000000"/>
                <w:sz w:val="24"/>
                <w:szCs w:val="24"/>
              </w:rPr>
              <w:t>素质目标</w:t>
            </w:r>
            <w:r>
              <w:rPr>
                <w:rFonts w:hint="eastAsia" w:ascii="仿宋_GB2312" w:hAnsi="仿宋_GB2312" w:eastAsia="仿宋_GB2312" w:cs="仿宋_GB2312"/>
                <w:sz w:val="24"/>
                <w:szCs w:val="24"/>
              </w:rPr>
              <w:t>：坚定中国特色社会主义道路自信、理论自信、制度自信、文化自信，树立正确发展观、现代化观。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rPr>
            </w:pPr>
            <w:r>
              <w:rPr>
                <w:rStyle w:val="13"/>
                <w:rFonts w:hint="eastAsia" w:ascii="仿宋_GB2312" w:hAnsi="仿宋_GB2312" w:eastAsia="仿宋_GB2312" w:cs="仿宋_GB2312"/>
                <w:b/>
                <w:bCs/>
                <w:color w:val="000000"/>
                <w:sz w:val="24"/>
                <w:szCs w:val="24"/>
              </w:rPr>
              <w:t>课程思政育人目标</w:t>
            </w:r>
            <w:r>
              <w:rPr>
                <w:rFonts w:hint="eastAsia" w:ascii="仿宋_GB2312" w:hAnsi="仿宋_GB2312" w:eastAsia="仿宋_GB2312" w:cs="仿宋_GB2312"/>
                <w:sz w:val="24"/>
                <w:szCs w:val="24"/>
              </w:rPr>
              <w:t>：厚植家国情怀与责任担当，强化以人民为中心的价值立场，自觉把个人发展融入中国式现代化建设。</w:t>
            </w:r>
          </w:p>
        </w:tc>
        <w:tc>
          <w:tcPr>
            <w:tcW w:w="233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重点讲授习近平经济思想的根本立场、根本保证、重大原则、实践路径，阐释高质量发展、新质生产力、统筹发展和安全等关键内容，把握理论逻辑、历史逻辑与实践逻辑。</w:t>
            </w:r>
          </w:p>
        </w:tc>
        <w:tc>
          <w:tcPr>
            <w:tcW w:w="212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坚持理论联系实际，读原著、学原文、悟原理，突出课程思政引领。做到学思用贯通、知信行统一，引导学生深刻领会思想精髓，提升理论素养与政治觉悟，增强服务国家发展的自觉性。</w:t>
            </w:r>
          </w:p>
        </w:tc>
      </w:tr>
    </w:tbl>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w:t>
      </w:r>
      <w:r>
        <w:rPr>
          <w:rFonts w:hint="eastAsia" w:ascii="仿宋_GB2312" w:hAnsi="仿宋_GB2312" w:eastAsia="仿宋_GB2312" w:cs="仿宋_GB2312"/>
          <w:color w:val="auto"/>
          <w:sz w:val="32"/>
          <w:szCs w:val="32"/>
          <w:highlight w:val="none"/>
          <w:lang w:val="en-US" w:eastAsia="zh-CN"/>
        </w:rPr>
        <w:t>毕业设计、岗位实习</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836"/>
        <w:gridCol w:w="5582"/>
        <w:gridCol w:w="1693"/>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szCs w:val="24"/>
                <w:highlight w:val="none"/>
              </w:rPr>
            </w:pPr>
            <w:bookmarkStart w:id="27" w:name="OLE_LINK21"/>
            <w:r>
              <w:rPr>
                <w:rFonts w:hint="eastAsia" w:ascii="仿宋_GB2312" w:hAnsi="仿宋_GB2312" w:eastAsia="仿宋_GB2312" w:cs="仿宋_GB2312"/>
                <w:color w:val="auto"/>
                <w:sz w:val="24"/>
                <w:szCs w:val="24"/>
                <w:highlight w:val="none"/>
              </w:rPr>
              <w:t>序号</w:t>
            </w:r>
          </w:p>
        </w:tc>
        <w:tc>
          <w:tcPr>
            <w:tcW w:w="836"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名称</w:t>
            </w:r>
          </w:p>
        </w:tc>
        <w:tc>
          <w:tcPr>
            <w:tcW w:w="5582"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1693"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szCs w:val="24"/>
                <w:highlight w:val="none"/>
              </w:rPr>
            </w:pPr>
            <w:bookmarkStart w:id="28" w:name="OLE_LINK2"/>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bookmarkEnd w:id="28"/>
          </w:p>
        </w:tc>
        <w:tc>
          <w:tcPr>
            <w:tcW w:w="1587"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9"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836" w:type="dxa"/>
            <w:vAlign w:val="center"/>
          </w:tcPr>
          <w:p>
            <w:pPr>
              <w:keepNext w:val="0"/>
              <w:keepLines w:val="0"/>
              <w:pageBreakBefore w:val="0"/>
              <w:widowControl w:val="0"/>
              <w:kinsoku/>
              <w:wordWrap/>
              <w:topLinePunct w:val="0"/>
              <w:autoSpaceDE/>
              <w:autoSpaceDN/>
              <w:bidi w:val="0"/>
              <w:spacing w:after="0" w:line="36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毕业设计</w:t>
            </w:r>
          </w:p>
        </w:tc>
        <w:tc>
          <w:tcPr>
            <w:tcW w:w="558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掌握老龄领域前沿理论、研究方法及实践规范，理解老龄化社会多元需求与政策导向，熟悉跨学科知识融合路径，形成“理论－实践－创新”融合的毕业设计知识体系。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具备选题策划、方案设计与成果转化能力，能整合学术、行业资源开展实证研究，运用批判性思维解决复杂老龄问题，适应老龄化社会创新发展需求。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树立“知行合一”的学术理念，恪守学术诚信与伦理规范，增强社会责任感，关注农村、失能等弱势老年群体需求，培养跨学科协作与终身学习能力，形成专业研究素养。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弘扬“经世致用”的治学精神，反思“学术脱离实践”倾向，结合“积极应对老龄化”国家战略增强使命担当，强化法治思维与创新服务意识，鼓励学生探索智慧养老解决方案，践行“研以致老”理念。</w:t>
            </w:r>
          </w:p>
        </w:tc>
        <w:tc>
          <w:tcPr>
            <w:tcW w:w="169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选题和资料收集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分析和计划</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开题报告</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撰写初稿</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修改定稿</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答辩。</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p>
        </w:tc>
        <w:tc>
          <w:tcPr>
            <w:tcW w:w="1587"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通过导师指导制、阶段性检查与反馈、毕业答辩模拟等教学方法，确保学生高质量完成毕业设计，提升综合应用能力和创新能力。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Align w:val="center"/>
          </w:tcPr>
          <w:p>
            <w:pPr>
              <w:keepNext w:val="0"/>
              <w:keepLines w:val="0"/>
              <w:pageBreakBefore w:val="0"/>
              <w:widowControl w:val="0"/>
              <w:kinsoku/>
              <w:wordWrap/>
              <w:overflowPunct w:val="0"/>
              <w:topLinePunct w:val="0"/>
              <w:autoSpaceDE/>
              <w:autoSpaceDN/>
              <w:bidi w:val="0"/>
              <w:adjustRightInd w:val="0"/>
              <w:spacing w:after="0" w:line="36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836" w:type="dxa"/>
            <w:vAlign w:val="center"/>
          </w:tcPr>
          <w:p>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岗位实习</w:t>
            </w:r>
          </w:p>
        </w:tc>
        <w:tc>
          <w:tcPr>
            <w:tcW w:w="5582" w:type="dxa"/>
            <w:vAlign w:val="top"/>
          </w:tcPr>
          <w:p>
            <w:pPr>
              <w:keepNext w:val="0"/>
              <w:keepLines w:val="0"/>
              <w:pageBreakBefore w:val="0"/>
              <w:widowControl w:val="0"/>
              <w:kinsoku/>
              <w:wordWrap/>
              <w:topLinePunct w:val="0"/>
              <w:autoSpaceDE/>
              <w:autoSpaceDN/>
              <w:bidi w:val="0"/>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w:t>
            </w:r>
            <w:r>
              <w:rPr>
                <w:rFonts w:hint="eastAsia" w:ascii="仿宋_GB2312" w:hAnsi="仿宋_GB2312" w:eastAsia="仿宋_GB2312" w:cs="仿宋_GB2312"/>
                <w:color w:val="auto"/>
                <w:sz w:val="24"/>
                <w:szCs w:val="24"/>
                <w:highlight w:val="none"/>
                <w:lang w:val="en-US" w:eastAsia="zh-CN"/>
              </w:rPr>
              <w:t>养老</w:t>
            </w:r>
            <w:r>
              <w:rPr>
                <w:rFonts w:hint="eastAsia" w:ascii="仿宋_GB2312" w:hAnsi="仿宋_GB2312" w:eastAsia="仿宋_GB2312" w:cs="仿宋_GB2312"/>
                <w:color w:val="auto"/>
                <w:sz w:val="24"/>
                <w:szCs w:val="24"/>
                <w:highlight w:val="none"/>
              </w:rPr>
              <w:t>服务岗位实务流程、行业标准及应急处理规范，理解老龄化背景下岗位职能动态变化，熟悉养老机构、社区等场景的跨部门协作机制，形成“实践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政策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创新”融合的岗位知识体系。</w:t>
            </w:r>
          </w:p>
          <w:p>
            <w:pPr>
              <w:keepNext w:val="0"/>
              <w:keepLines w:val="0"/>
              <w:pageBreakBefore w:val="0"/>
              <w:widowControl w:val="0"/>
              <w:kinsoku/>
              <w:wordWrap/>
              <w:topLinePunct w:val="0"/>
              <w:autoSpaceDE/>
              <w:autoSpaceDN/>
              <w:bidi w:val="0"/>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具备岗位适应、服务优化与问题解决能力，能整合资源开展个性化服务，运用沟通技巧协调多方需求，通过复盘反思提升专业水平，适应老龄化社会岗位创新发展需求。</w:t>
            </w:r>
          </w:p>
          <w:p>
            <w:pPr>
              <w:keepNext w:val="0"/>
              <w:keepLines w:val="0"/>
              <w:pageBreakBefore w:val="0"/>
              <w:widowControl w:val="0"/>
              <w:kinsoku/>
              <w:wordWrap/>
              <w:topLinePunct w:val="0"/>
              <w:autoSpaceDE/>
              <w:autoSpaceDN/>
              <w:bidi w:val="0"/>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树立“服务为本”的职业理念，恪守岗位责任与伦理规范，增强社会责任感，关注农村、失能等弱势老年群体实际需求，培养团队协作与终身学习能力，形成专业实践素养。</w:t>
            </w:r>
          </w:p>
          <w:p>
            <w:pPr>
              <w:keepNext w:val="0"/>
              <w:keepLines w:val="0"/>
              <w:pageBreakBefore w:val="0"/>
              <w:widowControl w:val="0"/>
              <w:kinsoku/>
              <w:wordWrap/>
              <w:topLinePunct w:val="0"/>
              <w:autoSpaceDE/>
              <w:autoSpaceDN/>
              <w:bidi w:val="0"/>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弘扬“实干兴老”的职业精神，反思“重理论轻实践”倾向，结合“积极应对老龄化”国家战略增强使命担当，强化法治思维与服务创新意识，鼓励学生探索智慧化岗位服务模式，践行“岗以惠老”理念。</w:t>
            </w:r>
          </w:p>
        </w:tc>
        <w:tc>
          <w:tcPr>
            <w:tcW w:w="1693" w:type="dxa"/>
            <w:vAlign w:val="top"/>
          </w:tcPr>
          <w:p>
            <w:pPr>
              <w:keepNext w:val="0"/>
              <w:keepLines w:val="0"/>
              <w:pageBreakBefore w:val="0"/>
              <w:widowControl w:val="0"/>
              <w:kinsoku/>
              <w:wordWrap/>
              <w:topLinePunct w:val="0"/>
              <w:autoSpaceDE/>
              <w:autoSpaceDN/>
              <w:bidi w:val="0"/>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养老护理员岗位实习、失智老年人照护员岗位实习、健康照护师岗位实习、老年人能力评估师岗位实习</w:t>
            </w:r>
          </w:p>
        </w:tc>
        <w:tc>
          <w:tcPr>
            <w:tcW w:w="1587" w:type="dxa"/>
            <w:vAlign w:val="top"/>
          </w:tcPr>
          <w:p>
            <w:pPr>
              <w:keepNext w:val="0"/>
              <w:keepLines w:val="0"/>
              <w:pageBreakBefore w:val="0"/>
              <w:widowControl w:val="0"/>
              <w:kinsoku/>
              <w:wordWrap/>
              <w:topLinePunct w:val="0"/>
              <w:autoSpaceDE/>
              <w:autoSpaceDN/>
              <w:bidi w:val="0"/>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通过校企合作模式、实习导师制、实习日志与报告撰写等教学方法，让学生在真实的工作环境中锻炼技能，积累实践经验。</w:t>
            </w:r>
          </w:p>
        </w:tc>
      </w:tr>
      <w:bookmarkEnd w:id="27"/>
    </w:tbl>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29" w:name="_Toc29420"/>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29"/>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1"/>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outlineLvl w:val="9"/>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outlineLvl w:val="9"/>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outlineLvl w:val="9"/>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outlineLvl w:val="9"/>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1.思想政治教育</w:t>
            </w:r>
            <w:r>
              <w:rPr>
                <w:rFonts w:hint="eastAsia" w:ascii="仿宋_GB2312" w:hAnsi="仿宋_GB2312" w:eastAsia="仿宋_GB2312" w:cs="仿宋_GB2312"/>
                <w:b w:val="0"/>
                <w:bCs w:val="0"/>
                <w:color w:val="000000"/>
                <w:sz w:val="24"/>
                <w:szCs w:val="24"/>
              </w:rPr>
              <w:t>主题</w:t>
            </w:r>
            <w:r>
              <w:rPr>
                <w:rFonts w:hint="eastAsia" w:ascii="仿宋_GB2312" w:hAnsi="仿宋_GB2312" w:eastAsia="仿宋_GB2312" w:cs="仿宋_GB2312"/>
                <w:b w:val="0"/>
                <w:bCs w:val="0"/>
                <w:color w:val="000000"/>
                <w:sz w:val="24"/>
                <w:szCs w:val="24"/>
                <w:lang w:val="en-US" w:eastAsia="zh-CN"/>
              </w:rPr>
              <w:t>讲</w:t>
            </w:r>
            <w:r>
              <w:rPr>
                <w:rFonts w:hint="eastAsia" w:ascii="仿宋_GB2312" w:hAnsi="仿宋_GB2312" w:eastAsia="仿宋_GB2312" w:cs="仿宋_GB2312"/>
                <w:b w:val="0"/>
                <w:bCs w:val="0"/>
                <w:color w:val="000000"/>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bookmarkStart w:id="30" w:name="OLE_LINK4"/>
            <w:r>
              <w:rPr>
                <w:rFonts w:hint="eastAsia" w:ascii="仿宋_GB2312" w:hAnsi="仿宋_GB2312" w:eastAsia="仿宋_GB2312" w:cs="仿宋_GB2312"/>
                <w:color w:val="auto"/>
                <w:sz w:val="24"/>
                <w:szCs w:val="24"/>
                <w:lang w:val="en-US" w:eastAsia="zh-CN"/>
              </w:rPr>
              <w:t>经济管理学院党支部、经济管理学院分团委</w:t>
            </w:r>
            <w:bookmarkEnd w:id="30"/>
            <w:r>
              <w:rPr>
                <w:rFonts w:hint="eastAsia" w:ascii="仿宋_GB2312" w:hAnsi="仿宋_GB2312" w:eastAsia="仿宋_GB2312" w:cs="仿宋_GB2312"/>
                <w:color w:val="auto"/>
                <w:sz w:val="24"/>
                <w:szCs w:val="24"/>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第二课堂成绩</w:t>
            </w:r>
            <w:r>
              <w:rPr>
                <w:rFonts w:hint="eastAsia" w:ascii="仿宋_GB2312" w:hAnsi="仿宋_GB2312" w:eastAsia="仿宋_GB2312" w:cs="仿宋_GB2312"/>
                <w:b w:val="0"/>
                <w:bCs w:val="0"/>
                <w:color w:val="000000"/>
                <w:sz w:val="24"/>
                <w:szCs w:val="24"/>
                <w:lang w:val="en-US" w:eastAsia="zh-CN"/>
              </w:rPr>
              <w:t>由</w:t>
            </w:r>
            <w:r>
              <w:rPr>
                <w:rFonts w:hint="eastAsia" w:ascii="仿宋_GB2312" w:hAnsi="仿宋_GB2312" w:eastAsia="仿宋_GB2312" w:cs="仿宋_GB2312"/>
                <w:b w:val="0"/>
                <w:bCs w:val="0"/>
                <w:color w:val="000000"/>
                <w:sz w:val="24"/>
                <w:szCs w:val="24"/>
              </w:rPr>
              <w:t xml:space="preserve">网络管理系 统（到梦 空间）实 时记录，学生在大一、 </w:t>
            </w:r>
            <w:r>
              <w:rPr>
                <w:rFonts w:hint="eastAsia" w:ascii="仿宋_GB2312" w:hAnsi="仿宋_GB2312" w:eastAsia="仿宋_GB2312" w:cs="仿宋_GB2312"/>
                <w:b w:val="0"/>
                <w:bCs w:val="0"/>
                <w:color w:val="000000"/>
                <w:sz w:val="24"/>
                <w:szCs w:val="24"/>
                <w:lang w:val="en-US" w:eastAsia="zh-CN"/>
              </w:rPr>
              <w:t>大</w:t>
            </w:r>
            <w:r>
              <w:rPr>
                <w:rFonts w:hint="eastAsia" w:ascii="仿宋_GB2312" w:hAnsi="仿宋_GB2312" w:eastAsia="仿宋_GB2312" w:cs="仿宋_GB2312"/>
                <w:b w:val="0"/>
                <w:bCs w:val="0"/>
                <w:color w:val="000000"/>
                <w:sz w:val="24"/>
                <w:szCs w:val="24"/>
              </w:rPr>
              <w:t>二期间</w:t>
            </w:r>
            <w:r>
              <w:rPr>
                <w:rFonts w:hint="eastAsia" w:ascii="仿宋_GB2312" w:hAnsi="仿宋_GB2312" w:eastAsia="仿宋_GB2312" w:cs="仿宋_GB2312"/>
                <w:b w:val="0"/>
                <w:bCs w:val="0"/>
                <w:color w:val="000000"/>
                <w:sz w:val="24"/>
                <w:szCs w:val="24"/>
                <w:lang w:val="en-US" w:eastAsia="zh-CN"/>
              </w:rPr>
              <w:t>积分达60分及以上，可获4</w:t>
            </w:r>
            <w:r>
              <w:rPr>
                <w:rFonts w:hint="eastAsia" w:ascii="仿宋_GB2312" w:hAnsi="仿宋_GB2312" w:eastAsia="仿宋_GB2312" w:cs="仿宋_GB2312"/>
                <w:b w:val="0"/>
                <w:bCs w:val="0"/>
                <w:color w:val="00000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8"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w:t>
            </w:r>
            <w:r>
              <w:rPr>
                <w:rFonts w:hint="eastAsia" w:ascii="仿宋_GB2312" w:hAnsi="仿宋_GB2312" w:eastAsia="仿宋_GB2312" w:cs="仿宋_GB2312"/>
                <w:b w:val="0"/>
                <w:bCs w:val="0"/>
                <w:color w:val="000000"/>
                <w:sz w:val="24"/>
                <w:szCs w:val="24"/>
              </w:rPr>
              <w:t xml:space="preserve">暑期“三下乡”社会实践活动 </w:t>
            </w: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7</w:t>
            </w:r>
            <w:r>
              <w:rPr>
                <w:rFonts w:hint="eastAsia" w:ascii="仿宋_GB2312" w:hAnsi="仿宋_GB2312" w:eastAsia="仿宋_GB2312" w:cs="仿宋_GB2312"/>
                <w:b w:val="0"/>
                <w:bCs w:val="0"/>
                <w:color w:val="000000"/>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8.</w:t>
            </w:r>
            <w:r>
              <w:rPr>
                <w:rFonts w:hint="eastAsia" w:ascii="仿宋_GB2312" w:hAnsi="仿宋_GB2312" w:eastAsia="仿宋_GB2312" w:cs="仿宋_GB2312"/>
                <w:b w:val="0"/>
                <w:bCs w:val="0"/>
                <w:color w:val="000000"/>
                <w:sz w:val="24"/>
                <w:szCs w:val="24"/>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9"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招生就业处、经济管理学院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学生工作处、校团委、经济管理学院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继续教育学院、经济管理学院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rPr>
      </w:pPr>
      <w:bookmarkStart w:id="31" w:name="_Toc8595"/>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31"/>
    </w:p>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32" w:name="_Toc32388"/>
      <w:r>
        <w:rPr>
          <w:rFonts w:hint="eastAsia" w:ascii="楷体" w:hAnsi="楷体" w:eastAsia="楷体" w:cs="楷体"/>
          <w:color w:val="auto"/>
          <w:sz w:val="32"/>
          <w:szCs w:val="32"/>
        </w:rPr>
        <w:t>（一）教学环节分配表</w:t>
      </w:r>
      <w:bookmarkEnd w:id="32"/>
      <w:r>
        <w:rPr>
          <w:rFonts w:hint="eastAsia" w:ascii="楷体" w:hAnsi="楷体" w:eastAsia="楷体" w:cs="楷体"/>
          <w:color w:val="auto"/>
          <w:sz w:val="32"/>
          <w:szCs w:val="32"/>
        </w:rPr>
        <w:t xml:space="preserve"> </w:t>
      </w:r>
    </w:p>
    <w:p>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1"/>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9"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mc:AlternateContent>
                <mc:Choice Requires="wpsCustomData">
                  <wpsCustomData:diagonalParaType/>
                </mc:Choice>
              </mc:AlternateContent>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项目</w:t>
            </w:r>
          </w:p>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w:ind w:firstLine="240" w:firstLineChars="100"/>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spacing w:after="0" w:line="24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sz w:val="24"/>
                <w:szCs w:val="24"/>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highlight w:val="green"/>
                <w:lang w:val="en-US" w:eastAsia="zh-CN"/>
              </w:rPr>
            </w:pPr>
            <w:r>
              <w:rPr>
                <w:rFonts w:hint="eastAsia" w:ascii="仿宋_GB2312" w:hAnsi="仿宋_GB2312" w:eastAsia="仿宋_GB2312" w:cs="仿宋_GB2312"/>
                <w:b w:val="0"/>
                <w:bCs w:val="0"/>
                <w:color w:val="000000"/>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bCs/>
          <w:color w:val="auto"/>
          <w:sz w:val="32"/>
          <w:szCs w:val="32"/>
        </w:rPr>
      </w:pPr>
      <w:bookmarkStart w:id="33" w:name="_Toc18994"/>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33"/>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highlight w:val="none"/>
        </w:rPr>
        <w:t>本专业教学总学时为</w:t>
      </w:r>
      <w:r>
        <w:rPr>
          <w:rFonts w:hint="eastAsia" w:ascii="仿宋_GB2312" w:hAnsi="仿宋_GB2312" w:eastAsia="仿宋_GB2312" w:cs="仿宋_GB2312"/>
          <w:color w:val="auto"/>
          <w:spacing w:val="-2"/>
          <w:sz w:val="32"/>
          <w:szCs w:val="32"/>
          <w:highlight w:val="none"/>
          <w:lang w:val="en-US" w:eastAsia="zh-CN"/>
        </w:rPr>
        <w:t>2698</w:t>
      </w:r>
      <w:r>
        <w:rPr>
          <w:rFonts w:hint="eastAsia" w:ascii="仿宋_GB2312" w:hAnsi="仿宋_GB2312" w:eastAsia="仿宋_GB2312" w:cs="仿宋_GB2312"/>
          <w:bCs/>
          <w:color w:val="auto"/>
          <w:sz w:val="32"/>
          <w:szCs w:val="32"/>
          <w:highlight w:val="none"/>
        </w:rPr>
        <w:t>学时。其中理论教学</w:t>
      </w:r>
      <w:r>
        <w:rPr>
          <w:rFonts w:hint="eastAsia" w:ascii="仿宋_GB2312" w:hAnsi="仿宋_GB2312" w:eastAsia="仿宋_GB2312" w:cs="仿宋_GB2312"/>
          <w:color w:val="auto"/>
          <w:spacing w:val="-2"/>
          <w:sz w:val="32"/>
          <w:szCs w:val="32"/>
          <w:highlight w:val="none"/>
          <w:lang w:val="en-US" w:eastAsia="zh-CN"/>
        </w:rPr>
        <w:t>1208</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44.77</w:t>
      </w:r>
      <w:r>
        <w:rPr>
          <w:rFonts w:hint="eastAsia" w:ascii="仿宋_GB2312" w:hAnsi="仿宋_GB2312" w:eastAsia="仿宋_GB2312" w:cs="仿宋_GB2312"/>
          <w:bCs/>
          <w:color w:val="auto"/>
          <w:sz w:val="32"/>
          <w:szCs w:val="32"/>
          <w:highlight w:val="none"/>
        </w:rPr>
        <w:t>%；实践教学</w:t>
      </w:r>
      <w:r>
        <w:rPr>
          <w:rFonts w:hint="eastAsia" w:ascii="仿宋_GB2312" w:hAnsi="仿宋_GB2312" w:eastAsia="仿宋_GB2312" w:cs="仿宋_GB2312"/>
          <w:color w:val="auto"/>
          <w:spacing w:val="-2"/>
          <w:sz w:val="32"/>
          <w:szCs w:val="32"/>
          <w:highlight w:val="none"/>
          <w:lang w:val="en-US" w:eastAsia="zh-CN"/>
        </w:rPr>
        <w:t>1490</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55.23</w:t>
      </w:r>
      <w:r>
        <w:rPr>
          <w:rFonts w:hint="eastAsia" w:ascii="仿宋_GB2312" w:hAnsi="仿宋_GB2312" w:eastAsia="仿宋_GB2312" w:cs="仿宋_GB2312"/>
          <w:bCs/>
          <w:color w:val="auto"/>
          <w:sz w:val="32"/>
          <w:szCs w:val="32"/>
          <w:highlight w:val="none"/>
        </w:rPr>
        <w:t>%，其中岗位</w:t>
      </w:r>
      <w:r>
        <w:rPr>
          <w:rFonts w:hint="eastAsia" w:ascii="仿宋_GB2312" w:hAnsi="仿宋_GB2312" w:eastAsia="仿宋_GB2312" w:cs="仿宋_GB2312"/>
          <w:color w:val="auto"/>
          <w:spacing w:val="-2"/>
          <w:sz w:val="32"/>
          <w:szCs w:val="32"/>
          <w:highlight w:val="none"/>
          <w:lang w:val="en-US" w:eastAsia="zh-CN"/>
        </w:rPr>
        <w:t>实习时间累计一般为6个月。</w:t>
      </w:r>
      <w:r>
        <w:rPr>
          <w:rFonts w:hint="eastAsia" w:ascii="仿宋_GB2312" w:hAnsi="仿宋_GB2312" w:eastAsia="仿宋_GB2312" w:cs="仿宋_GB2312"/>
          <w:bCs/>
          <w:color w:val="auto"/>
          <w:sz w:val="32"/>
          <w:szCs w:val="32"/>
          <w:highlight w:val="none"/>
        </w:rPr>
        <w:t>公共基础课</w:t>
      </w:r>
      <w:r>
        <w:rPr>
          <w:rFonts w:hint="eastAsia" w:ascii="仿宋_GB2312" w:hAnsi="仿宋_GB2312" w:eastAsia="仿宋_GB2312" w:cs="仿宋_GB2312"/>
          <w:color w:val="auto"/>
          <w:spacing w:val="-2"/>
          <w:sz w:val="32"/>
          <w:szCs w:val="32"/>
          <w:highlight w:val="none"/>
          <w:lang w:val="en-US" w:eastAsia="zh-CN"/>
        </w:rPr>
        <w:t>890</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32.99</w:t>
      </w:r>
      <w:r>
        <w:rPr>
          <w:rFonts w:hint="eastAsia" w:ascii="仿宋_GB2312" w:hAnsi="仿宋_GB2312" w:eastAsia="仿宋_GB2312" w:cs="仿宋_GB2312"/>
          <w:bCs/>
          <w:color w:val="auto"/>
          <w:sz w:val="32"/>
          <w:szCs w:val="32"/>
          <w:highlight w:val="none"/>
        </w:rPr>
        <w:t>%；选修课</w:t>
      </w:r>
      <w:r>
        <w:rPr>
          <w:rFonts w:hint="eastAsia" w:ascii="仿宋_GB2312" w:hAnsi="仿宋_GB2312" w:eastAsia="仿宋_GB2312" w:cs="仿宋_GB2312"/>
          <w:color w:val="auto"/>
          <w:spacing w:val="-2"/>
          <w:sz w:val="32"/>
          <w:szCs w:val="32"/>
          <w:highlight w:val="none"/>
          <w:lang w:val="en-US" w:eastAsia="zh-CN"/>
        </w:rPr>
        <w:t>272</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10.08</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ind w:left="0"/>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0"/>
        <w:tblW w:w="106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5"/>
        <w:gridCol w:w="1803"/>
        <w:gridCol w:w="762"/>
        <w:gridCol w:w="698"/>
        <w:gridCol w:w="1111"/>
        <w:gridCol w:w="762"/>
        <w:gridCol w:w="973"/>
        <w:gridCol w:w="1249"/>
        <w:gridCol w:w="984"/>
        <w:gridCol w:w="13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8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课程类别</w:t>
            </w:r>
          </w:p>
        </w:tc>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课程性质</w:t>
            </w:r>
          </w:p>
        </w:tc>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学分</w:t>
            </w:r>
          </w:p>
        </w:tc>
        <w:tc>
          <w:tcPr>
            <w:tcW w:w="11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占专业总学分比例</w:t>
            </w:r>
          </w:p>
        </w:tc>
        <w:tc>
          <w:tcPr>
            <w:tcW w:w="527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 xml:space="preserve">                         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jc w:val="center"/>
        </w:trPr>
        <w:tc>
          <w:tcPr>
            <w:tcW w:w="28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20" w:lineRule="exact"/>
              <w:rPr>
                <w:rFonts w:hint="eastAsia" w:ascii="仿宋_GB2312" w:hAnsi="仿宋_GB2312" w:eastAsia="仿宋_GB2312" w:cs="仿宋_GB2312"/>
                <w:i w:val="0"/>
                <w:iCs w:val="0"/>
                <w:color w:val="000000"/>
                <w:sz w:val="24"/>
                <w:szCs w:val="24"/>
                <w:highlight w:val="none"/>
                <w:u w:val="none"/>
              </w:rPr>
            </w:pPr>
          </w:p>
        </w:tc>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合计</w:t>
            </w:r>
          </w:p>
        </w:tc>
        <w:tc>
          <w:tcPr>
            <w:tcW w:w="22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理论教学</w:t>
            </w:r>
          </w:p>
        </w:tc>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1" w:hRule="atLeast"/>
          <w:jc w:val="center"/>
        </w:trPr>
        <w:tc>
          <w:tcPr>
            <w:tcW w:w="28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20" w:lineRule="exact"/>
              <w:rPr>
                <w:rFonts w:hint="eastAsia" w:ascii="仿宋_GB2312" w:hAnsi="仿宋_GB2312" w:eastAsia="仿宋_GB2312" w:cs="仿宋_GB2312"/>
                <w:i w:val="0"/>
                <w:iCs w:val="0"/>
                <w:color w:val="000000"/>
                <w:sz w:val="24"/>
                <w:szCs w:val="24"/>
                <w:highlight w:val="none"/>
                <w:u w:val="none"/>
              </w:rPr>
            </w:pPr>
          </w:p>
        </w:tc>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320" w:lineRule="exact"/>
              <w:rPr>
                <w:rFonts w:hint="eastAsia" w:ascii="仿宋_GB2312" w:hAnsi="仿宋_GB2312" w:eastAsia="仿宋_GB2312" w:cs="仿宋_GB2312"/>
                <w:i w:val="0"/>
                <w:iCs w:val="0"/>
                <w:color w:val="000000"/>
                <w:sz w:val="24"/>
                <w:szCs w:val="24"/>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学时</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占专业总学时比例（%）</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学时</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8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公共基础课</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40</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27.97%</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762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382</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14.16%</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380</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8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5.59%</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128</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2.97%</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8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33.57%</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890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462</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17.12%</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428</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05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专业课</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专业基础课</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22.38%</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576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456</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16.90%</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120</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05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专业核心课</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22.38%</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576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198</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7.34%</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378</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5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highlight w:val="none"/>
                <w:u w:val="none"/>
              </w:rPr>
            </w:pPr>
          </w:p>
        </w:tc>
        <w:tc>
          <w:tcPr>
            <w:tcW w:w="180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专业拓展课</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5.59%</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2.67%</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highlight w:val="none"/>
              </w:rPr>
            </w:pPr>
            <w:r>
              <w:rPr>
                <w:rFonts w:hint="eastAsia" w:ascii="仿宋_GB2312" w:hAnsi="仿宋_GB2312" w:eastAsia="仿宋_GB2312" w:cs="仿宋_GB2312"/>
                <w:i w:val="0"/>
                <w:iCs w:val="0"/>
                <w:color w:val="000000"/>
                <w:sz w:val="20"/>
                <w:szCs w:val="20"/>
                <w:highlight w:val="none"/>
                <w:u w:val="none"/>
              </w:rPr>
              <w:t>实践</w:t>
            </w:r>
            <w:r>
              <w:rPr>
                <w:rFonts w:hint="eastAsia" w:ascii="仿宋_GB2312" w:hAnsi="仿宋_GB2312" w:eastAsia="仿宋_GB2312" w:cs="仿宋_GB2312"/>
                <w:i w:val="0"/>
                <w:iCs w:val="0"/>
                <w:color w:val="000000"/>
                <w:sz w:val="20"/>
                <w:szCs w:val="20"/>
                <w:highlight w:val="none"/>
                <w:u w:val="none"/>
                <w:lang w:val="en-US" w:eastAsia="zh-CN"/>
              </w:rPr>
              <w:t>性</w:t>
            </w:r>
            <w:r>
              <w:rPr>
                <w:rFonts w:hint="eastAsia" w:ascii="仿宋_GB2312" w:hAnsi="仿宋_GB2312" w:eastAsia="仿宋_GB2312" w:cs="仿宋_GB2312"/>
                <w:i w:val="0"/>
                <w:iCs w:val="0"/>
                <w:color w:val="000000"/>
                <w:sz w:val="20"/>
                <w:szCs w:val="20"/>
                <w:highlight w:val="none"/>
                <w:u w:val="none"/>
              </w:rPr>
              <w:t>教学环节</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16.08%</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512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0.74%</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492</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055"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p>
        </w:tc>
        <w:tc>
          <w:tcPr>
            <w:tcW w:w="2565" w:type="dxa"/>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95</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66.43%</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1808</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746</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27.65%</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1062</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39.36%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合计</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100.00%</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2698</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1208</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44.77%</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1490</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55.23%</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34" w:name="_Toc10266"/>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34"/>
    </w:p>
    <w:p>
      <w:pPr>
        <w:pStyle w:val="9"/>
        <w:keepNext w:val="0"/>
        <w:keepLines w:val="0"/>
        <w:pageBreakBefore w:val="0"/>
        <w:shd w:val="clear" w:color="auto" w:fill="FFFFFF"/>
        <w:kinsoku/>
        <w:wordWrap/>
        <w:topLinePunct w:val="0"/>
        <w:autoSpaceDE/>
        <w:autoSpaceDN/>
        <w:bidi w:val="0"/>
        <w:snapToGrid/>
        <w:spacing w:before="0" w:beforeAutospacing="0" w:after="0" w:afterAutospacing="0" w:line="520" w:lineRule="exact"/>
        <w:ind w:left="0"/>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0"/>
        <w:tblW w:w="57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3"/>
        <w:gridCol w:w="382"/>
        <w:gridCol w:w="480"/>
        <w:gridCol w:w="553"/>
        <w:gridCol w:w="1280"/>
        <w:gridCol w:w="1603"/>
        <w:gridCol w:w="857"/>
        <w:gridCol w:w="878"/>
        <w:gridCol w:w="826"/>
        <w:gridCol w:w="853"/>
        <w:gridCol w:w="327"/>
        <w:gridCol w:w="323"/>
        <w:gridCol w:w="298"/>
        <w:gridCol w:w="354"/>
        <w:gridCol w:w="354"/>
        <w:gridCol w:w="1"/>
        <w:gridCol w:w="355"/>
        <w:gridCol w:w="633"/>
      </w:tblGrid>
      <w:tr>
        <w:tblPrEx>
          <w:tblCellMar>
            <w:top w:w="0" w:type="dxa"/>
            <w:left w:w="108" w:type="dxa"/>
            <w:bottom w:w="0" w:type="dxa"/>
            <w:right w:w="108" w:type="dxa"/>
          </w:tblCellMar>
        </w:tblPrEx>
        <w:trPr>
          <w:trHeight w:val="312" w:hRule="atLeast"/>
          <w:jc w:val="center"/>
        </w:trPr>
        <w:tc>
          <w:tcPr>
            <w:tcW w:w="11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bookmarkStart w:id="35" w:name="OLE_LINK3"/>
            <w:r>
              <w:rPr>
                <w:rFonts w:hint="eastAsia" w:ascii="仿宋_GB2312" w:hAnsi="仿宋_GB2312" w:eastAsia="仿宋_GB2312" w:cs="仿宋_GB2312"/>
                <w:i w:val="0"/>
                <w:color w:val="auto"/>
                <w:kern w:val="0"/>
                <w:sz w:val="20"/>
                <w:szCs w:val="20"/>
                <w:highlight w:val="none"/>
                <w:u w:val="none"/>
                <w:lang w:val="en-US" w:eastAsia="zh-CN" w:bidi="ar"/>
              </w:rPr>
              <w:t>课程类型</w:t>
            </w:r>
          </w:p>
        </w:tc>
        <w:tc>
          <w:tcPr>
            <w:tcW w:w="5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序号</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课程代码</w:t>
            </w:r>
          </w:p>
        </w:tc>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课程名称</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学分</w:t>
            </w:r>
          </w:p>
        </w:tc>
        <w:tc>
          <w:tcPr>
            <w:tcW w:w="255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教学学时数</w:t>
            </w:r>
          </w:p>
        </w:tc>
        <w:tc>
          <w:tcPr>
            <w:tcW w:w="2012"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开课学期和周学时</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55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012"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合计</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理论学时</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实践学时</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一</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二</w:t>
            </w: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三</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四</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五</w:t>
            </w: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六</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必修</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1</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1B410101101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思想道德与法治</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1A410101102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形势与政策</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1到4学期开课，每学期8学时。</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6"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3</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1A410101103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国家安全教育</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16</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1A410101104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军事理论</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第1学期，实际训练时间不少于14天</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iCs w:val="0"/>
                <w:color w:val="auto"/>
                <w:sz w:val="20"/>
                <w:szCs w:val="20"/>
                <w:highlight w:val="none"/>
                <w:u w:val="none"/>
                <w:lang w:val="en-US" w:eastAsia="zh-CN"/>
              </w:rPr>
              <w:t>5</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1C410101105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军训</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112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112</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6</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1B410101106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计算机基础</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64</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7</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1B410101108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大学英语</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128</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104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1C410101109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大学体育</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144</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144</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9</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1B410101110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大学生职业发展与就业指导</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38</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10</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1B410101111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大学生心理健康教育</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11</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1C410101112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劳动教育</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16</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16</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12</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1B410101113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毛泽东思想和中国特色社会主义理论体系概论</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13</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1B410101114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创新创业教育</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16</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14</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1B410101115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习近平新时代中国特色社会主义思想概论</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选修</w:t>
            </w: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1</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1B410101201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中国民俗剪纸技法</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2012" w:type="dxa"/>
            <w:gridSpan w:val="7"/>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公共选修课最低学分要求为 8学分，其中要求2个学分为思政选修课学分。</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1B410101202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影视与鉴赏</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3</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1A410101203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中华优秀传统文化</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1A410101204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中国共产党简史</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5</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1A410101205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改革开放简史</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6</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1A410101206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中华人民共和国简史</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7</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1A410101207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社会主义发展简史</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1A410101208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中华民族共同体概论</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3"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9</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1A410101209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高等数学</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10</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1A410101210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语文</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11</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1A410101211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物理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1A410101212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化学</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2012" w:type="dxa"/>
            <w:gridSpan w:val="7"/>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公共必修课程学分、学时小计</w:t>
            </w:r>
          </w:p>
        </w:tc>
        <w:tc>
          <w:tcPr>
            <w:tcW w:w="85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40</w:t>
            </w:r>
          </w:p>
        </w:tc>
        <w:tc>
          <w:tcPr>
            <w:tcW w:w="87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762</w:t>
            </w:r>
          </w:p>
        </w:tc>
        <w:tc>
          <w:tcPr>
            <w:tcW w:w="82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382</w:t>
            </w:r>
          </w:p>
        </w:tc>
        <w:tc>
          <w:tcPr>
            <w:tcW w:w="85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380</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公共必修课程学分、学时占比</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27.97%</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28.24%</w:t>
            </w:r>
          </w:p>
        </w:tc>
        <w:tc>
          <w:tcPr>
            <w:tcW w:w="8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14.16%</w:t>
            </w:r>
          </w:p>
        </w:tc>
        <w:tc>
          <w:tcPr>
            <w:tcW w:w="8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14.08%</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9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公共选修课程学分、学时小计</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87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128</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9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公共选修课程学分、学时占比</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5.59%</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4.74%</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2.97%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1.78%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23"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专业课</w:t>
            </w:r>
          </w:p>
        </w:tc>
        <w:tc>
          <w:tcPr>
            <w:tcW w:w="382" w:type="dxa"/>
            <w:vMerge w:val="restart"/>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专业基础课</w:t>
            </w:r>
          </w:p>
        </w:tc>
        <w:tc>
          <w:tcPr>
            <w:tcW w:w="480"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必修</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1</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5A590302301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老龄事业与产业发展</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5A590302302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康养政策法规与标准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3</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5B590302303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老年服务礼仪与沟通</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5A590302304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管理学</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5</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5B590302305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人力资源管理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6</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5B590302306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正常人体结构与功能</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60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7</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5B590302307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健康养老职业素养与安全</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5B590302308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健康养老大数据应用</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60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必修</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1</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5B590302401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老年活动策划与设计</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5B590302405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老年人能力评估实务</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3</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5B590302402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老年人生活与基础照护实务</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5B590302403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老年心理护理实务</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5</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5B590302404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老年健康照护</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6</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5B590302406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老年人生活能力康复训练</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54</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7</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5B590302407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社区居家智慧康养管理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5B590302408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养老机构智慧运营与管理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48</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rPr>
            </w:pPr>
            <w:r>
              <w:rPr>
                <w:rFonts w:hint="eastAsia" w:ascii="仿宋_GB2312" w:hAnsi="仿宋_GB2312" w:eastAsia="仿宋_GB2312" w:cs="仿宋_GB2312"/>
                <w:i w:val="0"/>
                <w:color w:val="auto"/>
                <w:kern w:val="0"/>
                <w:sz w:val="20"/>
                <w:szCs w:val="20"/>
                <w:highlight w:val="none"/>
                <w:u w:val="none"/>
                <w:lang w:val="en-US" w:eastAsia="zh-CN" w:bidi="ar"/>
              </w:rPr>
              <w:t>专业拓展课</w:t>
            </w: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选修</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1</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5B590302501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智慧养老技术概论</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专业拓展课最低学分要求为8学分</w:t>
            </w: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2</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5B590302502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老龄经济基础</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3</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5B590302503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老龄产业市场营销基础</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4</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5B590302504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老年消费行为 分析</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5</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5B590302505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老年运动保健</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6</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5B590302506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音乐治疗</w:t>
            </w:r>
          </w:p>
        </w:tc>
        <w:tc>
          <w:tcPr>
            <w:tcW w:w="857"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7</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5B590302507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适老智能家居规划</w:t>
            </w:r>
          </w:p>
        </w:tc>
        <w:tc>
          <w:tcPr>
            <w:tcW w:w="857"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8</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5B590302508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养老机构文书拟写与处理</w:t>
            </w:r>
          </w:p>
        </w:tc>
        <w:tc>
          <w:tcPr>
            <w:tcW w:w="857"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9</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5B590302509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养老机构感染控制管理</w:t>
            </w:r>
          </w:p>
        </w:tc>
        <w:tc>
          <w:tcPr>
            <w:tcW w:w="857"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10</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5B590302510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社区居家简易急救</w:t>
            </w:r>
          </w:p>
        </w:tc>
        <w:tc>
          <w:tcPr>
            <w:tcW w:w="857"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11</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5B590302511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社区居家适老化环境设计</w:t>
            </w:r>
          </w:p>
        </w:tc>
        <w:tc>
          <w:tcPr>
            <w:tcW w:w="857"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12</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5B590302512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习近平经济思想概论</w:t>
            </w:r>
          </w:p>
        </w:tc>
        <w:tc>
          <w:tcPr>
            <w:tcW w:w="857"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w:t>
            </w:r>
          </w:p>
        </w:tc>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3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710" w:type="dxa"/>
            <w:gridSpan w:val="3"/>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382"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实践性教学环节</w:t>
            </w:r>
          </w:p>
        </w:tc>
        <w:tc>
          <w:tcPr>
            <w:tcW w:w="480"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必修</w:t>
            </w:r>
          </w:p>
        </w:tc>
        <w:tc>
          <w:tcPr>
            <w:tcW w:w="55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1</w:t>
            </w:r>
          </w:p>
        </w:tc>
        <w:tc>
          <w:tcPr>
            <w:tcW w:w="128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1B410101601</w:t>
            </w:r>
          </w:p>
        </w:tc>
        <w:tc>
          <w:tcPr>
            <w:tcW w:w="160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毕业设计</w:t>
            </w:r>
          </w:p>
        </w:tc>
        <w:tc>
          <w:tcPr>
            <w:tcW w:w="85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w:t>
            </w:r>
          </w:p>
        </w:tc>
        <w:tc>
          <w:tcPr>
            <w:tcW w:w="878"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80</w:t>
            </w:r>
          </w:p>
        </w:tc>
        <w:tc>
          <w:tcPr>
            <w:tcW w:w="826"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20</w:t>
            </w:r>
          </w:p>
        </w:tc>
        <w:tc>
          <w:tcPr>
            <w:tcW w:w="853"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60</w:t>
            </w:r>
          </w:p>
        </w:tc>
        <w:tc>
          <w:tcPr>
            <w:tcW w:w="327"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20</w:t>
            </w:r>
          </w:p>
        </w:tc>
        <w:tc>
          <w:tcPr>
            <w:tcW w:w="35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6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82"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highlight w:val="none"/>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2</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spacing w:val="-11"/>
                <w:kern w:val="0"/>
                <w:sz w:val="20"/>
                <w:szCs w:val="20"/>
                <w:highlight w:val="none"/>
                <w:u w:val="none"/>
                <w:lang w:val="en-US" w:eastAsia="zh-CN" w:bidi="ar"/>
              </w:rPr>
            </w:pPr>
            <w:r>
              <w:rPr>
                <w:rFonts w:hint="eastAsia" w:ascii="仿宋_GB2312" w:hAnsi="仿宋_GB2312" w:eastAsia="仿宋_GB2312" w:cs="仿宋_GB2312"/>
                <w:i w:val="0"/>
                <w:color w:val="auto"/>
                <w:spacing w:val="-11"/>
                <w:kern w:val="0"/>
                <w:sz w:val="20"/>
                <w:szCs w:val="20"/>
                <w:highlight w:val="none"/>
                <w:u w:val="none"/>
                <w:lang w:val="en-US" w:eastAsia="zh-CN" w:bidi="ar"/>
              </w:rPr>
              <w:t>1C410101602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岗位实习</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432</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432</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18</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4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专业必修课程学分、学时小计</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87</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1664</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674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990</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4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专业必修课程学分、学时占比</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60.84%</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61.68%</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24.98%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36.69%</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4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专业拓展课程学分、学时小计</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8</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144</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72</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4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专业拓展课程学分、学时占比</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5.59%</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5.34%</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2.67%</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2.67%</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总学分、学时合计</w:t>
            </w:r>
          </w:p>
        </w:tc>
        <w:tc>
          <w:tcPr>
            <w:tcW w:w="8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143</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2698</w:t>
            </w:r>
          </w:p>
        </w:tc>
        <w:tc>
          <w:tcPr>
            <w:tcW w:w="826"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1208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1490</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p>
        </w:tc>
        <w:tc>
          <w:tcPr>
            <w:tcW w:w="2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highlight w:val="none"/>
                <w:u w:val="none"/>
              </w:rPr>
            </w:pPr>
          </w:p>
        </w:tc>
      </w:tr>
      <w:bookmarkEnd w:id="35"/>
    </w:tbl>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default" w:ascii="黑体" w:hAnsi="黑体" w:eastAsia="黑体" w:cs="黑体"/>
          <w:color w:val="auto"/>
          <w:sz w:val="32"/>
          <w:szCs w:val="32"/>
          <w:lang w:val="en-US" w:eastAsia="zh-CN"/>
        </w:rPr>
      </w:pPr>
      <w:bookmarkStart w:id="36" w:name="_Toc21051"/>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3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w:t>
      </w:r>
      <w:bookmarkStart w:id="37" w:name="_Toc1336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default"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（一）队伍结构</w:t>
      </w:r>
      <w:bookmarkEnd w:id="37"/>
    </w:p>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520" w:lineRule="exact"/>
        <w:ind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确保学生数与本专业专任教师数比例不高于25∶1，“双师型”教师占专业课教师数比例一般不得低于60%，高级职称专任教师的比例应不低于20%，专任教师队伍需考虑职称、年龄、工作经验，形成合理的梯队结构。应充分整合校内外优质人才资源，选聘企业高级技术人员担任行业导师，组建校企合作、专兼结合的教师团队，建立定期开展专业教研机制。</w:t>
      </w:r>
      <w:bookmarkStart w:id="38" w:name="_Toc10572"/>
    </w:p>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520" w:lineRule="exact"/>
        <w:ind w:leftChars="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专业带头人</w:t>
      </w:r>
      <w:bookmarkEnd w:id="3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原则上应具有本专业及相关专业副高及以上职称和较强的实践能力，能够较好地把握国内外老年人、残疾人养护服务行业、专业发展，能广泛联系行业企业，了解行业企业对本专业人才的需求实际，主持专业建设、开展教育教学改革、教科研工作和社会服务能力强，在本专业改革发展中起引领作用。同时，在此基础上，还应符合“四有好老师”的标准，践行“四个相统一”的要求，并努力成为学生“四个引路人”。</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default" w:ascii="仿宋_GB2312" w:hAnsi="仿宋_GB2312" w:eastAsia="仿宋_GB2312" w:cs="仿宋_GB2312"/>
          <w:b w:val="0"/>
          <w:bCs w:val="0"/>
          <w:color w:val="auto"/>
          <w:sz w:val="32"/>
          <w:szCs w:val="32"/>
          <w:highlight w:val="none"/>
          <w:lang w:val="en-US" w:eastAsia="zh-CN"/>
        </w:rPr>
      </w:pPr>
      <w:bookmarkStart w:id="39" w:name="_Toc1119"/>
      <w:r>
        <w:rPr>
          <w:rFonts w:hint="eastAsia" w:ascii="楷体" w:hAnsi="楷体" w:eastAsia="楷体" w:cs="楷体"/>
          <w:b w:val="0"/>
          <w:bCs w:val="0"/>
          <w:color w:val="auto"/>
          <w:sz w:val="32"/>
          <w:szCs w:val="32"/>
          <w:highlight w:val="none"/>
          <w:lang w:val="en-US" w:eastAsia="zh-CN"/>
        </w:rPr>
        <w:t>（三）专任教师</w:t>
      </w:r>
      <w:bookmarkEnd w:id="3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具有高校教师资格；原则上具有老年学、心理学、护理学、医学等相关专业本科及以上学历；具有一定年限的相应工作经历或者实践经验，达到相应的技术技能水平；具有本专业理论和实践能力；能够落实课程思政要求，挖掘专业课程中的思政教育元素和资源；能够运8用信息技术开展混合式教学等教法改革；能够跟踪新经济、新技术发展前沿，开展技术研发与社会服务；专业教师每年至少 1 个月在企业或生产性实训基地锻炼，每 5 年累计不少于 6个月的企业实践经历。在此基础上，教师还应符合“四有好老师”的标准，坚定教育理想信念，坚守高尚道德情操，拥有扎实的专业学识，怀揣对学生的仁爱之心；践行“四个相统一”的要求，将教书与育人紧密结合，以自身言行感染学生，在追求学术真理的同时关注社会现实，严格遵守学术规范；努力成为学生“四个引路人”，在学生的品格塑造、知识学习、创新思维培养以及爱国情怀激发等方面发挥积极的引导作用。</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40" w:name="_Toc25075"/>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bookmarkEnd w:id="40"/>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highlight w:val="none"/>
        </w:rPr>
        <w:t>主要从本专业相关行业企业的高技能人才中聘任，应具有扎实的专业知识和丰富的实际工作经验，一般应具有中级及以上专业技术职务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职称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或高级工及以上职业技能等级，了解教育教学规律，能承担专业课程教学、实习实训指导和学生职业发展规划指导等专业教学任务。</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楷体" w:hAnsi="楷体" w:eastAsia="楷体" w:cs="楷体"/>
          <w:color w:val="auto"/>
          <w:sz w:val="32"/>
          <w:szCs w:val="32"/>
        </w:rPr>
      </w:pPr>
      <w:bookmarkStart w:id="41" w:name="_Toc25536"/>
      <w:r>
        <w:rPr>
          <w:rFonts w:hint="eastAsia" w:ascii="黑体" w:hAnsi="黑体" w:eastAsia="黑体" w:cs="黑体"/>
          <w:color w:val="auto"/>
          <w:sz w:val="32"/>
          <w:szCs w:val="32"/>
          <w:lang w:val="en-US" w:eastAsia="zh-CN"/>
        </w:rPr>
        <w:t>十、教学条件</w:t>
      </w:r>
      <w:bookmarkEnd w:id="41"/>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42" w:name="_Toc6638"/>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42"/>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1"/>
        <w:tblW w:w="9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1217"/>
        <w:gridCol w:w="2036"/>
        <w:gridCol w:w="3214"/>
        <w:gridCol w:w="1736"/>
        <w:gridCol w:w="1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noWrap w:val="0"/>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序号</w:t>
            </w:r>
          </w:p>
        </w:tc>
        <w:tc>
          <w:tcPr>
            <w:tcW w:w="1217" w:type="dxa"/>
            <w:noWrap w:val="0"/>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实验实训室名称</w:t>
            </w:r>
          </w:p>
        </w:tc>
        <w:tc>
          <w:tcPr>
            <w:tcW w:w="2036" w:type="dxa"/>
            <w:noWrap w:val="0"/>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实训适用课程</w:t>
            </w:r>
          </w:p>
        </w:tc>
        <w:tc>
          <w:tcPr>
            <w:tcW w:w="3214" w:type="dxa"/>
            <w:noWrap w:val="0"/>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实训项目</w:t>
            </w:r>
          </w:p>
        </w:tc>
        <w:tc>
          <w:tcPr>
            <w:tcW w:w="1736" w:type="dxa"/>
            <w:noWrap w:val="0"/>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center"/>
              <w:textAlignment w:val="auto"/>
              <w:rPr>
                <w:rFonts w:hint="eastAsia" w:ascii="仿宋_GB2312" w:hAnsi="仿宋_GB2312" w:eastAsia="仿宋_GB2312" w:cs="仿宋_GB2312"/>
                <w:b w:val="0"/>
                <w:bCs w:val="0"/>
                <w:color w:val="auto"/>
                <w:sz w:val="24"/>
                <w:szCs w:val="24"/>
                <w:highlight w:val="none"/>
                <w:vertAlign w:val="baseline"/>
              </w:rPr>
            </w:pPr>
            <w:r>
              <w:rPr>
                <w:rFonts w:hint="eastAsia" w:ascii="仿宋_GB2312" w:hAnsi="仿宋_GB2312" w:eastAsia="仿宋_GB2312" w:cs="仿宋_GB2312"/>
                <w:b w:val="0"/>
                <w:bCs w:val="0"/>
                <w:color w:val="auto"/>
                <w:sz w:val="24"/>
                <w:szCs w:val="24"/>
                <w:highlight w:val="none"/>
                <w:vertAlign w:val="baseline"/>
              </w:rPr>
              <w:t>主</w:t>
            </w:r>
            <w:r>
              <w:rPr>
                <w:rFonts w:hint="eastAsia" w:ascii="仿宋_GB2312" w:hAnsi="仿宋_GB2312" w:eastAsia="仿宋_GB2312" w:cs="仿宋_GB2312"/>
                <w:b w:val="0"/>
                <w:bCs w:val="0"/>
                <w:color w:val="auto"/>
                <w:sz w:val="24"/>
                <w:szCs w:val="24"/>
                <w:highlight w:val="none"/>
                <w:vertAlign w:val="baseline"/>
                <w:lang w:eastAsia="zh-CN"/>
              </w:rPr>
              <w:t>要设备名称及配置数量</w:t>
            </w:r>
          </w:p>
        </w:tc>
        <w:tc>
          <w:tcPr>
            <w:tcW w:w="1017" w:type="dxa"/>
            <w:noWrap w:val="0"/>
            <w:vAlign w:val="center"/>
          </w:tcPr>
          <w:p>
            <w:pPr>
              <w:keepNext w:val="0"/>
              <w:keepLines w:val="0"/>
              <w:pageBreakBefore w:val="0"/>
              <w:widowControl w:val="0"/>
              <w:kinsoku/>
              <w:wordWrap/>
              <w:overflowPunct w:val="0"/>
              <w:topLinePunct w:val="0"/>
              <w:autoSpaceDE/>
              <w:autoSpaceDN/>
              <w:bidi w:val="0"/>
              <w:adjustRightInd w:val="0"/>
              <w:snapToGrid w:val="0"/>
              <w:spacing w:after="0" w:line="320" w:lineRule="exact"/>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atLeast"/>
          <w:jc w:val="center"/>
        </w:trPr>
        <w:tc>
          <w:tcPr>
            <w:tcW w:w="75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1</w:t>
            </w:r>
          </w:p>
        </w:tc>
        <w:tc>
          <w:tcPr>
            <w:tcW w:w="12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机构养老实训室</w:t>
            </w:r>
          </w:p>
        </w:tc>
        <w:tc>
          <w:tcPr>
            <w:tcW w:w="2036"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left"/>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老年人能力评估实务、老年人生活与基础照护实务、养老机构智慧运营与管理</w:t>
            </w:r>
          </w:p>
        </w:tc>
        <w:tc>
          <w:tcPr>
            <w:tcW w:w="3214"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老年人能力评估操作（如ADL评估、认知功能评估）、基础护理技能训练（如翻身、喂食、清洁护理）、急救技能模拟（如心肺复苏、跌倒应急处理）</w:t>
            </w:r>
          </w:p>
        </w:tc>
        <w:tc>
          <w:tcPr>
            <w:tcW w:w="1736"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护理床、模拟人、护理及急救的医疗设备等20套</w:t>
            </w:r>
          </w:p>
        </w:tc>
        <w:tc>
          <w:tcPr>
            <w:tcW w:w="10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jc w:val="center"/>
        </w:trPr>
        <w:tc>
          <w:tcPr>
            <w:tcW w:w="75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2</w:t>
            </w:r>
          </w:p>
        </w:tc>
        <w:tc>
          <w:tcPr>
            <w:tcW w:w="12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社区养老实训室</w:t>
            </w:r>
          </w:p>
        </w:tc>
        <w:tc>
          <w:tcPr>
            <w:tcW w:w="2036"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left"/>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老年活动策划与设计、老年人生活能力康复训练、社区居家智慧康养管理</w:t>
            </w:r>
          </w:p>
        </w:tc>
        <w:tc>
          <w:tcPr>
            <w:tcW w:w="3214"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老年文娱活动策划与实施（如手工活动、音乐疗法）、健康体检与慢病管理实操（如血压、血糖监测）、康复器械使用训练（如步行器、平衡训练设备）</w:t>
            </w:r>
          </w:p>
        </w:tc>
        <w:tc>
          <w:tcPr>
            <w:tcW w:w="1736"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文娱设备、健康体检设备、老年产品展示、老年辅助器械、康复器械等20套</w:t>
            </w:r>
          </w:p>
        </w:tc>
        <w:tc>
          <w:tcPr>
            <w:tcW w:w="10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3</w:t>
            </w:r>
          </w:p>
        </w:tc>
        <w:tc>
          <w:tcPr>
            <w:tcW w:w="12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居家养老实训室</w:t>
            </w:r>
          </w:p>
        </w:tc>
        <w:tc>
          <w:tcPr>
            <w:tcW w:w="2036"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left"/>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老年人生活与基础照护实务、社区居家智慧康养管理</w:t>
            </w:r>
          </w:p>
        </w:tc>
        <w:tc>
          <w:tcPr>
            <w:tcW w:w="3214"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居家适老化环境设计与改造（如无障碍卫生间、厨房布局）、居家照护技能训练（如床上洗头、辅助移动）</w:t>
            </w:r>
          </w:p>
        </w:tc>
        <w:tc>
          <w:tcPr>
            <w:tcW w:w="1736"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老年人居家设备，如卧室、无障碍卫生间、无障碍厨房灯等20套</w:t>
            </w:r>
          </w:p>
        </w:tc>
        <w:tc>
          <w:tcPr>
            <w:tcW w:w="10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jc w:val="center"/>
        </w:trPr>
        <w:tc>
          <w:tcPr>
            <w:tcW w:w="75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4</w:t>
            </w:r>
          </w:p>
        </w:tc>
        <w:tc>
          <w:tcPr>
            <w:tcW w:w="12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中医养生实训室</w:t>
            </w:r>
          </w:p>
        </w:tc>
        <w:tc>
          <w:tcPr>
            <w:tcW w:w="2036"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left"/>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老年健康照护、老年心理护理实务</w:t>
            </w:r>
          </w:p>
        </w:tc>
        <w:tc>
          <w:tcPr>
            <w:tcW w:w="3214"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中医理疗技术操作（如艾灸、拔罐、推拿）、中草药养生方案设计（如药膳配制）、心理疏导与情志调养（如五行音乐疗法）</w:t>
            </w:r>
          </w:p>
        </w:tc>
        <w:tc>
          <w:tcPr>
            <w:tcW w:w="1736"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中医理疗设备、中草药标本、保健设备等30套</w:t>
            </w:r>
          </w:p>
        </w:tc>
        <w:tc>
          <w:tcPr>
            <w:tcW w:w="10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75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5</w:t>
            </w:r>
          </w:p>
        </w:tc>
        <w:tc>
          <w:tcPr>
            <w:tcW w:w="12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智慧养老实验室</w:t>
            </w:r>
          </w:p>
        </w:tc>
        <w:tc>
          <w:tcPr>
            <w:tcW w:w="2036"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left"/>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养老机构智慧运营与管理、社区居家智慧康养管理</w:t>
            </w:r>
          </w:p>
        </w:tc>
        <w:tc>
          <w:tcPr>
            <w:tcW w:w="3214"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智慧养老系统操作（如远程健康监测平台）、数据分析与养老服务质量评估、仿真养老场景管理演练</w:t>
            </w:r>
          </w:p>
        </w:tc>
        <w:tc>
          <w:tcPr>
            <w:tcW w:w="1736" w:type="dxa"/>
            <w:shd w:val="clear" w:color="auto" w:fill="auto"/>
            <w:noWrap w:val="0"/>
            <w:vAlign w:val="top"/>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远程教学设备、录播设备等1套</w:t>
            </w:r>
          </w:p>
        </w:tc>
        <w:tc>
          <w:tcPr>
            <w:tcW w:w="1017"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val="0"/>
              <w:spacing w:after="0" w:line="320" w:lineRule="exact"/>
              <w:ind w:left="0" w:leftChars="0" w:firstLine="0" w:firstLineChars="0"/>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50</w:t>
            </w:r>
          </w:p>
        </w:tc>
      </w:tr>
    </w:tbl>
    <w:p>
      <w:pPr>
        <w:pageBreakBefore w:val="0"/>
        <w:widowControl/>
        <w:kinsoku/>
        <w:wordWrap/>
        <w:topLinePunct w:val="0"/>
        <w:autoSpaceDE/>
        <w:autoSpaceDN/>
        <w:bidi w:val="0"/>
        <w:snapToGrid/>
        <w:spacing w:before="0"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3.校外实训资源</w:t>
      </w:r>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（1）校外实训基地基本要求</w:t>
      </w:r>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具有稳定的校外实训基地2个以上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能够开展老年照护、老年评估、养老机构运营管理等实训活动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实训设施齐备，实训岗位、实训指导教师确定，实训管理及实施规章制度齐全。</w:t>
      </w:r>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（2）学生实习基地基本要求</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rPr>
        <w:t>具有稳定的校外实习基地2个以上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能提供老年人身心康复保健服务、老年人能力评估员等相关实习岗位，能涵盖当前相关产业的主流技术，可接纳一定规模的学生实习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能够配备相应数量的指导教师对学生实习进行指导和管理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有保证实习生日常工作、学习、生活的规章制度，有安全、保险保障。</w:t>
      </w:r>
    </w:p>
    <w:p>
      <w:pPr>
        <w:pageBreakBefore w:val="0"/>
        <w:kinsoku/>
        <w:wordWrap/>
        <w:overflowPunct w:val="0"/>
        <w:topLinePunct w:val="0"/>
        <w:autoSpaceDE/>
        <w:autoSpaceDN/>
        <w:bidi w:val="0"/>
        <w:adjustRightInd w:val="0"/>
        <w:snapToGrid/>
        <w:spacing w:after="0" w:line="520" w:lineRule="exact"/>
        <w:ind w:left="0"/>
        <w:jc w:val="center"/>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2562"/>
        <w:gridCol w:w="1900"/>
        <w:gridCol w:w="2515"/>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序号</w:t>
            </w:r>
          </w:p>
        </w:tc>
        <w:tc>
          <w:tcPr>
            <w:tcW w:w="2562" w:type="dxa"/>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校外实习基地名称</w:t>
            </w:r>
          </w:p>
        </w:tc>
        <w:tc>
          <w:tcPr>
            <w:tcW w:w="1900" w:type="dxa"/>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合作企业名称</w:t>
            </w:r>
          </w:p>
        </w:tc>
        <w:tc>
          <w:tcPr>
            <w:tcW w:w="2515" w:type="dxa"/>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合作内容</w:t>
            </w:r>
          </w:p>
        </w:tc>
        <w:tc>
          <w:tcPr>
            <w:tcW w:w="1250" w:type="dxa"/>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1</w:t>
            </w:r>
          </w:p>
        </w:tc>
        <w:tc>
          <w:tcPr>
            <w:tcW w:w="2562"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广西工程职业学院智慧健康养老服务与管理专业校外实习基地</w:t>
            </w:r>
          </w:p>
        </w:tc>
        <w:tc>
          <w:tcPr>
            <w:tcW w:w="190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广西平果市亿安康养老服务中心</w:t>
            </w:r>
          </w:p>
        </w:tc>
        <w:tc>
          <w:tcPr>
            <w:tcW w:w="2515"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共同研究专业设置、共同研究人才培养方案、共同建设实训实习平台</w:t>
            </w:r>
          </w:p>
        </w:tc>
        <w:tc>
          <w:tcPr>
            <w:tcW w:w="125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2</w:t>
            </w:r>
          </w:p>
        </w:tc>
        <w:tc>
          <w:tcPr>
            <w:tcW w:w="2562"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广西工程职业学院智慧健康养老服务与管理专业校外实习基地</w:t>
            </w:r>
          </w:p>
        </w:tc>
        <w:tc>
          <w:tcPr>
            <w:tcW w:w="190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平果市中医医院</w:t>
            </w:r>
          </w:p>
        </w:tc>
        <w:tc>
          <w:tcPr>
            <w:tcW w:w="2515"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共同建设实训实习平台</w:t>
            </w:r>
          </w:p>
        </w:tc>
        <w:tc>
          <w:tcPr>
            <w:tcW w:w="125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w:t>
            </w:r>
          </w:p>
        </w:tc>
        <w:tc>
          <w:tcPr>
            <w:tcW w:w="2562"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广西工程职业学院智慧健康养老服务与管理专业校外实习基地</w:t>
            </w:r>
          </w:p>
        </w:tc>
        <w:tc>
          <w:tcPr>
            <w:tcW w:w="190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平果市人民医院</w:t>
            </w:r>
          </w:p>
        </w:tc>
        <w:tc>
          <w:tcPr>
            <w:tcW w:w="2515"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共同建设实训实习平台</w:t>
            </w:r>
          </w:p>
        </w:tc>
        <w:tc>
          <w:tcPr>
            <w:tcW w:w="1250" w:type="dxa"/>
            <w:shd w:val="clear" w:color="auto" w:fill="auto"/>
            <w:noWrap w:val="0"/>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firstLine="0" w:firstLineChars="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30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43" w:name="_Toc25364"/>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43"/>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1.教材选用基本要求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color w:val="auto"/>
          <w:sz w:val="32"/>
          <w:szCs w:val="32"/>
        </w:rPr>
        <w:t>按照国家规定，优先选用国家规划教材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国家优秀教材</w:t>
      </w:r>
      <w:r>
        <w:rPr>
          <w:rFonts w:hint="eastAsia" w:ascii="仿宋_GB2312" w:hAnsi="仿宋_GB2312"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rPr>
        <w:t>专业课程教材</w:t>
      </w:r>
      <w:r>
        <w:rPr>
          <w:rFonts w:hint="eastAsia" w:ascii="仿宋_GB2312" w:hAnsi="仿宋_GB2312" w:eastAsia="仿宋_GB2312" w:cs="仿宋_GB2312"/>
          <w:color w:val="auto"/>
          <w:sz w:val="32"/>
          <w:szCs w:val="32"/>
          <w:lang w:val="en-US" w:eastAsia="zh-CN"/>
        </w:rPr>
        <w:t>应</w:t>
      </w:r>
      <w:r>
        <w:rPr>
          <w:rFonts w:hint="eastAsia" w:ascii="仿宋_GB2312" w:hAnsi="仿宋_GB2312" w:eastAsia="仿宋_GB2312" w:cs="仿宋_GB2312"/>
          <w:color w:val="auto"/>
          <w:sz w:val="32"/>
          <w:szCs w:val="32"/>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强化意识形态审查，杜绝政治导向问题或内容陈旧、拼凑的教材。</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2.图书文献配备基本要求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rPr>
        <w:t>图书文献配备能满足人才培养、专业建设、教科研等工作的需要。专业类图书文献主要包括</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智慧健康养老政策法规与行业标准等。及时配置新经济、新技术、新工艺、新材料、 新管理方式、新服务方式等相关的图书文献。</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3.数字教学资源配置基本要求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rPr>
        <w:t>建设、配备与本专业有关的音视频素材、教学课件、数字化教学案例库、虚拟仿真软件 等专业教学资源库，种类丰富、形式多样、使用便捷、动态更新、满足教学。</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44" w:name="_Toc10558"/>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）教学方法</w:t>
      </w:r>
      <w:bookmarkEnd w:id="44"/>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highlight w:val="none"/>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45" w:name="_Toc989"/>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45"/>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2.教学评价方式</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w:t>
      </w:r>
      <w:r>
        <w:rPr>
          <w:rFonts w:hint="eastAsia" w:ascii="仿宋_GB2312" w:hAnsi="仿宋_GB2312" w:eastAsia="仿宋_GB2312" w:cs="仿宋_GB2312"/>
          <w:color w:val="auto"/>
          <w:sz w:val="32"/>
          <w:szCs w:val="32"/>
          <w:highlight w:val="none"/>
          <w:lang w:eastAsia="zh-CN"/>
        </w:rPr>
        <w:t>以</w:t>
      </w:r>
      <w:r>
        <w:rPr>
          <w:rFonts w:hint="eastAsia" w:ascii="仿宋_GB2312" w:hAnsi="仿宋_GB2312" w:eastAsia="仿宋_GB2312" w:cs="仿宋_GB2312"/>
          <w:color w:val="auto"/>
          <w:sz w:val="32"/>
          <w:szCs w:val="32"/>
          <w:highlight w:val="none"/>
        </w:rPr>
        <w:t>学科成绩为核心，改变到以岗位能力为核心的轨道上来。本着为行业企业服务的原则，努力缩小或消除学校评价与企业评价之间的差异</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46" w:name="_Toc30427"/>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46"/>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1D41D5"/>
          <w:sz w:val="32"/>
          <w:szCs w:val="32"/>
          <w:highlight w:val="none"/>
          <w:lang w:eastAsia="zh-CN"/>
        </w:rPr>
      </w:pPr>
      <w:bookmarkStart w:id="47" w:name="_Toc14018"/>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4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48" w:name="_Toc2067"/>
      <w:r>
        <w:rPr>
          <w:rFonts w:hint="eastAsia" w:ascii="楷体" w:hAnsi="楷体" w:eastAsia="楷体" w:cs="楷体"/>
          <w:color w:val="auto"/>
          <w:kern w:val="2"/>
          <w:sz w:val="32"/>
          <w:szCs w:val="32"/>
          <w:lang w:val="en-US" w:eastAsia="zh-CN" w:bidi="ar-SA"/>
        </w:rPr>
        <w:t>（一）学分要求</w:t>
      </w:r>
      <w:bookmarkEnd w:id="4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143学分。其中，必修课125学分，选修课16学分。公共必修课38学分，公共选修课8学分。专业必修课87学分，专业选修课8学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1"/>
        <w:rPr>
          <w:rFonts w:hint="eastAsia" w:ascii="楷体" w:hAnsi="楷体" w:eastAsia="楷体" w:cs="楷体"/>
          <w:color w:val="auto"/>
          <w:kern w:val="2"/>
          <w:sz w:val="32"/>
          <w:szCs w:val="32"/>
          <w:lang w:val="en-US" w:eastAsia="zh-CN" w:bidi="ar-SA"/>
        </w:rPr>
      </w:pPr>
      <w:bookmarkStart w:id="49" w:name="_Toc3581"/>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1"/>
        <w:rPr>
          <w:rFonts w:hint="eastAsia" w:ascii="仿宋_GB2312" w:hAnsi="仿宋_GB2312" w:eastAsia="仿宋_GB2312" w:cs="仿宋_GB2312"/>
          <w:color w:val="auto"/>
          <w:sz w:val="32"/>
          <w:szCs w:val="32"/>
          <w:lang w:eastAsia="zh-CN"/>
        </w:rPr>
      </w:pPr>
      <w:r>
        <w:rPr>
          <w:rFonts w:hint="eastAsia" w:ascii="楷体" w:hAnsi="楷体" w:eastAsia="楷体" w:cs="楷体"/>
          <w:color w:val="auto"/>
          <w:kern w:val="2"/>
          <w:sz w:val="32"/>
          <w:szCs w:val="32"/>
          <w:lang w:val="en-US" w:eastAsia="zh-CN" w:bidi="ar-SA"/>
        </w:rPr>
        <w:t>（二）职业类证书要求</w:t>
      </w:r>
      <w:bookmarkEnd w:id="49"/>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大学英语B级证书、“1+X”职业技能等级证书、全国计算机等级考试（一级）证书、养老护理员（初级）等职业证书纳入培养要求，鼓励学生考取相关证书。通过职业证书的考取，提高学生的专业技能和就业竞争力，使学生更好地适应社会和企业的需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firstLineChars="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智慧健康养老服务与管理专业职业证书一览表</w:t>
      </w:r>
    </w:p>
    <w:tbl>
      <w:tblPr>
        <w:tblStyle w:val="11"/>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3712"/>
        <w:gridCol w:w="281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627"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712"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814"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712"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高职学历证书</w:t>
            </w:r>
          </w:p>
        </w:tc>
        <w:tc>
          <w:tcPr>
            <w:tcW w:w="2814"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广西工程职业学院</w:t>
            </w:r>
          </w:p>
        </w:tc>
        <w:tc>
          <w:tcPr>
            <w:tcW w:w="1400"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712"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大学英语B级证书</w:t>
            </w:r>
          </w:p>
        </w:tc>
        <w:tc>
          <w:tcPr>
            <w:tcW w:w="2814"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国家教育部、高等学校英语应用能力考试委员会</w:t>
            </w:r>
          </w:p>
        </w:tc>
        <w:tc>
          <w:tcPr>
            <w:tcW w:w="1400"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712"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1+X</w:t>
            </w: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职业技能等级证书</w:t>
            </w:r>
          </w:p>
        </w:tc>
        <w:tc>
          <w:tcPr>
            <w:tcW w:w="2814"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国家教育部</w:t>
            </w:r>
          </w:p>
        </w:tc>
        <w:tc>
          <w:tcPr>
            <w:tcW w:w="1400"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712"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全国计算机等级考试（一级）证书</w:t>
            </w:r>
          </w:p>
        </w:tc>
        <w:tc>
          <w:tcPr>
            <w:tcW w:w="2814"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w:t>
            </w:r>
          </w:p>
        </w:tc>
        <w:tc>
          <w:tcPr>
            <w:tcW w:w="1400"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kern w:val="0"/>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712"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养老护理员（初级）</w:t>
            </w:r>
          </w:p>
        </w:tc>
        <w:tc>
          <w:tcPr>
            <w:tcW w:w="2814"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百色市职业技能鉴定中心</w:t>
            </w:r>
          </w:p>
        </w:tc>
        <w:tc>
          <w:tcPr>
            <w:tcW w:w="1400"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50" w:name="_Toc18394"/>
      <w:r>
        <w:rPr>
          <w:rFonts w:hint="eastAsia" w:ascii="楷体" w:hAnsi="楷体" w:eastAsia="楷体" w:cs="楷体"/>
          <w:color w:val="auto"/>
          <w:kern w:val="2"/>
          <w:sz w:val="32"/>
          <w:szCs w:val="32"/>
          <w:lang w:val="en-US" w:eastAsia="zh-CN" w:bidi="ar-SA"/>
        </w:rPr>
        <w:t>（三）综合素质要求</w:t>
      </w:r>
      <w:bookmarkEnd w:id="50"/>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经鉴定思想品德符合要求，恪守“厚德博学，至材健行”校训精神，践行社会主义核心价值观，达到德智体美劳全面发展的综合素质要求。具备良好的人文素养、科学素养和数字素养，恪守职业道德，树立正确的职业观与责任意识。系统掌握本专业核心知识，具备老年人评估、失能失智照护、康复辅助、慢性病管理、老年活动策划及养老服务运营管理等实践能力，适应行业智能化发展需求。同时需达到国家大学生体质健康测试合格标准，具备一定艺术素养和良好劳动素养，弘扬劳模精神、劳动精神与工匠精神，具备终身学习和可持续发展能力。</w:t>
      </w:r>
    </w:p>
    <w:p>
      <w:pPr>
        <w:keepNext w:val="0"/>
        <w:keepLines w:val="0"/>
        <w:pageBreakBefore w:val="0"/>
        <w:widowControl w:val="0"/>
        <w:kinsoku/>
        <w:wordWrap/>
        <w:topLinePunct w:val="0"/>
        <w:autoSpaceDE/>
        <w:autoSpaceDN/>
        <w:bidi w:val="0"/>
        <w:snapToGrid/>
        <w:spacing w:after="0" w:line="520" w:lineRule="exact"/>
        <w:ind w:left="0" w:firstLine="420" w:firstLineChars="200"/>
        <w:textAlignment w:val="auto"/>
        <w:outlineLvl w:val="9"/>
      </w:pPr>
    </w:p>
    <w:sectPr>
      <w:footerReference r:id="rId8"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0CEDF0-E508-46F5-A002-B582BCFA41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C0A9B95F-7B0B-4834-A6CE-5F37B41E36DA}"/>
  </w:font>
  <w:font w:name="华文新魏">
    <w:panose1 w:val="02010800040101010101"/>
    <w:charset w:val="86"/>
    <w:family w:val="auto"/>
    <w:pitch w:val="default"/>
    <w:sig w:usb0="00000001" w:usb1="080F0000" w:usb2="00000000" w:usb3="00000000" w:csb0="00040000" w:csb1="00000000"/>
    <w:embedRegular r:id="rId3" w:fontKey="{90D1815B-D004-4227-942B-8BE405027719}"/>
  </w:font>
  <w:font w:name="方正小标宋简体">
    <w:panose1 w:val="02010601030101010101"/>
    <w:charset w:val="86"/>
    <w:family w:val="script"/>
    <w:pitch w:val="default"/>
    <w:sig w:usb0="00000001" w:usb1="080E0000" w:usb2="00000000" w:usb3="00000000" w:csb0="00040000" w:csb1="00000000"/>
    <w:embedRegular r:id="rId4" w:fontKey="{85EEF24A-F6E2-402B-B047-219D94C81EDD}"/>
  </w:font>
  <w:font w:name="仿宋_GB2312">
    <w:panose1 w:val="02010609030101010101"/>
    <w:charset w:val="86"/>
    <w:family w:val="modern"/>
    <w:pitch w:val="default"/>
    <w:sig w:usb0="00000001" w:usb1="080E0000" w:usb2="00000000" w:usb3="00000000" w:csb0="00040000" w:csb1="00000000"/>
    <w:embedRegular r:id="rId5" w:fontKey="{FA6CB285-AD53-44B1-9F52-62602A00E62D}"/>
  </w:font>
  <w:font w:name="楷体">
    <w:panose1 w:val="02010609060101010101"/>
    <w:charset w:val="86"/>
    <w:family w:val="modern"/>
    <w:pitch w:val="default"/>
    <w:sig w:usb0="800002BF" w:usb1="38CF7CFA" w:usb2="00000016" w:usb3="00000000" w:csb0="00040001" w:csb1="00000000"/>
    <w:embedRegular r:id="rId6" w:fontKey="{5DEB47E6-6F65-46EF-A08D-6A0D1C58172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D5374"/>
    <w:rsid w:val="03304250"/>
    <w:rsid w:val="03A07894"/>
    <w:rsid w:val="048C3708"/>
    <w:rsid w:val="04BC3FEE"/>
    <w:rsid w:val="04E16D8E"/>
    <w:rsid w:val="051223C4"/>
    <w:rsid w:val="062E0F1B"/>
    <w:rsid w:val="06471FDD"/>
    <w:rsid w:val="06C90C44"/>
    <w:rsid w:val="070954E4"/>
    <w:rsid w:val="07322345"/>
    <w:rsid w:val="07D672B4"/>
    <w:rsid w:val="082F2519"/>
    <w:rsid w:val="084C7436"/>
    <w:rsid w:val="08BC483E"/>
    <w:rsid w:val="08DA7138"/>
    <w:rsid w:val="08F70DAF"/>
    <w:rsid w:val="09075A53"/>
    <w:rsid w:val="094D790A"/>
    <w:rsid w:val="095347F5"/>
    <w:rsid w:val="09BF3D68"/>
    <w:rsid w:val="09CB082F"/>
    <w:rsid w:val="09D45935"/>
    <w:rsid w:val="0A1E4E03"/>
    <w:rsid w:val="0A634F0B"/>
    <w:rsid w:val="0AC91212"/>
    <w:rsid w:val="0AFF69E2"/>
    <w:rsid w:val="0B2B2F81"/>
    <w:rsid w:val="0B64718D"/>
    <w:rsid w:val="0B9E269F"/>
    <w:rsid w:val="0BB93035"/>
    <w:rsid w:val="0C0A3BA0"/>
    <w:rsid w:val="0CE642FD"/>
    <w:rsid w:val="0D3000CB"/>
    <w:rsid w:val="0DE924A0"/>
    <w:rsid w:val="0E2350DD"/>
    <w:rsid w:val="0E5E6115"/>
    <w:rsid w:val="0ED4462A"/>
    <w:rsid w:val="0F386966"/>
    <w:rsid w:val="0FA47B58"/>
    <w:rsid w:val="0FA67D74"/>
    <w:rsid w:val="0FD20B69"/>
    <w:rsid w:val="0FE4089C"/>
    <w:rsid w:val="10093E5F"/>
    <w:rsid w:val="10152804"/>
    <w:rsid w:val="10234F21"/>
    <w:rsid w:val="10914580"/>
    <w:rsid w:val="10EE36A0"/>
    <w:rsid w:val="116752E1"/>
    <w:rsid w:val="12485112"/>
    <w:rsid w:val="127F665A"/>
    <w:rsid w:val="129605A8"/>
    <w:rsid w:val="12DC3AAD"/>
    <w:rsid w:val="12F708E7"/>
    <w:rsid w:val="13203999"/>
    <w:rsid w:val="135C5E82"/>
    <w:rsid w:val="139B5716"/>
    <w:rsid w:val="13C46A1B"/>
    <w:rsid w:val="13C77F07"/>
    <w:rsid w:val="13F454F6"/>
    <w:rsid w:val="14A800EA"/>
    <w:rsid w:val="15001CD4"/>
    <w:rsid w:val="150317C5"/>
    <w:rsid w:val="15202377"/>
    <w:rsid w:val="15542020"/>
    <w:rsid w:val="165F0C7D"/>
    <w:rsid w:val="16785046"/>
    <w:rsid w:val="1699418F"/>
    <w:rsid w:val="16995FBA"/>
    <w:rsid w:val="16A42B33"/>
    <w:rsid w:val="16DC051F"/>
    <w:rsid w:val="170B4961"/>
    <w:rsid w:val="1740285C"/>
    <w:rsid w:val="1749510D"/>
    <w:rsid w:val="1796247C"/>
    <w:rsid w:val="18231BC4"/>
    <w:rsid w:val="18CB084B"/>
    <w:rsid w:val="19481E9C"/>
    <w:rsid w:val="19AF3CC9"/>
    <w:rsid w:val="19FA12B7"/>
    <w:rsid w:val="1A262FB5"/>
    <w:rsid w:val="1AE45BF4"/>
    <w:rsid w:val="1AE8049A"/>
    <w:rsid w:val="1BAE7956"/>
    <w:rsid w:val="1BCC19A4"/>
    <w:rsid w:val="1BF93A5C"/>
    <w:rsid w:val="1C27223D"/>
    <w:rsid w:val="1C6F14EE"/>
    <w:rsid w:val="1CB25FAA"/>
    <w:rsid w:val="1D0377EB"/>
    <w:rsid w:val="1D24677C"/>
    <w:rsid w:val="1DD46F9A"/>
    <w:rsid w:val="1DD51824"/>
    <w:rsid w:val="1E4B3DFE"/>
    <w:rsid w:val="1E91399D"/>
    <w:rsid w:val="1EA77665"/>
    <w:rsid w:val="1ECC6B87"/>
    <w:rsid w:val="1EFA4CED"/>
    <w:rsid w:val="1F3A7811"/>
    <w:rsid w:val="1F5350F7"/>
    <w:rsid w:val="1FB17C46"/>
    <w:rsid w:val="1FB21E1D"/>
    <w:rsid w:val="1FBC2C9C"/>
    <w:rsid w:val="202A40A9"/>
    <w:rsid w:val="207417C9"/>
    <w:rsid w:val="20AA343C"/>
    <w:rsid w:val="20AD7038"/>
    <w:rsid w:val="20BE4D41"/>
    <w:rsid w:val="20E32B71"/>
    <w:rsid w:val="20E56222"/>
    <w:rsid w:val="210E0F0E"/>
    <w:rsid w:val="2170143C"/>
    <w:rsid w:val="21EB3D26"/>
    <w:rsid w:val="22123047"/>
    <w:rsid w:val="222C4BF2"/>
    <w:rsid w:val="223461B5"/>
    <w:rsid w:val="22967FAA"/>
    <w:rsid w:val="22A00653"/>
    <w:rsid w:val="2338088B"/>
    <w:rsid w:val="234F13A4"/>
    <w:rsid w:val="236773C3"/>
    <w:rsid w:val="237D0994"/>
    <w:rsid w:val="23954DD6"/>
    <w:rsid w:val="23D42CAA"/>
    <w:rsid w:val="244D65B8"/>
    <w:rsid w:val="249D12EE"/>
    <w:rsid w:val="24BE5675"/>
    <w:rsid w:val="24E76143"/>
    <w:rsid w:val="24F353B2"/>
    <w:rsid w:val="267A11BB"/>
    <w:rsid w:val="27075144"/>
    <w:rsid w:val="27441EF5"/>
    <w:rsid w:val="27AE3812"/>
    <w:rsid w:val="27BB7D5F"/>
    <w:rsid w:val="27F5401D"/>
    <w:rsid w:val="28557849"/>
    <w:rsid w:val="285A12A4"/>
    <w:rsid w:val="289A5B44"/>
    <w:rsid w:val="28BD30CD"/>
    <w:rsid w:val="296E1A2F"/>
    <w:rsid w:val="29B449E4"/>
    <w:rsid w:val="29C72B81"/>
    <w:rsid w:val="29F55728"/>
    <w:rsid w:val="2B0F281A"/>
    <w:rsid w:val="2B8D373E"/>
    <w:rsid w:val="2BF11F1F"/>
    <w:rsid w:val="2C717E24"/>
    <w:rsid w:val="2C802418"/>
    <w:rsid w:val="2CB341C7"/>
    <w:rsid w:val="2CC66F08"/>
    <w:rsid w:val="2CEB2E12"/>
    <w:rsid w:val="2D017E00"/>
    <w:rsid w:val="2D386B03"/>
    <w:rsid w:val="2D5704A8"/>
    <w:rsid w:val="2D8165B1"/>
    <w:rsid w:val="2D964B2C"/>
    <w:rsid w:val="2DAC4350"/>
    <w:rsid w:val="2DD90E9C"/>
    <w:rsid w:val="2DE47F8D"/>
    <w:rsid w:val="2F083808"/>
    <w:rsid w:val="2F227927"/>
    <w:rsid w:val="2F34284F"/>
    <w:rsid w:val="2F436F36"/>
    <w:rsid w:val="2F7A2E0A"/>
    <w:rsid w:val="2F8D1F5F"/>
    <w:rsid w:val="2FA96B3D"/>
    <w:rsid w:val="2FD933F6"/>
    <w:rsid w:val="30A6152A"/>
    <w:rsid w:val="30A77050"/>
    <w:rsid w:val="30DC27D6"/>
    <w:rsid w:val="3115220C"/>
    <w:rsid w:val="31342FDA"/>
    <w:rsid w:val="318A49A8"/>
    <w:rsid w:val="31A83FF1"/>
    <w:rsid w:val="31AA329C"/>
    <w:rsid w:val="31D2634F"/>
    <w:rsid w:val="31E57005"/>
    <w:rsid w:val="321D581C"/>
    <w:rsid w:val="32E71163"/>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360836"/>
    <w:rsid w:val="376B0DD8"/>
    <w:rsid w:val="3770165B"/>
    <w:rsid w:val="37960DB8"/>
    <w:rsid w:val="37AD2573"/>
    <w:rsid w:val="37EE37B7"/>
    <w:rsid w:val="381153F4"/>
    <w:rsid w:val="38481119"/>
    <w:rsid w:val="38877EE4"/>
    <w:rsid w:val="3892511D"/>
    <w:rsid w:val="38C22C79"/>
    <w:rsid w:val="39372651"/>
    <w:rsid w:val="396C0E37"/>
    <w:rsid w:val="39A700C1"/>
    <w:rsid w:val="39FC040D"/>
    <w:rsid w:val="3A451367"/>
    <w:rsid w:val="3A60099C"/>
    <w:rsid w:val="3A7A7584"/>
    <w:rsid w:val="3A8765F3"/>
    <w:rsid w:val="3A993045"/>
    <w:rsid w:val="3AEA4709"/>
    <w:rsid w:val="3B4007CD"/>
    <w:rsid w:val="3BDE299C"/>
    <w:rsid w:val="3C17152E"/>
    <w:rsid w:val="3CFD4438"/>
    <w:rsid w:val="3D0047E4"/>
    <w:rsid w:val="3D766728"/>
    <w:rsid w:val="3D9F7A2D"/>
    <w:rsid w:val="3E0B14F6"/>
    <w:rsid w:val="3E4D7489"/>
    <w:rsid w:val="3E725142"/>
    <w:rsid w:val="3EB92D70"/>
    <w:rsid w:val="3F6A4DBB"/>
    <w:rsid w:val="3F785DC7"/>
    <w:rsid w:val="3FF86C17"/>
    <w:rsid w:val="3FFC1167"/>
    <w:rsid w:val="40077B0C"/>
    <w:rsid w:val="404B5C4A"/>
    <w:rsid w:val="40664832"/>
    <w:rsid w:val="407A6B43"/>
    <w:rsid w:val="4084115C"/>
    <w:rsid w:val="4099592E"/>
    <w:rsid w:val="40B53BBC"/>
    <w:rsid w:val="40B557B9"/>
    <w:rsid w:val="40C8470D"/>
    <w:rsid w:val="413D6362"/>
    <w:rsid w:val="41540B2E"/>
    <w:rsid w:val="415648A7"/>
    <w:rsid w:val="41727207"/>
    <w:rsid w:val="41A42FA1"/>
    <w:rsid w:val="41BB6E00"/>
    <w:rsid w:val="41CF62FB"/>
    <w:rsid w:val="41DE5079"/>
    <w:rsid w:val="422A57D8"/>
    <w:rsid w:val="425A3D85"/>
    <w:rsid w:val="42817701"/>
    <w:rsid w:val="428611BC"/>
    <w:rsid w:val="42B86E9B"/>
    <w:rsid w:val="42DC0DDB"/>
    <w:rsid w:val="430976F7"/>
    <w:rsid w:val="43105F3B"/>
    <w:rsid w:val="436463B1"/>
    <w:rsid w:val="43713C1A"/>
    <w:rsid w:val="43792ACE"/>
    <w:rsid w:val="43A538C3"/>
    <w:rsid w:val="43C755E8"/>
    <w:rsid w:val="44380293"/>
    <w:rsid w:val="447D65EE"/>
    <w:rsid w:val="44A43B7B"/>
    <w:rsid w:val="44B71B00"/>
    <w:rsid w:val="44B862E9"/>
    <w:rsid w:val="455530C7"/>
    <w:rsid w:val="45C2075D"/>
    <w:rsid w:val="4602706C"/>
    <w:rsid w:val="46733805"/>
    <w:rsid w:val="46B856BC"/>
    <w:rsid w:val="46EE10DD"/>
    <w:rsid w:val="46F661E4"/>
    <w:rsid w:val="47103740"/>
    <w:rsid w:val="471C3E9C"/>
    <w:rsid w:val="47846F9A"/>
    <w:rsid w:val="4803505C"/>
    <w:rsid w:val="480A0199"/>
    <w:rsid w:val="48A57EC2"/>
    <w:rsid w:val="48AE4FC8"/>
    <w:rsid w:val="48BA396D"/>
    <w:rsid w:val="48BD16AF"/>
    <w:rsid w:val="48DF1625"/>
    <w:rsid w:val="48E56510"/>
    <w:rsid w:val="491533A3"/>
    <w:rsid w:val="49395702"/>
    <w:rsid w:val="49843F7B"/>
    <w:rsid w:val="49A63EF1"/>
    <w:rsid w:val="4A3C6604"/>
    <w:rsid w:val="4AA20B5D"/>
    <w:rsid w:val="4AD8632C"/>
    <w:rsid w:val="4AF15640"/>
    <w:rsid w:val="4AFA62A3"/>
    <w:rsid w:val="4B726781"/>
    <w:rsid w:val="4BC70E4B"/>
    <w:rsid w:val="4C0272E2"/>
    <w:rsid w:val="4C0C0983"/>
    <w:rsid w:val="4C1149B8"/>
    <w:rsid w:val="4C675BBA"/>
    <w:rsid w:val="4D135D42"/>
    <w:rsid w:val="4D1473C4"/>
    <w:rsid w:val="4E514358"/>
    <w:rsid w:val="4E5C7274"/>
    <w:rsid w:val="4EE21ECA"/>
    <w:rsid w:val="4EF26B5F"/>
    <w:rsid w:val="4F1B712F"/>
    <w:rsid w:val="4F585C8E"/>
    <w:rsid w:val="4F6B3C13"/>
    <w:rsid w:val="4F7D56F4"/>
    <w:rsid w:val="509C4C8B"/>
    <w:rsid w:val="5135219E"/>
    <w:rsid w:val="517A5B1D"/>
    <w:rsid w:val="51C30881"/>
    <w:rsid w:val="51D535C6"/>
    <w:rsid w:val="51FE1E87"/>
    <w:rsid w:val="522105B9"/>
    <w:rsid w:val="5259656B"/>
    <w:rsid w:val="535B634F"/>
    <w:rsid w:val="537F4EC6"/>
    <w:rsid w:val="53807561"/>
    <w:rsid w:val="53A024CF"/>
    <w:rsid w:val="53C71634"/>
    <w:rsid w:val="542919A7"/>
    <w:rsid w:val="544A2B4B"/>
    <w:rsid w:val="547D6E43"/>
    <w:rsid w:val="54855FA4"/>
    <w:rsid w:val="55D87B28"/>
    <w:rsid w:val="56397652"/>
    <w:rsid w:val="565C2507"/>
    <w:rsid w:val="566118CC"/>
    <w:rsid w:val="56A23A63"/>
    <w:rsid w:val="56F95FA8"/>
    <w:rsid w:val="572D5C52"/>
    <w:rsid w:val="580D2693"/>
    <w:rsid w:val="58337298"/>
    <w:rsid w:val="58680DC2"/>
    <w:rsid w:val="588673C8"/>
    <w:rsid w:val="58E02A3F"/>
    <w:rsid w:val="5900361E"/>
    <w:rsid w:val="592F7A5F"/>
    <w:rsid w:val="59345076"/>
    <w:rsid w:val="59575208"/>
    <w:rsid w:val="595C12A3"/>
    <w:rsid w:val="5996188C"/>
    <w:rsid w:val="59A048E3"/>
    <w:rsid w:val="59C77C98"/>
    <w:rsid w:val="59DE1485"/>
    <w:rsid w:val="5A9F0C15"/>
    <w:rsid w:val="5AD36B10"/>
    <w:rsid w:val="5AE64A95"/>
    <w:rsid w:val="5B137EF8"/>
    <w:rsid w:val="5B1F1DFE"/>
    <w:rsid w:val="5B322D65"/>
    <w:rsid w:val="5BBC75A4"/>
    <w:rsid w:val="5BCC4E68"/>
    <w:rsid w:val="5C0C052C"/>
    <w:rsid w:val="5C0E6052"/>
    <w:rsid w:val="5C38700F"/>
    <w:rsid w:val="5C4E644E"/>
    <w:rsid w:val="5C606182"/>
    <w:rsid w:val="5C6C0FB6"/>
    <w:rsid w:val="5C8C341B"/>
    <w:rsid w:val="5C9B365E"/>
    <w:rsid w:val="5CA81427"/>
    <w:rsid w:val="5CC44589"/>
    <w:rsid w:val="5CD1707F"/>
    <w:rsid w:val="5D01298C"/>
    <w:rsid w:val="5D206DB4"/>
    <w:rsid w:val="5D292A17"/>
    <w:rsid w:val="5DF9493C"/>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2386256"/>
    <w:rsid w:val="623C0745"/>
    <w:rsid w:val="62D11B87"/>
    <w:rsid w:val="62DD677E"/>
    <w:rsid w:val="62E80EC0"/>
    <w:rsid w:val="62F37D50"/>
    <w:rsid w:val="631D301E"/>
    <w:rsid w:val="631F49AF"/>
    <w:rsid w:val="632717A7"/>
    <w:rsid w:val="6384309D"/>
    <w:rsid w:val="638D0589"/>
    <w:rsid w:val="63BC0E58"/>
    <w:rsid w:val="63CE39A4"/>
    <w:rsid w:val="63D27965"/>
    <w:rsid w:val="64025D70"/>
    <w:rsid w:val="643017E4"/>
    <w:rsid w:val="644840CB"/>
    <w:rsid w:val="64966BE4"/>
    <w:rsid w:val="65165F77"/>
    <w:rsid w:val="65DC47CF"/>
    <w:rsid w:val="65FE0EE5"/>
    <w:rsid w:val="663F14FE"/>
    <w:rsid w:val="66707909"/>
    <w:rsid w:val="66B141AA"/>
    <w:rsid w:val="67470A9D"/>
    <w:rsid w:val="67697E95"/>
    <w:rsid w:val="6773145F"/>
    <w:rsid w:val="67B90B06"/>
    <w:rsid w:val="67FA56DC"/>
    <w:rsid w:val="681A3FD0"/>
    <w:rsid w:val="6888718C"/>
    <w:rsid w:val="68A4680D"/>
    <w:rsid w:val="68B25FB7"/>
    <w:rsid w:val="69164798"/>
    <w:rsid w:val="69D837FB"/>
    <w:rsid w:val="6A246A40"/>
    <w:rsid w:val="6A9C6F1F"/>
    <w:rsid w:val="6ABA1153"/>
    <w:rsid w:val="6AF44665"/>
    <w:rsid w:val="6BDB75D3"/>
    <w:rsid w:val="6BF80185"/>
    <w:rsid w:val="6C2B055A"/>
    <w:rsid w:val="6C423AF6"/>
    <w:rsid w:val="6C8A72E3"/>
    <w:rsid w:val="6C923EBF"/>
    <w:rsid w:val="6CBB403E"/>
    <w:rsid w:val="6CCE7137"/>
    <w:rsid w:val="6D1D49F8"/>
    <w:rsid w:val="6D8F2D6B"/>
    <w:rsid w:val="6E0C43BB"/>
    <w:rsid w:val="6E661D1D"/>
    <w:rsid w:val="6EF07839"/>
    <w:rsid w:val="6F2F65B3"/>
    <w:rsid w:val="6F721644"/>
    <w:rsid w:val="6FB45967"/>
    <w:rsid w:val="6FC4358D"/>
    <w:rsid w:val="6FF128C8"/>
    <w:rsid w:val="6FF60E7F"/>
    <w:rsid w:val="713C6D66"/>
    <w:rsid w:val="71DD2CB4"/>
    <w:rsid w:val="72011973"/>
    <w:rsid w:val="72563E57"/>
    <w:rsid w:val="72DA6836"/>
    <w:rsid w:val="72F21DD2"/>
    <w:rsid w:val="72FF629D"/>
    <w:rsid w:val="730022F6"/>
    <w:rsid w:val="732301DD"/>
    <w:rsid w:val="732950C8"/>
    <w:rsid w:val="735E76C4"/>
    <w:rsid w:val="73BE1CB4"/>
    <w:rsid w:val="73C60B68"/>
    <w:rsid w:val="73FB5836"/>
    <w:rsid w:val="73FD2CDB"/>
    <w:rsid w:val="74024296"/>
    <w:rsid w:val="74185868"/>
    <w:rsid w:val="742510D0"/>
    <w:rsid w:val="74257F85"/>
    <w:rsid w:val="743261FE"/>
    <w:rsid w:val="744F0B5E"/>
    <w:rsid w:val="749A44CF"/>
    <w:rsid w:val="74F55BA9"/>
    <w:rsid w:val="74F6722B"/>
    <w:rsid w:val="751A53DD"/>
    <w:rsid w:val="7535244A"/>
    <w:rsid w:val="75504B8E"/>
    <w:rsid w:val="7585069B"/>
    <w:rsid w:val="76191423"/>
    <w:rsid w:val="76326989"/>
    <w:rsid w:val="76562678"/>
    <w:rsid w:val="7718792D"/>
    <w:rsid w:val="77D965A0"/>
    <w:rsid w:val="77FC484A"/>
    <w:rsid w:val="782C5979"/>
    <w:rsid w:val="7847671C"/>
    <w:rsid w:val="789254BD"/>
    <w:rsid w:val="79002D6F"/>
    <w:rsid w:val="791660EE"/>
    <w:rsid w:val="79751DE3"/>
    <w:rsid w:val="7A1E674C"/>
    <w:rsid w:val="7AD52274"/>
    <w:rsid w:val="7B821819"/>
    <w:rsid w:val="7BAC4AE8"/>
    <w:rsid w:val="7C7E0F8D"/>
    <w:rsid w:val="7C9C690A"/>
    <w:rsid w:val="7D1172F8"/>
    <w:rsid w:val="7D7B6E68"/>
    <w:rsid w:val="7DAC0DCF"/>
    <w:rsid w:val="7DF80183"/>
    <w:rsid w:val="7E372159"/>
    <w:rsid w:val="7EAF501B"/>
    <w:rsid w:val="7F080287"/>
    <w:rsid w:val="7F1255AA"/>
    <w:rsid w:val="7F1C4B9B"/>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宋体" w:hAnsi="宋体" w:cs="宋体"/>
      <w:szCs w:val="21"/>
      <w:lang w:eastAsia="en-US"/>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21721</Words>
  <Characters>21885</Characters>
  <Lines>1850</Lines>
  <Paragraphs>1270</Paragraphs>
  <TotalTime>10</TotalTime>
  <ScaleCrop>false</ScaleCrop>
  <LinksUpToDate>false</LinksUpToDate>
  <CharactersWithSpaces>22186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何莹苑</cp:lastModifiedBy>
  <cp:lastPrinted>2026-03-24T13:32:16Z</cp:lastPrinted>
  <dcterms:modified xsi:type="dcterms:W3CDTF">2026-03-24T14:08:22Z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0F451F11A0A34D11B2DF63EE345729E3_13</vt:lpwstr>
  </property>
  <property fmtid="{D5CDD505-2E9C-101B-9397-08002B2CF9AE}" pid="4" name="KSOTemplateDocerSaveRecord">
    <vt:lpwstr>eyJoZGlkIjoiOTlkYjc2ZWYyMDRiNWJjZTRkYjI2Yzk5M2I2MDljMjYiLCJ1c2VySWQiOiIyOTg5OTU1NTEifQ==</vt:lpwstr>
  </property>
</Properties>
</file>