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djustRightInd w:val="0"/>
        <w:snapToGrid w:val="0"/>
        <w:jc w:val="both"/>
        <w:rPr>
          <w:rFonts w:hint="eastAsia" w:ascii="仿宋" w:hAnsi="仿宋" w:eastAsia="仿宋"/>
          <w:color w:val="auto"/>
          <w:szCs w:val="32"/>
        </w:rPr>
      </w:pPr>
      <w:r>
        <w:rPr>
          <w:rFonts w:ascii="宋体" w:hAnsi="宋体" w:eastAsia="宋体" w:cs="宋体"/>
          <w:sz w:val="24"/>
          <w:szCs w:val="24"/>
        </w:rPr>
        <w:drawing>
          <wp:anchor distT="0" distB="0" distL="114300" distR="114300" simplePos="0" relativeHeight="251659264" behindDoc="1" locked="0" layoutInCell="1" allowOverlap="1">
            <wp:simplePos x="0" y="0"/>
            <wp:positionH relativeFrom="column">
              <wp:posOffset>-116205</wp:posOffset>
            </wp:positionH>
            <wp:positionV relativeFrom="paragraph">
              <wp:posOffset>771525</wp:posOffset>
            </wp:positionV>
            <wp:extent cx="5684520" cy="1270635"/>
            <wp:effectExtent l="0" t="0" r="11430" b="5715"/>
            <wp:wrapNone/>
            <wp:docPr id="2" name="图片 2" descr="774cab3c599d63778141cb733ecde9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74cab3c599d63778141cb733ecde9bc"/>
                    <pic:cNvPicPr>
                      <a:picLocks noChangeAspect="1"/>
                    </pic:cNvPicPr>
                  </pic:nvPicPr>
                  <pic:blipFill>
                    <a:blip r:embed="rId6"/>
                    <a:stretch>
                      <a:fillRect/>
                    </a:stretch>
                  </pic:blipFill>
                  <pic:spPr>
                    <a:xfrm>
                      <a:off x="0" y="0"/>
                      <a:ext cx="5684520" cy="1270635"/>
                    </a:xfrm>
                    <a:prstGeom prst="rect">
                      <a:avLst/>
                    </a:prstGeom>
                    <a:noFill/>
                    <a:ln>
                      <a:noFill/>
                    </a:ln>
                  </pic:spPr>
                </pic:pic>
              </a:graphicData>
            </a:graphic>
          </wp:anchor>
        </w:drawing>
      </w: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keepNext w:val="0"/>
        <w:keepLines w:val="0"/>
        <w:pageBreakBefore w:val="0"/>
        <w:widowControl w:val="0"/>
        <w:kinsoku/>
        <w:wordWrap/>
        <w:overflowPunct w:val="0"/>
        <w:topLinePunct w:val="0"/>
        <w:autoSpaceDE/>
        <w:autoSpaceDN/>
        <w:bidi w:val="0"/>
        <w:adjustRightInd w:val="0"/>
        <w:snapToGrid w:val="0"/>
        <w:spacing w:after="0"/>
        <w:textAlignment w:val="auto"/>
        <w:rPr>
          <w:rFonts w:hint="eastAsia" w:ascii="华文新魏" w:hAnsi="仿宋" w:eastAsia="华文新魏"/>
          <w:b/>
          <w:color w:val="000000" w:themeColor="text1"/>
          <w:sz w:val="100"/>
          <w:szCs w:val="100"/>
          <w14:textFill>
            <w14:solidFill>
              <w14:schemeClr w14:val="tx1"/>
            </w14:solidFill>
          </w14:textFill>
        </w:rPr>
      </w:pPr>
    </w:p>
    <w:p>
      <w:pPr>
        <w:keepNext w:val="0"/>
        <w:keepLines w:val="0"/>
        <w:pageBreakBefore w:val="0"/>
        <w:widowControl w:val="0"/>
        <w:kinsoku/>
        <w:wordWrap/>
        <w:overflowPunct w:val="0"/>
        <w:topLinePunct w:val="0"/>
        <w:autoSpaceDE/>
        <w:autoSpaceDN/>
        <w:bidi w:val="0"/>
        <w:adjustRightInd w:val="0"/>
        <w:snapToGrid w:val="0"/>
        <w:spacing w:after="0" w:line="900" w:lineRule="exact"/>
        <w:jc w:val="center"/>
        <w:textAlignment w:val="auto"/>
        <w:rPr>
          <w:rFonts w:hint="eastAsia" w:ascii="黑体" w:hAnsi="黑体" w:eastAsia="黑体" w:cs="黑体"/>
          <w:b w:val="0"/>
          <w:bCs/>
          <w:color w:val="000000" w:themeColor="text1"/>
          <w:sz w:val="72"/>
          <w:szCs w:val="72"/>
          <w14:textFill>
            <w14:solidFill>
              <w14:schemeClr w14:val="tx1"/>
            </w14:solidFill>
          </w14:textFill>
        </w:rPr>
      </w:pPr>
      <w:r>
        <w:rPr>
          <w:rFonts w:hint="eastAsia" w:ascii="方正小标宋简体" w:hAnsi="方正小标宋简体" w:eastAsia="方正小标宋简体" w:cs="方正小标宋简体"/>
          <w:b w:val="0"/>
          <w:bCs/>
          <w:color w:val="000000" w:themeColor="text1"/>
          <w:sz w:val="72"/>
          <w:szCs w:val="72"/>
          <w14:textFill>
            <w14:solidFill>
              <w14:schemeClr w14:val="tx1"/>
            </w14:solidFill>
          </w14:textFill>
        </w:rPr>
        <w:t>202</w:t>
      </w:r>
      <w:r>
        <w:rPr>
          <w:rFonts w:hint="eastAsia" w:ascii="方正小标宋简体" w:hAnsi="方正小标宋简体" w:eastAsia="方正小标宋简体" w:cs="方正小标宋简体"/>
          <w:b w:val="0"/>
          <w:bCs/>
          <w:color w:val="000000" w:themeColor="text1"/>
          <w:sz w:val="72"/>
          <w:szCs w:val="72"/>
          <w:lang w:val="en-US" w:eastAsia="zh-CN"/>
          <w14:textFill>
            <w14:solidFill>
              <w14:schemeClr w14:val="tx1"/>
            </w14:solidFill>
          </w14:textFill>
        </w:rPr>
        <w:t>5</w:t>
      </w:r>
      <w:r>
        <w:rPr>
          <w:rFonts w:hint="eastAsia" w:ascii="方正小标宋简体" w:hAnsi="方正小标宋简体" w:eastAsia="方正小标宋简体" w:cs="方正小标宋简体"/>
          <w:b w:val="0"/>
          <w:bCs/>
          <w:color w:val="000000" w:themeColor="text1"/>
          <w:sz w:val="72"/>
          <w:szCs w:val="72"/>
          <w14:textFill>
            <w14:solidFill>
              <w14:schemeClr w14:val="tx1"/>
            </w14:solidFill>
          </w14:textFill>
        </w:rPr>
        <w:t>级专业人才培养方案</w:t>
      </w:r>
    </w:p>
    <w:p>
      <w:pPr>
        <w:widowControl/>
        <w:spacing w:before="100" w:beforeAutospacing="1" w:after="160" w:line="500" w:lineRule="exact"/>
        <w:ind w:firstLine="1600" w:firstLineChars="500"/>
        <w:jc w:val="left"/>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pPr>
    </w:p>
    <w:p>
      <w:pPr>
        <w:widowControl/>
        <w:spacing w:before="100" w:beforeAutospacing="1" w:after="160" w:line="500" w:lineRule="exact"/>
        <w:ind w:firstLine="960" w:firstLineChars="300"/>
        <w:jc w:val="left"/>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val="en-US" w:eastAsia="zh-CN"/>
          <w14:textFill>
            <w14:solidFill>
              <w14:schemeClr w14:val="tx1"/>
            </w14:solidFill>
          </w14:textFill>
        </w:rPr>
        <w:t>专  业  名  称</w:t>
      </w:r>
      <w:r>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t>：</w:t>
      </w: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u w:val="single"/>
          <w14:textFill>
            <w14:solidFill>
              <w14:schemeClr w14:val="tx1"/>
            </w14:solidFill>
          </w14:textFill>
        </w:rPr>
        <w:t xml:space="preserve">现代家政服务与管理 </w:t>
      </w:r>
      <w:r>
        <w:rPr>
          <w:rFonts w:hint="eastAsia" w:ascii="仿宋_GB2312" w:hAnsi="仿宋_GB2312" w:eastAsia="仿宋_GB2312" w:cs="仿宋_GB2312"/>
          <w:color w:val="000000" w:themeColor="text1"/>
          <w:kern w:val="0"/>
          <w:sz w:val="32"/>
          <w:szCs w:val="32"/>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u w:val="single"/>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t>专  业</w:t>
      </w:r>
      <w:r>
        <w:rPr>
          <w:rFonts w:hint="eastAsia" w:ascii="仿宋_GB2312" w:hAnsi="仿宋_GB2312" w:eastAsia="仿宋_GB2312" w:cs="仿宋_GB2312"/>
          <w:color w:val="000000" w:themeColor="text1"/>
          <w:kern w:val="0"/>
          <w:sz w:val="32"/>
          <w:szCs w:val="32"/>
          <w:shd w:val="clear" w:color="auto" w:fill="FFFFFF"/>
          <w:lang w:val="en-US" w:eastAsia="zh-CN"/>
          <w14:textFill>
            <w14:solidFill>
              <w14:schemeClr w14:val="tx1"/>
            </w14:solidFill>
          </w14:textFill>
        </w:rPr>
        <w:t xml:space="preserve">  代  码</w:t>
      </w:r>
      <w:r>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t>：</w:t>
      </w: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u w:val="single"/>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u w:val="single"/>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u w:val="single"/>
          <w14:textFill>
            <w14:solidFill>
              <w14:schemeClr w14:val="tx1"/>
            </w14:solidFill>
          </w14:textFill>
        </w:rPr>
        <w:t xml:space="preserve">590301          </w:t>
      </w: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val="en-US" w:eastAsia="zh-CN"/>
          <w14:textFill>
            <w14:solidFill>
              <w14:schemeClr w14:val="tx1"/>
            </w14:solidFill>
          </w14:textFill>
        </w:rPr>
        <w:t>专  业</w:t>
      </w:r>
      <w:r>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t xml:space="preserve">  学  制：</w:t>
      </w: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u w:val="single"/>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u w:val="single"/>
          <w:lang w:val="en-US" w:eastAsia="zh-CN"/>
          <w14:textFill>
            <w14:solidFill>
              <w14:schemeClr w14:val="tx1"/>
            </w14:solidFill>
          </w14:textFill>
        </w:rPr>
        <w:t>三年制</w:t>
      </w:r>
      <w:r>
        <w:rPr>
          <w:rFonts w:hint="eastAsia" w:ascii="仿宋_GB2312" w:hAnsi="仿宋_GB2312" w:eastAsia="仿宋_GB2312" w:cs="仿宋_GB2312"/>
          <w:color w:val="000000" w:themeColor="text1"/>
          <w:kern w:val="0"/>
          <w:sz w:val="32"/>
          <w:szCs w:val="32"/>
          <w:u w:val="single"/>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t>制</w:t>
      </w:r>
      <w:r>
        <w:rPr>
          <w:rFonts w:hint="eastAsia" w:ascii="仿宋_GB2312" w:hAnsi="仿宋_GB2312" w:eastAsia="仿宋_GB2312" w:cs="仿宋_GB2312"/>
          <w:color w:val="000000" w:themeColor="text1"/>
          <w:kern w:val="0"/>
          <w:sz w:val="32"/>
          <w:szCs w:val="32"/>
          <w:shd w:val="clear" w:color="auto" w:fill="FFFFFF"/>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t>定</w:t>
      </w:r>
      <w:r>
        <w:rPr>
          <w:rFonts w:hint="eastAsia" w:ascii="仿宋_GB2312" w:hAnsi="仿宋_GB2312" w:eastAsia="仿宋_GB2312" w:cs="仿宋_GB2312"/>
          <w:color w:val="000000" w:themeColor="text1"/>
          <w:kern w:val="0"/>
          <w:sz w:val="32"/>
          <w:szCs w:val="32"/>
          <w:shd w:val="clear" w:color="auto" w:fill="FFFFFF"/>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t>时</w:t>
      </w:r>
      <w:r>
        <w:rPr>
          <w:rFonts w:hint="eastAsia" w:ascii="仿宋_GB2312" w:hAnsi="仿宋_GB2312" w:eastAsia="仿宋_GB2312" w:cs="仿宋_GB2312"/>
          <w:color w:val="000000" w:themeColor="text1"/>
          <w:kern w:val="0"/>
          <w:sz w:val="32"/>
          <w:szCs w:val="32"/>
          <w:shd w:val="clear" w:color="auto" w:fill="FFFFFF"/>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t xml:space="preserve">间：  </w:t>
      </w:r>
      <w:r>
        <w:rPr>
          <w:rFonts w:hint="eastAsia" w:ascii="仿宋_GB2312" w:hAnsi="仿宋_GB2312" w:eastAsia="仿宋_GB2312" w:cs="仿宋_GB2312"/>
          <w:color w:val="000000" w:themeColor="text1"/>
          <w:kern w:val="0"/>
          <w:sz w:val="32"/>
          <w:szCs w:val="32"/>
          <w:u w:val="single"/>
          <w14:textFill>
            <w14:solidFill>
              <w14:schemeClr w14:val="tx1"/>
            </w14:solidFill>
          </w14:textFill>
        </w:rPr>
        <w:t xml:space="preserve">     2025年4月        </w:t>
      </w:r>
    </w:p>
    <w:p>
      <w:pPr>
        <w:widowControl/>
        <w:spacing w:before="100" w:beforeAutospacing="1" w:after="160" w:line="500" w:lineRule="exact"/>
        <w:ind w:firstLine="960" w:firstLineChars="300"/>
        <w:jc w:val="left"/>
        <w:rPr>
          <w:rFonts w:hint="eastAsia" w:ascii="仿宋_GB2312" w:hAnsi="仿宋_GB2312" w:eastAsia="仿宋_GB2312" w:cs="仿宋_GB2312"/>
          <w:color w:val="000000" w:themeColor="text1"/>
          <w:kern w:val="0"/>
          <w:sz w:val="32"/>
          <w:szCs w:val="32"/>
          <w:u w:val="single"/>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所</w:t>
      </w: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属</w:t>
      </w: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学  院</w:t>
      </w:r>
      <w:r>
        <w:rPr>
          <w:rFonts w:hint="eastAsia" w:ascii="仿宋_GB2312" w:hAnsi="仿宋_GB2312" w:eastAsia="仿宋_GB2312" w:cs="仿宋_GB2312"/>
          <w:color w:val="000000" w:themeColor="text1"/>
          <w:kern w:val="0"/>
          <w:sz w:val="32"/>
          <w:szCs w:val="32"/>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u w:val="single"/>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u w:val="single"/>
          <w:lang w:val="en-US" w:eastAsia="zh-CN"/>
          <w14:textFill>
            <w14:solidFill>
              <w14:schemeClr w14:val="tx1"/>
            </w14:solidFill>
          </w14:textFill>
        </w:rPr>
        <w:t>经济管理学院</w:t>
      </w:r>
      <w:r>
        <w:rPr>
          <w:rFonts w:hint="eastAsia" w:ascii="仿宋_GB2312" w:hAnsi="仿宋_GB2312" w:eastAsia="仿宋_GB2312" w:cs="仿宋_GB2312"/>
          <w:color w:val="000000" w:themeColor="text1"/>
          <w:kern w:val="0"/>
          <w:sz w:val="32"/>
          <w:szCs w:val="32"/>
          <w:u w:val="single"/>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u w:val="singl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u w:val="single"/>
          <w14:textFill>
            <w14:solidFill>
              <w14:schemeClr w14:val="tx1"/>
            </w14:solidFill>
          </w14:textFill>
        </w:rPr>
        <w:t xml:space="preserve">  </w:t>
      </w:r>
    </w:p>
    <w:p>
      <w:pPr>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pPr>
    </w:p>
    <w:p>
      <w:pPr>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t>广西工程职业学院</w:t>
      </w:r>
      <w:r>
        <w:rPr>
          <w:rFonts w:hint="eastAsia" w:ascii="仿宋_GB2312" w:hAnsi="仿宋_GB2312" w:eastAsia="仿宋_GB2312" w:cs="仿宋_GB2312"/>
          <w:color w:val="000000" w:themeColor="text1"/>
          <w:kern w:val="0"/>
          <w:sz w:val="32"/>
          <w:szCs w:val="32"/>
          <w:shd w:val="clear" w:color="auto" w:fill="FFFFFF"/>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kern w:val="0"/>
          <w:sz w:val="32"/>
          <w:szCs w:val="32"/>
          <w:shd w:val="clear" w:color="auto" w:fill="FFFFFF"/>
          <w14:textFill>
            <w14:solidFill>
              <w14:schemeClr w14:val="tx1"/>
            </w14:solidFill>
          </w14:textFill>
        </w:rPr>
        <w:t>制</w:t>
      </w:r>
    </w:p>
    <w:p>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000000" w:themeColor="text1"/>
          <w:kern w:val="0"/>
          <w:sz w:val="32"/>
          <w:szCs w:val="32"/>
          <w:shd w:val="clear" w:color="auto" w:fill="FFFFFF"/>
          <w:lang w:val="en-US"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shd w:val="clear" w:color="auto" w:fill="FFFFFF"/>
          <w:lang w:val="en-US" w:eastAsia="zh-CN"/>
          <w14:textFill>
            <w14:solidFill>
              <w14:schemeClr w14:val="tx1"/>
            </w14:solidFill>
          </w14:textFill>
        </w:rPr>
        <w:t>2025年4月</w:t>
      </w:r>
    </w:p>
    <w:p>
      <w:pPr>
        <w:rPr>
          <w:rFonts w:hint="eastAsia" w:ascii="仿宋_GB2312" w:hAnsi="仿宋_GB2312" w:eastAsia="仿宋_GB2312" w:cs="仿宋_GB2312"/>
          <w:color w:val="FF0000"/>
          <w:kern w:val="0"/>
          <w:sz w:val="32"/>
          <w:szCs w:val="32"/>
          <w:shd w:val="clear" w:color="auto" w:fill="FFFFFF"/>
          <w:lang w:val="en-US" w:eastAsia="zh-CN"/>
        </w:rPr>
      </w:pPr>
      <w:r>
        <w:rPr>
          <w:rFonts w:hint="eastAsia" w:ascii="仿宋_GB2312" w:hAnsi="仿宋_GB2312" w:eastAsia="仿宋_GB2312" w:cs="仿宋_GB2312"/>
          <w:color w:val="FF0000"/>
          <w:kern w:val="0"/>
          <w:sz w:val="32"/>
          <w:szCs w:val="32"/>
          <w:shd w:val="clear" w:color="auto" w:fill="FFFFFF"/>
          <w:lang w:val="en-US" w:eastAsia="zh-CN"/>
        </w:rPr>
        <w:br w:type="page"/>
      </w:r>
    </w:p>
    <w:p>
      <w:pPr>
        <w:rPr>
          <w:rFonts w:hint="eastAsia" w:ascii="仿宋_GB2312" w:hAnsi="仿宋_GB2312" w:eastAsia="仿宋_GB2312" w:cs="仿宋_GB2312"/>
          <w:color w:val="FF0000"/>
          <w:kern w:val="0"/>
          <w:sz w:val="32"/>
          <w:szCs w:val="32"/>
          <w:shd w:val="clear" w:color="auto" w:fill="FFFFFF"/>
          <w:lang w:val="en-US" w:eastAsia="zh-CN"/>
        </w:rPr>
      </w:pPr>
      <w:r>
        <w:rPr>
          <w:rFonts w:hint="eastAsia" w:ascii="仿宋_GB2312" w:hAnsi="仿宋_GB2312" w:eastAsia="仿宋_GB2312" w:cs="仿宋_GB2312"/>
          <w:color w:val="FF0000"/>
          <w:kern w:val="0"/>
          <w:sz w:val="32"/>
          <w:szCs w:val="32"/>
          <w:shd w:val="clear" w:color="auto" w:fill="FFFFFF"/>
          <w:lang w:val="en-US" w:eastAsia="zh-CN"/>
        </w:rPr>
        <w:br w:type="page"/>
      </w:r>
    </w:p>
    <w:p>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hint="eastAsia" w:ascii="黑体" w:hAnsi="黑体" w:eastAsia="黑体" w:cs="黑体"/>
          <w:b w:val="0"/>
          <w:bCs/>
          <w:color w:val="000000" w:themeColor="text1"/>
          <w:sz w:val="44"/>
          <w:szCs w:val="44"/>
          <w14:textFill>
            <w14:solidFill>
              <w14:schemeClr w14:val="tx1"/>
            </w14:solidFill>
          </w14:textFill>
        </w:rPr>
      </w:pPr>
      <w:r>
        <w:rPr>
          <w:rFonts w:hint="eastAsia" w:ascii="黑体" w:hAnsi="黑体" w:eastAsia="黑体" w:cs="黑体"/>
          <w:b w:val="0"/>
          <w:bCs/>
          <w:color w:val="000000" w:themeColor="text1"/>
          <w:sz w:val="44"/>
          <w:szCs w:val="44"/>
          <w14:textFill>
            <w14:solidFill>
              <w14:schemeClr w14:val="tx1"/>
            </w14:solidFill>
          </w14:textFill>
        </w:rPr>
        <w:t>编制说明</w:t>
      </w:r>
    </w:p>
    <w:p>
      <w:pPr>
        <w:keepNext w:val="0"/>
        <w:keepLines w:val="0"/>
        <w:pageBreakBefore w:val="0"/>
        <w:widowControl w:val="0"/>
        <w:kinsoku/>
        <w:wordWrap/>
        <w:overflowPunct/>
        <w:topLinePunct w:val="0"/>
        <w:autoSpaceDE/>
        <w:autoSpaceDN/>
        <w:bidi w:val="0"/>
        <w:adjustRightInd/>
        <w:snapToGrid/>
        <w:spacing w:after="0" w:line="279" w:lineRule="auto"/>
        <w:ind w:firstLine="880" w:firstLineChars="200"/>
        <w:textAlignment w:val="auto"/>
        <w:rPr>
          <w:rFonts w:hint="eastAsia" w:ascii="黑体" w:hAnsi="黑体" w:eastAsia="黑体" w:cs="黑体"/>
          <w:b w:val="0"/>
          <w:bCs/>
          <w:color w:val="000000" w:themeColor="text1"/>
          <w:sz w:val="44"/>
          <w:szCs w:val="4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14:textFill>
            <w14:solidFill>
              <w14:schemeClr w14:val="tx1"/>
            </w14:solidFill>
          </w14:textFill>
        </w:rPr>
        <w:t>本专业人才培养方案适于</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我校</w:t>
      </w:r>
      <w:r>
        <w:rPr>
          <w:rFonts w:hint="eastAsia" w:ascii="仿宋_GB2312" w:hAnsi="仿宋_GB2312" w:eastAsia="仿宋_GB2312" w:cs="仿宋_GB2312"/>
          <w:b w:val="0"/>
          <w:bCs/>
          <w:color w:val="000000" w:themeColor="text1"/>
          <w:sz w:val="32"/>
          <w:szCs w:val="32"/>
          <w14:textFill>
            <w14:solidFill>
              <w14:schemeClr w14:val="tx1"/>
            </w14:solidFill>
          </w14:textFill>
        </w:rPr>
        <w:t>三年全日制高职专科，由广西</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工程职业学院现代家政服务与管理</w:t>
      </w:r>
      <w:r>
        <w:rPr>
          <w:rFonts w:hint="eastAsia" w:ascii="仿宋_GB2312" w:hAnsi="仿宋_GB2312" w:eastAsia="仿宋_GB2312" w:cs="仿宋_GB2312"/>
          <w:b w:val="0"/>
          <w:bCs/>
          <w:color w:val="000000" w:themeColor="text1"/>
          <w:sz w:val="32"/>
          <w:szCs w:val="32"/>
          <w14:textFill>
            <w14:solidFill>
              <w14:schemeClr w14:val="tx1"/>
            </w14:solidFill>
          </w14:textFill>
        </w:rPr>
        <w:t>专业团队与南宁银象房地产开发有限公司</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等</w:t>
      </w:r>
      <w:r>
        <w:rPr>
          <w:rFonts w:hint="eastAsia" w:ascii="仿宋_GB2312" w:hAnsi="仿宋_GB2312" w:eastAsia="仿宋_GB2312" w:cs="仿宋_GB2312"/>
          <w:b w:val="0"/>
          <w:bCs/>
          <w:color w:val="000000" w:themeColor="text1"/>
          <w:sz w:val="32"/>
          <w:szCs w:val="32"/>
          <w14:textFill>
            <w14:solidFill>
              <w14:schemeClr w14:val="tx1"/>
            </w14:solidFill>
          </w14:textFill>
        </w:rPr>
        <w:t>共同制订，并经</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二级学院党政联席会审定、</w:t>
      </w:r>
      <w:r>
        <w:rPr>
          <w:rFonts w:hint="eastAsia" w:ascii="仿宋_GB2312" w:hAnsi="仿宋_GB2312" w:eastAsia="仿宋_GB2312" w:cs="仿宋_GB2312"/>
          <w:b w:val="0"/>
          <w:bCs/>
          <w:color w:val="000000" w:themeColor="text1"/>
          <w:sz w:val="32"/>
          <w:szCs w:val="32"/>
          <w14:textFill>
            <w14:solidFill>
              <w14:schemeClr w14:val="tx1"/>
            </w14:solidFill>
          </w14:textFill>
        </w:rPr>
        <w:t>学校</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专业建设</w:t>
      </w:r>
      <w:r>
        <w:rPr>
          <w:rFonts w:hint="eastAsia" w:ascii="仿宋_GB2312" w:hAnsi="仿宋_GB2312" w:eastAsia="仿宋_GB2312" w:cs="仿宋_GB2312"/>
          <w:b w:val="0"/>
          <w:bCs/>
          <w:color w:val="000000" w:themeColor="text1"/>
          <w:sz w:val="32"/>
          <w:szCs w:val="32"/>
          <w14:textFill>
            <w14:solidFill>
              <w14:schemeClr w14:val="tx1"/>
            </w14:solidFill>
          </w14:textFill>
        </w:rPr>
        <w:t>指导委员会</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论证</w:t>
      </w:r>
      <w:r>
        <w:rPr>
          <w:rFonts w:hint="eastAsia" w:ascii="仿宋_GB2312" w:hAnsi="仿宋_GB2312" w:eastAsia="仿宋_GB2312" w:cs="仿宋_GB2312"/>
          <w:b w:val="0"/>
          <w:bCs/>
          <w:color w:val="000000" w:themeColor="text1"/>
          <w:sz w:val="32"/>
          <w:szCs w:val="32"/>
          <w14:textFill>
            <w14:solidFill>
              <w14:schemeClr w14:val="tx1"/>
            </w14:solidFill>
          </w14:textFill>
        </w:rPr>
        <w:t>，</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校长办公</w:t>
      </w:r>
      <w:r>
        <w:rPr>
          <w:rFonts w:hint="eastAsia" w:ascii="仿宋_GB2312" w:hAnsi="仿宋_GB2312" w:eastAsia="仿宋_GB2312" w:cs="仿宋_GB2312"/>
          <w:b w:val="0"/>
          <w:bCs/>
          <w:color w:val="000000" w:themeColor="text1"/>
          <w:sz w:val="32"/>
          <w:szCs w:val="32"/>
          <w14:textFill>
            <w14:solidFill>
              <w14:schemeClr w14:val="tx1"/>
            </w14:solidFill>
          </w14:textFill>
        </w:rPr>
        <w:t>会</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审议</w:t>
      </w:r>
      <w:r>
        <w:rPr>
          <w:rFonts w:hint="eastAsia" w:ascii="仿宋_GB2312" w:hAnsi="仿宋_GB2312" w:eastAsia="仿宋_GB2312" w:cs="仿宋_GB2312"/>
          <w:b w:val="0"/>
          <w:bCs/>
          <w:color w:val="000000" w:themeColor="text1"/>
          <w:sz w:val="32"/>
          <w:szCs w:val="32"/>
          <w:highlight w:val="none"/>
          <w14:textFill>
            <w14:solidFill>
              <w14:schemeClr w14:val="tx1"/>
            </w14:solidFill>
          </w14:textFill>
        </w:rPr>
        <w:t>、</w:t>
      </w:r>
      <w:r>
        <w:rPr>
          <w:rFonts w:hint="eastAsia" w:ascii="仿宋_GB2312" w:hAnsi="仿宋_GB2312" w:eastAsia="仿宋_GB2312" w:cs="仿宋_GB2312"/>
          <w:b w:val="0"/>
          <w:bCs/>
          <w:color w:val="000000" w:themeColor="text1"/>
          <w:sz w:val="32"/>
          <w:szCs w:val="32"/>
          <w:highlight w:val="none"/>
          <w:lang w:val="en-US" w:eastAsia="zh-CN"/>
          <w14:textFill>
            <w14:solidFill>
              <w14:schemeClr w14:val="tx1"/>
            </w14:solidFill>
          </w14:textFill>
        </w:rPr>
        <w:t>学校</w:t>
      </w:r>
      <w:r>
        <w:rPr>
          <w:rFonts w:hint="eastAsia" w:ascii="仿宋_GB2312" w:hAnsi="仿宋_GB2312" w:eastAsia="仿宋_GB2312" w:cs="仿宋_GB2312"/>
          <w:b w:val="0"/>
          <w:bCs/>
          <w:color w:val="000000" w:themeColor="text1"/>
          <w:sz w:val="32"/>
          <w:szCs w:val="32"/>
          <w:highlight w:val="none"/>
          <w14:textFill>
            <w14:solidFill>
              <w14:schemeClr w14:val="tx1"/>
            </w14:solidFill>
          </w14:textFill>
        </w:rPr>
        <w:t>党</w:t>
      </w:r>
      <w:r>
        <w:rPr>
          <w:rFonts w:hint="eastAsia" w:ascii="仿宋_GB2312" w:hAnsi="仿宋_GB2312" w:eastAsia="仿宋_GB2312" w:cs="仿宋_GB2312"/>
          <w:b w:val="0"/>
          <w:bCs/>
          <w:color w:val="000000" w:themeColor="text1"/>
          <w:sz w:val="32"/>
          <w:szCs w:val="32"/>
          <w14:textFill>
            <w14:solidFill>
              <w14:schemeClr w14:val="tx1"/>
            </w14:solidFill>
          </w14:textFill>
        </w:rPr>
        <w:t>委会审定，批准实施。</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主要编制人：</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
        <w:gridCol w:w="1450"/>
        <w:gridCol w:w="2800"/>
        <w:gridCol w:w="1833"/>
        <w:gridCol w:w="17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pPr>
              <w:jc w:val="cente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t>序号</w:t>
            </w:r>
          </w:p>
        </w:tc>
        <w:tc>
          <w:tcPr>
            <w:tcW w:w="1450" w:type="dxa"/>
          </w:tcPr>
          <w:p>
            <w:pPr>
              <w:jc w:val="cente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t>姓名</w:t>
            </w:r>
          </w:p>
        </w:tc>
        <w:tc>
          <w:tcPr>
            <w:tcW w:w="2800" w:type="dxa"/>
          </w:tcPr>
          <w:p>
            <w:pPr>
              <w:jc w:val="center"/>
              <w:rPr>
                <w:rFonts w:hint="default"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t>单位名称</w:t>
            </w:r>
          </w:p>
        </w:tc>
        <w:tc>
          <w:tcPr>
            <w:tcW w:w="1833" w:type="dxa"/>
          </w:tcPr>
          <w:p>
            <w:pPr>
              <w:jc w:val="cente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t>职务</w:t>
            </w:r>
          </w:p>
        </w:tc>
        <w:tc>
          <w:tcPr>
            <w:tcW w:w="1727" w:type="dxa"/>
          </w:tcPr>
          <w:p>
            <w:pPr>
              <w:jc w:val="cente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t>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pPr>
              <w:jc w:val="cente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t>1</w:t>
            </w:r>
          </w:p>
        </w:tc>
        <w:tc>
          <w:tcPr>
            <w:tcW w:w="1450" w:type="dxa"/>
            <w:vAlign w:val="center"/>
          </w:tcPr>
          <w:p>
            <w:pPr>
              <w:jc w:val="center"/>
              <w:rPr>
                <w:rFonts w:hint="eastAsia" w:ascii="仿宋_GB2312" w:hAnsi="仿宋_GB2312" w:eastAsia="仿宋_GB2312" w:cs="仿宋_GB2312"/>
                <w:b w:val="0"/>
                <w:bCs/>
                <w:color w:val="000000" w:themeColor="text1"/>
                <w:sz w:val="32"/>
                <w:szCs w:val="32"/>
                <w:vertAlign w:val="baseline"/>
                <w14:textFill>
                  <w14:solidFill>
                    <w14:schemeClr w14:val="tx1"/>
                  </w14:solidFill>
                </w14:textFill>
              </w:rPr>
            </w:pPr>
            <w:r>
              <w:rPr>
                <w:rFonts w:hint="eastAsia" w:ascii="仿宋_GB2312" w:hAnsi="仿宋_GB2312" w:eastAsia="仿宋_GB2312" w:cs="仿宋_GB2312"/>
                <w:b w:val="0"/>
                <w:bCs/>
                <w:color w:val="000000" w:themeColor="text1"/>
                <w:sz w:val="32"/>
                <w:szCs w:val="32"/>
                <w:vertAlign w:val="baseline"/>
                <w14:textFill>
                  <w14:solidFill>
                    <w14:schemeClr w14:val="tx1"/>
                  </w14:solidFill>
                </w14:textFill>
              </w:rPr>
              <w:t>颜培彬</w:t>
            </w:r>
          </w:p>
        </w:tc>
        <w:tc>
          <w:tcPr>
            <w:tcW w:w="2800" w:type="dxa"/>
            <w:vAlign w:val="center"/>
          </w:tcPr>
          <w:p>
            <w:pPr>
              <w:jc w:val="center"/>
              <w:rPr>
                <w:rFonts w:hint="eastAsia" w:ascii="仿宋_GB2312" w:hAnsi="仿宋_GB2312" w:eastAsia="仿宋_GB2312" w:cs="仿宋_GB2312"/>
                <w:b w:val="0"/>
                <w:bCs/>
                <w:color w:val="000000" w:themeColor="text1"/>
                <w:sz w:val="32"/>
                <w:szCs w:val="32"/>
                <w:vertAlign w:val="baseline"/>
                <w14:textFill>
                  <w14:solidFill>
                    <w14:schemeClr w14:val="tx1"/>
                  </w14:solidFill>
                </w14:textFill>
              </w:rPr>
            </w:pPr>
            <w:r>
              <w:rPr>
                <w:rFonts w:hint="eastAsia" w:ascii="仿宋_GB2312" w:hAnsi="仿宋_GB2312" w:eastAsia="仿宋_GB2312" w:cs="仿宋_GB2312"/>
                <w:b w:val="0"/>
                <w:bCs/>
                <w:color w:val="000000" w:themeColor="text1"/>
                <w:sz w:val="32"/>
                <w:szCs w:val="32"/>
                <w14:textFill>
                  <w14:solidFill>
                    <w14:schemeClr w14:val="tx1"/>
                  </w14:solidFill>
                </w14:textFill>
              </w:rPr>
              <w:t>南宁银象房地产开发有限公司</w:t>
            </w:r>
          </w:p>
        </w:tc>
        <w:tc>
          <w:tcPr>
            <w:tcW w:w="1833" w:type="dxa"/>
            <w:vAlign w:val="center"/>
          </w:tcPr>
          <w:p>
            <w:pPr>
              <w:jc w:val="center"/>
              <w:rPr>
                <w:rFonts w:hint="default"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t>项目经理</w:t>
            </w:r>
            <w:bookmarkStart w:id="97" w:name="_GoBack"/>
            <w:bookmarkEnd w:id="97"/>
          </w:p>
        </w:tc>
        <w:tc>
          <w:tcPr>
            <w:tcW w:w="1727" w:type="dxa"/>
            <w:vAlign w:val="center"/>
          </w:tcPr>
          <w:p>
            <w:pPr>
              <w:jc w:val="cente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vertAlign w:val="baseline"/>
                <w14:textFill>
                  <w14:solidFill>
                    <w14:schemeClr w14:val="tx1"/>
                  </w14:solidFill>
                </w14:textFill>
              </w:rPr>
              <w:t>高级工程师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pPr>
              <w:jc w:val="center"/>
              <w:rPr>
                <w:rFonts w:hint="default"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t>2</w:t>
            </w:r>
          </w:p>
        </w:tc>
        <w:tc>
          <w:tcPr>
            <w:tcW w:w="1450" w:type="dxa"/>
          </w:tcPr>
          <w:p>
            <w:pPr>
              <w:jc w:val="center"/>
              <w:rPr>
                <w:rFonts w:hint="eastAsia" w:ascii="仿宋_GB2312" w:hAnsi="仿宋_GB2312" w:eastAsia="仿宋_GB2312" w:cs="仿宋_GB2312"/>
                <w:b w:val="0"/>
                <w:bCs/>
                <w:color w:val="000000" w:themeColor="text1"/>
                <w:sz w:val="32"/>
                <w:szCs w:val="32"/>
                <w:vertAlign w:val="baseline"/>
                <w14:textFill>
                  <w14:solidFill>
                    <w14:schemeClr w14:val="tx1"/>
                  </w14:solidFill>
                </w14:textFill>
              </w:rPr>
            </w:pPr>
            <w:r>
              <w:rPr>
                <w:rFonts w:hint="eastAsia" w:ascii="仿宋_GB2312" w:hAnsi="仿宋_GB2312" w:eastAsia="仿宋_GB2312" w:cs="仿宋_GB2312"/>
                <w:b w:val="0"/>
                <w:bCs/>
                <w:color w:val="000000" w:themeColor="text1"/>
                <w:sz w:val="32"/>
                <w:szCs w:val="32"/>
                <w:vertAlign w:val="baseline"/>
                <w14:textFill>
                  <w14:solidFill>
                    <w14:schemeClr w14:val="tx1"/>
                  </w14:solidFill>
                </w14:textFill>
              </w:rPr>
              <w:t>覃丽君</w:t>
            </w:r>
          </w:p>
        </w:tc>
        <w:tc>
          <w:tcPr>
            <w:tcW w:w="2800" w:type="dxa"/>
            <w:shd w:val="clear" w:color="auto" w:fill="auto"/>
            <w:vAlign w:val="center"/>
          </w:tcPr>
          <w:p>
            <w:pPr>
              <w:jc w:val="center"/>
              <w:rPr>
                <w:rFonts w:hint="eastAsia" w:ascii="仿宋_GB2312" w:hAnsi="仿宋_GB2312" w:eastAsia="仿宋_GB2312" w:cs="仿宋_GB2312"/>
                <w:b w:val="0"/>
                <w:bCs/>
                <w:color w:val="000000" w:themeColor="text1"/>
                <w:kern w:val="2"/>
                <w:sz w:val="32"/>
                <w:szCs w:val="32"/>
                <w:vertAlign w:val="baseline"/>
                <w:lang w:val="en-US" w:eastAsia="zh-CN" w:bidi="ar-SA"/>
                <w14:textFill>
                  <w14:solidFill>
                    <w14:schemeClr w14:val="tx1"/>
                  </w14:solidFill>
                </w14:textFill>
              </w:rPr>
            </w:pPr>
            <w: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t>广西工程职业学院</w:t>
            </w:r>
          </w:p>
        </w:tc>
        <w:tc>
          <w:tcPr>
            <w:tcW w:w="1833" w:type="dxa"/>
            <w:shd w:val="clear" w:color="auto" w:fill="auto"/>
            <w:vAlign w:val="center"/>
          </w:tcPr>
          <w:p>
            <w:pPr>
              <w:jc w:val="center"/>
              <w:rPr>
                <w:rFonts w:hint="eastAsia" w:ascii="仿宋_GB2312" w:hAnsi="仿宋_GB2312" w:eastAsia="仿宋_GB2312" w:cs="仿宋_GB2312"/>
                <w:b w:val="0"/>
                <w:bCs/>
                <w:color w:val="000000" w:themeColor="text1"/>
                <w:kern w:val="2"/>
                <w:sz w:val="32"/>
                <w:szCs w:val="32"/>
                <w:vertAlign w:val="baseline"/>
                <w:lang w:val="en-US" w:eastAsia="zh-CN" w:bidi="ar-SA"/>
                <w14:textFill>
                  <w14:solidFill>
                    <w14:schemeClr w14:val="tx1"/>
                  </w14:solidFill>
                </w14:textFill>
              </w:rPr>
            </w:pPr>
            <w:r>
              <w:rPr>
                <w:rFonts w:hint="eastAsia" w:ascii="仿宋_GB2312" w:hAnsi="仿宋_GB2312" w:eastAsia="仿宋_GB2312" w:cs="仿宋_GB2312"/>
                <w:b w:val="0"/>
                <w:bCs/>
                <w:color w:val="000000" w:themeColor="text1"/>
                <w:sz w:val="32"/>
                <w:szCs w:val="32"/>
                <w:vertAlign w:val="baseline"/>
                <w14:textFill>
                  <w14:solidFill>
                    <w14:schemeClr w14:val="tx1"/>
                  </w14:solidFill>
                </w14:textFill>
              </w:rPr>
              <w:t>专任教师</w:t>
            </w:r>
          </w:p>
        </w:tc>
        <w:tc>
          <w:tcPr>
            <w:tcW w:w="1727" w:type="dxa"/>
            <w:shd w:val="clear" w:color="auto" w:fill="auto"/>
            <w:vAlign w:val="center"/>
          </w:tcPr>
          <w:p>
            <w:pPr>
              <w:jc w:val="center"/>
              <w:rPr>
                <w:rFonts w:hint="default" w:ascii="仿宋_GB2312" w:hAnsi="仿宋_GB2312" w:eastAsia="仿宋_GB2312" w:cs="仿宋_GB2312"/>
                <w:b w:val="0"/>
                <w:bCs/>
                <w:color w:val="000000" w:themeColor="text1"/>
                <w:kern w:val="2"/>
                <w:sz w:val="32"/>
                <w:szCs w:val="32"/>
                <w:vertAlign w:val="baseline"/>
                <w:lang w:val="en-US" w:eastAsia="zh-CN" w:bidi="ar-SA"/>
                <w14:textFill>
                  <w14:solidFill>
                    <w14:schemeClr w14:val="tx1"/>
                  </w14:solidFill>
                </w14:textFill>
              </w:rPr>
            </w:pPr>
            <w:r>
              <w:rPr>
                <w:rFonts w:hint="eastAsia" w:ascii="仿宋_GB2312" w:hAnsi="仿宋_GB2312" w:eastAsia="仿宋_GB2312" w:cs="仿宋_GB2312"/>
                <w:b w:val="0"/>
                <w:bCs/>
                <w:color w:val="000000" w:themeColor="text1"/>
                <w:kern w:val="2"/>
                <w:sz w:val="32"/>
                <w:szCs w:val="32"/>
                <w:vertAlign w:val="baseline"/>
                <w:lang w:val="en-US" w:eastAsia="zh-CN" w:bidi="ar-SA"/>
                <w14:textFill>
                  <w14:solidFill>
                    <w14:schemeClr w14:val="tx1"/>
                  </w14:solidFill>
                </w14:textFill>
              </w:rPr>
              <w:t>经济师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shd w:val="clear" w:color="auto" w:fill="auto"/>
            <w:vAlign w:val="center"/>
          </w:tcPr>
          <w:p>
            <w:pPr>
              <w:jc w:val="center"/>
              <w:rPr>
                <w:rFonts w:hint="default" w:ascii="仿宋_GB2312" w:hAnsi="仿宋_GB2312" w:eastAsia="仿宋_GB2312" w:cs="仿宋_GB2312"/>
                <w:b w:val="0"/>
                <w:bCs/>
                <w:color w:val="000000" w:themeColor="text1"/>
                <w:kern w:val="2"/>
                <w:sz w:val="32"/>
                <w:szCs w:val="32"/>
                <w:vertAlign w:val="baseline"/>
                <w:lang w:val="en-US" w:eastAsia="zh-CN" w:bidi="ar-SA"/>
                <w14:textFill>
                  <w14:solidFill>
                    <w14:schemeClr w14:val="tx1"/>
                  </w14:solidFill>
                </w14:textFill>
              </w:rPr>
            </w:pPr>
            <w:r>
              <w:rPr>
                <w:rFonts w:hint="eastAsia" w:ascii="仿宋_GB2312" w:hAnsi="仿宋_GB2312" w:eastAsia="仿宋_GB2312" w:cs="仿宋_GB2312"/>
                <w:b w:val="0"/>
                <w:bCs/>
                <w:color w:val="000000" w:themeColor="text1"/>
                <w:kern w:val="2"/>
                <w:sz w:val="32"/>
                <w:szCs w:val="32"/>
                <w:vertAlign w:val="baseline"/>
                <w:lang w:val="en-US" w:eastAsia="zh-CN" w:bidi="ar-SA"/>
                <w14:textFill>
                  <w14:solidFill>
                    <w14:schemeClr w14:val="tx1"/>
                  </w14:solidFill>
                </w14:textFill>
              </w:rPr>
              <w:t>3</w:t>
            </w:r>
          </w:p>
        </w:tc>
        <w:tc>
          <w:tcPr>
            <w:tcW w:w="1450" w:type="dxa"/>
            <w:shd w:val="clear" w:color="auto" w:fill="auto"/>
            <w:vAlign w:val="center"/>
          </w:tcPr>
          <w:p>
            <w:pPr>
              <w:jc w:val="center"/>
              <w:rPr>
                <w:rFonts w:hint="eastAsia" w:ascii="仿宋_GB2312" w:hAnsi="仿宋_GB2312" w:eastAsia="仿宋_GB2312" w:cs="仿宋_GB2312"/>
                <w:b w:val="0"/>
                <w:bCs/>
                <w:color w:val="000000" w:themeColor="text1"/>
                <w:kern w:val="2"/>
                <w:sz w:val="32"/>
                <w:szCs w:val="32"/>
                <w:vertAlign w:val="baseline"/>
                <w:lang w:val="en-US" w:eastAsia="zh-CN" w:bidi="ar-SA"/>
                <w14:textFill>
                  <w14:solidFill>
                    <w14:schemeClr w14:val="tx1"/>
                  </w14:solidFill>
                </w14:textFill>
              </w:rPr>
            </w:pPr>
            <w:r>
              <w:rPr>
                <w:rFonts w:hint="eastAsia" w:ascii="仿宋_GB2312" w:hAnsi="仿宋_GB2312" w:eastAsia="仿宋_GB2312" w:cs="仿宋_GB2312"/>
                <w:b w:val="0"/>
                <w:bCs/>
                <w:color w:val="000000" w:themeColor="text1"/>
                <w:sz w:val="32"/>
                <w:szCs w:val="32"/>
                <w:vertAlign w:val="baseline"/>
                <w14:textFill>
                  <w14:solidFill>
                    <w14:schemeClr w14:val="tx1"/>
                  </w14:solidFill>
                </w14:textFill>
              </w:rPr>
              <w:t>黄华</w:t>
            </w:r>
          </w:p>
        </w:tc>
        <w:tc>
          <w:tcPr>
            <w:tcW w:w="2800" w:type="dxa"/>
            <w:shd w:val="clear" w:color="auto" w:fill="auto"/>
            <w:vAlign w:val="center"/>
          </w:tcPr>
          <w:p>
            <w:pPr>
              <w:jc w:val="center"/>
              <w:rPr>
                <w:rFonts w:hint="eastAsia" w:ascii="仿宋_GB2312" w:hAnsi="仿宋_GB2312" w:eastAsia="仿宋_GB2312" w:cs="仿宋_GB2312"/>
                <w:b w:val="0"/>
                <w:bCs/>
                <w:color w:val="000000" w:themeColor="text1"/>
                <w:kern w:val="2"/>
                <w:sz w:val="32"/>
                <w:szCs w:val="32"/>
                <w:vertAlign w:val="baseline"/>
                <w:lang w:val="en-US" w:eastAsia="zh-CN" w:bidi="ar-SA"/>
                <w14:textFill>
                  <w14:solidFill>
                    <w14:schemeClr w14:val="tx1"/>
                  </w14:solidFill>
                </w14:textFill>
              </w:rPr>
            </w:pPr>
            <w: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t>广西工程职业学院</w:t>
            </w:r>
          </w:p>
        </w:tc>
        <w:tc>
          <w:tcPr>
            <w:tcW w:w="1833" w:type="dxa"/>
            <w:shd w:val="clear" w:color="auto" w:fill="auto"/>
            <w:vAlign w:val="center"/>
          </w:tcPr>
          <w:p>
            <w:pPr>
              <w:jc w:val="center"/>
              <w:rPr>
                <w:rFonts w:hint="eastAsia" w:ascii="仿宋_GB2312" w:hAnsi="仿宋_GB2312" w:eastAsia="仿宋_GB2312" w:cs="仿宋_GB2312"/>
                <w:b w:val="0"/>
                <w:bCs/>
                <w:color w:val="000000" w:themeColor="text1"/>
                <w:kern w:val="2"/>
                <w:sz w:val="32"/>
                <w:szCs w:val="32"/>
                <w:vertAlign w:val="baseline"/>
                <w:lang w:val="en-US" w:eastAsia="zh-CN" w:bidi="ar-SA"/>
                <w14:textFill>
                  <w14:solidFill>
                    <w14:schemeClr w14:val="tx1"/>
                  </w14:solidFill>
                </w14:textFill>
              </w:rPr>
            </w:pPr>
            <w:r>
              <w:rPr>
                <w:rFonts w:hint="eastAsia" w:ascii="仿宋_GB2312" w:hAnsi="仿宋_GB2312" w:eastAsia="仿宋_GB2312" w:cs="仿宋_GB2312"/>
                <w:b w:val="0"/>
                <w:bCs/>
                <w:color w:val="000000" w:themeColor="text1"/>
                <w:sz w:val="32"/>
                <w:szCs w:val="32"/>
                <w:vertAlign w:val="baseline"/>
                <w14:textFill>
                  <w14:solidFill>
                    <w14:schemeClr w14:val="tx1"/>
                  </w14:solidFill>
                </w14:textFill>
              </w:rPr>
              <w:t>专任教师</w:t>
            </w:r>
          </w:p>
        </w:tc>
        <w:tc>
          <w:tcPr>
            <w:tcW w:w="1727" w:type="dxa"/>
            <w:shd w:val="clear" w:color="auto" w:fill="auto"/>
            <w:vAlign w:val="center"/>
          </w:tcPr>
          <w:p>
            <w:pPr>
              <w:jc w:val="center"/>
              <w:rPr>
                <w:rFonts w:hint="eastAsia" w:ascii="仿宋_GB2312" w:hAnsi="仿宋_GB2312" w:eastAsia="仿宋_GB2312" w:cs="仿宋_GB2312"/>
                <w:b w:val="0"/>
                <w:bCs/>
                <w:color w:val="000000" w:themeColor="text1"/>
                <w:kern w:val="2"/>
                <w:sz w:val="32"/>
                <w:szCs w:val="32"/>
                <w:vertAlign w:val="baseline"/>
                <w:lang w:val="en-US" w:eastAsia="zh-CN" w:bidi="ar-SA"/>
                <w14:textFill>
                  <w14:solidFill>
                    <w14:schemeClr w14:val="tx1"/>
                  </w14:solidFill>
                </w14:textFill>
              </w:rPr>
            </w:pPr>
            <w: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t>护师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pPr>
              <w:jc w:val="center"/>
              <w:rPr>
                <w:rFonts w:hint="default"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t>4</w:t>
            </w:r>
          </w:p>
        </w:tc>
        <w:tc>
          <w:tcPr>
            <w:tcW w:w="1450" w:type="dxa"/>
          </w:tcPr>
          <w:p>
            <w:pPr>
              <w:jc w:val="center"/>
              <w:rPr>
                <w:rFonts w:hint="eastAsia" w:ascii="仿宋_GB2312" w:hAnsi="仿宋_GB2312" w:eastAsia="仿宋_GB2312" w:cs="仿宋_GB2312"/>
                <w:b w:val="0"/>
                <w:bCs/>
                <w:color w:val="000000" w:themeColor="text1"/>
                <w:sz w:val="32"/>
                <w:szCs w:val="32"/>
                <w:vertAlign w:val="baseline"/>
                <w14:textFill>
                  <w14:solidFill>
                    <w14:schemeClr w14:val="tx1"/>
                  </w14:solidFill>
                </w14:textFill>
              </w:rPr>
            </w:pPr>
            <w:r>
              <w:rPr>
                <w:rFonts w:hint="eastAsia" w:ascii="仿宋_GB2312" w:hAnsi="仿宋_GB2312" w:eastAsia="仿宋_GB2312" w:cs="仿宋_GB2312"/>
                <w:b w:val="0"/>
                <w:bCs/>
                <w:color w:val="000000" w:themeColor="text1"/>
                <w:sz w:val="32"/>
                <w:szCs w:val="32"/>
                <w:vertAlign w:val="baseline"/>
                <w14:textFill>
                  <w14:solidFill>
                    <w14:schemeClr w14:val="tx1"/>
                  </w14:solidFill>
                </w14:textFill>
              </w:rPr>
              <w:t>赖莹莹</w:t>
            </w:r>
          </w:p>
        </w:tc>
        <w:tc>
          <w:tcPr>
            <w:tcW w:w="2800" w:type="dxa"/>
            <w:shd w:val="clear" w:color="auto" w:fill="auto"/>
            <w:vAlign w:val="center"/>
          </w:tcPr>
          <w:p>
            <w:pPr>
              <w:jc w:val="center"/>
              <w:rPr>
                <w:rFonts w:hint="eastAsia" w:ascii="仿宋_GB2312" w:hAnsi="仿宋_GB2312" w:eastAsia="仿宋_GB2312" w:cs="仿宋_GB2312"/>
                <w:b w:val="0"/>
                <w:bCs/>
                <w:color w:val="000000" w:themeColor="text1"/>
                <w:kern w:val="2"/>
                <w:sz w:val="32"/>
                <w:szCs w:val="32"/>
                <w:vertAlign w:val="baseline"/>
                <w:lang w:val="en-US" w:eastAsia="zh-CN" w:bidi="ar-SA"/>
                <w14:textFill>
                  <w14:solidFill>
                    <w14:schemeClr w14:val="tx1"/>
                  </w14:solidFill>
                </w14:textFill>
              </w:rPr>
            </w:pPr>
            <w: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t>广西工程职业学院</w:t>
            </w:r>
          </w:p>
        </w:tc>
        <w:tc>
          <w:tcPr>
            <w:tcW w:w="1833" w:type="dxa"/>
            <w:shd w:val="clear" w:color="auto" w:fill="auto"/>
            <w:vAlign w:val="center"/>
          </w:tcPr>
          <w:p>
            <w:pPr>
              <w:jc w:val="center"/>
              <w:rPr>
                <w:rFonts w:hint="eastAsia" w:ascii="仿宋_GB2312" w:hAnsi="仿宋_GB2312" w:eastAsia="仿宋_GB2312" w:cs="仿宋_GB2312"/>
                <w:b w:val="0"/>
                <w:bCs/>
                <w:color w:val="000000" w:themeColor="text1"/>
                <w:kern w:val="2"/>
                <w:sz w:val="32"/>
                <w:szCs w:val="32"/>
                <w:vertAlign w:val="baseline"/>
                <w:lang w:val="en-US" w:eastAsia="zh-CN" w:bidi="ar-SA"/>
                <w14:textFill>
                  <w14:solidFill>
                    <w14:schemeClr w14:val="tx1"/>
                  </w14:solidFill>
                </w14:textFill>
              </w:rPr>
            </w:pPr>
            <w:r>
              <w:rPr>
                <w:rFonts w:hint="eastAsia" w:ascii="仿宋_GB2312" w:hAnsi="仿宋_GB2312" w:eastAsia="仿宋_GB2312" w:cs="仿宋_GB2312"/>
                <w:b w:val="0"/>
                <w:bCs/>
                <w:color w:val="000000" w:themeColor="text1"/>
                <w:sz w:val="32"/>
                <w:szCs w:val="32"/>
                <w:vertAlign w:val="baseline"/>
                <w14:textFill>
                  <w14:solidFill>
                    <w14:schemeClr w14:val="tx1"/>
                  </w14:solidFill>
                </w14:textFill>
              </w:rPr>
              <w:t>专任教师</w:t>
            </w:r>
          </w:p>
        </w:tc>
        <w:tc>
          <w:tcPr>
            <w:tcW w:w="1727" w:type="dxa"/>
            <w:shd w:val="clear" w:color="auto" w:fill="auto"/>
            <w:vAlign w:val="center"/>
          </w:tcPr>
          <w:p>
            <w:pPr>
              <w:jc w:val="center"/>
              <w:rPr>
                <w:rFonts w:hint="eastAsia" w:ascii="仿宋_GB2312" w:hAnsi="仿宋_GB2312" w:eastAsia="仿宋_GB2312" w:cs="仿宋_GB2312"/>
                <w:b w:val="0"/>
                <w:bCs/>
                <w:color w:val="000000" w:themeColor="text1"/>
                <w:kern w:val="2"/>
                <w:sz w:val="32"/>
                <w:szCs w:val="32"/>
                <w:vertAlign w:val="baseline"/>
                <w:lang w:val="en-US" w:eastAsia="zh-CN" w:bidi="ar-SA"/>
                <w14:textFill>
                  <w14:solidFill>
                    <w14:schemeClr w14:val="tx1"/>
                  </w14:solidFill>
                </w14:textFill>
              </w:rPr>
            </w:pPr>
            <w:r>
              <w:rPr>
                <w:rFonts w:hint="eastAsia" w:ascii="仿宋_GB2312" w:hAnsi="仿宋_GB2312" w:eastAsia="仿宋_GB2312" w:cs="仿宋_GB2312"/>
                <w:b w:val="0"/>
                <w:bCs/>
                <w:color w:val="000000" w:themeColor="text1"/>
                <w:sz w:val="32"/>
                <w:szCs w:val="32"/>
                <w:vertAlign w:val="baseline"/>
                <w:lang w:val="en-US" w:eastAsia="zh-CN"/>
                <w14:textFill>
                  <w14:solidFill>
                    <w14:schemeClr w14:val="tx1"/>
                  </w14:solidFill>
                </w14:textFill>
              </w:rPr>
              <w:t>护师</w:t>
            </w:r>
          </w:p>
        </w:tc>
      </w:tr>
    </w:tbl>
    <w:p>
      <w:pPr>
        <w:rPr>
          <w:rFonts w:hint="eastAsia" w:ascii="黑体" w:hAnsi="黑体" w:eastAsia="黑体" w:cs="黑体"/>
          <w:b w:val="0"/>
          <w:bCs/>
          <w:color w:val="000000" w:themeColor="text1"/>
          <w:sz w:val="44"/>
          <w:szCs w:val="44"/>
          <w14:textFill>
            <w14:solidFill>
              <w14:schemeClr w14:val="tx1"/>
            </w14:solidFill>
          </w14:textFill>
        </w:rPr>
      </w:pPr>
      <w:r>
        <w:rPr>
          <w:rFonts w:hint="eastAsia" w:ascii="黑体" w:hAnsi="黑体" w:eastAsia="黑体" w:cs="黑体"/>
          <w:b w:val="0"/>
          <w:bCs/>
          <w:color w:val="000000" w:themeColor="text1"/>
          <w:sz w:val="44"/>
          <w:szCs w:val="44"/>
          <w14:textFill>
            <w14:solidFill>
              <w14:schemeClr w14:val="tx1"/>
            </w14:solidFill>
          </w14:textFill>
        </w:rPr>
        <w:br w:type="page"/>
      </w:r>
    </w:p>
    <w:p>
      <w:pPr>
        <w:overflowPunct w:val="0"/>
        <w:adjustRightInd w:val="0"/>
        <w:snapToGrid w:val="0"/>
        <w:jc w:val="both"/>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pStyle w:val="8"/>
        <w:tabs>
          <w:tab w:val="right" w:leader="dot" w:pos="8505"/>
        </w:tabs>
        <w:jc w:val="center"/>
        <w:rPr>
          <w:rFonts w:hint="eastAsia" w:ascii="方正小标宋简体" w:hAnsi="方正小标宋简体" w:eastAsia="方正小标宋简体" w:cs="方正小标宋简体"/>
          <w:b w:val="0"/>
          <w:bCs w:val="0"/>
          <w:color w:val="auto"/>
          <w:kern w:val="0"/>
          <w:sz w:val="44"/>
          <w:szCs w:val="44"/>
          <w:highlight w:val="none"/>
          <w:lang w:val="en-US" w:eastAsia="zh-CN"/>
        </w:rPr>
        <w:sectPr>
          <w:headerReference r:id="rId3" w:type="default"/>
          <w:pgSz w:w="11906" w:h="16838"/>
          <w:pgMar w:top="1417" w:right="1417" w:bottom="1417" w:left="1984" w:header="851" w:footer="992" w:gutter="0"/>
          <w:pgNumType w:start="1"/>
          <w:cols w:space="425" w:num="1"/>
          <w:docGrid w:type="lines" w:linePitch="312" w:charSpace="0"/>
        </w:sectPr>
      </w:pPr>
    </w:p>
    <w:p>
      <w:pPr>
        <w:pStyle w:val="8"/>
        <w:keepNext w:val="0"/>
        <w:keepLines w:val="0"/>
        <w:pageBreakBefore w:val="0"/>
        <w:tabs>
          <w:tab w:val="right" w:leader="dot" w:pos="8505"/>
        </w:tabs>
        <w:kinsoku/>
        <w:wordWrap/>
        <w:topLinePunct w:val="0"/>
        <w:autoSpaceDE/>
        <w:autoSpaceDN/>
        <w:bidi w:val="0"/>
        <w:spacing w:after="0" w:line="520" w:lineRule="exact"/>
        <w:jc w:val="center"/>
        <w:textAlignment w:val="auto"/>
        <w:rPr>
          <w:rFonts w:hint="eastAsia" w:ascii="黑体" w:hAnsi="黑体" w:eastAsia="黑体" w:cs="黑体"/>
          <w:b w:val="0"/>
          <w:bCs w:val="0"/>
          <w:color w:val="auto"/>
          <w:kern w:val="0"/>
          <w:sz w:val="44"/>
          <w:szCs w:val="44"/>
          <w:highlight w:val="none"/>
          <w:lang w:val="en-US" w:eastAsia="zh-CN"/>
        </w:rPr>
      </w:pPr>
      <w:r>
        <w:rPr>
          <w:rFonts w:hint="eastAsia" w:ascii="黑体" w:hAnsi="黑体" w:eastAsia="黑体" w:cs="黑体"/>
          <w:b w:val="0"/>
          <w:bCs w:val="0"/>
          <w:color w:val="auto"/>
          <w:kern w:val="0"/>
          <w:sz w:val="44"/>
          <w:szCs w:val="44"/>
          <w:highlight w:val="none"/>
          <w:lang w:val="en-US" w:eastAsia="zh-CN"/>
        </w:rPr>
        <w:t>目  录</w:t>
      </w:r>
    </w:p>
    <w:p>
      <w:pPr>
        <w:rPr>
          <w:rFonts w:hint="eastAsia"/>
          <w:lang w:val="en-US" w:eastAsia="zh-CN"/>
        </w:rPr>
      </w:pPr>
    </w:p>
    <w:p>
      <w:pPr>
        <w:pStyle w:val="8"/>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TOC \o "1-2" \h \u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kern w:val="0"/>
          <w:sz w:val="32"/>
          <w:szCs w:val="32"/>
          <w:highlight w:val="none"/>
        </w:rPr>
        <w:instrText xml:space="preserve"> HYPERLINK \l _Toc7189 </w:instrText>
      </w:r>
      <w:r>
        <w:rPr>
          <w:rFonts w:hint="eastAsia" w:ascii="仿宋_GB2312" w:hAnsi="仿宋_GB2312" w:eastAsia="仿宋_GB2312" w:cs="仿宋_GB2312"/>
          <w:bCs/>
          <w:kern w:val="0"/>
          <w:sz w:val="32"/>
          <w:szCs w:val="32"/>
          <w:highlight w:val="none"/>
        </w:rPr>
        <w:fldChar w:fldCharType="separate"/>
      </w:r>
      <w:r>
        <w:rPr>
          <w:rFonts w:hint="eastAsia" w:ascii="仿宋_GB2312" w:hAnsi="仿宋_GB2312" w:eastAsia="仿宋_GB2312" w:cs="仿宋_GB2312"/>
          <w:sz w:val="32"/>
          <w:szCs w:val="32"/>
          <w:highlight w:val="none"/>
        </w:rPr>
        <w:t>一、专业名称及代码</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_Toc7189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kern w:val="0"/>
          <w:sz w:val="32"/>
          <w:szCs w:val="32"/>
          <w:highlight w:val="none"/>
        </w:rPr>
        <w:instrText xml:space="preserve"> HYPERLINK \l _Toc21854 </w:instrText>
      </w:r>
      <w:r>
        <w:rPr>
          <w:rFonts w:hint="eastAsia" w:ascii="仿宋_GB2312" w:hAnsi="仿宋_GB2312" w:eastAsia="仿宋_GB2312" w:cs="仿宋_GB2312"/>
          <w:bCs/>
          <w:kern w:val="0"/>
          <w:sz w:val="32"/>
          <w:szCs w:val="32"/>
          <w:highlight w:val="none"/>
        </w:rPr>
        <w:fldChar w:fldCharType="separate"/>
      </w:r>
      <w:r>
        <w:rPr>
          <w:rFonts w:hint="eastAsia" w:ascii="仿宋_GB2312" w:hAnsi="仿宋_GB2312" w:eastAsia="仿宋_GB2312" w:cs="仿宋_GB2312"/>
          <w:sz w:val="32"/>
          <w:szCs w:val="32"/>
          <w:highlight w:val="none"/>
        </w:rPr>
        <w:t>二、入学要求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_Toc21854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kern w:val="0"/>
          <w:sz w:val="32"/>
          <w:szCs w:val="32"/>
          <w:highlight w:val="none"/>
        </w:rPr>
        <w:instrText xml:space="preserve"> HYPERLINK \l _Toc20586 </w:instrText>
      </w:r>
      <w:r>
        <w:rPr>
          <w:rFonts w:hint="eastAsia" w:ascii="仿宋_GB2312" w:hAnsi="仿宋_GB2312" w:eastAsia="仿宋_GB2312" w:cs="仿宋_GB2312"/>
          <w:bCs/>
          <w:kern w:val="0"/>
          <w:sz w:val="32"/>
          <w:szCs w:val="32"/>
          <w:highlight w:val="none"/>
        </w:rPr>
        <w:fldChar w:fldCharType="separate"/>
      </w:r>
      <w:r>
        <w:rPr>
          <w:rFonts w:hint="eastAsia" w:ascii="仿宋_GB2312" w:hAnsi="仿宋_GB2312" w:eastAsia="仿宋_GB2312" w:cs="仿宋_GB2312"/>
          <w:sz w:val="32"/>
          <w:szCs w:val="32"/>
          <w:highlight w:val="none"/>
        </w:rPr>
        <w:t>三、</w:t>
      </w:r>
      <w:r>
        <w:rPr>
          <w:rFonts w:hint="eastAsia" w:ascii="仿宋_GB2312" w:hAnsi="仿宋_GB2312" w:eastAsia="仿宋_GB2312" w:cs="仿宋_GB2312"/>
          <w:sz w:val="32"/>
          <w:szCs w:val="32"/>
          <w:highlight w:val="none"/>
          <w:lang w:val="en-US" w:eastAsia="zh-CN"/>
        </w:rPr>
        <w:t>基本</w:t>
      </w:r>
      <w:r>
        <w:rPr>
          <w:rFonts w:hint="eastAsia" w:ascii="仿宋_GB2312" w:hAnsi="仿宋_GB2312" w:eastAsia="仿宋_GB2312" w:cs="仿宋_GB2312"/>
          <w:sz w:val="32"/>
          <w:szCs w:val="32"/>
          <w:highlight w:val="none"/>
        </w:rPr>
        <w:t>修业年限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_Toc20586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kern w:val="0"/>
          <w:sz w:val="32"/>
          <w:szCs w:val="32"/>
          <w:highlight w:val="none"/>
        </w:rPr>
        <w:instrText xml:space="preserve"> HYPERLINK \l _Toc23424 </w:instrText>
      </w:r>
      <w:r>
        <w:rPr>
          <w:rFonts w:hint="eastAsia" w:ascii="仿宋_GB2312" w:hAnsi="仿宋_GB2312" w:eastAsia="仿宋_GB2312" w:cs="仿宋_GB2312"/>
          <w:bCs/>
          <w:kern w:val="0"/>
          <w:sz w:val="32"/>
          <w:szCs w:val="32"/>
          <w:highlight w:val="none"/>
        </w:rPr>
        <w:fldChar w:fldCharType="separate"/>
      </w:r>
      <w:r>
        <w:rPr>
          <w:rFonts w:hint="eastAsia" w:ascii="仿宋_GB2312" w:hAnsi="仿宋_GB2312" w:eastAsia="仿宋_GB2312" w:cs="仿宋_GB2312"/>
          <w:sz w:val="32"/>
          <w:szCs w:val="32"/>
          <w:highlight w:val="none"/>
        </w:rPr>
        <w:t>四、职业面向</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_Toc23424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kern w:val="0"/>
          <w:sz w:val="32"/>
          <w:szCs w:val="32"/>
          <w:highlight w:val="none"/>
        </w:rPr>
        <w:instrText xml:space="preserve"> HYPERLINK \l _Toc12993 </w:instrText>
      </w:r>
      <w:r>
        <w:rPr>
          <w:rFonts w:hint="eastAsia" w:ascii="仿宋_GB2312" w:hAnsi="仿宋_GB2312" w:eastAsia="仿宋_GB2312" w:cs="仿宋_GB2312"/>
          <w:bCs/>
          <w:kern w:val="0"/>
          <w:sz w:val="32"/>
          <w:szCs w:val="32"/>
          <w:highlight w:val="none"/>
        </w:rPr>
        <w:fldChar w:fldCharType="separate"/>
      </w:r>
      <w:r>
        <w:rPr>
          <w:rFonts w:hint="eastAsia" w:ascii="仿宋_GB2312" w:hAnsi="仿宋_GB2312" w:eastAsia="仿宋_GB2312" w:cs="仿宋_GB2312"/>
          <w:sz w:val="32"/>
          <w:szCs w:val="32"/>
          <w:highlight w:val="none"/>
        </w:rPr>
        <w:t>五、培养目标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_Toc12993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kern w:val="0"/>
          <w:sz w:val="32"/>
          <w:szCs w:val="32"/>
          <w:highlight w:val="none"/>
        </w:rPr>
        <w:instrText xml:space="preserve"> HYPERLINK \l _Toc15332 </w:instrText>
      </w:r>
      <w:r>
        <w:rPr>
          <w:rFonts w:hint="eastAsia" w:ascii="仿宋_GB2312" w:hAnsi="仿宋_GB2312" w:eastAsia="仿宋_GB2312" w:cs="仿宋_GB2312"/>
          <w:bCs/>
          <w:kern w:val="0"/>
          <w:sz w:val="32"/>
          <w:szCs w:val="32"/>
          <w:highlight w:val="none"/>
        </w:rPr>
        <w:fldChar w:fldCharType="separate"/>
      </w:r>
      <w:r>
        <w:rPr>
          <w:rFonts w:hint="eastAsia" w:ascii="仿宋_GB2312" w:hAnsi="仿宋_GB2312" w:eastAsia="仿宋_GB2312" w:cs="仿宋_GB2312"/>
          <w:sz w:val="32"/>
          <w:szCs w:val="32"/>
          <w:highlight w:val="none"/>
          <w:lang w:val="en-US" w:eastAsia="zh-CN"/>
        </w:rPr>
        <w:t>六</w:t>
      </w:r>
      <w:r>
        <w:rPr>
          <w:rFonts w:hint="eastAsia" w:ascii="仿宋_GB2312" w:hAnsi="仿宋_GB2312" w:eastAsia="仿宋_GB2312" w:cs="仿宋_GB2312"/>
          <w:sz w:val="32"/>
          <w:szCs w:val="32"/>
          <w:highlight w:val="none"/>
        </w:rPr>
        <w:t>、培养</w:t>
      </w:r>
      <w:r>
        <w:rPr>
          <w:rFonts w:hint="eastAsia" w:ascii="仿宋_GB2312" w:hAnsi="仿宋_GB2312" w:eastAsia="仿宋_GB2312" w:cs="仿宋_GB2312"/>
          <w:sz w:val="32"/>
          <w:szCs w:val="32"/>
          <w:highlight w:val="none"/>
          <w:lang w:val="en-US" w:eastAsia="zh-CN"/>
        </w:rPr>
        <w:t>规格</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_Toc15332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rPr>
        <w:fldChar w:fldCharType="end"/>
      </w:r>
    </w:p>
    <w:p>
      <w:pPr>
        <w:pStyle w:val="9"/>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kern w:val="0"/>
          <w:sz w:val="32"/>
          <w:szCs w:val="32"/>
          <w:highlight w:val="none"/>
        </w:rPr>
        <w:instrText xml:space="preserve"> HYPERLINK \l _Toc19064 </w:instrText>
      </w:r>
      <w:r>
        <w:rPr>
          <w:rFonts w:hint="eastAsia" w:ascii="仿宋_GB2312" w:hAnsi="仿宋_GB2312" w:eastAsia="仿宋_GB2312" w:cs="仿宋_GB2312"/>
          <w:bCs/>
          <w:kern w:val="0"/>
          <w:sz w:val="32"/>
          <w:szCs w:val="32"/>
          <w:highlight w:val="none"/>
        </w:rPr>
        <w:fldChar w:fldCharType="separate"/>
      </w:r>
      <w:r>
        <w:rPr>
          <w:rFonts w:hint="eastAsia" w:ascii="仿宋_GB2312" w:hAnsi="仿宋_GB2312" w:eastAsia="仿宋_GB2312" w:cs="仿宋_GB2312"/>
          <w:sz w:val="32"/>
          <w:szCs w:val="32"/>
          <w:highlight w:val="none"/>
          <w:lang w:val="en-US" w:eastAsia="zh-CN"/>
        </w:rPr>
        <w:t>（一）</w:t>
      </w:r>
      <w:r>
        <w:rPr>
          <w:rFonts w:hint="eastAsia" w:ascii="仿宋_GB2312" w:hAnsi="仿宋_GB2312" w:eastAsia="仿宋_GB2312" w:cs="仿宋_GB2312"/>
          <w:sz w:val="32"/>
          <w:szCs w:val="32"/>
          <w:highlight w:val="none"/>
        </w:rPr>
        <w:t>知识</w:t>
      </w:r>
      <w:r>
        <w:rPr>
          <w:rFonts w:hint="eastAsia" w:ascii="仿宋_GB2312" w:hAnsi="仿宋_GB2312" w:eastAsia="仿宋_GB2312" w:cs="仿宋_GB2312"/>
          <w:sz w:val="32"/>
          <w:szCs w:val="32"/>
          <w:highlight w:val="none"/>
          <w:lang w:val="en-US" w:eastAsia="zh-CN"/>
        </w:rPr>
        <w:t>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_Toc19064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rPr>
        <w:fldChar w:fldCharType="end"/>
      </w:r>
    </w:p>
    <w:p>
      <w:pPr>
        <w:pStyle w:val="9"/>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kern w:val="0"/>
          <w:sz w:val="32"/>
          <w:szCs w:val="32"/>
          <w:highlight w:val="none"/>
        </w:rPr>
        <w:instrText xml:space="preserve"> HYPERLINK \l _Toc23731 </w:instrText>
      </w:r>
      <w:r>
        <w:rPr>
          <w:rFonts w:hint="eastAsia" w:ascii="仿宋_GB2312" w:hAnsi="仿宋_GB2312" w:eastAsia="仿宋_GB2312" w:cs="仿宋_GB2312"/>
          <w:bCs/>
          <w:kern w:val="0"/>
          <w:sz w:val="32"/>
          <w:szCs w:val="32"/>
          <w:highlight w:val="none"/>
        </w:rPr>
        <w:fldChar w:fldCharType="separate"/>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二</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能力</w:t>
      </w:r>
      <w:r>
        <w:rPr>
          <w:rFonts w:hint="eastAsia" w:ascii="仿宋_GB2312" w:hAnsi="仿宋_GB2312" w:eastAsia="仿宋_GB2312" w:cs="仿宋_GB2312"/>
          <w:sz w:val="32"/>
          <w:szCs w:val="32"/>
          <w:highlight w:val="none"/>
          <w:lang w:val="en-US" w:eastAsia="zh-CN"/>
        </w:rPr>
        <w:t>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_Toc23731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rPr>
        <w:fldChar w:fldCharType="end"/>
      </w:r>
    </w:p>
    <w:p>
      <w:pPr>
        <w:pStyle w:val="9"/>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kern w:val="0"/>
          <w:sz w:val="32"/>
          <w:szCs w:val="32"/>
          <w:highlight w:val="none"/>
        </w:rPr>
        <w:instrText xml:space="preserve"> HYPERLINK \l _Toc30802 </w:instrText>
      </w:r>
      <w:r>
        <w:rPr>
          <w:rFonts w:hint="eastAsia" w:ascii="仿宋_GB2312" w:hAnsi="仿宋_GB2312" w:eastAsia="仿宋_GB2312" w:cs="仿宋_GB2312"/>
          <w:bCs/>
          <w:kern w:val="0"/>
          <w:sz w:val="32"/>
          <w:szCs w:val="32"/>
          <w:highlight w:val="none"/>
        </w:rPr>
        <w:fldChar w:fldCharType="separate"/>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三</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素质</w:t>
      </w:r>
      <w:r>
        <w:rPr>
          <w:rFonts w:hint="eastAsia" w:ascii="仿宋_GB2312" w:hAnsi="仿宋_GB2312" w:eastAsia="仿宋_GB2312" w:cs="仿宋_GB2312"/>
          <w:sz w:val="32"/>
          <w:szCs w:val="32"/>
          <w:highlight w:val="none"/>
          <w:lang w:val="en-US" w:eastAsia="zh-CN"/>
        </w:rPr>
        <w:t>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_Toc30802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kern w:val="0"/>
          <w:sz w:val="32"/>
          <w:szCs w:val="32"/>
          <w:highlight w:val="none"/>
        </w:rPr>
        <w:instrText xml:space="preserve"> HYPERLINK \l _Toc18930 </w:instrText>
      </w:r>
      <w:r>
        <w:rPr>
          <w:rFonts w:hint="eastAsia" w:ascii="仿宋_GB2312" w:hAnsi="仿宋_GB2312" w:eastAsia="仿宋_GB2312" w:cs="仿宋_GB2312"/>
          <w:bCs/>
          <w:kern w:val="0"/>
          <w:sz w:val="32"/>
          <w:szCs w:val="32"/>
          <w:highlight w:val="none"/>
        </w:rPr>
        <w:fldChar w:fldCharType="separate"/>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rPr>
        <w:t>、课程设置</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_Toc18930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rPr>
        <w:fldChar w:fldCharType="end"/>
      </w:r>
    </w:p>
    <w:p>
      <w:pPr>
        <w:pStyle w:val="9"/>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kern w:val="0"/>
          <w:sz w:val="32"/>
          <w:szCs w:val="32"/>
          <w:highlight w:val="none"/>
        </w:rPr>
        <w:instrText xml:space="preserve"> HYPERLINK \l _Toc21827 </w:instrText>
      </w:r>
      <w:r>
        <w:rPr>
          <w:rFonts w:hint="eastAsia" w:ascii="仿宋_GB2312" w:hAnsi="仿宋_GB2312" w:eastAsia="仿宋_GB2312" w:cs="仿宋_GB2312"/>
          <w:bCs/>
          <w:kern w:val="0"/>
          <w:sz w:val="32"/>
          <w:szCs w:val="32"/>
          <w:highlight w:val="none"/>
        </w:rPr>
        <w:fldChar w:fldCharType="separate"/>
      </w:r>
      <w:r>
        <w:rPr>
          <w:rFonts w:hint="eastAsia" w:ascii="仿宋_GB2312" w:hAnsi="仿宋_GB2312" w:eastAsia="仿宋_GB2312" w:cs="仿宋_GB2312"/>
          <w:sz w:val="32"/>
          <w:szCs w:val="32"/>
        </w:rPr>
        <w:t>（一）公共基础课程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_Toc21827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rPr>
        <w:fldChar w:fldCharType="end"/>
      </w:r>
    </w:p>
    <w:p>
      <w:pPr>
        <w:pStyle w:val="9"/>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kern w:val="0"/>
          <w:sz w:val="32"/>
          <w:szCs w:val="32"/>
          <w:highlight w:val="none"/>
        </w:rPr>
        <w:instrText xml:space="preserve"> HYPERLINK \l _Toc10669 </w:instrText>
      </w:r>
      <w:r>
        <w:rPr>
          <w:rFonts w:hint="eastAsia" w:ascii="仿宋_GB2312" w:hAnsi="仿宋_GB2312" w:eastAsia="仿宋_GB2312" w:cs="仿宋_GB2312"/>
          <w:bCs/>
          <w:kern w:val="0"/>
          <w:sz w:val="32"/>
          <w:szCs w:val="32"/>
          <w:highlight w:val="none"/>
        </w:rPr>
        <w:fldChar w:fldCharType="separate"/>
      </w:r>
      <w:r>
        <w:rPr>
          <w:rFonts w:hint="eastAsia" w:ascii="仿宋_GB2312" w:hAnsi="仿宋_GB2312" w:eastAsia="仿宋_GB2312" w:cs="仿宋_GB2312"/>
          <w:sz w:val="32"/>
          <w:szCs w:val="32"/>
          <w:highlight w:val="none"/>
        </w:rPr>
        <w:t>（二）专业课程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_Toc10669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rPr>
        <w:fldChar w:fldCharType="end"/>
      </w:r>
    </w:p>
    <w:p>
      <w:pPr>
        <w:pStyle w:val="9"/>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kern w:val="0"/>
          <w:sz w:val="32"/>
          <w:szCs w:val="32"/>
          <w:highlight w:val="none"/>
        </w:rPr>
        <w:instrText xml:space="preserve"> HYPERLINK \l _Toc9352 </w:instrText>
      </w:r>
      <w:r>
        <w:rPr>
          <w:rFonts w:hint="eastAsia" w:ascii="仿宋_GB2312" w:hAnsi="仿宋_GB2312" w:eastAsia="仿宋_GB2312" w:cs="仿宋_GB2312"/>
          <w:bCs/>
          <w:kern w:val="0"/>
          <w:sz w:val="32"/>
          <w:szCs w:val="32"/>
          <w:highlight w:val="none"/>
        </w:rPr>
        <w:fldChar w:fldCharType="separate"/>
      </w:r>
      <w:r>
        <w:rPr>
          <w:rFonts w:hint="eastAsia" w:ascii="仿宋_GB2312" w:hAnsi="仿宋_GB2312" w:eastAsia="仿宋_GB2312" w:cs="仿宋_GB2312"/>
          <w:sz w:val="32"/>
          <w:szCs w:val="32"/>
          <w:highlight w:val="none"/>
        </w:rPr>
        <w:t>（三）第二课堂</w:t>
      </w:r>
      <w:r>
        <w:rPr>
          <w:rFonts w:hint="eastAsia" w:ascii="仿宋_GB2312" w:hAnsi="仿宋_GB2312" w:eastAsia="仿宋_GB2312" w:cs="仿宋_GB2312"/>
          <w:sz w:val="32"/>
          <w:szCs w:val="32"/>
          <w:highlight w:val="none"/>
          <w:lang w:val="en-US" w:eastAsia="zh-CN"/>
        </w:rPr>
        <w:t>素质教育课</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_Toc9352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kern w:val="0"/>
          <w:sz w:val="32"/>
          <w:szCs w:val="32"/>
          <w:highlight w:val="none"/>
        </w:rPr>
        <w:instrText xml:space="preserve"> HYPERLINK \l _Toc31262 </w:instrText>
      </w:r>
      <w:r>
        <w:rPr>
          <w:rFonts w:hint="eastAsia" w:ascii="仿宋_GB2312" w:hAnsi="仿宋_GB2312" w:eastAsia="仿宋_GB2312" w:cs="仿宋_GB2312"/>
          <w:bCs/>
          <w:kern w:val="0"/>
          <w:sz w:val="32"/>
          <w:szCs w:val="32"/>
          <w:highlight w:val="none"/>
        </w:rPr>
        <w:fldChar w:fldCharType="separate"/>
      </w:r>
      <w:r>
        <w:rPr>
          <w:rFonts w:hint="eastAsia" w:ascii="仿宋_GB2312" w:hAnsi="仿宋_GB2312" w:eastAsia="仿宋_GB2312" w:cs="仿宋_GB2312"/>
          <w:sz w:val="32"/>
          <w:szCs w:val="32"/>
          <w:highlight w:val="none"/>
          <w:lang w:val="en-US" w:eastAsia="zh-CN"/>
        </w:rPr>
        <w:t>八</w:t>
      </w:r>
      <w:r>
        <w:rPr>
          <w:rFonts w:hint="eastAsia" w:ascii="仿宋_GB2312" w:hAnsi="仿宋_GB2312" w:eastAsia="仿宋_GB2312" w:cs="仿宋_GB2312"/>
          <w:sz w:val="32"/>
          <w:szCs w:val="32"/>
          <w:highlight w:val="none"/>
        </w:rPr>
        <w:t>、教学进程总体安排</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_Toc31262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rPr>
        <w:fldChar w:fldCharType="end"/>
      </w:r>
    </w:p>
    <w:p>
      <w:pPr>
        <w:pStyle w:val="9"/>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kern w:val="0"/>
          <w:sz w:val="32"/>
          <w:szCs w:val="32"/>
          <w:highlight w:val="none"/>
        </w:rPr>
        <w:instrText xml:space="preserve"> HYPERLINK \l _Toc23452 </w:instrText>
      </w:r>
      <w:r>
        <w:rPr>
          <w:rFonts w:hint="eastAsia" w:ascii="仿宋_GB2312" w:hAnsi="仿宋_GB2312" w:eastAsia="仿宋_GB2312" w:cs="仿宋_GB2312"/>
          <w:bCs/>
          <w:kern w:val="0"/>
          <w:sz w:val="32"/>
          <w:szCs w:val="32"/>
          <w:highlight w:val="none"/>
        </w:rPr>
        <w:fldChar w:fldCharType="separate"/>
      </w:r>
      <w:r>
        <w:rPr>
          <w:rFonts w:hint="eastAsia" w:ascii="仿宋_GB2312" w:hAnsi="仿宋_GB2312" w:eastAsia="仿宋_GB2312" w:cs="仿宋_GB2312"/>
          <w:sz w:val="32"/>
          <w:szCs w:val="32"/>
          <w:highlight w:val="none"/>
        </w:rPr>
        <w:t>（一）教学环节分配表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_Toc23452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rPr>
        <w:fldChar w:fldCharType="end"/>
      </w:r>
    </w:p>
    <w:p>
      <w:pPr>
        <w:pStyle w:val="9"/>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kern w:val="0"/>
          <w:sz w:val="32"/>
          <w:szCs w:val="32"/>
          <w:highlight w:val="none"/>
        </w:rPr>
        <w:instrText xml:space="preserve"> HYPERLINK \l _Toc12881 </w:instrText>
      </w:r>
      <w:r>
        <w:rPr>
          <w:rFonts w:hint="eastAsia" w:ascii="仿宋_GB2312" w:hAnsi="仿宋_GB2312" w:eastAsia="仿宋_GB2312" w:cs="仿宋_GB2312"/>
          <w:bCs/>
          <w:kern w:val="0"/>
          <w:sz w:val="32"/>
          <w:szCs w:val="32"/>
          <w:highlight w:val="none"/>
        </w:rPr>
        <w:fldChar w:fldCharType="separate"/>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二</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bCs/>
          <w:sz w:val="32"/>
          <w:szCs w:val="32"/>
          <w:highlight w:val="none"/>
        </w:rPr>
        <w:t>课程结构与学时、学分分配</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_Toc12881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rPr>
        <w:fldChar w:fldCharType="end"/>
      </w:r>
    </w:p>
    <w:p>
      <w:pPr>
        <w:pStyle w:val="9"/>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kern w:val="0"/>
          <w:sz w:val="32"/>
          <w:szCs w:val="32"/>
          <w:highlight w:val="none"/>
        </w:rPr>
        <w:instrText xml:space="preserve"> HYPERLINK \l _Toc5840 </w:instrText>
      </w:r>
      <w:r>
        <w:rPr>
          <w:rFonts w:hint="eastAsia" w:ascii="仿宋_GB2312" w:hAnsi="仿宋_GB2312" w:eastAsia="仿宋_GB2312" w:cs="仿宋_GB2312"/>
          <w:bCs/>
          <w:kern w:val="0"/>
          <w:sz w:val="32"/>
          <w:szCs w:val="32"/>
          <w:highlight w:val="none"/>
        </w:rPr>
        <w:fldChar w:fldCharType="separate"/>
      </w:r>
      <w:r>
        <w:rPr>
          <w:rFonts w:hint="eastAsia" w:ascii="仿宋_GB2312" w:hAnsi="仿宋_GB2312" w:eastAsia="仿宋_GB2312" w:cs="仿宋_GB2312"/>
          <w:sz w:val="32"/>
          <w:szCs w:val="32"/>
        </w:rPr>
        <w:t xml:space="preserve">（三） </w:t>
      </w:r>
      <w:r>
        <w:rPr>
          <w:rFonts w:hint="eastAsia" w:ascii="仿宋_GB2312" w:hAnsi="仿宋_GB2312" w:eastAsia="仿宋_GB2312" w:cs="仿宋_GB2312"/>
          <w:sz w:val="32"/>
          <w:szCs w:val="32"/>
          <w:highlight w:val="none"/>
        </w:rPr>
        <w:t>教学计划进程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_Toc5840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kern w:val="0"/>
          <w:sz w:val="32"/>
          <w:szCs w:val="32"/>
          <w:highlight w:val="none"/>
        </w:rPr>
        <w:instrText xml:space="preserve"> HYPERLINK \l _Toc18309 </w:instrText>
      </w:r>
      <w:r>
        <w:rPr>
          <w:rFonts w:hint="eastAsia" w:ascii="仿宋_GB2312" w:hAnsi="仿宋_GB2312" w:eastAsia="仿宋_GB2312" w:cs="仿宋_GB2312"/>
          <w:bCs/>
          <w:kern w:val="0"/>
          <w:sz w:val="32"/>
          <w:szCs w:val="32"/>
          <w:highlight w:val="none"/>
        </w:rPr>
        <w:fldChar w:fldCharType="separate"/>
      </w:r>
      <w:r>
        <w:rPr>
          <w:rFonts w:hint="eastAsia" w:ascii="仿宋_GB2312" w:hAnsi="仿宋_GB2312" w:eastAsia="仿宋_GB2312" w:cs="仿宋_GB2312"/>
          <w:sz w:val="32"/>
          <w:szCs w:val="32"/>
          <w:highlight w:val="none"/>
          <w:lang w:val="en-US" w:eastAsia="zh-CN"/>
        </w:rPr>
        <w:t>九</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师资队伍</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_Toc18309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rPr>
        <w:fldChar w:fldCharType="end"/>
      </w:r>
    </w:p>
    <w:p>
      <w:pPr>
        <w:pStyle w:val="9"/>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kern w:val="0"/>
          <w:sz w:val="32"/>
          <w:szCs w:val="32"/>
          <w:highlight w:val="none"/>
        </w:rPr>
        <w:instrText xml:space="preserve"> HYPERLINK \l _Toc488 </w:instrText>
      </w:r>
      <w:r>
        <w:rPr>
          <w:rFonts w:hint="eastAsia" w:ascii="仿宋_GB2312" w:hAnsi="仿宋_GB2312" w:eastAsia="仿宋_GB2312" w:cs="仿宋_GB2312"/>
          <w:bCs/>
          <w:kern w:val="0"/>
          <w:sz w:val="32"/>
          <w:szCs w:val="32"/>
          <w:highlight w:val="none"/>
        </w:rPr>
        <w:fldChar w:fldCharType="separate"/>
      </w:r>
      <w:r>
        <w:rPr>
          <w:rFonts w:hint="eastAsia" w:ascii="仿宋_GB2312" w:hAnsi="仿宋_GB2312" w:eastAsia="仿宋_GB2312" w:cs="仿宋_GB2312"/>
          <w:bCs w:val="0"/>
          <w:kern w:val="2"/>
          <w:sz w:val="32"/>
          <w:szCs w:val="32"/>
          <w:highlight w:val="none"/>
          <w:lang w:val="en-US" w:eastAsia="zh-CN" w:bidi="ar-SA"/>
        </w:rPr>
        <w:t>（一）</w:t>
      </w:r>
      <w:r>
        <w:rPr>
          <w:rFonts w:hint="eastAsia" w:ascii="仿宋_GB2312" w:hAnsi="仿宋_GB2312" w:eastAsia="仿宋_GB2312" w:cs="仿宋_GB2312"/>
          <w:bCs w:val="0"/>
          <w:sz w:val="32"/>
          <w:szCs w:val="32"/>
          <w:highlight w:val="none"/>
          <w:lang w:val="en-US" w:eastAsia="zh-CN"/>
        </w:rPr>
        <w:t>队伍结构</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_Toc488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rPr>
        <w:fldChar w:fldCharType="end"/>
      </w:r>
    </w:p>
    <w:p>
      <w:pPr>
        <w:pStyle w:val="9"/>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kern w:val="0"/>
          <w:sz w:val="32"/>
          <w:szCs w:val="32"/>
          <w:highlight w:val="none"/>
        </w:rPr>
        <w:instrText xml:space="preserve"> HYPERLINK \l _Toc4445 </w:instrText>
      </w:r>
      <w:r>
        <w:rPr>
          <w:rFonts w:hint="eastAsia" w:ascii="仿宋_GB2312" w:hAnsi="仿宋_GB2312" w:eastAsia="仿宋_GB2312" w:cs="仿宋_GB2312"/>
          <w:bCs/>
          <w:kern w:val="0"/>
          <w:sz w:val="32"/>
          <w:szCs w:val="32"/>
          <w:highlight w:val="none"/>
        </w:rPr>
        <w:fldChar w:fldCharType="separate"/>
      </w:r>
      <w:r>
        <w:rPr>
          <w:rFonts w:hint="eastAsia" w:ascii="仿宋_GB2312" w:hAnsi="仿宋_GB2312" w:eastAsia="仿宋_GB2312" w:cs="仿宋_GB2312"/>
          <w:kern w:val="2"/>
          <w:sz w:val="32"/>
          <w:szCs w:val="32"/>
          <w:highlight w:val="none"/>
          <w:lang w:val="en-US" w:eastAsia="zh-CN" w:bidi="ar-SA"/>
        </w:rPr>
        <w:t>（二）</w:t>
      </w:r>
      <w:r>
        <w:rPr>
          <w:rFonts w:hint="eastAsia" w:ascii="仿宋_GB2312" w:hAnsi="仿宋_GB2312" w:eastAsia="仿宋_GB2312" w:cs="仿宋_GB2312"/>
          <w:sz w:val="32"/>
          <w:szCs w:val="32"/>
          <w:highlight w:val="none"/>
        </w:rPr>
        <w:t>专业带头人</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_Toc4445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rPr>
        <w:fldChar w:fldCharType="end"/>
      </w:r>
    </w:p>
    <w:p>
      <w:pPr>
        <w:pStyle w:val="9"/>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kern w:val="0"/>
          <w:sz w:val="32"/>
          <w:szCs w:val="32"/>
          <w:highlight w:val="none"/>
        </w:rPr>
        <w:instrText xml:space="preserve"> HYPERLINK \l _Toc19346 </w:instrText>
      </w:r>
      <w:r>
        <w:rPr>
          <w:rFonts w:hint="eastAsia" w:ascii="仿宋_GB2312" w:hAnsi="仿宋_GB2312" w:eastAsia="仿宋_GB2312" w:cs="仿宋_GB2312"/>
          <w:bCs/>
          <w:kern w:val="0"/>
          <w:sz w:val="32"/>
          <w:szCs w:val="32"/>
          <w:highlight w:val="none"/>
        </w:rPr>
        <w:fldChar w:fldCharType="separate"/>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三</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专任教师</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_Toc19346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kern w:val="0"/>
          <w:sz w:val="32"/>
          <w:szCs w:val="32"/>
          <w:highlight w:val="none"/>
        </w:rPr>
        <w:instrText xml:space="preserve"> HYPERLINK \l _Toc13797 </w:instrText>
      </w:r>
      <w:r>
        <w:rPr>
          <w:rFonts w:hint="eastAsia" w:ascii="仿宋_GB2312" w:hAnsi="仿宋_GB2312" w:eastAsia="仿宋_GB2312" w:cs="仿宋_GB2312"/>
          <w:bCs/>
          <w:kern w:val="0"/>
          <w:sz w:val="32"/>
          <w:szCs w:val="32"/>
          <w:highlight w:val="none"/>
        </w:rPr>
        <w:fldChar w:fldCharType="separate"/>
      </w:r>
      <w:r>
        <w:rPr>
          <w:rFonts w:hint="eastAsia" w:ascii="仿宋_GB2312" w:hAnsi="仿宋_GB2312" w:eastAsia="仿宋_GB2312" w:cs="仿宋_GB2312"/>
          <w:sz w:val="32"/>
          <w:szCs w:val="32"/>
          <w:highlight w:val="none"/>
          <w:lang w:val="en-US" w:eastAsia="zh-CN"/>
        </w:rPr>
        <w:t>十、教学条件</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_Toc13797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rPr>
        <w:fldChar w:fldCharType="end"/>
      </w:r>
    </w:p>
    <w:p>
      <w:pPr>
        <w:pStyle w:val="9"/>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kern w:val="0"/>
          <w:sz w:val="32"/>
          <w:szCs w:val="32"/>
          <w:highlight w:val="none"/>
        </w:rPr>
        <w:instrText xml:space="preserve"> HYPERLINK \l _Toc29704 </w:instrText>
      </w:r>
      <w:r>
        <w:rPr>
          <w:rFonts w:hint="eastAsia" w:ascii="仿宋_GB2312" w:hAnsi="仿宋_GB2312" w:eastAsia="仿宋_GB2312" w:cs="仿宋_GB2312"/>
          <w:bCs/>
          <w:kern w:val="0"/>
          <w:sz w:val="32"/>
          <w:szCs w:val="32"/>
          <w:highlight w:val="none"/>
        </w:rPr>
        <w:fldChar w:fldCharType="separate"/>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一</w:t>
      </w:r>
      <w:r>
        <w:rPr>
          <w:rFonts w:hint="eastAsia" w:ascii="仿宋_GB2312" w:hAnsi="仿宋_GB2312" w:eastAsia="仿宋_GB2312" w:cs="仿宋_GB2312"/>
          <w:sz w:val="32"/>
          <w:szCs w:val="32"/>
          <w:highlight w:val="none"/>
        </w:rPr>
        <w:t>）教学设施</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_Toc29704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rPr>
        <w:fldChar w:fldCharType="end"/>
      </w:r>
    </w:p>
    <w:p>
      <w:pPr>
        <w:pStyle w:val="9"/>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kern w:val="0"/>
          <w:sz w:val="32"/>
          <w:szCs w:val="32"/>
          <w:highlight w:val="none"/>
        </w:rPr>
        <w:instrText xml:space="preserve"> HYPERLINK \l _Toc10874 </w:instrText>
      </w:r>
      <w:r>
        <w:rPr>
          <w:rFonts w:hint="eastAsia" w:ascii="仿宋_GB2312" w:hAnsi="仿宋_GB2312" w:eastAsia="仿宋_GB2312" w:cs="仿宋_GB2312"/>
          <w:bCs/>
          <w:kern w:val="0"/>
          <w:sz w:val="32"/>
          <w:szCs w:val="32"/>
          <w:highlight w:val="none"/>
        </w:rPr>
        <w:fldChar w:fldCharType="separate"/>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二</w:t>
      </w:r>
      <w:r>
        <w:rPr>
          <w:rFonts w:hint="eastAsia" w:ascii="仿宋_GB2312" w:hAnsi="仿宋_GB2312" w:eastAsia="仿宋_GB2312" w:cs="仿宋_GB2312"/>
          <w:sz w:val="32"/>
          <w:szCs w:val="32"/>
          <w:highlight w:val="none"/>
        </w:rPr>
        <w:t>）教学资源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_Toc10874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rPr>
        <w:fldChar w:fldCharType="end"/>
      </w:r>
    </w:p>
    <w:p>
      <w:pPr>
        <w:pStyle w:val="9"/>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kern w:val="0"/>
          <w:sz w:val="32"/>
          <w:szCs w:val="32"/>
          <w:highlight w:val="none"/>
        </w:rPr>
        <w:instrText xml:space="preserve"> HYPERLINK \l _Toc15362 </w:instrText>
      </w:r>
      <w:r>
        <w:rPr>
          <w:rFonts w:hint="eastAsia" w:ascii="仿宋_GB2312" w:hAnsi="仿宋_GB2312" w:eastAsia="仿宋_GB2312" w:cs="仿宋_GB2312"/>
          <w:bCs/>
          <w:kern w:val="0"/>
          <w:sz w:val="32"/>
          <w:szCs w:val="32"/>
          <w:highlight w:val="none"/>
        </w:rPr>
        <w:fldChar w:fldCharType="separate"/>
      </w:r>
      <w:r>
        <w:rPr>
          <w:rFonts w:hint="eastAsia" w:ascii="仿宋_GB2312" w:hAnsi="仿宋_GB2312" w:eastAsia="仿宋_GB2312" w:cs="仿宋_GB2312"/>
          <w:kern w:val="2"/>
          <w:sz w:val="32"/>
          <w:szCs w:val="32"/>
          <w:highlight w:val="none"/>
          <w:lang w:val="en-US" w:eastAsia="zh-CN" w:bidi="ar-SA"/>
        </w:rPr>
        <w:t>（三）</w:t>
      </w:r>
      <w:r>
        <w:rPr>
          <w:rFonts w:hint="eastAsia" w:ascii="仿宋_GB2312" w:hAnsi="仿宋_GB2312" w:eastAsia="仿宋_GB2312" w:cs="仿宋_GB2312"/>
          <w:sz w:val="32"/>
          <w:szCs w:val="32"/>
          <w:highlight w:val="none"/>
        </w:rPr>
        <w:t>教学方法</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_Toc15362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rPr>
        <w:fldChar w:fldCharType="end"/>
      </w:r>
    </w:p>
    <w:p>
      <w:pPr>
        <w:pStyle w:val="9"/>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kern w:val="0"/>
          <w:sz w:val="32"/>
          <w:szCs w:val="32"/>
          <w:highlight w:val="none"/>
        </w:rPr>
        <w:instrText xml:space="preserve"> HYPERLINK \l _Toc4736 </w:instrText>
      </w:r>
      <w:r>
        <w:rPr>
          <w:rFonts w:hint="eastAsia" w:ascii="仿宋_GB2312" w:hAnsi="仿宋_GB2312" w:eastAsia="仿宋_GB2312" w:cs="仿宋_GB2312"/>
          <w:bCs/>
          <w:kern w:val="0"/>
          <w:sz w:val="32"/>
          <w:szCs w:val="32"/>
          <w:highlight w:val="none"/>
        </w:rPr>
        <w:fldChar w:fldCharType="separate"/>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四</w:t>
      </w:r>
      <w:r>
        <w:rPr>
          <w:rFonts w:hint="eastAsia" w:ascii="仿宋_GB2312" w:hAnsi="仿宋_GB2312" w:eastAsia="仿宋_GB2312" w:cs="仿宋_GB2312"/>
          <w:sz w:val="32"/>
          <w:szCs w:val="32"/>
          <w:highlight w:val="none"/>
        </w:rPr>
        <w:t>）学习评价</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_Toc4736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kern w:val="0"/>
          <w:sz w:val="32"/>
          <w:szCs w:val="32"/>
          <w:highlight w:val="none"/>
        </w:rPr>
        <w:instrText xml:space="preserve"> HYPERLINK \l _Toc12474 </w:instrText>
      </w:r>
      <w:r>
        <w:rPr>
          <w:rFonts w:hint="eastAsia" w:ascii="仿宋_GB2312" w:hAnsi="仿宋_GB2312" w:eastAsia="仿宋_GB2312" w:cs="仿宋_GB2312"/>
          <w:bCs/>
          <w:kern w:val="0"/>
          <w:sz w:val="32"/>
          <w:szCs w:val="32"/>
          <w:highlight w:val="none"/>
        </w:rPr>
        <w:fldChar w:fldCharType="separate"/>
      </w:r>
      <w:r>
        <w:rPr>
          <w:rFonts w:hint="eastAsia" w:ascii="仿宋_GB2312" w:hAnsi="仿宋_GB2312" w:eastAsia="仿宋_GB2312" w:cs="仿宋_GB2312"/>
          <w:bCs w:val="0"/>
          <w:sz w:val="32"/>
          <w:szCs w:val="32"/>
          <w:highlight w:val="none"/>
          <w:lang w:val="en-US" w:eastAsia="zh-CN"/>
        </w:rPr>
        <w:t>十一、</w:t>
      </w:r>
      <w:r>
        <w:rPr>
          <w:rFonts w:hint="eastAsia" w:ascii="仿宋_GB2312" w:hAnsi="仿宋_GB2312" w:eastAsia="仿宋_GB2312" w:cs="仿宋_GB2312"/>
          <w:bCs w:val="0"/>
          <w:sz w:val="32"/>
          <w:szCs w:val="32"/>
          <w:highlight w:val="none"/>
        </w:rPr>
        <w:t>质量</w:t>
      </w:r>
      <w:r>
        <w:rPr>
          <w:rFonts w:hint="eastAsia" w:ascii="仿宋_GB2312" w:hAnsi="仿宋_GB2312" w:eastAsia="仿宋_GB2312" w:cs="仿宋_GB2312"/>
          <w:bCs w:val="0"/>
          <w:sz w:val="32"/>
          <w:szCs w:val="32"/>
          <w:highlight w:val="none"/>
          <w:lang w:val="en-US" w:eastAsia="zh-CN"/>
        </w:rPr>
        <w:t>保障</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_Toc12474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kern w:val="0"/>
          <w:sz w:val="32"/>
          <w:szCs w:val="32"/>
          <w:highlight w:val="none"/>
        </w:rPr>
        <w:instrText xml:space="preserve"> HYPERLINK \l _Toc26655 </w:instrText>
      </w:r>
      <w:r>
        <w:rPr>
          <w:rFonts w:hint="eastAsia" w:ascii="仿宋_GB2312" w:hAnsi="仿宋_GB2312" w:eastAsia="仿宋_GB2312" w:cs="仿宋_GB2312"/>
          <w:bCs/>
          <w:kern w:val="0"/>
          <w:sz w:val="32"/>
          <w:szCs w:val="32"/>
          <w:highlight w:val="none"/>
        </w:rPr>
        <w:fldChar w:fldCharType="separate"/>
      </w:r>
      <w:r>
        <w:rPr>
          <w:rFonts w:hint="eastAsia" w:ascii="仿宋_GB2312" w:hAnsi="仿宋_GB2312" w:eastAsia="仿宋_GB2312" w:cs="仿宋_GB2312"/>
          <w:bCs w:val="0"/>
          <w:sz w:val="32"/>
          <w:szCs w:val="32"/>
          <w:highlight w:val="none"/>
          <w:lang w:val="en-US" w:eastAsia="zh-CN"/>
        </w:rPr>
        <w:t>十二、</w:t>
      </w:r>
      <w:r>
        <w:rPr>
          <w:rFonts w:hint="eastAsia" w:ascii="仿宋_GB2312" w:hAnsi="仿宋_GB2312" w:eastAsia="仿宋_GB2312" w:cs="仿宋_GB2312"/>
          <w:bCs w:val="0"/>
          <w:sz w:val="32"/>
          <w:szCs w:val="32"/>
          <w:highlight w:val="none"/>
        </w:rPr>
        <w:t>毕业要求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_Toc26655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rPr>
        <w:fldChar w:fldCharType="end"/>
      </w:r>
    </w:p>
    <w:p>
      <w:pPr>
        <w:pStyle w:val="9"/>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kern w:val="0"/>
          <w:sz w:val="32"/>
          <w:szCs w:val="32"/>
          <w:highlight w:val="none"/>
        </w:rPr>
        <w:instrText xml:space="preserve"> HYPERLINK \l _Toc26149 </w:instrText>
      </w:r>
      <w:r>
        <w:rPr>
          <w:rFonts w:hint="eastAsia" w:ascii="仿宋_GB2312" w:hAnsi="仿宋_GB2312" w:eastAsia="仿宋_GB2312" w:cs="仿宋_GB2312"/>
          <w:bCs/>
          <w:kern w:val="0"/>
          <w:sz w:val="32"/>
          <w:szCs w:val="32"/>
          <w:highlight w:val="none"/>
        </w:rPr>
        <w:fldChar w:fldCharType="separate"/>
      </w:r>
      <w:r>
        <w:rPr>
          <w:rFonts w:hint="eastAsia" w:ascii="仿宋_GB2312" w:hAnsi="仿宋_GB2312" w:eastAsia="仿宋_GB2312" w:cs="仿宋_GB2312"/>
          <w:kern w:val="2"/>
          <w:sz w:val="32"/>
          <w:szCs w:val="32"/>
          <w:lang w:val="en-US" w:eastAsia="zh-CN" w:bidi="ar-SA"/>
        </w:rPr>
        <w:t xml:space="preserve">（一） </w:t>
      </w:r>
      <w:r>
        <w:rPr>
          <w:rFonts w:hint="eastAsia" w:ascii="仿宋_GB2312" w:hAnsi="仿宋_GB2312" w:eastAsia="仿宋_GB2312" w:cs="仿宋_GB2312"/>
          <w:kern w:val="2"/>
          <w:sz w:val="32"/>
          <w:szCs w:val="32"/>
          <w:highlight w:val="none"/>
          <w:lang w:val="en-US" w:eastAsia="zh-CN" w:bidi="ar-SA"/>
        </w:rPr>
        <w:t>学分要求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_Toc26149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rPr>
        <w:fldChar w:fldCharType="end"/>
      </w:r>
    </w:p>
    <w:p>
      <w:pPr>
        <w:pStyle w:val="9"/>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kern w:val="0"/>
          <w:sz w:val="32"/>
          <w:szCs w:val="32"/>
          <w:highlight w:val="none"/>
        </w:rPr>
        <w:instrText xml:space="preserve"> HYPERLINK \l _Toc12325 </w:instrText>
      </w:r>
      <w:r>
        <w:rPr>
          <w:rFonts w:hint="eastAsia" w:ascii="仿宋_GB2312" w:hAnsi="仿宋_GB2312" w:eastAsia="仿宋_GB2312" w:cs="仿宋_GB2312"/>
          <w:bCs/>
          <w:kern w:val="0"/>
          <w:sz w:val="32"/>
          <w:szCs w:val="32"/>
          <w:highlight w:val="none"/>
        </w:rPr>
        <w:fldChar w:fldCharType="separate"/>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）职业类证书要求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_Toc12325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rPr>
        <w:fldChar w:fldCharType="end"/>
      </w:r>
    </w:p>
    <w:p>
      <w:pPr>
        <w:pStyle w:val="9"/>
        <w:keepNext w:val="0"/>
        <w:keepLines w:val="0"/>
        <w:pageBreakBefore w:val="0"/>
        <w:tabs>
          <w:tab w:val="right" w:leader="dot" w:pos="8505"/>
        </w:tabs>
        <w:kinsoku/>
        <w:wordWrap/>
        <w:topLinePunct w:val="0"/>
        <w:autoSpaceDE/>
        <w:autoSpaceDN/>
        <w:bidi w:val="0"/>
        <w:spacing w:after="0" w:line="52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kern w:val="0"/>
          <w:sz w:val="32"/>
          <w:szCs w:val="32"/>
          <w:highlight w:val="none"/>
        </w:rPr>
        <w:instrText xml:space="preserve"> HYPERLINK \l _Toc13275 </w:instrText>
      </w:r>
      <w:r>
        <w:rPr>
          <w:rFonts w:hint="eastAsia" w:ascii="仿宋_GB2312" w:hAnsi="仿宋_GB2312" w:eastAsia="仿宋_GB2312" w:cs="仿宋_GB2312"/>
          <w:bCs/>
          <w:kern w:val="0"/>
          <w:sz w:val="32"/>
          <w:szCs w:val="32"/>
          <w:highlight w:val="none"/>
        </w:rPr>
        <w:fldChar w:fldCharType="separate"/>
      </w:r>
      <w:r>
        <w:rPr>
          <w:rFonts w:hint="eastAsia" w:ascii="仿宋_GB2312" w:hAnsi="仿宋_GB2312" w:eastAsia="仿宋_GB2312" w:cs="仿宋_GB2312"/>
          <w:kern w:val="2"/>
          <w:sz w:val="32"/>
          <w:szCs w:val="32"/>
          <w:highlight w:val="none"/>
          <w:lang w:val="en-US" w:eastAsia="zh-CN" w:bidi="ar-SA"/>
        </w:rPr>
        <w:t>（三）综合素质要求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_Toc13275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kern w:val="0"/>
          <w:sz w:val="32"/>
          <w:szCs w:val="32"/>
          <w:highlight w:val="none"/>
        </w:rPr>
        <w:fldChar w:fldCharType="end"/>
      </w:r>
    </w:p>
    <w:p>
      <w:pPr>
        <w:keepNext w:val="0"/>
        <w:keepLines w:val="0"/>
        <w:pageBreakBefore w:val="0"/>
        <w:widowControl/>
        <w:kinsoku/>
        <w:wordWrap/>
        <w:overflowPunct w:val="0"/>
        <w:topLinePunct w:val="0"/>
        <w:autoSpaceDE/>
        <w:autoSpaceDN/>
        <w:bidi w:val="0"/>
        <w:adjustRightInd w:val="0"/>
        <w:snapToGrid w:val="0"/>
        <w:spacing w:after="0" w:line="520" w:lineRule="exact"/>
        <w:ind w:left="0" w:leftChars="0"/>
        <w:jc w:val="center"/>
        <w:textAlignment w:val="auto"/>
        <w:rPr>
          <w:rFonts w:hint="eastAsia" w:ascii="黑体" w:hAnsi="黑体" w:eastAsia="黑体" w:cs="黑体"/>
          <w:bCs/>
          <w:color w:val="auto"/>
          <w:kern w:val="0"/>
          <w:sz w:val="32"/>
          <w:szCs w:val="32"/>
          <w:highlight w:val="none"/>
        </w:rPr>
        <w:sectPr>
          <w:pgSz w:w="11906" w:h="16838"/>
          <w:pgMar w:top="1417" w:right="1417" w:bottom="1417" w:left="1984" w:header="851" w:footer="992" w:gutter="0"/>
          <w:pgNumType w:start="1"/>
          <w:cols w:space="425" w:num="1"/>
          <w:docGrid w:type="lines" w:linePitch="312" w:charSpace="0"/>
        </w:sectPr>
      </w:pPr>
      <w:r>
        <w:rPr>
          <w:rFonts w:hint="eastAsia" w:ascii="仿宋_GB2312" w:hAnsi="仿宋_GB2312" w:eastAsia="仿宋_GB2312" w:cs="仿宋_GB2312"/>
          <w:bCs/>
          <w:color w:val="auto"/>
          <w:kern w:val="0"/>
          <w:sz w:val="32"/>
          <w:szCs w:val="32"/>
          <w:highlight w:val="none"/>
        </w:rPr>
        <w:fldChar w:fldCharType="end"/>
      </w:r>
    </w:p>
    <w:p>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方正小标宋简体" w:hAnsi="方正小标宋简体" w:eastAsia="方正小标宋简体" w:cs="方正小标宋简体"/>
          <w:bCs/>
          <w:color w:val="auto"/>
          <w:sz w:val="44"/>
          <w:szCs w:val="44"/>
          <w:highlight w:val="none"/>
        </w:rPr>
      </w:pPr>
      <w:r>
        <w:rPr>
          <w:rFonts w:hint="eastAsia" w:ascii="方正小标宋简体" w:hAnsi="方正小标宋简体" w:eastAsia="方正小标宋简体" w:cs="方正小标宋简体"/>
          <w:bCs/>
          <w:color w:val="auto"/>
          <w:sz w:val="44"/>
          <w:szCs w:val="44"/>
          <w:highlight w:val="none"/>
          <w:lang w:val="en-US" w:eastAsia="zh-CN"/>
        </w:rPr>
        <w:t>现代家政服务与管理</w:t>
      </w:r>
      <w:r>
        <w:rPr>
          <w:rFonts w:hint="eastAsia" w:ascii="方正小标宋简体" w:hAnsi="方正小标宋简体" w:eastAsia="方正小标宋简体" w:cs="方正小标宋简体"/>
          <w:bCs/>
          <w:color w:val="auto"/>
          <w:sz w:val="44"/>
          <w:szCs w:val="44"/>
          <w:highlight w:val="none"/>
        </w:rPr>
        <w:t>专业人才培养方案</w:t>
      </w:r>
    </w:p>
    <w:p>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方正小标宋简体" w:hAnsi="方正小标宋简体" w:eastAsia="方正小标宋简体" w:cs="方正小标宋简体"/>
          <w:bCs/>
          <w:color w:val="auto"/>
          <w:sz w:val="44"/>
          <w:szCs w:val="44"/>
          <w:highlight w:val="none"/>
        </w:rPr>
      </w:pPr>
    </w:p>
    <w:p>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outlineLvl w:val="0"/>
        <w:rPr>
          <w:rFonts w:hint="eastAsia" w:ascii="黑体" w:hAnsi="黑体" w:eastAsia="黑体" w:cs="黑体"/>
          <w:color w:val="auto"/>
          <w:sz w:val="32"/>
          <w:szCs w:val="32"/>
          <w:highlight w:val="none"/>
        </w:rPr>
      </w:pPr>
      <w:bookmarkStart w:id="0" w:name="_Toc7189"/>
      <w:bookmarkStart w:id="1" w:name="_Toc2958"/>
      <w:bookmarkStart w:id="2" w:name="_Toc28627"/>
      <w:r>
        <w:rPr>
          <w:rFonts w:hint="eastAsia" w:ascii="黑体" w:hAnsi="黑体" w:eastAsia="黑体" w:cs="黑体"/>
          <w:color w:val="auto"/>
          <w:sz w:val="32"/>
          <w:szCs w:val="32"/>
          <w:highlight w:val="none"/>
        </w:rPr>
        <w:t>一、专业名称及代码</w:t>
      </w:r>
      <w:bookmarkEnd w:id="0"/>
      <w:bookmarkEnd w:id="1"/>
      <w:bookmarkEnd w:id="2"/>
    </w:p>
    <w:p>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专业名称：</w:t>
      </w:r>
      <w:r>
        <w:rPr>
          <w:rFonts w:hint="eastAsia" w:ascii="仿宋_GB2312" w:hAnsi="仿宋_GB2312" w:eastAsia="仿宋_GB2312" w:cs="仿宋_GB2312"/>
          <w:color w:val="auto"/>
          <w:sz w:val="32"/>
          <w:szCs w:val="32"/>
          <w:highlight w:val="none"/>
          <w:lang w:val="en-US" w:eastAsia="zh-CN"/>
        </w:rPr>
        <w:t>现代家政服务与管理</w:t>
      </w:r>
    </w:p>
    <w:p>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专业代码：590301</w:t>
      </w:r>
    </w:p>
    <w:p>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outlineLvl w:val="0"/>
        <w:rPr>
          <w:rFonts w:hint="eastAsia" w:ascii="黑体" w:hAnsi="黑体" w:eastAsia="黑体" w:cs="黑体"/>
          <w:color w:val="auto"/>
          <w:sz w:val="32"/>
          <w:szCs w:val="32"/>
          <w:highlight w:val="none"/>
        </w:rPr>
      </w:pPr>
      <w:bookmarkStart w:id="3" w:name="_Toc19037"/>
      <w:bookmarkStart w:id="4" w:name="_Toc15166"/>
      <w:bookmarkStart w:id="5" w:name="_Toc21854"/>
      <w:r>
        <w:rPr>
          <w:rFonts w:hint="eastAsia" w:ascii="黑体" w:hAnsi="黑体" w:eastAsia="黑体" w:cs="黑体"/>
          <w:color w:val="auto"/>
          <w:sz w:val="32"/>
          <w:szCs w:val="32"/>
          <w:highlight w:val="none"/>
        </w:rPr>
        <w:t>二、入学要求</w:t>
      </w:r>
      <w:bookmarkEnd w:id="3"/>
      <w:bookmarkEnd w:id="4"/>
      <w:bookmarkEnd w:id="5"/>
    </w:p>
    <w:p>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中等职业学校毕业、普通高级中学毕业或具备</w:t>
      </w:r>
      <w:r>
        <w:rPr>
          <w:rFonts w:hint="eastAsia" w:ascii="仿宋_GB2312" w:hAnsi="仿宋_GB2312" w:eastAsia="仿宋_GB2312" w:cs="仿宋_GB2312"/>
          <w:color w:val="auto"/>
          <w:sz w:val="32"/>
          <w:szCs w:val="32"/>
          <w:highlight w:val="none"/>
          <w:lang w:eastAsia="zh-CN"/>
        </w:rPr>
        <w:t>同等学历。</w:t>
      </w:r>
    </w:p>
    <w:p>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outlineLvl w:val="0"/>
        <w:rPr>
          <w:rFonts w:hint="eastAsia" w:ascii="黑体" w:hAnsi="黑体" w:eastAsia="黑体" w:cs="黑体"/>
          <w:color w:val="auto"/>
          <w:sz w:val="32"/>
          <w:szCs w:val="32"/>
          <w:highlight w:val="none"/>
        </w:rPr>
      </w:pPr>
      <w:bookmarkStart w:id="6" w:name="_Toc19461"/>
      <w:bookmarkStart w:id="7" w:name="_Toc16258"/>
      <w:bookmarkStart w:id="8" w:name="_Toc20586"/>
      <w:r>
        <w:rPr>
          <w:rFonts w:hint="eastAsia" w:ascii="黑体" w:hAnsi="黑体" w:eastAsia="黑体" w:cs="黑体"/>
          <w:color w:val="auto"/>
          <w:sz w:val="32"/>
          <w:szCs w:val="32"/>
          <w:highlight w:val="none"/>
        </w:rPr>
        <w:t>三、</w:t>
      </w:r>
      <w:r>
        <w:rPr>
          <w:rFonts w:hint="eastAsia" w:ascii="黑体" w:hAnsi="黑体" w:eastAsia="黑体" w:cs="黑体"/>
          <w:color w:val="auto"/>
          <w:sz w:val="32"/>
          <w:szCs w:val="32"/>
          <w:highlight w:val="none"/>
          <w:lang w:val="en-US" w:eastAsia="zh-CN"/>
        </w:rPr>
        <w:t>基本</w:t>
      </w:r>
      <w:r>
        <w:rPr>
          <w:rFonts w:hint="eastAsia" w:ascii="黑体" w:hAnsi="黑体" w:eastAsia="黑体" w:cs="黑体"/>
          <w:color w:val="auto"/>
          <w:sz w:val="32"/>
          <w:szCs w:val="32"/>
          <w:highlight w:val="none"/>
        </w:rPr>
        <w:t>修业年限</w:t>
      </w:r>
      <w:bookmarkEnd w:id="6"/>
      <w:bookmarkEnd w:id="7"/>
      <w:bookmarkEnd w:id="8"/>
    </w:p>
    <w:p>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标准修业年限为3年，弹性学分有效修业年限为2-5年。</w:t>
      </w:r>
    </w:p>
    <w:p>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outlineLvl w:val="0"/>
        <w:rPr>
          <w:rFonts w:hint="eastAsia" w:ascii="黑体" w:hAnsi="黑体" w:eastAsia="黑体" w:cs="黑体"/>
          <w:color w:val="auto"/>
          <w:sz w:val="32"/>
          <w:szCs w:val="32"/>
          <w:highlight w:val="none"/>
        </w:rPr>
      </w:pPr>
      <w:bookmarkStart w:id="9" w:name="_Toc665"/>
      <w:bookmarkStart w:id="10" w:name="_Toc18357"/>
      <w:bookmarkStart w:id="11" w:name="_Toc23424"/>
      <w:r>
        <w:rPr>
          <w:rFonts w:hint="eastAsia" w:ascii="黑体" w:hAnsi="黑体" w:eastAsia="黑体" w:cs="黑体"/>
          <w:color w:val="auto"/>
          <w:sz w:val="32"/>
          <w:szCs w:val="32"/>
          <w:highlight w:val="none"/>
        </w:rPr>
        <w:t>四、职业面向</w:t>
      </w:r>
      <w:bookmarkEnd w:id="9"/>
      <w:bookmarkEnd w:id="10"/>
      <w:bookmarkEnd w:id="11"/>
    </w:p>
    <w:p>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jc w:val="center"/>
        <w:textAlignment w:val="auto"/>
        <w:rPr>
          <w:rFonts w:hint="eastAsia" w:ascii="仿宋" w:hAnsi="仿宋" w:eastAsia="仿宋"/>
          <w:color w:val="auto"/>
          <w:sz w:val="32"/>
          <w:szCs w:val="32"/>
          <w:highlight w:val="none"/>
        </w:rPr>
      </w:pPr>
      <w:r>
        <w:rPr>
          <w:rFonts w:hint="eastAsia" w:ascii="仿宋_GB2312" w:hAnsi="仿宋_GB2312" w:eastAsia="仿宋_GB2312" w:cs="仿宋_GB2312"/>
          <w:color w:val="auto"/>
          <w:sz w:val="32"/>
          <w:szCs w:val="32"/>
          <w:highlight w:val="none"/>
        </w:rPr>
        <w:t>表1职业岗位分析表</w:t>
      </w:r>
    </w:p>
    <w:tbl>
      <w:tblPr>
        <w:tblStyle w:val="12"/>
        <w:tblW w:w="9906" w:type="dxa"/>
        <w:tblInd w:w="-3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1"/>
        <w:gridCol w:w="1523"/>
        <w:gridCol w:w="1284"/>
        <w:gridCol w:w="1785"/>
        <w:gridCol w:w="2127"/>
        <w:gridCol w:w="18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1321"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所属专业大类</w:t>
            </w:r>
          </w:p>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（代码）</w:t>
            </w:r>
          </w:p>
        </w:tc>
        <w:tc>
          <w:tcPr>
            <w:tcW w:w="152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所属专业类</w:t>
            </w:r>
          </w:p>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（代码）</w:t>
            </w:r>
          </w:p>
        </w:tc>
        <w:tc>
          <w:tcPr>
            <w:tcW w:w="1284"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对应行业（代码）</w:t>
            </w:r>
          </w:p>
        </w:tc>
        <w:tc>
          <w:tcPr>
            <w:tcW w:w="178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主要职业类别（代码）</w:t>
            </w:r>
          </w:p>
        </w:tc>
        <w:tc>
          <w:tcPr>
            <w:tcW w:w="2127"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主要岗位（群）或技术领域</w:t>
            </w:r>
          </w:p>
        </w:tc>
        <w:tc>
          <w:tcPr>
            <w:tcW w:w="186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职业类证书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tcW w:w="1321"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highlight w:val="none"/>
              </w:rPr>
            </w:pPr>
            <w:bookmarkStart w:id="12" w:name="OLE_LINK1" w:colFirst="0" w:colLast="5"/>
            <w:r>
              <w:rPr>
                <w:rFonts w:hint="eastAsia" w:ascii="仿宋_GB2312" w:hAnsi="仿宋_GB2312" w:eastAsia="仿宋_GB2312" w:cs="仿宋_GB2312"/>
                <w:color w:val="auto"/>
                <w:sz w:val="24"/>
                <w:szCs w:val="24"/>
                <w:highlight w:val="none"/>
              </w:rPr>
              <w:t>公共管理与服务大类（</w:t>
            </w:r>
            <w:r>
              <w:rPr>
                <w:rFonts w:hint="eastAsia" w:ascii="仿宋_GB2312" w:hAnsi="仿宋_GB2312" w:eastAsia="仿宋_GB2312" w:cs="仿宋_GB2312"/>
                <w:color w:val="auto"/>
                <w:sz w:val="24"/>
                <w:szCs w:val="24"/>
                <w:highlight w:val="none"/>
                <w:lang w:val="en-US" w:eastAsia="zh-CN"/>
              </w:rPr>
              <w:t>5</w:t>
            </w:r>
            <w:r>
              <w:rPr>
                <w:rFonts w:hint="eastAsia" w:ascii="仿宋_GB2312" w:hAnsi="仿宋_GB2312" w:eastAsia="仿宋_GB2312" w:cs="仿宋_GB2312"/>
                <w:color w:val="auto"/>
                <w:sz w:val="24"/>
                <w:szCs w:val="24"/>
                <w:highlight w:val="none"/>
              </w:rPr>
              <w:t>9）</w:t>
            </w:r>
          </w:p>
        </w:tc>
        <w:tc>
          <w:tcPr>
            <w:tcW w:w="152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公共服务类（</w:t>
            </w:r>
            <w:r>
              <w:rPr>
                <w:rFonts w:hint="eastAsia" w:ascii="仿宋_GB2312" w:hAnsi="仿宋_GB2312" w:eastAsia="仿宋_GB2312" w:cs="仿宋_GB2312"/>
                <w:color w:val="auto"/>
                <w:sz w:val="24"/>
                <w:szCs w:val="24"/>
                <w:highlight w:val="none"/>
                <w:lang w:val="en-US" w:eastAsia="zh-CN"/>
              </w:rPr>
              <w:t>5</w:t>
            </w:r>
            <w:r>
              <w:rPr>
                <w:rFonts w:hint="eastAsia" w:ascii="仿宋_GB2312" w:hAnsi="仿宋_GB2312" w:eastAsia="仿宋_GB2312" w:cs="仿宋_GB2312"/>
                <w:color w:val="auto"/>
                <w:sz w:val="24"/>
                <w:szCs w:val="24"/>
                <w:highlight w:val="none"/>
              </w:rPr>
              <w:t>903）</w:t>
            </w:r>
          </w:p>
        </w:tc>
        <w:tc>
          <w:tcPr>
            <w:tcW w:w="1284"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居民服务业（80）</w:t>
            </w:r>
          </w:p>
        </w:tc>
        <w:tc>
          <w:tcPr>
            <w:tcW w:w="178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家政服务员（4-10-01-06）</w:t>
            </w:r>
          </w:p>
        </w:tc>
        <w:tc>
          <w:tcPr>
            <w:tcW w:w="2127"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rPr>
              <w:t>家庭整理与收纳、家宴策划与组织、家庭成员照护、家 政人员培训、家政服务机构管理</w:t>
            </w:r>
          </w:p>
        </w:tc>
        <w:tc>
          <w:tcPr>
            <w:tcW w:w="186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rPr>
              <w:t>幼儿照护、母婴护理、产后恢复、家政服务员</w:t>
            </w:r>
          </w:p>
        </w:tc>
      </w:tr>
      <w:bookmarkEnd w:id="12"/>
    </w:tbl>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黑体" w:hAnsi="黑体" w:eastAsia="黑体" w:cs="黑体"/>
          <w:color w:val="auto"/>
          <w:sz w:val="32"/>
          <w:szCs w:val="32"/>
          <w:highlight w:val="none"/>
        </w:rPr>
      </w:pPr>
      <w:bookmarkStart w:id="13" w:name="_Toc12993"/>
      <w:bookmarkStart w:id="14" w:name="_Toc2769"/>
      <w:bookmarkStart w:id="15" w:name="_Toc22119"/>
      <w:r>
        <w:rPr>
          <w:rFonts w:hint="eastAsia" w:ascii="黑体" w:hAnsi="黑体" w:eastAsia="黑体" w:cs="黑体"/>
          <w:color w:val="auto"/>
          <w:sz w:val="32"/>
          <w:szCs w:val="32"/>
          <w:highlight w:val="none"/>
        </w:rPr>
        <w:t>五、培养目标</w:t>
      </w:r>
      <w:bookmarkEnd w:id="13"/>
      <w:bookmarkEnd w:id="14"/>
      <w:bookmarkEnd w:id="15"/>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本专业培养能够践行社会主义核心价值观，传承技能文明，德智体美劳全面发展，立足广西、服务区域经济社会发展，依托广西工程职业学院“服务区域经济发展、培育优秀工程人才”的办学特色，培养具有扎实专业技能和职业素养的高素质技术技能人才。学生将掌握一定的科学文化水平，良好的人文素养、科学素养、数字素养、职业道德、创新意识，发扬学校“熔炼工匠精神、铸就一流技艺”为核心的文化价值与精神特征，培育爱岗敬业的职业精神和精益求精的工匠精神。强化就业创业能力和可持续发展的能力，掌握本专业知识和技术技能，具备职业综合素质和行动能力。毕业生将面向居民服务业，能够胜任整理收纳师、家务服务员、婴幼儿发展引导员、养老护理员、保育师、职业培训师等工作，通过学校“熔炼大国工匠精神”作为办学之魂，为广西及周边地区现代服务业发展提供高素质技术技能人才支撑。</w:t>
      </w:r>
      <w:r>
        <w:rPr>
          <w:rFonts w:hint="eastAsia" w:ascii="仿宋_GB2312" w:hAnsi="仿宋_GB2312" w:eastAsia="仿宋_GB2312" w:cs="仿宋_GB2312"/>
          <w:color w:val="auto"/>
          <w:sz w:val="32"/>
          <w:szCs w:val="32"/>
          <w:highlight w:val="none"/>
          <w:lang w:val="en-US" w:eastAsia="zh-CN"/>
        </w:rPr>
        <w:t xml:space="preserve"> </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黑体" w:hAnsi="黑体" w:eastAsia="黑体" w:cs="黑体"/>
          <w:color w:val="auto"/>
          <w:sz w:val="32"/>
          <w:szCs w:val="32"/>
          <w:highlight w:val="none"/>
          <w:lang w:eastAsia="zh-CN"/>
        </w:rPr>
      </w:pPr>
      <w:bookmarkStart w:id="16" w:name="_Toc15332"/>
      <w:bookmarkStart w:id="17" w:name="_Toc31299"/>
      <w:bookmarkStart w:id="18" w:name="_Toc23008"/>
      <w:r>
        <w:rPr>
          <w:rFonts w:hint="eastAsia" w:ascii="黑体" w:hAnsi="黑体" w:eastAsia="黑体" w:cs="黑体"/>
          <w:color w:val="auto"/>
          <w:sz w:val="32"/>
          <w:szCs w:val="32"/>
          <w:highlight w:val="none"/>
          <w:lang w:val="en-US" w:eastAsia="zh-CN"/>
        </w:rPr>
        <w:t>六</w:t>
      </w:r>
      <w:r>
        <w:rPr>
          <w:rFonts w:hint="eastAsia" w:ascii="黑体" w:hAnsi="黑体" w:eastAsia="黑体" w:cs="黑体"/>
          <w:color w:val="auto"/>
          <w:sz w:val="32"/>
          <w:szCs w:val="32"/>
          <w:highlight w:val="none"/>
        </w:rPr>
        <w:t>、培养</w:t>
      </w:r>
      <w:r>
        <w:rPr>
          <w:rFonts w:hint="eastAsia" w:ascii="黑体" w:hAnsi="黑体" w:eastAsia="黑体" w:cs="黑体"/>
          <w:color w:val="auto"/>
          <w:sz w:val="32"/>
          <w:szCs w:val="32"/>
          <w:highlight w:val="none"/>
          <w:lang w:val="en-US" w:eastAsia="zh-CN"/>
        </w:rPr>
        <w:t>规格</w:t>
      </w:r>
      <w:bookmarkEnd w:id="16"/>
      <w:bookmarkEnd w:id="17"/>
      <w:bookmarkEnd w:id="18"/>
    </w:p>
    <w:p>
      <w:pPr>
        <w:pStyle w:val="5"/>
        <w:keepNext w:val="0"/>
        <w:keepLines w:val="0"/>
        <w:pageBreakBefore w:val="0"/>
        <w:widowControl w:val="0"/>
        <w:kinsoku/>
        <w:wordWrap/>
        <w:topLinePunct w:val="0"/>
        <w:autoSpaceDE/>
        <w:autoSpaceDN/>
        <w:bidi w:val="0"/>
        <w:snapToGrid/>
        <w:spacing w:after="0" w:line="520" w:lineRule="exact"/>
        <w:ind w:right="0"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本专业</w:t>
      </w:r>
      <w:r>
        <w:rPr>
          <w:rFonts w:hint="eastAsia" w:ascii="仿宋_GB2312" w:hAnsi="仿宋_GB2312" w:eastAsia="仿宋_GB2312" w:cs="仿宋_GB2312"/>
          <w:color w:val="auto"/>
          <w:sz w:val="32"/>
          <w:szCs w:val="32"/>
          <w:highlight w:val="none"/>
          <w:lang w:val="en-US" w:eastAsia="zh-CN"/>
        </w:rPr>
        <w:t>学</w:t>
      </w:r>
      <w:r>
        <w:rPr>
          <w:rFonts w:hint="eastAsia" w:ascii="仿宋_GB2312" w:hAnsi="仿宋_GB2312" w:eastAsia="仿宋_GB2312" w:cs="仿宋_GB2312"/>
          <w:color w:val="auto"/>
          <w:sz w:val="32"/>
          <w:szCs w:val="32"/>
          <w:highlight w:val="none"/>
          <w:lang w:eastAsia="zh-CN"/>
        </w:rPr>
        <w:t>生</w:t>
      </w:r>
      <w:r>
        <w:rPr>
          <w:rFonts w:hint="eastAsia" w:ascii="仿宋_GB2312" w:hAnsi="仿宋_GB2312" w:eastAsia="仿宋_GB2312" w:cs="仿宋_GB2312"/>
          <w:color w:val="auto"/>
          <w:sz w:val="32"/>
          <w:szCs w:val="32"/>
          <w:highlight w:val="none"/>
          <w:lang w:val="en-US" w:eastAsia="zh-CN"/>
        </w:rPr>
        <w:t>应在系统学习本专业知识并完成有关实习实训基础上，全面提升知识、能力、素质，掌握并实际运用岗位（群）需要的专业核心技术技能，实现德智体美劳全面发展，</w:t>
      </w:r>
      <w:r>
        <w:rPr>
          <w:rFonts w:hint="eastAsia" w:ascii="仿宋_GB2312" w:hAnsi="仿宋_GB2312" w:eastAsia="仿宋_GB2312" w:cs="仿宋_GB2312"/>
          <w:color w:val="auto"/>
          <w:sz w:val="32"/>
          <w:szCs w:val="32"/>
          <w:highlight w:val="none"/>
          <w:lang w:eastAsia="zh-CN"/>
        </w:rPr>
        <w:t>总体上须达到以下要求：</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right="0" w:rightChars="0" w:firstLine="640" w:firstLineChars="200"/>
        <w:textAlignment w:val="auto"/>
        <w:outlineLvl w:val="1"/>
        <w:rPr>
          <w:rFonts w:hint="eastAsia" w:ascii="楷体" w:hAnsi="楷体" w:eastAsia="楷体" w:cs="楷体"/>
          <w:color w:val="auto"/>
          <w:sz w:val="32"/>
          <w:szCs w:val="32"/>
          <w:highlight w:val="none"/>
          <w:lang w:val="en-US" w:eastAsia="zh-CN"/>
        </w:rPr>
      </w:pPr>
      <w:bookmarkStart w:id="19" w:name="_Toc19064"/>
      <w:bookmarkStart w:id="20" w:name="_Toc12241"/>
      <w:r>
        <w:rPr>
          <w:rFonts w:hint="eastAsia" w:ascii="楷体" w:hAnsi="楷体" w:eastAsia="楷体" w:cs="楷体"/>
          <w:color w:val="auto"/>
          <w:sz w:val="32"/>
          <w:szCs w:val="32"/>
          <w:highlight w:val="none"/>
          <w:lang w:val="en-US" w:eastAsia="zh-CN"/>
        </w:rPr>
        <w:t>（一）</w:t>
      </w:r>
      <w:r>
        <w:rPr>
          <w:rFonts w:hint="eastAsia" w:ascii="楷体" w:hAnsi="楷体" w:eastAsia="楷体" w:cs="楷体"/>
          <w:color w:val="auto"/>
          <w:sz w:val="32"/>
          <w:szCs w:val="32"/>
          <w:highlight w:val="none"/>
        </w:rPr>
        <w:t>知识</w:t>
      </w:r>
      <w:r>
        <w:rPr>
          <w:rFonts w:hint="eastAsia" w:ascii="楷体" w:hAnsi="楷体" w:eastAsia="楷体" w:cs="楷体"/>
          <w:color w:val="auto"/>
          <w:sz w:val="32"/>
          <w:szCs w:val="32"/>
          <w:highlight w:val="none"/>
          <w:lang w:val="en-US" w:eastAsia="zh-CN"/>
        </w:rPr>
        <w:t>目标</w:t>
      </w:r>
      <w:bookmarkEnd w:id="19"/>
      <w:bookmarkEnd w:id="20"/>
    </w:p>
    <w:p>
      <w:pPr>
        <w:keepNext w:val="0"/>
        <w:keepLines w:val="0"/>
        <w:pageBreakBefore w:val="0"/>
        <w:widowControl w:val="0"/>
        <w:kinsoku/>
        <w:wordWrap/>
        <w:overflowPunct w:val="0"/>
        <w:topLinePunct w:val="0"/>
        <w:autoSpaceDE/>
        <w:autoSpaceDN/>
        <w:bidi w:val="0"/>
        <w:adjustRightInd w:val="0"/>
        <w:snapToGrid/>
        <w:spacing w:after="0" w:line="520" w:lineRule="exact"/>
        <w:ind w:leftChars="0" w:firstLine="640" w:firstLineChars="200"/>
        <w:textAlignment w:val="auto"/>
        <w:outlineLvl w:val="9"/>
        <w:rPr>
          <w:rFonts w:hint="eastAsia" w:ascii="仿宋_GB2312" w:hAnsi="仿宋_GB2312" w:eastAsia="仿宋_GB2312" w:cs="仿宋_GB2312"/>
          <w:color w:val="auto"/>
          <w:kern w:val="2"/>
          <w:sz w:val="32"/>
          <w:szCs w:val="32"/>
          <w:highlight w:val="none"/>
          <w:lang w:val="en-US" w:eastAsia="zh-CN" w:bidi="ar-SA"/>
        </w:rPr>
      </w:pPr>
      <w:bookmarkStart w:id="21" w:name="_Toc28395"/>
      <w:r>
        <w:rPr>
          <w:rFonts w:hint="eastAsia" w:ascii="仿宋_GB2312" w:hAnsi="仿宋_GB2312" w:eastAsia="仿宋_GB2312" w:cs="仿宋_GB2312"/>
          <w:color w:val="auto"/>
          <w:kern w:val="2"/>
          <w:sz w:val="32"/>
          <w:szCs w:val="32"/>
          <w:highlight w:val="none"/>
          <w:lang w:val="en-US" w:eastAsia="zh-CN" w:bidi="ar-SA"/>
        </w:rPr>
        <w:t>（1）熟知与本专业对应职业活动相关的国家法律、行业规定，了解相关行业文化，秉持爱岗敬业的职业精神，恪守职业道德准则与行为规范，具备强烈的社会责任感和担当精神。​</w:t>
      </w:r>
      <w:bookmarkEnd w:id="21"/>
    </w:p>
    <w:p>
      <w:pPr>
        <w:keepNext w:val="0"/>
        <w:keepLines w:val="0"/>
        <w:pageBreakBefore w:val="0"/>
        <w:widowControl w:val="0"/>
        <w:kinsoku/>
        <w:wordWrap/>
        <w:overflowPunct w:val="0"/>
        <w:topLinePunct w:val="0"/>
        <w:autoSpaceDE/>
        <w:autoSpaceDN/>
        <w:bidi w:val="0"/>
        <w:adjustRightInd w:val="0"/>
        <w:snapToGrid/>
        <w:spacing w:after="0" w:line="520" w:lineRule="exact"/>
        <w:ind w:leftChars="0" w:firstLine="640" w:firstLineChars="200"/>
        <w:textAlignment w:val="auto"/>
        <w:outlineLvl w:val="9"/>
        <w:rPr>
          <w:rFonts w:hint="eastAsia" w:ascii="仿宋_GB2312" w:hAnsi="仿宋_GB2312" w:eastAsia="仿宋_GB2312" w:cs="仿宋_GB2312"/>
          <w:color w:val="auto"/>
          <w:kern w:val="2"/>
          <w:sz w:val="32"/>
          <w:szCs w:val="32"/>
          <w:highlight w:val="none"/>
          <w:lang w:val="en-US" w:eastAsia="zh-CN" w:bidi="ar-SA"/>
        </w:rPr>
      </w:pPr>
      <w:bookmarkStart w:id="22" w:name="_Toc4098"/>
      <w:r>
        <w:rPr>
          <w:rFonts w:hint="eastAsia" w:ascii="仿宋_GB2312" w:hAnsi="仿宋_GB2312" w:eastAsia="仿宋_GB2312" w:cs="仿宋_GB2312"/>
          <w:color w:val="auto"/>
          <w:kern w:val="2"/>
          <w:sz w:val="32"/>
          <w:szCs w:val="32"/>
          <w:highlight w:val="none"/>
          <w:lang w:val="en-US" w:eastAsia="zh-CN" w:bidi="ar-SA"/>
        </w:rPr>
        <w:t>（2）扎实掌握支撑本专业学习及可持续发展所必备的语文、数学、外语（如英语等）、信息技术等文化基础知识，拥有良好的人文素养与科学素养，具备科学规划职业生涯的能力。​</w:t>
      </w:r>
      <w:bookmarkEnd w:id="22"/>
    </w:p>
    <w:p>
      <w:pPr>
        <w:keepNext w:val="0"/>
        <w:keepLines w:val="0"/>
        <w:pageBreakBefore w:val="0"/>
        <w:widowControl w:val="0"/>
        <w:kinsoku/>
        <w:wordWrap/>
        <w:overflowPunct w:val="0"/>
        <w:topLinePunct w:val="0"/>
        <w:autoSpaceDE/>
        <w:autoSpaceDN/>
        <w:bidi w:val="0"/>
        <w:adjustRightInd w:val="0"/>
        <w:snapToGrid/>
        <w:spacing w:after="0" w:line="520" w:lineRule="exact"/>
        <w:ind w:leftChars="0" w:firstLine="640" w:firstLineChars="200"/>
        <w:textAlignment w:val="auto"/>
        <w:outlineLvl w:val="9"/>
        <w:rPr>
          <w:rFonts w:hint="eastAsia" w:ascii="仿宋_GB2312" w:hAnsi="仿宋_GB2312" w:eastAsia="仿宋_GB2312" w:cs="仿宋_GB2312"/>
          <w:color w:val="auto"/>
          <w:kern w:val="2"/>
          <w:sz w:val="32"/>
          <w:szCs w:val="32"/>
          <w:highlight w:val="none"/>
          <w:lang w:val="en-US" w:eastAsia="zh-CN" w:bidi="ar-SA"/>
        </w:rPr>
      </w:pPr>
      <w:bookmarkStart w:id="23" w:name="_Toc22654"/>
      <w:r>
        <w:rPr>
          <w:rFonts w:hint="eastAsia" w:ascii="仿宋_GB2312" w:hAnsi="仿宋_GB2312" w:eastAsia="仿宋_GB2312" w:cs="仿宋_GB2312"/>
          <w:color w:val="auto"/>
          <w:kern w:val="2"/>
          <w:sz w:val="32"/>
          <w:szCs w:val="32"/>
          <w:highlight w:val="none"/>
          <w:lang w:val="en-US" w:eastAsia="zh-CN" w:bidi="ar-SA"/>
        </w:rPr>
        <w:t>（3）具备出色的语言表达、文字表达及沟通合作能力，拥有较强的集体意识和团队合作意识，学习一门外语并能将其与本专业相结合加以运用。​</w:t>
      </w:r>
      <w:bookmarkEnd w:id="23"/>
    </w:p>
    <w:p>
      <w:pPr>
        <w:keepNext w:val="0"/>
        <w:keepLines w:val="0"/>
        <w:pageBreakBefore w:val="0"/>
        <w:widowControl w:val="0"/>
        <w:kinsoku/>
        <w:wordWrap/>
        <w:overflowPunct w:val="0"/>
        <w:topLinePunct w:val="0"/>
        <w:autoSpaceDE/>
        <w:autoSpaceDN/>
        <w:bidi w:val="0"/>
        <w:adjustRightInd w:val="0"/>
        <w:snapToGrid/>
        <w:spacing w:after="0" w:line="520" w:lineRule="exact"/>
        <w:ind w:leftChars="0" w:firstLine="640" w:firstLineChars="200"/>
        <w:textAlignment w:val="auto"/>
        <w:outlineLvl w:val="9"/>
        <w:rPr>
          <w:rFonts w:hint="eastAsia" w:ascii="楷体" w:hAnsi="楷体" w:eastAsia="楷体" w:cs="楷体"/>
          <w:color w:val="auto"/>
          <w:sz w:val="32"/>
          <w:szCs w:val="32"/>
          <w:highlight w:val="none"/>
          <w:lang w:val="en-US" w:eastAsia="zh-CN"/>
        </w:rPr>
      </w:pPr>
      <w:bookmarkStart w:id="24" w:name="_Toc26359"/>
      <w:r>
        <w:rPr>
          <w:rFonts w:hint="eastAsia" w:ascii="仿宋_GB2312" w:hAnsi="仿宋_GB2312" w:eastAsia="仿宋_GB2312" w:cs="仿宋_GB2312"/>
          <w:color w:val="auto"/>
          <w:kern w:val="2"/>
          <w:sz w:val="32"/>
          <w:szCs w:val="32"/>
          <w:highlight w:val="none"/>
          <w:lang w:val="en-US" w:eastAsia="zh-CN" w:bidi="ar-SA"/>
        </w:rPr>
        <w:t>（4）系统掌握现代家政学导论、人体结构与生理、家庭营养与膳食配餐、母婴、幼儿、老年人等家庭成员照护、婴幼儿早期发展指导、家政人员培训、家政新媒体营销、家政电子商务等方面的专业基础理论知识。</w:t>
      </w:r>
      <w:bookmarkEnd w:id="24"/>
    </w:p>
    <w:p>
      <w:pPr>
        <w:keepNext w:val="0"/>
        <w:keepLines w:val="0"/>
        <w:pageBreakBefore w:val="0"/>
        <w:widowControl w:val="0"/>
        <w:kinsoku/>
        <w:wordWrap/>
        <w:overflowPunct w:val="0"/>
        <w:topLinePunct w:val="0"/>
        <w:autoSpaceDE/>
        <w:autoSpaceDN/>
        <w:bidi w:val="0"/>
        <w:adjustRightInd w:val="0"/>
        <w:snapToGrid/>
        <w:spacing w:after="0" w:line="520" w:lineRule="exact"/>
        <w:ind w:right="0" w:firstLine="640" w:firstLineChars="200"/>
        <w:textAlignment w:val="auto"/>
        <w:outlineLvl w:val="1"/>
        <w:rPr>
          <w:rFonts w:hint="eastAsia" w:ascii="楷体" w:hAnsi="楷体" w:eastAsia="楷体" w:cs="楷体"/>
          <w:color w:val="auto"/>
          <w:sz w:val="32"/>
          <w:szCs w:val="32"/>
          <w:highlight w:val="none"/>
          <w:lang w:val="en-US" w:eastAsia="zh-CN"/>
        </w:rPr>
      </w:pPr>
      <w:bookmarkStart w:id="25" w:name="_Toc565"/>
      <w:bookmarkStart w:id="26" w:name="_Toc23731"/>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lang w:val="en-US" w:eastAsia="zh-CN"/>
        </w:rPr>
        <w:t>二</w:t>
      </w: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rPr>
        <w:t>能力</w:t>
      </w:r>
      <w:r>
        <w:rPr>
          <w:rFonts w:hint="eastAsia" w:ascii="楷体" w:hAnsi="楷体" w:eastAsia="楷体" w:cs="楷体"/>
          <w:color w:val="auto"/>
          <w:sz w:val="32"/>
          <w:szCs w:val="32"/>
          <w:highlight w:val="none"/>
          <w:lang w:val="en-US" w:eastAsia="zh-CN"/>
        </w:rPr>
        <w:t>目标</w:t>
      </w:r>
      <w:bookmarkEnd w:id="25"/>
      <w:bookmarkEnd w:id="26"/>
    </w:p>
    <w:p>
      <w:pPr>
        <w:keepNext w:val="0"/>
        <w:keepLines w:val="0"/>
        <w:pageBreakBefore w:val="0"/>
        <w:widowControl w:val="0"/>
        <w:kinsoku/>
        <w:wordWrap/>
        <w:overflowPunct w:val="0"/>
        <w:topLinePunct w:val="0"/>
        <w:autoSpaceDE/>
        <w:autoSpaceDN/>
        <w:bidi w:val="0"/>
        <w:adjustRightInd w:val="0"/>
        <w:snapToGrid/>
        <w:spacing w:after="0" w:line="520" w:lineRule="exact"/>
        <w:ind w:leftChars="0" w:firstLine="640" w:firstLineChars="200"/>
        <w:textAlignment w:val="auto"/>
        <w:outlineLvl w:val="9"/>
        <w:rPr>
          <w:rFonts w:hint="eastAsia" w:ascii="仿宋_GB2312" w:hAnsi="仿宋_GB2312" w:eastAsia="仿宋_GB2312" w:cs="仿宋_GB2312"/>
          <w:color w:val="auto"/>
          <w:kern w:val="2"/>
          <w:sz w:val="32"/>
          <w:szCs w:val="32"/>
          <w:highlight w:val="none"/>
          <w:lang w:val="en-US" w:eastAsia="zh-CN" w:bidi="ar-SA"/>
        </w:rPr>
      </w:pPr>
      <w:bookmarkStart w:id="27" w:name="_Toc8493"/>
      <w:r>
        <w:rPr>
          <w:rFonts w:hint="eastAsia" w:ascii="仿宋_GB2312" w:hAnsi="仿宋_GB2312" w:eastAsia="仿宋_GB2312" w:cs="仿宋_GB2312"/>
          <w:color w:val="auto"/>
          <w:kern w:val="2"/>
          <w:sz w:val="32"/>
          <w:szCs w:val="32"/>
          <w:highlight w:val="none"/>
          <w:lang w:val="en-US" w:eastAsia="zh-CN" w:bidi="ar-SA"/>
        </w:rPr>
        <w:t>（1）熟练掌握家庭收纳与整理、家庭插花与茶艺、孕产妇生活照护与营养配餐、婴幼儿生活照护与早期发展指导、老年人生活照护与安全看护、家政人员培训等技术技能，具备娴熟服务家庭及家庭成员的实践能力。​</w:t>
      </w:r>
      <w:bookmarkEnd w:id="27"/>
    </w:p>
    <w:p>
      <w:pPr>
        <w:keepNext w:val="0"/>
        <w:keepLines w:val="0"/>
        <w:pageBreakBefore w:val="0"/>
        <w:widowControl w:val="0"/>
        <w:kinsoku/>
        <w:wordWrap/>
        <w:overflowPunct w:val="0"/>
        <w:topLinePunct w:val="0"/>
        <w:autoSpaceDE/>
        <w:autoSpaceDN/>
        <w:bidi w:val="0"/>
        <w:adjustRightInd w:val="0"/>
        <w:snapToGrid/>
        <w:spacing w:after="0" w:line="520" w:lineRule="exact"/>
        <w:ind w:leftChars="0" w:firstLine="640" w:firstLineChars="200"/>
        <w:textAlignment w:val="auto"/>
        <w:outlineLvl w:val="9"/>
        <w:rPr>
          <w:rFonts w:hint="eastAsia" w:ascii="仿宋_GB2312" w:hAnsi="仿宋_GB2312" w:eastAsia="仿宋_GB2312" w:cs="仿宋_GB2312"/>
          <w:color w:val="auto"/>
          <w:kern w:val="2"/>
          <w:sz w:val="32"/>
          <w:szCs w:val="32"/>
          <w:highlight w:val="none"/>
          <w:lang w:val="en-US" w:eastAsia="zh-CN" w:bidi="ar-SA"/>
        </w:rPr>
      </w:pPr>
      <w:bookmarkStart w:id="28" w:name="_Toc25627"/>
      <w:r>
        <w:rPr>
          <w:rFonts w:hint="eastAsia" w:ascii="仿宋_GB2312" w:hAnsi="仿宋_GB2312" w:eastAsia="仿宋_GB2312" w:cs="仿宋_GB2312"/>
          <w:color w:val="auto"/>
          <w:kern w:val="2"/>
          <w:sz w:val="32"/>
          <w:szCs w:val="32"/>
          <w:highlight w:val="none"/>
          <w:lang w:val="en-US" w:eastAsia="zh-CN" w:bidi="ar-SA"/>
        </w:rPr>
        <w:t>（2）掌握信息技术基础知识，具备适应本行业数字化和智能化发展需求的数字技能。​</w:t>
      </w:r>
      <w:bookmarkEnd w:id="28"/>
    </w:p>
    <w:p>
      <w:pPr>
        <w:keepNext w:val="0"/>
        <w:keepLines w:val="0"/>
        <w:pageBreakBefore w:val="0"/>
        <w:widowControl w:val="0"/>
        <w:kinsoku/>
        <w:wordWrap/>
        <w:overflowPunct w:val="0"/>
        <w:topLinePunct w:val="0"/>
        <w:autoSpaceDE/>
        <w:autoSpaceDN/>
        <w:bidi w:val="0"/>
        <w:adjustRightInd w:val="0"/>
        <w:snapToGrid/>
        <w:spacing w:after="0" w:line="520" w:lineRule="exact"/>
        <w:ind w:leftChars="0" w:firstLine="640" w:firstLineChars="200"/>
        <w:textAlignment w:val="auto"/>
        <w:outlineLvl w:val="9"/>
        <w:rPr>
          <w:rFonts w:hint="eastAsia" w:ascii="仿宋_GB2312" w:hAnsi="仿宋_GB2312" w:eastAsia="仿宋_GB2312" w:cs="仿宋_GB2312"/>
          <w:color w:val="auto"/>
          <w:kern w:val="2"/>
          <w:sz w:val="32"/>
          <w:szCs w:val="32"/>
          <w:highlight w:val="none"/>
          <w:lang w:val="en-US" w:eastAsia="zh-CN" w:bidi="ar-SA"/>
        </w:rPr>
      </w:pPr>
      <w:bookmarkStart w:id="29" w:name="_Toc9730"/>
      <w:r>
        <w:rPr>
          <w:rFonts w:hint="eastAsia" w:ascii="仿宋_GB2312" w:hAnsi="仿宋_GB2312" w:eastAsia="仿宋_GB2312" w:cs="仿宋_GB2312"/>
          <w:color w:val="auto"/>
          <w:kern w:val="2"/>
          <w:sz w:val="32"/>
          <w:szCs w:val="32"/>
          <w:highlight w:val="none"/>
          <w:lang w:val="en-US" w:eastAsia="zh-CN" w:bidi="ar-SA"/>
        </w:rPr>
        <w:t>（3）具备探究学习、终身学习及可持续发展的能力，拥有整合知识并综合运用知识分析和解决问题的能力。</w:t>
      </w:r>
      <w:bookmarkEnd w:id="29"/>
    </w:p>
    <w:p>
      <w:pPr>
        <w:keepNext w:val="0"/>
        <w:keepLines w:val="0"/>
        <w:pageBreakBefore w:val="0"/>
        <w:widowControl w:val="0"/>
        <w:kinsoku/>
        <w:wordWrap/>
        <w:overflowPunct w:val="0"/>
        <w:topLinePunct w:val="0"/>
        <w:autoSpaceDE/>
        <w:autoSpaceDN/>
        <w:bidi w:val="0"/>
        <w:adjustRightInd w:val="0"/>
        <w:snapToGrid/>
        <w:spacing w:after="0" w:line="520" w:lineRule="exact"/>
        <w:ind w:leftChars="0" w:firstLine="640" w:firstLineChars="200"/>
        <w:textAlignment w:val="auto"/>
        <w:outlineLvl w:val="9"/>
        <w:rPr>
          <w:rFonts w:hint="eastAsia" w:ascii="仿宋_GB2312" w:hAnsi="仿宋_GB2312" w:eastAsia="仿宋_GB2312" w:cs="仿宋_GB2312"/>
          <w:color w:val="auto"/>
          <w:kern w:val="2"/>
          <w:sz w:val="32"/>
          <w:szCs w:val="32"/>
          <w:highlight w:val="none"/>
          <w:lang w:val="en-US" w:eastAsia="zh-CN" w:bidi="ar-SA"/>
        </w:rPr>
      </w:pPr>
      <w:bookmarkStart w:id="30" w:name="_Toc16810"/>
      <w:r>
        <w:rPr>
          <w:rFonts w:hint="eastAsia" w:ascii="仿宋_GB2312" w:hAnsi="仿宋_GB2312" w:eastAsia="仿宋_GB2312" w:cs="仿宋_GB2312"/>
          <w:color w:val="auto"/>
          <w:kern w:val="2"/>
          <w:sz w:val="32"/>
          <w:szCs w:val="32"/>
          <w:highlight w:val="none"/>
          <w:lang w:val="en-US" w:eastAsia="zh-CN" w:bidi="ar-SA"/>
        </w:rPr>
        <w:t>（4）根据人才培养的侧重点不同，专业方向课程分别对标不同的学生专业技能竞赛和养老护理员和保育员证书标准，培养的学生根据专长参加不同的专业技能竞赛和养老护理员和保育员证书考试。</w:t>
      </w:r>
      <w:bookmarkEnd w:id="30"/>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highlight w:val="none"/>
          <w:lang w:val="en-US" w:eastAsia="zh-CN"/>
        </w:rPr>
      </w:pPr>
      <w:bookmarkStart w:id="31" w:name="_Toc1616"/>
      <w:bookmarkStart w:id="32" w:name="_Toc30802"/>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lang w:val="en-US" w:eastAsia="zh-CN"/>
        </w:rPr>
        <w:t>三</w:t>
      </w: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rPr>
        <w:t>素质</w:t>
      </w:r>
      <w:r>
        <w:rPr>
          <w:rFonts w:hint="eastAsia" w:ascii="楷体" w:hAnsi="楷体" w:eastAsia="楷体" w:cs="楷体"/>
          <w:color w:val="auto"/>
          <w:sz w:val="32"/>
          <w:szCs w:val="32"/>
          <w:highlight w:val="none"/>
          <w:lang w:val="en-US" w:eastAsia="zh-CN"/>
        </w:rPr>
        <w:t>目标</w:t>
      </w:r>
      <w:bookmarkEnd w:id="31"/>
      <w:bookmarkEnd w:id="32"/>
    </w:p>
    <w:p>
      <w:pPr>
        <w:keepNext w:val="0"/>
        <w:keepLines w:val="0"/>
        <w:pageBreakBefore w:val="0"/>
        <w:widowControl w:val="0"/>
        <w:kinsoku/>
        <w:wordWrap/>
        <w:overflowPunct w:val="0"/>
        <w:topLinePunct w:val="0"/>
        <w:autoSpaceDE/>
        <w:autoSpaceDN/>
        <w:bidi w:val="0"/>
        <w:adjustRightInd w:val="0"/>
        <w:snapToGrid/>
        <w:spacing w:after="0" w:line="520" w:lineRule="exact"/>
        <w:ind w:leftChars="0" w:firstLine="640" w:firstLineChars="200"/>
        <w:textAlignment w:val="auto"/>
        <w:outlineLvl w:val="9"/>
        <w:rPr>
          <w:rFonts w:hint="eastAsia" w:ascii="仿宋_GB2312" w:hAnsi="仿宋_GB2312" w:eastAsia="仿宋_GB2312" w:cs="仿宋_GB2312"/>
          <w:color w:val="auto"/>
          <w:kern w:val="2"/>
          <w:sz w:val="32"/>
          <w:szCs w:val="32"/>
          <w:highlight w:val="none"/>
          <w:lang w:val="en-US" w:eastAsia="zh-CN" w:bidi="ar-SA"/>
        </w:rPr>
      </w:pPr>
      <w:bookmarkStart w:id="33" w:name="_Toc32369"/>
      <w:r>
        <w:rPr>
          <w:rFonts w:hint="eastAsia" w:ascii="仿宋_GB2312" w:hAnsi="仿宋_GB2312" w:eastAsia="仿宋_GB2312" w:cs="仿宋_GB2312"/>
          <w:color w:val="auto"/>
          <w:kern w:val="2"/>
          <w:sz w:val="32"/>
          <w:szCs w:val="32"/>
          <w:highlight w:val="none"/>
          <w:lang w:val="en-US" w:eastAsia="zh-CN" w:bidi="ar-SA"/>
        </w:rPr>
        <w:t>（1）坚定拥护中国共产党领导和中国特色社会主义制度，以习近平新时代中国特色社会主义思想为指引，积极践行社会主义核心价值观。具有坚定的理想信念、深厚的爱国情感和强烈的中华民族自豪感。​</w:t>
      </w:r>
      <w:bookmarkEnd w:id="33"/>
    </w:p>
    <w:p>
      <w:pPr>
        <w:keepNext w:val="0"/>
        <w:keepLines w:val="0"/>
        <w:pageBreakBefore w:val="0"/>
        <w:widowControl w:val="0"/>
        <w:kinsoku/>
        <w:wordWrap/>
        <w:overflowPunct w:val="0"/>
        <w:topLinePunct w:val="0"/>
        <w:autoSpaceDE/>
        <w:autoSpaceDN/>
        <w:bidi w:val="0"/>
        <w:adjustRightInd w:val="0"/>
        <w:snapToGrid/>
        <w:spacing w:after="0" w:line="520" w:lineRule="exact"/>
        <w:ind w:leftChars="0" w:firstLine="640" w:firstLineChars="200"/>
        <w:textAlignment w:val="auto"/>
        <w:outlineLvl w:val="9"/>
        <w:rPr>
          <w:rFonts w:hint="eastAsia" w:ascii="仿宋_GB2312" w:hAnsi="仿宋_GB2312" w:eastAsia="仿宋_GB2312" w:cs="仿宋_GB2312"/>
          <w:color w:val="auto"/>
          <w:kern w:val="2"/>
          <w:sz w:val="32"/>
          <w:szCs w:val="32"/>
          <w:highlight w:val="none"/>
          <w:lang w:val="en-US" w:eastAsia="zh-CN" w:bidi="ar-SA"/>
        </w:rPr>
      </w:pPr>
      <w:bookmarkStart w:id="34" w:name="_Toc23808"/>
      <w:r>
        <w:rPr>
          <w:rFonts w:hint="eastAsia" w:ascii="仿宋_GB2312" w:hAnsi="仿宋_GB2312" w:eastAsia="仿宋_GB2312" w:cs="仿宋_GB2312"/>
          <w:color w:val="auto"/>
          <w:kern w:val="2"/>
          <w:sz w:val="32"/>
          <w:szCs w:val="32"/>
          <w:highlight w:val="none"/>
          <w:lang w:val="en-US" w:eastAsia="zh-CN" w:bidi="ar-SA"/>
        </w:rPr>
        <w:t>（2）熟知身体运动的基本知识，至少掌握一项体育运动技能，达到国家大学生体质健康测试合格标准。养成良好的运动、卫生和行为习惯，具备一定的心理调适能力。​</w:t>
      </w:r>
      <w:bookmarkEnd w:id="34"/>
    </w:p>
    <w:p>
      <w:pPr>
        <w:keepNext w:val="0"/>
        <w:keepLines w:val="0"/>
        <w:pageBreakBefore w:val="0"/>
        <w:widowControl w:val="0"/>
        <w:kinsoku/>
        <w:wordWrap/>
        <w:overflowPunct w:val="0"/>
        <w:topLinePunct w:val="0"/>
        <w:autoSpaceDE/>
        <w:autoSpaceDN/>
        <w:bidi w:val="0"/>
        <w:adjustRightInd w:val="0"/>
        <w:snapToGrid/>
        <w:spacing w:after="0" w:line="520" w:lineRule="exact"/>
        <w:ind w:leftChars="0" w:firstLine="640" w:firstLineChars="200"/>
        <w:textAlignment w:val="auto"/>
        <w:outlineLvl w:val="9"/>
        <w:rPr>
          <w:rFonts w:hint="eastAsia" w:ascii="仿宋_GB2312" w:hAnsi="仿宋_GB2312" w:eastAsia="仿宋_GB2312" w:cs="仿宋_GB2312"/>
          <w:color w:val="auto"/>
          <w:kern w:val="2"/>
          <w:sz w:val="32"/>
          <w:szCs w:val="32"/>
          <w:highlight w:val="none"/>
          <w:lang w:val="en-US" w:eastAsia="zh-CN" w:bidi="ar-SA"/>
        </w:rPr>
      </w:pPr>
      <w:bookmarkStart w:id="35" w:name="_Toc24811"/>
      <w:r>
        <w:rPr>
          <w:rFonts w:hint="eastAsia" w:ascii="仿宋_GB2312" w:hAnsi="仿宋_GB2312" w:eastAsia="仿宋_GB2312" w:cs="仿宋_GB2312"/>
          <w:color w:val="auto"/>
          <w:kern w:val="2"/>
          <w:sz w:val="32"/>
          <w:szCs w:val="32"/>
          <w:highlight w:val="none"/>
          <w:lang w:val="en-US" w:eastAsia="zh-CN" w:bidi="ar-SA"/>
        </w:rPr>
        <w:t>（3）掌握必备的美育知识，具备一定的文化修养和审美能力，至少形成一项艺术特长或爱好。​</w:t>
      </w:r>
      <w:bookmarkEnd w:id="35"/>
    </w:p>
    <w:p>
      <w:pPr>
        <w:keepNext w:val="0"/>
        <w:keepLines w:val="0"/>
        <w:pageBreakBefore w:val="0"/>
        <w:widowControl w:val="0"/>
        <w:kinsoku/>
        <w:wordWrap/>
        <w:overflowPunct w:val="0"/>
        <w:topLinePunct w:val="0"/>
        <w:autoSpaceDE/>
        <w:autoSpaceDN/>
        <w:bidi w:val="0"/>
        <w:adjustRightInd w:val="0"/>
        <w:snapToGrid/>
        <w:spacing w:after="0" w:line="520" w:lineRule="exact"/>
        <w:ind w:leftChars="0" w:firstLine="640" w:firstLineChars="200"/>
        <w:textAlignment w:val="auto"/>
        <w:outlineLvl w:val="9"/>
        <w:rPr>
          <w:rFonts w:hint="eastAsia" w:ascii="仿宋_GB2312" w:hAnsi="仿宋_GB2312" w:eastAsia="仿宋_GB2312" w:cs="仿宋_GB2312"/>
          <w:color w:val="auto"/>
          <w:kern w:val="2"/>
          <w:sz w:val="32"/>
          <w:szCs w:val="32"/>
          <w:highlight w:val="none"/>
          <w:lang w:val="en-US" w:eastAsia="zh-CN" w:bidi="ar-SA"/>
        </w:rPr>
      </w:pPr>
      <w:bookmarkStart w:id="36" w:name="_Toc22800"/>
      <w:r>
        <w:rPr>
          <w:rFonts w:hint="eastAsia" w:ascii="仿宋_GB2312" w:hAnsi="仿宋_GB2312" w:eastAsia="仿宋_GB2312" w:cs="仿宋_GB2312"/>
          <w:color w:val="auto"/>
          <w:kern w:val="2"/>
          <w:sz w:val="32"/>
          <w:szCs w:val="32"/>
          <w:highlight w:val="none"/>
          <w:lang w:val="en-US" w:eastAsia="zh-CN" w:bidi="ar-SA"/>
        </w:rPr>
        <w:t>（4）树立正确的劳动观，尊重劳动、热爱劳动，具备与本专业职业发展相适配的劳动素养。大力弘扬劳模精神、劳动精神、工匠精神，彰显劳动光荣、技能宝贵、创造伟大的时代风尚。</w:t>
      </w:r>
      <w:bookmarkEnd w:id="36"/>
    </w:p>
    <w:p>
      <w:pPr>
        <w:keepNext w:val="0"/>
        <w:keepLines w:val="0"/>
        <w:pageBreakBefore w:val="0"/>
        <w:widowControl w:val="0"/>
        <w:kinsoku/>
        <w:wordWrap/>
        <w:overflowPunct/>
        <w:topLinePunct w:val="0"/>
        <w:autoSpaceDE/>
        <w:autoSpaceDN/>
        <w:bidi w:val="0"/>
        <w:adjustRightInd w:val="0"/>
        <w:snapToGrid w:val="0"/>
        <w:spacing w:after="0" w:line="520" w:lineRule="exact"/>
        <w:ind w:firstLine="640" w:firstLineChars="200"/>
        <w:textAlignment w:val="auto"/>
        <w:outlineLvl w:val="0"/>
        <w:rPr>
          <w:rFonts w:hint="eastAsia" w:ascii="黑体" w:hAnsi="黑体" w:eastAsia="黑体" w:cs="黑体"/>
          <w:color w:val="auto"/>
          <w:sz w:val="32"/>
          <w:szCs w:val="32"/>
          <w:lang w:val="en-US" w:eastAsia="zh-CN"/>
        </w:rPr>
      </w:pPr>
      <w:bookmarkStart w:id="37" w:name="_Toc18930"/>
      <w:bookmarkStart w:id="38" w:name="_Toc31970"/>
      <w:bookmarkStart w:id="39" w:name="_Toc4213"/>
      <w:r>
        <w:rPr>
          <w:rFonts w:hint="eastAsia" w:ascii="黑体" w:hAnsi="黑体" w:eastAsia="黑体" w:cs="黑体"/>
          <w:color w:val="auto"/>
          <w:sz w:val="32"/>
          <w:szCs w:val="32"/>
          <w:lang w:val="en-US" w:eastAsia="zh-CN"/>
        </w:rPr>
        <w:t>七</w:t>
      </w:r>
      <w:r>
        <w:rPr>
          <w:rFonts w:hint="eastAsia" w:ascii="黑体" w:hAnsi="黑体" w:eastAsia="黑体" w:cs="黑体"/>
          <w:color w:val="auto"/>
          <w:sz w:val="32"/>
          <w:szCs w:val="32"/>
        </w:rPr>
        <w:t>、课程设置</w:t>
      </w:r>
      <w:bookmarkEnd w:id="37"/>
      <w:bookmarkEnd w:id="38"/>
      <w:bookmarkEnd w:id="39"/>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rPr>
      </w:pPr>
      <w:bookmarkStart w:id="40" w:name="_Toc25818"/>
      <w:r>
        <w:rPr>
          <w:rFonts w:hint="eastAsia" w:ascii="仿宋_GB2312" w:hAnsi="仿宋_GB2312" w:eastAsia="仿宋_GB2312" w:cs="仿宋_GB2312"/>
          <w:color w:val="auto"/>
          <w:sz w:val="32"/>
          <w:szCs w:val="32"/>
        </w:rPr>
        <w:t>主要包括公共基础课程和专业课程。</w:t>
      </w:r>
      <w:bookmarkEnd w:id="40"/>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楷体" w:hAnsi="楷体" w:eastAsia="楷体" w:cs="楷体"/>
          <w:color w:val="auto"/>
          <w:sz w:val="32"/>
          <w:szCs w:val="32"/>
        </w:rPr>
      </w:pPr>
      <w:bookmarkStart w:id="41" w:name="_Toc2582"/>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42" w:name="_Toc21827"/>
      <w:r>
        <w:rPr>
          <w:rFonts w:hint="eastAsia" w:ascii="楷体" w:hAnsi="楷体" w:eastAsia="楷体" w:cs="楷体"/>
          <w:color w:val="auto"/>
          <w:sz w:val="32"/>
          <w:szCs w:val="32"/>
        </w:rPr>
        <w:t>（一）公共基础课程</w:t>
      </w:r>
      <w:bookmarkEnd w:id="41"/>
      <w:bookmarkEnd w:id="42"/>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bookmarkStart w:id="43" w:name="_Toc15531"/>
      <w:bookmarkStart w:id="44" w:name="_Toc90734974"/>
      <w:r>
        <w:rPr>
          <w:rFonts w:hint="eastAsia" w:ascii="仿宋_GB2312" w:hAnsi="仿宋_GB2312" w:eastAsia="仿宋_GB2312" w:cs="仿宋_GB2312"/>
          <w:b w:val="0"/>
          <w:bCs w:val="0"/>
          <w:color w:val="auto"/>
          <w:sz w:val="32"/>
          <w:szCs w:val="32"/>
          <w:highlight w:val="none"/>
          <w:lang w:eastAsia="zh-CN"/>
        </w:rPr>
        <w:t>分为公共必修课和公共选修课。</w:t>
      </w:r>
      <w:bookmarkEnd w:id="43"/>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bookmarkStart w:id="45" w:name="_Toc20739"/>
      <w:r>
        <w:rPr>
          <w:rFonts w:hint="eastAsia" w:ascii="仿宋_GB2312" w:hAnsi="仿宋_GB2312" w:eastAsia="仿宋_GB2312" w:cs="仿宋_GB2312"/>
          <w:b w:val="0"/>
          <w:bCs w:val="0"/>
          <w:color w:val="auto"/>
          <w:sz w:val="32"/>
          <w:szCs w:val="32"/>
          <w:highlight w:val="none"/>
          <w:lang w:eastAsia="zh-CN"/>
        </w:rPr>
        <w:t>必修</w:t>
      </w:r>
      <w:r>
        <w:rPr>
          <w:rFonts w:hint="eastAsia" w:ascii="仿宋_GB2312" w:hAnsi="仿宋_GB2312" w:eastAsia="仿宋_GB2312" w:cs="仿宋_GB2312"/>
          <w:b w:val="0"/>
          <w:bCs w:val="0"/>
          <w:color w:val="auto"/>
          <w:sz w:val="32"/>
          <w:szCs w:val="32"/>
          <w:highlight w:val="none"/>
        </w:rPr>
        <w:t>课程包括</w:t>
      </w:r>
      <w:bookmarkEnd w:id="44"/>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思想道德与法治</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形势与政策</w:t>
      </w:r>
      <w:r>
        <w:rPr>
          <w:rFonts w:hint="eastAsia" w:ascii="仿宋_GB2312" w:hAnsi="仿宋_GB2312" w:eastAsia="仿宋_GB2312" w:cs="仿宋_GB2312"/>
          <w:b w:val="0"/>
          <w:bCs w:val="0"/>
          <w:color w:val="auto"/>
          <w:sz w:val="32"/>
          <w:szCs w:val="32"/>
          <w:highlight w:val="none"/>
          <w:lang w:eastAsia="zh-CN"/>
        </w:rPr>
        <w:t>、国家安全教育、</w:t>
      </w:r>
      <w:r>
        <w:rPr>
          <w:rFonts w:hint="eastAsia" w:ascii="仿宋_GB2312" w:hAnsi="仿宋_GB2312" w:eastAsia="仿宋_GB2312" w:cs="仿宋_GB2312"/>
          <w:b w:val="0"/>
          <w:bCs w:val="0"/>
          <w:color w:val="auto"/>
          <w:sz w:val="32"/>
          <w:szCs w:val="32"/>
          <w:highlight w:val="none"/>
        </w:rPr>
        <w:t>军事理论</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军训</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计算机基础</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高等数学</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大学英语</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大学</w:t>
      </w:r>
      <w:r>
        <w:rPr>
          <w:rFonts w:hint="eastAsia" w:ascii="仿宋_GB2312" w:hAnsi="仿宋_GB2312" w:eastAsia="仿宋_GB2312" w:cs="仿宋_GB2312"/>
          <w:b w:val="0"/>
          <w:bCs w:val="0"/>
          <w:color w:val="auto"/>
          <w:sz w:val="32"/>
          <w:szCs w:val="32"/>
          <w:highlight w:val="none"/>
        </w:rPr>
        <w:t>体育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大学生职业发展与就业指导</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大学生心理健康教育</w:t>
      </w:r>
      <w:r>
        <w:rPr>
          <w:rFonts w:hint="eastAsia" w:ascii="仿宋_GB2312" w:hAnsi="仿宋_GB2312" w:eastAsia="仿宋_GB2312" w:cs="仿宋_GB2312"/>
          <w:b w:val="0"/>
          <w:bCs w:val="0"/>
          <w:color w:val="auto"/>
          <w:sz w:val="32"/>
          <w:szCs w:val="32"/>
          <w:highlight w:val="none"/>
          <w:lang w:eastAsia="zh-CN"/>
        </w:rPr>
        <w:t>、劳动教育、</w:t>
      </w:r>
      <w:r>
        <w:rPr>
          <w:rFonts w:hint="eastAsia" w:ascii="仿宋_GB2312" w:hAnsi="仿宋_GB2312" w:eastAsia="仿宋_GB2312" w:cs="仿宋_GB2312"/>
          <w:b w:val="0"/>
          <w:bCs w:val="0"/>
          <w:color w:val="auto"/>
          <w:sz w:val="32"/>
          <w:szCs w:val="32"/>
          <w:highlight w:val="none"/>
        </w:rPr>
        <w:t>毛泽东思想和中国特色社会主义理论体系概论</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创新创业教育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习近平新时代中国特色社会主义思想概论</w:t>
      </w:r>
      <w:r>
        <w:rPr>
          <w:rFonts w:hint="eastAsia" w:ascii="仿宋_GB2312" w:hAnsi="仿宋_GB2312" w:eastAsia="仿宋_GB2312" w:cs="仿宋_GB2312"/>
          <w:b w:val="0"/>
          <w:bCs w:val="0"/>
          <w:color w:val="auto"/>
          <w:sz w:val="32"/>
          <w:szCs w:val="32"/>
          <w:highlight w:val="none"/>
          <w:lang w:eastAsia="zh-CN"/>
        </w:rPr>
        <w:t>。</w:t>
      </w:r>
      <w:bookmarkEnd w:id="45"/>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bookmarkStart w:id="46" w:name="_Toc5858"/>
      <w:r>
        <w:rPr>
          <w:rFonts w:hint="eastAsia" w:ascii="仿宋_GB2312" w:hAnsi="仿宋_GB2312" w:eastAsia="仿宋_GB2312" w:cs="仿宋_GB2312"/>
          <w:b w:val="0"/>
          <w:bCs w:val="0"/>
          <w:color w:val="auto"/>
          <w:sz w:val="32"/>
          <w:szCs w:val="32"/>
          <w:highlight w:val="none"/>
          <w:lang w:eastAsia="zh-CN"/>
        </w:rPr>
        <w:t>选修课程包括：</w:t>
      </w:r>
      <w:r>
        <w:rPr>
          <w:rFonts w:hint="eastAsia" w:ascii="仿宋_GB2312" w:hAnsi="仿宋_GB2312" w:eastAsia="仿宋_GB2312" w:cs="仿宋_GB2312"/>
          <w:b w:val="0"/>
          <w:bCs w:val="0"/>
          <w:color w:val="auto"/>
          <w:sz w:val="32"/>
          <w:szCs w:val="32"/>
          <w:highlight w:val="none"/>
        </w:rPr>
        <w:t>中国民俗剪纸技法</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影视与鉴赏</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中国共产党简史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中华人民共和国简史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改革开放简史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社会主义发展简史</w:t>
      </w:r>
      <w:r>
        <w:rPr>
          <w:rFonts w:hint="eastAsia" w:ascii="仿宋_GB2312" w:hAnsi="仿宋_GB2312" w:eastAsia="仿宋_GB2312" w:cs="仿宋_GB2312"/>
          <w:b w:val="0"/>
          <w:bCs w:val="0"/>
          <w:color w:val="auto"/>
          <w:sz w:val="32"/>
          <w:szCs w:val="32"/>
          <w:highlight w:val="none"/>
          <w:lang w:eastAsia="zh-CN"/>
        </w:rPr>
        <w:t>、中华优秀传统文化、中华民族共同体概论、</w:t>
      </w:r>
      <w:r>
        <w:rPr>
          <w:rFonts w:hint="eastAsia" w:ascii="仿宋_GB2312" w:hAnsi="仿宋_GB2312" w:eastAsia="仿宋_GB2312" w:cs="仿宋_GB2312"/>
          <w:b w:val="0"/>
          <w:bCs w:val="0"/>
          <w:color w:val="auto"/>
          <w:sz w:val="32"/>
          <w:szCs w:val="32"/>
          <w:highlight w:val="none"/>
          <w:lang w:val="en-US" w:eastAsia="zh-CN"/>
        </w:rPr>
        <w:t>语文、物理、化学、职业人文基础</w:t>
      </w:r>
      <w:r>
        <w:rPr>
          <w:rFonts w:hint="eastAsia" w:ascii="仿宋_GB2312" w:hAnsi="仿宋_GB2312" w:eastAsia="仿宋_GB2312" w:cs="仿宋_GB2312"/>
          <w:b w:val="0"/>
          <w:bCs w:val="0"/>
          <w:color w:val="auto"/>
          <w:sz w:val="32"/>
          <w:szCs w:val="32"/>
          <w:highlight w:val="none"/>
          <w:lang w:eastAsia="zh-CN"/>
        </w:rPr>
        <w:t>。</w:t>
      </w:r>
      <w:bookmarkEnd w:id="46"/>
    </w:p>
    <w:p>
      <w:pPr>
        <w:overflowPunct w:val="0"/>
        <w:adjustRightInd w:val="0"/>
        <w:spacing w:line="520" w:lineRule="exact"/>
        <w:ind w:firstLine="640" w:firstLineChars="200"/>
        <w:jc w:val="center"/>
        <w:outlineLvl w:val="9"/>
        <w:rPr>
          <w:rFonts w:hint="eastAsia" w:ascii="仿宋_GB2312" w:hAnsi="仿宋_GB2312" w:eastAsia="仿宋_GB2312" w:cs="仿宋_GB2312"/>
          <w:color w:val="auto"/>
          <w:sz w:val="32"/>
          <w:szCs w:val="32"/>
          <w:highlight w:val="none"/>
          <w:lang w:val="en-US" w:eastAsia="zh-CN"/>
        </w:rPr>
      </w:pPr>
      <w:bookmarkStart w:id="47" w:name="_Toc26367"/>
      <w:r>
        <w:rPr>
          <w:rFonts w:hint="eastAsia" w:ascii="仿宋_GB2312" w:hAnsi="仿宋_GB2312" w:eastAsia="仿宋_GB2312" w:cs="仿宋_GB2312"/>
          <w:color w:val="auto"/>
          <w:sz w:val="32"/>
          <w:szCs w:val="32"/>
          <w:highlight w:val="none"/>
        </w:rPr>
        <w:t>表2</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公共基础课</w:t>
      </w:r>
      <w:r>
        <w:rPr>
          <w:rFonts w:hint="eastAsia" w:ascii="仿宋_GB2312" w:hAnsi="仿宋_GB2312" w:eastAsia="仿宋_GB2312" w:cs="仿宋_GB2312"/>
          <w:color w:val="auto"/>
          <w:sz w:val="32"/>
          <w:szCs w:val="32"/>
          <w:highlight w:val="none"/>
          <w:lang w:val="en-US" w:eastAsia="zh-CN"/>
        </w:rPr>
        <w:t>课程目标、主要教学内容与要求</w:t>
      </w:r>
      <w:bookmarkEnd w:id="47"/>
    </w:p>
    <w:tbl>
      <w:tblPr>
        <w:tblStyle w:val="11"/>
        <w:tblW w:w="107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
        <w:gridCol w:w="752"/>
        <w:gridCol w:w="3928"/>
        <w:gridCol w:w="2960"/>
        <w:gridCol w:w="26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spacing w:line="360" w:lineRule="exact"/>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bookmarkStart w:id="48" w:name="_Toc90734979"/>
            <w:bookmarkStart w:id="49" w:name="_Toc2022"/>
            <w:r>
              <w:rPr>
                <w:rFonts w:hint="eastAsia" w:ascii="仿宋_GB2312" w:hAnsi="仿宋_GB2312" w:eastAsia="仿宋_GB2312" w:cs="仿宋_GB2312"/>
                <w:color w:val="000000" w:themeColor="text1"/>
                <w:sz w:val="24"/>
                <w:szCs w:val="24"/>
                <w:highlight w:val="none"/>
                <w14:textFill>
                  <w14:solidFill>
                    <w14:schemeClr w14:val="tx1"/>
                  </w14:solidFill>
                </w14:textFill>
              </w:rPr>
              <w:t>序号</w:t>
            </w:r>
            <w:bookmarkEnd w:id="48"/>
            <w:bookmarkEnd w:id="49"/>
          </w:p>
        </w:tc>
        <w:tc>
          <w:tcPr>
            <w:tcW w:w="752" w:type="dxa"/>
            <w:vAlign w:val="center"/>
          </w:tcPr>
          <w:p>
            <w:pPr>
              <w:spacing w:line="360" w:lineRule="exact"/>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bookmarkStart w:id="50" w:name="_Toc90734980"/>
            <w:bookmarkStart w:id="51" w:name="_Toc2635"/>
            <w:r>
              <w:rPr>
                <w:rFonts w:hint="eastAsia" w:ascii="仿宋_GB2312" w:hAnsi="仿宋_GB2312" w:eastAsia="仿宋_GB2312" w:cs="仿宋_GB2312"/>
                <w:color w:val="000000" w:themeColor="text1"/>
                <w:sz w:val="24"/>
                <w:szCs w:val="24"/>
                <w:highlight w:val="none"/>
                <w14:textFill>
                  <w14:solidFill>
                    <w14:schemeClr w14:val="tx1"/>
                  </w14:solidFill>
                </w14:textFill>
              </w:rPr>
              <w:t>课程名称</w:t>
            </w:r>
            <w:bookmarkEnd w:id="50"/>
            <w:bookmarkEnd w:id="51"/>
          </w:p>
        </w:tc>
        <w:tc>
          <w:tcPr>
            <w:tcW w:w="3928" w:type="dxa"/>
            <w:vAlign w:val="center"/>
          </w:tcPr>
          <w:p>
            <w:pPr>
              <w:spacing w:line="360" w:lineRule="exact"/>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bookmarkStart w:id="52" w:name="_Toc90734981"/>
            <w:bookmarkStart w:id="53" w:name="_Toc24608"/>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w:t>
            </w:r>
            <w:r>
              <w:rPr>
                <w:rFonts w:hint="eastAsia" w:ascii="仿宋_GB2312" w:hAnsi="仿宋_GB2312" w:eastAsia="仿宋_GB2312" w:cs="仿宋_GB2312"/>
                <w:color w:val="000000" w:themeColor="text1"/>
                <w:sz w:val="24"/>
                <w:szCs w:val="24"/>
                <w:highlight w:val="none"/>
                <w14:textFill>
                  <w14:solidFill>
                    <w14:schemeClr w14:val="tx1"/>
                  </w14:solidFill>
                </w14:textFill>
              </w:rPr>
              <w:t>目标</w:t>
            </w:r>
            <w:bookmarkEnd w:id="52"/>
            <w:bookmarkEnd w:id="53"/>
          </w:p>
        </w:tc>
        <w:tc>
          <w:tcPr>
            <w:tcW w:w="2960" w:type="dxa"/>
            <w:vAlign w:val="center"/>
          </w:tcPr>
          <w:p>
            <w:pPr>
              <w:spacing w:line="360" w:lineRule="exact"/>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bookmarkStart w:id="54" w:name="_Toc90734982"/>
            <w:bookmarkStart w:id="55" w:name="_Toc23051"/>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主要</w:t>
            </w:r>
            <w:r>
              <w:rPr>
                <w:rFonts w:hint="eastAsia" w:ascii="仿宋_GB2312" w:hAnsi="仿宋_GB2312" w:eastAsia="仿宋_GB2312" w:cs="仿宋_GB2312"/>
                <w:color w:val="000000" w:themeColor="text1"/>
                <w:sz w:val="24"/>
                <w:szCs w:val="24"/>
                <w:highlight w:val="none"/>
                <w14:textFill>
                  <w14:solidFill>
                    <w14:schemeClr w14:val="tx1"/>
                  </w14:solidFill>
                </w14:textFill>
              </w:rPr>
              <w:t>教学内容</w:t>
            </w:r>
            <w:bookmarkEnd w:id="54"/>
            <w:bookmarkEnd w:id="55"/>
          </w:p>
        </w:tc>
        <w:tc>
          <w:tcPr>
            <w:tcW w:w="2626" w:type="dxa"/>
            <w:vAlign w:val="center"/>
          </w:tcPr>
          <w:p>
            <w:pPr>
              <w:spacing w:line="360" w:lineRule="exact"/>
              <w:jc w:val="center"/>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1</w:t>
            </w:r>
          </w:p>
        </w:tc>
        <w:tc>
          <w:tcPr>
            <w:tcW w:w="752"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思想道德与法治</w:t>
            </w:r>
          </w:p>
        </w:tc>
        <w:tc>
          <w:tcPr>
            <w:tcW w:w="3928"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认识大学生活和高职生活的特点，明确本课程性质和目的。确立和坚定理想信念、将远大理想与对祖国的高度责任感、使命感结合起来，继承优良传统做新时代忠诚的爱国者。系统掌握本课程的基本原理和理论，系统学习人生观、价值观理论，引导学生深入思考有关人生是什么、人生意义是什么等基本问题，领悟人生真谛、树立正确的人生观，积极投身人生实践，创造有价值的人生。</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能够在了解大学生活和高职生活的特点、高职在我国发展的现状和趋势的基础上，深刻认识高职大学生的历史使命，树立科学的人生理想，初步培养学习生涯和职业生涯的规划设计能力；能够在明确个体对自然、社会、他人和自身应该承担责任的基础上，提高学习、交往及自我心理调节的能力，培养合理生存发展和职业岗位的适应能力；能够将道德的相关理论内化为自觉的意识、自身的习惯、自主的要求，成为校园道德生活的主体，提升职业实践中德行规范的意识和能力；能够运用与生活密切相关的法律知识，在社会生活中自觉遵守法律规范，分析和解决职业生活、家庭生活、公共生活等领域的现实法律问题。</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以习近平新时代中国特色社会主义思想为指导，以引导大学生成长为担当民族复兴大任的时代新人为着眼点，以新时代对青年大学生的新要求为切入点，以人生选择、理想信念、价值观念、道德觉悟、法治素养等为主体内容，以提升大学生思想道德素养和法治素养为目标，教育和激励大学生立大志、明大德、成大才、担大任，在实现中国梦的生动实践中放飞青春梦想，成为自觉担当民族复兴大任的时代新人。</w:t>
            </w:r>
          </w:p>
        </w:tc>
        <w:tc>
          <w:tcPr>
            <w:tcW w:w="2960"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本课程包括三大知识模块：一是思想政治教育，包括绪论、第一至四章，旨在引导帮助大学生树立正确的人生观，确立科学的理想信念，弘扬以爱国主义为核心的民族精神和以改革创新为核心的时代精神，积极培育</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和</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践行社会主义核心价值观。二是道德教育，包括第五章，旨在帮助大学生理解道德的本质和作用，继承中华民族优秀美德和中国革命道德，遵循社会主义道德核心和原则，遵守道德规范，提升个人品德。三是法治教育，包括第六章，主要帮助大学生了解法律特别是社会主义法律的特征和运行，掌握以宪法为核心的中国特色社会主义法律体系的基本内容，领会坚持走中国特色社会主义法治道路的基本原则，引导大学生积极培养法治思维，合理行使法律规定的权利和义务。</w:t>
            </w:r>
          </w:p>
        </w:tc>
        <w:tc>
          <w:tcPr>
            <w:tcW w:w="262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shd w:val="clear" w:color="auto" w:fill="FFFFFF"/>
                <w14:textFill>
                  <w14:solidFill>
                    <w14:schemeClr w14:val="tx1"/>
                  </w14:solidFill>
                </w14:textFill>
              </w:rPr>
            </w:pPr>
            <w:r>
              <w:rPr>
                <w:rFonts w:hint="eastAsia" w:ascii="仿宋_GB2312" w:hAnsi="仿宋_GB2312" w:eastAsia="仿宋_GB2312" w:cs="仿宋_GB2312"/>
                <w:color w:val="000000" w:themeColor="text1"/>
                <w:sz w:val="24"/>
                <w:szCs w:val="24"/>
                <w:highlight w:val="none"/>
                <w:shd w:val="clear" w:color="auto" w:fill="FFFFFF"/>
                <w:lang w:val="en-US" w:eastAsia="zh-CN"/>
                <w14:textFill>
                  <w14:solidFill>
                    <w14:schemeClr w14:val="tx1"/>
                  </w14:solidFill>
                </w14:textFill>
              </w:rPr>
              <w:t>高举中国特色社会主义伟大旗帜，以马克思列宁主义、毛泽东思想、邓小平理论、“三个代表”重要思想、科学发展观、习近平新时代中国特色社会主义思想为指导，全面贯彻党的教育方针，落实立德树人根本任务，把高校思想政治理论课教学工作摆在更加突出的位置，更加重视加强和改进教学管理，更加重视提升教学质量，不断提升思想政治理论课的亲和力和针对性，全面推动习近平新时代中国特色社会主义思想进教材进课堂进学生头脑，增强“四个意识”、坚定“四个自信”、做到“两个维护”，培养德智体美劳全面发展的中国特色社会主义合格建设者和可靠接班人，培养担当民族复兴大任的时代新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形势与政策</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引导和帮助学生掌握认识形势与政策问题的基本理论和基础知识，包括科学分析形势与政策的方法论、形势发展变化的规律、政策的产生和发展、政策的本质和特征等基础知识；了解国内外重大事件和热点</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难点问题，紧跟时代脉搏，融入变革潮流；重点是了解</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党的二十</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大以来形成的一系列政策体系，理解党的路线、方针、政策的正确性。</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培养学生掌握正确分析形势和理解政策的能力，特别是对国内外重大事件、敏感问题、社会热点、难点、疑点问题的思考、分析和判断能力。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帮助</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学生感知国情民意，</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认可</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党的路线方针政策，把对形势与政策的认识统一到党和国家的科学判断上和正确决策上，</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不断增强</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“四个意识”</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坚定“四个自信”</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做到“两个维护”，为实现中华民族伟大复兴而发奋学习。</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根据</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新时代面临的新情况新问题，针对学生关注的热点问题和思想特点，</w:t>
            </w:r>
            <w:r>
              <w:rPr>
                <w:rFonts w:hint="eastAsia" w:ascii="仿宋_GB2312" w:hAnsi="仿宋_GB2312" w:eastAsia="仿宋_GB2312" w:cs="仿宋_GB2312"/>
                <w:color w:val="000000" w:themeColor="text1"/>
                <w:sz w:val="24"/>
                <w:szCs w:val="24"/>
                <w:highlight w:val="none"/>
                <w14:textFill>
                  <w14:solidFill>
                    <w14:schemeClr w14:val="tx1"/>
                  </w14:solidFill>
                </w14:textFill>
              </w:rPr>
              <w:t>涵盖国际形势、国内形势、社会热点、国家政策等</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内容</w:t>
            </w:r>
            <w:r>
              <w:rPr>
                <w:rFonts w:hint="eastAsia" w:ascii="仿宋_GB2312" w:hAnsi="仿宋_GB2312" w:eastAsia="仿宋_GB2312" w:cs="仿宋_GB2312"/>
                <w:color w:val="000000" w:themeColor="text1"/>
                <w:sz w:val="24"/>
                <w:szCs w:val="24"/>
                <w:highlight w:val="none"/>
                <w14:textFill>
                  <w14:solidFill>
                    <w14:schemeClr w14:val="tx1"/>
                  </w14:solidFill>
                </w14:textFill>
              </w:rPr>
              <w:t>。通过学习，学生了解当前国内外政治、经济、文化、社会等领域的最新动态和趋势，掌握党和国家最新的方针政策和决策部署，为未来的学习和工作提供重要的参考和指导。同时，课程还将培养学生的分析判断能力、政策理解能力和社会实践能力，提升学生的综合素质和社会适应能力。</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按照中宣部、教育部每年每学期印发的形势与政策课教学要点、要求和内容，对指定的专题进行教学。</w:t>
            </w:r>
            <w:r>
              <w:rPr>
                <w:rFonts w:hint="eastAsia" w:ascii="仿宋_GB2312" w:hAnsi="仿宋_GB2312" w:eastAsia="仿宋_GB2312" w:cs="仿宋_GB2312"/>
                <w:color w:val="000000" w:themeColor="text1"/>
                <w:sz w:val="24"/>
                <w:szCs w:val="24"/>
                <w:highlight w:val="none"/>
                <w14:textFill>
                  <w14:solidFill>
                    <w14:schemeClr w14:val="tx1"/>
                  </w14:solidFill>
                </w14:textFill>
              </w:rPr>
              <w:t>教师</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应</w:t>
            </w:r>
            <w:r>
              <w:rPr>
                <w:rFonts w:hint="eastAsia" w:ascii="仿宋_GB2312" w:hAnsi="仿宋_GB2312" w:eastAsia="仿宋_GB2312" w:cs="仿宋_GB2312"/>
                <w:color w:val="000000" w:themeColor="text1"/>
                <w:sz w:val="24"/>
                <w:szCs w:val="24"/>
                <w:highlight w:val="none"/>
                <w14:textFill>
                  <w14:solidFill>
                    <w14:schemeClr w14:val="tx1"/>
                  </w14:solidFill>
                </w14:textFill>
              </w:rPr>
              <w:t>聚焦社会热点、回应学生关切问题，提高学生运用马克思主义理论的立场观点方法解决实际问题的能力，提高政治辨别力，紧密围绕在以习近平同志为核心的党中央周围，奋进新征程。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3</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国家安全教育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要求学生系统掌握总体国家安全观的科学内涵、核心要义与理论体系，深入理解政治安全、国土安全、军事安全、经济安全、文化安全、社会安全、科技安全、网络安全、生态安全、资源安全、核安全、海外利益安全等各重点领域的基本内容、重要意义及当前面临的主要风险挑战；熟悉以《国家安全法》为统领的相关法律法规体系，知晓公民与组织在维护国家安全中的权利、义务和行为规范；并对当代国际战略格局、我国周边安全环境以及传统与非传统安全威胁交织的复杂态势形成基本认知。</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w:t>
            </w:r>
            <w:r>
              <w:rPr>
                <w:rFonts w:hint="eastAsia" w:ascii="仿宋_GB2312" w:hAnsi="仿宋_GB2312" w:eastAsia="仿宋_GB2312" w:cs="仿宋_GB2312"/>
                <w:b/>
                <w:bCs/>
                <w:color w:val="000000" w:themeColor="text1"/>
                <w:sz w:val="24"/>
                <w:szCs w:val="24"/>
                <w:highlight w:val="none"/>
                <w14:textFill>
                  <w14:solidFill>
                    <w14:schemeClr w14:val="tx1"/>
                  </w14:solidFill>
                </w14:textFill>
              </w:rPr>
              <w:t>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着重培养学生辨识危害国家安全行为的敏锐性和判断力，掌握防范抵御常见安全风险、维护信息与人身安全的基本方法与实用技能；使其能够在日常生活、学术研究、网络空间及未来职业活动中，自觉遵守法律法规，正确履行维护国家安全的责任；同时，提升其运用国家安全视角与思维，理性分析和研判社会热点事件、国际形势演变的能力，增强在复杂情境下的应急处置与自我保护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旨在引导学生深刻认识国家安全的极端重要性，树立坚定的国家意识、政权意识、制度认同和民族自豪感，筑牢国家安全底线思维；培育深厚的家国情怀与使命担当，形成高度的政治敏锐性、组织纪律性和法治观念；自觉抵制各种错误思潮和渗透破坏活动，将维护国家安全的内在要求，转化为持久稳定的价值追求、行为习惯与生活方式，最终成为国家安全的忠实崇尚者、自觉遵守者、坚定捍卫者。</w:t>
            </w: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提升学生的国家安全意识，培养学生将理论知识与实践相结合的能力，引导学生运用马克思主义的立场、观点、方法以及总体国家安全观，构建起维护国家安全的实践能力。使学生树立国家安全底线思维，将国家安全意识转化为自觉行动，强化责任担当。</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default"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t>课程内容围绕总体国家安全观的核心要义，设置十大教学章节，具体包括：完整准确领会总体国家安全观；在党的领导下走好中国特色国家安全道路；更好统筹发展和安全；坚持以人民安全为宗旨；坚持以政治安全为根本；坚持以经济安全为基础； 坚持以军事、科技、文化、社会安全为保障；坚持以促进国际安全为依托；筑牢其他各领域国家安全屏障；争做总体国家安全观坚定践行者等内容。</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教学实施需坚持正确的政治方向，将价值引领贯穿始终。教学方法应灵活多样，综合运用课堂讲授、案例研讨、情景模拟、多媒体教学及线上资源，注重以生动案例增强教学实效。授课教师须具备过硬的政治素质、扎实的理论功底与必要的实践经验，鼓励实务专家参与教学。教学资源应选用权威教材，辅以规范的案例库、数字化课程及警示教育资料，有条件可组织实地教学。考核评价应采取过程性与终结性相结合的方式，侧重考查学生的知识理解、意识提升及实际问题分析能力，形式可包含课堂表现、案例分析报告、专题研讨与期末</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论文</w:t>
            </w:r>
            <w:r>
              <w:rPr>
                <w:rFonts w:hint="eastAsia" w:ascii="仿宋_GB2312" w:hAnsi="仿宋_GB2312" w:eastAsia="仿宋_GB2312" w:cs="仿宋_GB2312"/>
                <w:color w:val="000000" w:themeColor="text1"/>
                <w:sz w:val="24"/>
                <w:szCs w:val="24"/>
                <w:highlight w:val="none"/>
                <w14:textFill>
                  <w14:solidFill>
                    <w14:schemeClr w14:val="tx1"/>
                  </w14:solidFill>
                </w14:textFill>
              </w:rPr>
              <w:t>考</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查</w:t>
            </w:r>
            <w:r>
              <w:rPr>
                <w:rFonts w:hint="eastAsia" w:ascii="仿宋_GB2312" w:hAnsi="仿宋_GB2312" w:eastAsia="仿宋_GB2312" w:cs="仿宋_GB2312"/>
                <w:color w:val="000000" w:themeColor="text1"/>
                <w:sz w:val="24"/>
                <w:szCs w:val="24"/>
                <w:highlight w:val="none"/>
                <w14:textFill>
                  <w14:solidFill>
                    <w14:schemeClr w14:val="tx1"/>
                  </w14:solidFill>
                </w14:textFill>
              </w:rPr>
              <w:t>等。本课程应作为通识必修课或核心限选课开设，保障足额学时，并严格规范教学材料与案例的使用管理，遵守相关纪律要求。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4</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军事理论</w:t>
            </w:r>
          </w:p>
        </w:tc>
        <w:tc>
          <w:tcPr>
            <w:tcW w:w="3928"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掌握基本的军事理论知识，了解中国国防政策和军事战略，认识信息化战争的特点与规律等。</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学生运用所学军事理论知识分析国内外军事事件的能力，以及独立判断和批判性思考的习惯。提升学生的战略思维能力和实际操作技能，提高学生的应急反应速度和自我保护能力，为应对突发事件打下坚实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：激发学生对国家和民族的热爱之情，增强其作为公民的社会责任感和使命感；强化国防观念、国家安全意识与爱国主义精神。‌</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通过系统的知识传授和能力培养，全面提升学生的综合素质，增强学生国家安全意识和国防观念，为未来成为具有家国情怀、战略视野和创新能力的优秀人才奠定坚实基础。</w:t>
            </w:r>
          </w:p>
        </w:tc>
        <w:tc>
          <w:tcPr>
            <w:tcW w:w="2960"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课程内容包括军事基础知识、军事思想、国家安全形势分析、战略环境、军事高技术、现代战争知识等。</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p>
        </w:tc>
        <w:tc>
          <w:tcPr>
            <w:tcW w:w="2626" w:type="dxa"/>
            <w:shd w:val="clear" w:color="auto" w:fill="auto"/>
            <w:vAlign w:val="top"/>
          </w:tcPr>
          <w:p>
            <w:pPr>
              <w:pStyle w:val="10"/>
              <w:keepNext w:val="0"/>
              <w:keepLines w:val="0"/>
              <w:pageBreakBefore w:val="0"/>
              <w:widowControl/>
              <w:suppressLineNumbers w:val="0"/>
              <w:kinsoku/>
              <w:wordWrap/>
              <w:overflowPunct/>
              <w:topLinePunct w:val="0"/>
              <w:autoSpaceDE/>
              <w:autoSpaceDN/>
              <w:bidi w:val="0"/>
              <w:adjustRightInd/>
              <w:snapToGrid/>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本课程以马列主义、毛泽东思想、邓小平理论及习近平强军思想为指导，‌采用多媒体教学、案例研讨，使学生理解总体国家安全观，激发学生献身国防的热情、增强民族自豪感。</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5</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军训</w:t>
            </w:r>
          </w:p>
        </w:tc>
        <w:tc>
          <w:tcPr>
            <w:tcW w:w="3928" w:type="dxa"/>
            <w:shd w:val="clear" w:color="auto" w:fill="auto"/>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掌握基本的军事技能、完成基础军事训练。</w:t>
            </w:r>
          </w:p>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结合模拟演练和角色扮演等活动，提升学生的战略思维能力和实际操作技能，增强学生的团队意识和沟通协调能力，提高学生的应急反应速度和自我保护能力，为应对突发事件打下坚实基础。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：培养学生的纪律性和服从意识；强化团队协作精神，锻炼学生的意志力和毅力，培养其面对困难和挑战时不屈不挠的精神风貌，鼓励其为实现中华民族伟大复兴的中国梦贡献力量。</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Fonts w:hint="eastAsia" w:ascii="仿宋_GB2312" w:hAnsi="仿宋_GB2312"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通过能力培养，全面提升学生的综合素质，增强学生国防观念，为成为具有家国情怀、战略视野和创新能力的优秀人才奠定坚实基础。</w:t>
            </w:r>
          </w:p>
        </w:tc>
        <w:tc>
          <w:tcPr>
            <w:tcW w:w="2960"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课程内容包括队列、战术训练等‌军事技能训练。</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p>
        </w:tc>
        <w:tc>
          <w:tcPr>
            <w:tcW w:w="2626"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循序渐进，由浅入深，逐步提高学生的军训技能；注重示范指导，通过示范动作带动学生的学习兴趣；强化实践训练，让学生通过实际操作掌握军事技能。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6</w:t>
            </w:r>
          </w:p>
        </w:tc>
        <w:tc>
          <w:tcPr>
            <w:tcW w:w="752" w:type="dxa"/>
            <w:shd w:val="clear" w:color="auto" w:fill="auto"/>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计算机基础</w:t>
            </w:r>
          </w:p>
        </w:tc>
        <w:tc>
          <w:tcPr>
            <w:tcW w:w="3928"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计算机硬件组成和操作系统基本原理，理解常用办公软件功能特点，了解常用工具软件的分类及基本使用方法，拓展数字化办公技能，帮助学生系统掌握计算机领域的核心理论与前沿动态，为技能应用和职业发展奠定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培养计算机基本操作能力，熟练使用办公软件处理文档。提升网络应用和信息检索水平，具备解决常见计算机问题的技能。</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培养信息素养和数字思维，提高自主学习新技术能力。树立信息安全意识，养成规范使用计算机的良好习惯。</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融入科技创新案例，培养科技报国情怀。通过信息伦理教育，强化网络行为规范和责任意识。引导学生树立家国情怀、职业道德和社会责任感，</w:t>
            </w: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最终实现“德才兼备、知行合一”的技术人才培养目标，为行业发展与社会进步输送兼具职业道德素养与专业技术能力的复合型人才。</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包含计算机硬件基础、Windows操作系统、Office办公软件、网络基础等模块。重点培养文档处理、数据分析和演示汇报等实用技能，融入专业相关的计算机应用案例。结合新技术发展，介绍云计算、大数据等前沿技术概念。</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教师需采用任务驱动教学法，设计贴近实际的应用场景。合理运用信息化教学手段，强化实操训练。学生需按时完成实践任务，主动探索软件功能。教学中要注重应用能力培养，突出计算机工具的实用价值，提升学生信息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7</w:t>
            </w:r>
          </w:p>
        </w:tc>
        <w:tc>
          <w:tcPr>
            <w:tcW w:w="752" w:type="dxa"/>
            <w:shd w:val="clear" w:color="auto" w:fill="auto"/>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高等数学</w:t>
            </w:r>
          </w:p>
        </w:tc>
        <w:tc>
          <w:tcPr>
            <w:tcW w:w="3928"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掌握函数、极限、导数等基础概念，理解微积分基本理论、数学建模方法，为专业课程奠定必要数学基础。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培养数学运算和逻辑推理能力，提升运用数学工具解决实际问题的水平。增强数据分析和建模能力，适应未来职业发展需求。</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培养严谨求实的科学态度，提高抽象思维和创新能力。树立理论联系实际的观念，增强持续学习和自主探究意识。</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实现知识传授与价值引领的有机融合，培养学生养成求真务实、精益求精的态度，严谨对待学习与工作，通过融入数学史展现古今数学家的爱国情怀与奉献精神，厚植爱国主义情怀，在思维品质培养中以辩证思维解析数学概念，引导学生透过现象看本质，理解量变与质变、对立统一等规律，鼓励学生在数学问题求解中勇于创新，培养批判性思维和探索精神，同时通过团队合作解决数学建模等问题，增强学生的团队协作意识与社会责任感，使学生在掌握数学知识的同时，实现个人全面发展与社会价值统一。</w:t>
            </w:r>
          </w:p>
        </w:tc>
        <w:tc>
          <w:tcPr>
            <w:tcW w:w="2960"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包含函数与极限、导数与微分、积分及应用等基础模块。重点讲解工程实际问题中的数学应用，如最优化问题求解、变化率分析等。融入专业案例，开展数学建模实践，强化数学工具在专业领域的应用能力培养。</w:t>
            </w:r>
          </w:p>
        </w:tc>
        <w:tc>
          <w:tcPr>
            <w:tcW w:w="2626"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教师需结合专业需求设计教学内容，采用问题导向和案例教学方法。合理运用信息化手段，强化直观教学效果。学生需按时完成作业，积极参与课堂讨论。教学中要注重理论联系实际，突出数学应用价值，培养学生解决实际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8</w:t>
            </w:r>
          </w:p>
        </w:tc>
        <w:tc>
          <w:tcPr>
            <w:tcW w:w="752" w:type="dxa"/>
            <w:shd w:val="clear" w:color="auto" w:fill="auto"/>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大学英语</w:t>
            </w:r>
          </w:p>
        </w:tc>
        <w:tc>
          <w:tcPr>
            <w:tcW w:w="3928"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掌握基础词汇和核心语法，学习职场英语表达。了解英语国家文化常识，熟悉专业相关术语。</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培养学生掌握语言基础知识和语言技能，具备基本的英语听、说、读、写、译能力，增强其跨文化交际意识和沟通能力，提高英语应用能力，适应未来职业需求。</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培养自主学习意识，增强跨文化理解能力。树立终身学习理念，提高团队协作和沟通能力。</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融入工匠精神教育，培养职业操守。通过中外文化对比，培养学生树立正确的世界观、人生观、价值观，正确对待中西方文化差异，增强文化自信和爱国情怀。</w:t>
            </w:r>
          </w:p>
        </w:tc>
        <w:tc>
          <w:tcPr>
            <w:tcW w:w="2960"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包含三大模块：基础英语模块重点训练日常交际和职场基础英语；专业英语模块针对不同专业需求，学习相关术语和场景对话；实践应用模块通过模拟职场情境，开展项目任务训练。教学内容突出实用性，融入大量真实职场案例，同时结合行业发展，介绍相关职业规范和标准。</w:t>
            </w:r>
          </w:p>
        </w:tc>
        <w:tc>
          <w:tcPr>
            <w:tcW w:w="2626"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对教师的要求：采用情景教学法，设计职场情境任务。结合信息化手段，注重实践能力培养。</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对学生的要求：参与课堂活动，完成实践任务。利用网络资源自主学习，提升应用能力。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9</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大学体育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掌握体育运动基本理论知识，了解常见运动项目的规则与要领。学习科学锻炼方法和运动损伤预防知识，为终身体育锻炼奠定理论基础。</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发展学生基础运动技能，提升速度、力量、耐力等身体素质。培养1-2项运动特长，</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提升体育运动能力，提高职业体能水平。</w:t>
            </w:r>
            <w:r>
              <w:rPr>
                <w:rFonts w:hint="eastAsia" w:ascii="仿宋_GB2312" w:hAnsi="仿宋_GB2312" w:eastAsia="仿宋_GB2312" w:cs="仿宋_GB2312"/>
                <w:color w:val="000000" w:themeColor="text1"/>
                <w:sz w:val="24"/>
                <w:szCs w:val="24"/>
                <w:highlight w:val="none"/>
                <w14:textFill>
                  <w14:solidFill>
                    <w14:schemeClr w14:val="tx1"/>
                  </w14:solidFill>
                </w14:textFill>
              </w:rPr>
              <w:t>增强团队协作能力和体育竞赛组织能力。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遵守体育道德规范和行为准则，发扬体育精神，塑造良好的体育品格，增强责任意识、规则意识和团队意识</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以习近平新时代中国特色社会主义思想为指导，坚持知识传授与价值引领相结合， 树立健康第一的教育理念，帮助学生在体育锻炼中享受乐趣、增强体质、健全人格、锤炼意志。培养学生顽强拼搏、奋斗有我的信念，激发学生提升身体素质的责任感。</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基础体能训练提升身体素质；球类、田径等专项技能教学；特色项目如</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武术</w:t>
            </w:r>
            <w:r>
              <w:rPr>
                <w:rFonts w:hint="eastAsia" w:ascii="仿宋_GB2312" w:hAnsi="仿宋_GB2312" w:eastAsia="仿宋_GB2312" w:cs="仿宋_GB2312"/>
                <w:color w:val="000000" w:themeColor="text1"/>
                <w:sz w:val="24"/>
                <w:szCs w:val="24"/>
                <w:highlight w:val="none"/>
                <w14:textFill>
                  <w14:solidFill>
                    <w14:schemeClr w14:val="tx1"/>
                  </w14:solidFill>
                </w14:textFill>
              </w:rPr>
              <w:t>、健身操等。融入职业体能训练，结合专业特点设计教学内容。</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w:t>
            </w:r>
            <w:r>
              <w:rPr>
                <w:rFonts w:hint="eastAsia" w:ascii="仿宋_GB2312" w:hAnsi="仿宋_GB2312" w:eastAsia="仿宋_GB2312" w:cs="仿宋_GB2312"/>
                <w:color w:val="000000" w:themeColor="text1"/>
                <w:sz w:val="24"/>
                <w:szCs w:val="24"/>
                <w:highlight w:val="none"/>
                <w14:textFill>
                  <w14:solidFill>
                    <w14:schemeClr w14:val="tx1"/>
                  </w14:solidFill>
                </w14:textFill>
              </w:rPr>
              <w:t>采用示范教学与分组练习相结合的方式，注重因材施教。合理运用信息化教学手段，创新教学方法。学生需按时出勤，积极参与训练，完成课后锻炼任务。教学过程中要注重安全教育，培养学生终身体育意识，营造积极向上的体育文化氛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10</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大学生职业发展与就业指导</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14:textFill>
                  <w14:solidFill>
                    <w14:schemeClr w14:val="tx1"/>
                  </w14:solidFill>
                </w14:textFill>
              </w:rPr>
              <w:t>掌握职业生涯规划基本理论，了解就业政策与劳动法规。学习求职材料制作规范，熟悉职场礼仪与职业素养要求。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培养职业规划与决策能力，提升简历制作与面试技巧</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提高学生求职应职技巧，</w:t>
            </w:r>
            <w:r>
              <w:rPr>
                <w:rFonts w:hint="eastAsia" w:ascii="仿宋_GB2312" w:hAnsi="仿宋_GB2312" w:eastAsia="仿宋_GB2312" w:cs="仿宋_GB2312"/>
                <w:color w:val="000000" w:themeColor="text1"/>
                <w:sz w:val="24"/>
                <w:szCs w:val="24"/>
                <w:highlight w:val="none"/>
                <w14:textFill>
                  <w14:solidFill>
                    <w14:schemeClr w14:val="tx1"/>
                  </w14:solidFill>
                </w14:textFill>
              </w:rPr>
              <w:t>增强就业信息获取能力，掌握职场适应与职业发展方法。</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分析当前大学生面临的就业形势，帮助学生及时了解就业市场的需求形势和国家、地方有关大学生就业的政策，按照社会需求确立就业心理，树立正确的就业观念和就业取向。</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通过加强就业形势和政策的宣传教育，</w:t>
            </w: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引导广大学生深刻认识到党和国家</w:t>
            </w:r>
            <w:r>
              <w:rPr>
                <w:rFonts w:hint="eastAsia" w:ascii="仿宋_GB2312" w:hAnsi="仿宋_GB2312" w:eastAsia="仿宋_GB2312" w:cs="仿宋_GB2312"/>
                <w:b w:val="0"/>
                <w:bCs w:val="0"/>
                <w:color w:val="FF0000"/>
                <w:kern w:val="2"/>
                <w:sz w:val="24"/>
                <w:szCs w:val="24"/>
                <w:highlight w:val="none"/>
                <w:lang w:val="en-US" w:eastAsia="zh-CN" w:bidi="ar-SA"/>
              </w:rPr>
              <w:t>“</w:t>
            </w: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以人民为中心</w:t>
            </w:r>
            <w:r>
              <w:rPr>
                <w:rFonts w:hint="eastAsia" w:ascii="仿宋_GB2312" w:hAnsi="仿宋_GB2312" w:eastAsia="仿宋_GB2312" w:cs="仿宋_GB2312"/>
                <w:b w:val="0"/>
                <w:bCs w:val="0"/>
                <w:color w:val="FF0000"/>
                <w:kern w:val="2"/>
                <w:sz w:val="24"/>
                <w:szCs w:val="24"/>
                <w:highlight w:val="none"/>
                <w:lang w:val="en-US" w:eastAsia="zh-CN" w:bidi="ar-SA"/>
              </w:rPr>
              <w:t>”</w:t>
            </w: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的发展理念，切实增强对国家保就业、稳增长工作的信心，充分感知国家在相关领域的坚实能力。</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包含职业认知、职业规划、求职技能、职场适应四大模块。通过职业测评、行业分析、简历制作、模拟面试等实践活动，帮助学生了解职业世界，掌握求职技巧。结合专业特点，开展行业专家讲座、企业参观等特色教学活动，强化职业认知与规划能力。</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教师需结合专业特色，采用案例教学、情景模拟等互动式教学方法，注重实践环节设计。学生需主动参与课堂活动，完成职业探索任务，积极进行自我认知与职业规划。教学过程中要注重个性化指导，针对不同学生特点提供差异化就业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11</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大学生心理健康教育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掌握心理健康基本概念和标准，了解常见心理问题表现及成因。</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掌握</w:t>
            </w:r>
            <w:r>
              <w:rPr>
                <w:rFonts w:hint="eastAsia" w:ascii="仿宋_GB2312" w:hAnsi="仿宋_GB2312" w:eastAsia="仿宋_GB2312" w:cs="仿宋_GB2312"/>
                <w:color w:val="000000" w:themeColor="text1"/>
                <w:sz w:val="24"/>
                <w:szCs w:val="24"/>
                <w:highlight w:val="none"/>
                <w14:textFill>
                  <w14:solidFill>
                    <w14:schemeClr w14:val="tx1"/>
                  </w14:solidFill>
                </w14:textFill>
              </w:rPr>
              <w:t>情绪管理、压力应对等心理调适方法，增强自我认知能力。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培养</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学生</w:t>
            </w:r>
            <w:r>
              <w:rPr>
                <w:rFonts w:hint="eastAsia" w:ascii="仿宋_GB2312" w:hAnsi="仿宋_GB2312" w:eastAsia="仿宋_GB2312" w:cs="仿宋_GB2312"/>
                <w:color w:val="000000" w:themeColor="text1"/>
                <w:sz w:val="24"/>
                <w:szCs w:val="24"/>
                <w:highlight w:val="none"/>
                <w14:textFill>
                  <w14:solidFill>
                    <w14:schemeClr w14:val="tx1"/>
                  </w14:solidFill>
                </w14:textFill>
              </w:rPr>
              <w:t>情绪调节与压力管理能力，提升人际沟通与冲突解决水平。使学生掌握心理自助技巧，具备初步心理问题识别与求助能力。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培养</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学生</w:t>
            </w:r>
            <w:r>
              <w:rPr>
                <w:rFonts w:hint="eastAsia" w:ascii="仿宋_GB2312" w:hAnsi="仿宋_GB2312" w:eastAsia="仿宋_GB2312" w:cs="仿宋_GB2312"/>
                <w:color w:val="000000" w:themeColor="text1"/>
                <w:sz w:val="24"/>
                <w:szCs w:val="24"/>
                <w:highlight w:val="none"/>
                <w14:textFill>
                  <w14:solidFill>
                    <w14:schemeClr w14:val="tx1"/>
                  </w14:solidFill>
                </w14:textFill>
              </w:rPr>
              <w:t>积极乐观的人生态度，增强心理韧性和适应能力。树立正确的自我认知，形成健康的生活方式与行为习惯。</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坚持育心与育德相结合，引导学生以自尊自信、理性平和、积极向上的健康心态正 确对待和处理成长中的心理困惑和问题，始终围绕社会主义核心价值观来发展和完善自身人格，将个人自我实现的追求与社会发展结合起来。</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包含心理健康基础知识、情绪管理、人际交往、压力应对等模块。通过案例分析、团体辅导等形式，帮助学生掌握心理调适技能。结合学生特点，重点讲解职业心理适应、就业压力疏导等内容，提升学生心理素质。</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教师需采用互动体验式教学，创设安全开放的课堂氛围。结合学生实际需求，设计实践性教学活动。学生需积极参与课堂互动，完成心理训练任务。教学中要注重隐私保护，引导学生科学看待心理问题，提升心理健康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12</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劳动教育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培养基本劳动技能，提升实践操作能力。掌握团队协作方法，增强问题解决与创新应用能力，适应未来职业劳动需求。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：培育吃苦耐劳精神，树立劳动光荣意识。增强责任担当，培养勤俭节约品质，形成尊重劳动、热爱劳动的良好品格。</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培养学生的劳动观念，树立尊重劳动、热爱劳动、珍惜劳动成果的意识；引导学生形成正确的劳动价值观，理解劳动的社会意义和个人价值；培养新时代坚定的马克思主义者和具有工匠精神的社会主义建设者。</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弘扬劳模精神与工匠精神，强化劳动育人功能。</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引导学生做社会主义核心价值观的积极践行者，培养新时代坚定的马克思主义者和具有工匠精神的社会主义建设者。</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主要包括工具使用、设备操作等基础训练；实践环节组织校园服务、专业实习等多样化活动。结合专业特色，设计职业劳动项目，融入新技术、新工艺内容，提升学生劳动素养与职业适应能力。</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结合专业特点设计教学内容，注重劳动安全教育，规范操作流程。学生需积极参与劳动实践，认真完成劳动任务。教学过程中要突出劳动育人功能，强化劳动价值观教育，注重培养学生的劳动习惯和职业精神，促进德智体美劳全面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13</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毛泽东思想和中国特色社会主义理论体系概论</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全面理解马克思主义中国化理论成果的科学内涵、理论体系、思想精髓、精神实质</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 xml:space="preserve">系统把握马克思主义中国化理论成果所蕴含的马克思主义立场、观点和方法。 </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 xml:space="preserve">  </w:t>
            </w: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学会用马克思主义中国化理论成果分析和解决现实问题，把理论与实践、理想与现实、主观与客观统一起来，自觉投身于中国特色社会主义伟大实践。</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w:t>
            </w: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：引导大学生树立科学的世界观、历史观、大局观，深刻理解“中国共产党为什么能” “马克思主义为什么行”“中国特色社会主义为什么好”，</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自觉</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增强“四个意识”、坚定“四个自信”、</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做到“两个维护”，</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努力学习</w:t>
            </w:r>
            <w:r>
              <w:rPr>
                <w:rFonts w:hint="eastAsia" w:ascii="仿宋_GB2312" w:hAnsi="仿宋_GB2312" w:eastAsia="仿宋_GB2312" w:cs="仿宋_GB2312"/>
                <w:i w:val="0"/>
                <w:iCs w:val="0"/>
                <w:caps w:val="0"/>
                <w:color w:val="000000" w:themeColor="text1"/>
                <w:spacing w:val="0"/>
                <w:sz w:val="24"/>
                <w:szCs w:val="24"/>
                <w:highlight w:val="none"/>
                <w:shd w:val="clear" w:fill="FFFFFF"/>
                <w14:textFill>
                  <w14:solidFill>
                    <w14:schemeClr w14:val="tx1"/>
                  </w14:solidFill>
                </w14:textFill>
              </w:rPr>
              <w:t>文化知识，增强自己的本领</w:t>
            </w:r>
            <w:r>
              <w:rPr>
                <w:rFonts w:hint="eastAsia" w:ascii="仿宋_GB2312" w:hAnsi="仿宋_GB2312" w:eastAsia="仿宋_GB2312" w:cs="仿宋_GB2312"/>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为实现中华民族伟大复兴中国梦而努力。</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课程</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包括三大知识模块：一是马克思主义中国化的科学内涵和理论成果；二是阐述毛泽东思想的时 代背景、主要内容和历史地位；三是分别阐述邓小平理论、“三个代表”重要思想、科学发展观形成的社会历史条件、形成发展过程、主要内容和历史地位。</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p>
        </w:tc>
        <w:tc>
          <w:tcPr>
            <w:tcW w:w="2626" w:type="dxa"/>
            <w:shd w:val="clear" w:color="auto" w:fill="auto"/>
            <w:vAlign w:val="top"/>
          </w:tcPr>
          <w:p>
            <w:pPr>
              <w:pStyle w:val="10"/>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00" w:lineRule="exact"/>
              <w:jc w:val="both"/>
              <w:textAlignment w:val="auto"/>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通过教师运用信息化技术进行史论结合、案例丰富的讲授，引导学生系统掌握马克思主义基本原理和马克思主义中国化时代化最新理论成果，了解党史、新中国史、改革开放史、社会主义发展史，认识世情、国情、党情，深刻领会习近平新时代中国特色社会主义思想，培养运用马克思主义立场观点方法分析和解决问题的能力；矢志不渝听</w:t>
            </w: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党话、跟党走，争做社会主义合格建设者和可靠接班人。</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教学以马</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克思主义中国化时代化为主线，以建设中国特色社会主义理论为重点，让学生了解马克思主义中国化时代化的科学内涵及其历史进程。让学生理解毛泽东思想是马克思主义中国化时代化第一次历史性飞跃的理论成果；邓小平理论是马克思主义中国化时代化的第二次历史性飞跃的理论成果；“三个代表”重要思想是加强和改进党的建设、推进我国社会主义自我完善和发展的强大理论武器；科学发展观是发展中国特色社会主义所必须坚持的重大战略思想，必须长期坚持并不断发展。让学生掌握马克思主义中国化时代化的几大理论成果，并运用这几大理论成果分析问题和解决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14</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创新创业教育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熟悉创新思维的内涵及其基本训练方法；</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了解商业模式设计要点，</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掌握常用的创新方法；掌握保护创新成果的方法</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了解创新创业政策法规。</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培养创新思维与机会识别能力，提升商业计划书撰写水平。增强资源整合与项目管理能力，掌握创业风险防范与应对方法。</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培育开拓进取精神，树立正确的创业价值观。增强团队协作意识，培养抗压能力与责任担当，形成积极向上的创业心态。</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融入企业家精神教育，强化社会责任意识。通过创新创业案例培育家国情怀，引导学生将个人发展融入国家创新驱动</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发展</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战略。</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包含创新思维训练、创业基础知识、商业计划设计、创业模拟实践四大模块。通过案例分析、工作坊等形式开展创新方法训练，组织商业模式设计、路演展示等实践活动。结合区域经济发展需求，引入真实创业项目，开展校企合作实践，强化学生创新创业能力培养。</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采用项目驱动式教学，设计真实创业情境任务。邀请企业家参与教学，保持教学内容的前沿性。学生需主动参与创新实践，完成商业计划设计。教学中要注重理论与实践结合，突出创新思维培养，强化创业伦理教育，提升学生创新创业综合素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15</w:t>
            </w:r>
          </w:p>
        </w:tc>
        <w:tc>
          <w:tcPr>
            <w:tcW w:w="752"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习近平新时代中国特色社会主义思想概论</w:t>
            </w:r>
          </w:p>
        </w:tc>
        <w:tc>
          <w:tcPr>
            <w:tcW w:w="3928"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学生能够从整体上把握习近平新时代中国特色社会主义思想，系统学习这一思想的基本内容、理论体系、时代价值与历史意义，进而增强对中国特色社会主义的道路自信、理论自信、制度自信、文化自信。</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学生能够理解党在新时代的基本理论、基本路线、基本方略，掌握中国特色社会主义进入新时代的科学内涵和基本特征。</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学生能够深刻领会并掌握“十个明确”和“十四个坚持”的主要内容及相互关系，明确各项战略布局、发展理念等。</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学生能够深刻领会党和国家在经济、政治、文化、社会、生态文明等各个领域的方针政策和重大战略部署。</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学生能够深刻认识中国特色社会主义事业总体布局和战略布局，掌握实现中华民族伟大复兴的中国梦的丰富内涵和实现路径。</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通过马克思主义中国化新的理论成果的学习，学生提升运用习近平新时代中国特色社会主义思想正确表达思想观点的能力。</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提升学生运用辩证唯物主义和历史唯物主义的观点和方法，分析和解决问题的能力，以及正确认识新时代中国特色社会主义建设中的各种矛盾和问题，把握事物发展客观规律的能力。</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学生通过整体学习习近平新时代中国特色社会主义思想的各个方面及其相互关系，提升了全面、系统地看待问题和分析问题的能力。</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能坚定政治立场，在现实社会中提高政治辨别能力，有效抵制各种错误思潮；能对当前改革发展稳定、内政外交国防、世情国情党情有更加清晰的认识；能用所学理论指导自己的行为，提升综合素养和思想境界；能理解课程设置、熟悉课程标准，自觉拓展课外阅读范围，扩大自身知识视野。</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能自觉提升自身理论修养，带头践行社会主义核心价值观；能形成乐观、积极、健康、正确的情感、人格和社会责任感，提升人文素养；能在学习过程中总结经验方法，不断加深对社会实践的分析认知；能破除“本本主义”和“教条主义”的错误思想，善于从实际出发，培养形成强烈的批判思维和质疑精神，不迷信权威。</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增强学生全面贯彻党的基本理论、基本路线和基本方略的自觉性和主动性。</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增强学生对中国共产党领导和中国特色社会主义制度的政治认同感与拥护度，增强“四个意识”、坚定“四个自信”、做到“两个维护”，始终在思想上政治上行动上同以习近平同志为核心的党中央保持高度一致。</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让学生深刻认识国家发展成就与自身责任，激发使命感，将个人发展与国家命运相连，为实现中国梦贡献力量。</w:t>
            </w:r>
          </w:p>
        </w:tc>
        <w:tc>
          <w:tcPr>
            <w:tcW w:w="2960"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课程主要的知识模块</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包括</w:t>
            </w:r>
            <w:r>
              <w:rPr>
                <w:rFonts w:hint="eastAsia" w:ascii="仿宋_GB2312" w:hAnsi="仿宋_GB2312" w:eastAsia="仿宋_GB2312" w:cs="仿宋_GB2312"/>
                <w:color w:val="000000" w:themeColor="text1"/>
                <w:sz w:val="24"/>
                <w:szCs w:val="24"/>
                <w:highlight w:val="none"/>
                <w14:textFill>
                  <w14:solidFill>
                    <w14:schemeClr w14:val="tx1"/>
                  </w14:solidFill>
                </w14:textFill>
              </w:rPr>
              <w:t>：习近平新时代中国特色社会主义思想及其历史地位、坚持和发展中国特色社会主义的总任务、</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14:textFill>
                  <w14:solidFill>
                    <w14:schemeClr w14:val="tx1"/>
                  </w14:solidFill>
                </w14:textFill>
              </w:rPr>
              <w:t>“五位一体”总体布局、“四个全面”战略布局、实现中华民族伟大复兴的重要保障、中国特色大国外交、坚持和加强党的领导</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等内容。</w:t>
            </w:r>
          </w:p>
        </w:tc>
        <w:tc>
          <w:tcPr>
            <w:tcW w:w="262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此门课程教学以马克思主义中国化时代化为核心线索，以习近平新时代中国特色社会主义思想为关键要点，帮助学生深入领会马克思主义中国化时代化的深刻内涵、历史演进以及重大意义 。让学生明晰习近平新时代中国特色社会主义思想是马克思主义中国化时代化的最新理论成果，是中华文化和中国精神的时代精华，实现了马克思主义中国化时代化新的飞跃。这一思想立足新时代的历史方位，对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等重大时代课题进行了系统回答。让学生掌握“十个明确”“十四个坚持”“十三个方面成就”以及“六个必须坚持”等核心内容，理解“十个明确”是对新时代中国特色社会主义本质特征和发展规律的集中概括 ，“十四个坚持”是新时代坚持和发展中国特色社会主义的基本方略，“十三个方面成就”展现了这一思想指导实践的卓越成效，“六个必须坚持”蕴含着其世界观和方法论。引导学生学会运用习近平新时代中国特色社会主义思想的立场、观点、方法分析现实问题，在复杂多变的社会环境中把握方向，解决实际生活和学习中的难题，切实将理论知识转化为推动社会进步和个人成长的实践力量，为实现中华民族伟大复兴的中国梦贡献智慧与力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16</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中国民俗剪纸技法</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了解剪纸的历史与文化内涵和掌握剪纸的基本知识。</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掌握剪纸艺术的历史渊源与文化内涵，了解不同地域的剪纸风格特点。学习传统剪纸纹样寓意，掌握基础剪纸工具使用方法与安全规范。</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学生能够熟练掌握剪纸的基本技法、剪纸的构图技巧，</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培养图案设计与剪刀运用能力，掌握对称、连续等基础剪纸技法。</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学会运用多种剪纸技法进行创作，鼓励学生在传统剪纸技法的基础上进行创新，结合现代设计理念和元素，创作出具有时代感和个性的剪纸作品。</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培育耐心细致的工作态度，提升审美鉴赏能力。增强文化自信，传承非遗技艺，培养创新思维与艺术表现力。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通过剪纸艺术，弘扬中华优秀传统文化，增强民族自豪感。在技艺传承中培育工匠精神，树立文化传承的责任意识。</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包含剪纸文化理论、基础技法训练、创意设计实践三大模块。理论部分讲解剪纸发展历史与地域特色；技法训练包括对称剪、镂空剪等基础技法；实践环节设计传统纹样临摹与创新作品制作。结合现代设计理念，融入专业特色，开展主题性剪纸创作，如节庆装饰、文创产品设计等实践项目。</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采用示范教学与个别指导相结合的方式，注重传统技艺的规范性。准备充足的教学素材与工具，创设良好的创作环境。学生需认真完成课堂练习，积极参与创作实践。教学中要突出文化传承价值，注重培养学生的审美能力与创新意识，鼓励将传统技艺与现代设计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17</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影视与鉴赏</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掌握影视基础知识，了解影视艺术的基本概念、发展历程、主要类型和流派。掌握影视制作的基本流程，鉴赏不同类型影视作品的基本方法和技巧，</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掌握影视创作基本流程。</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培养影视作品分析鉴赏能力，提升视听语言理解水平。掌握影视评论写作方法，具备基础影视审美判断能力。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培育艺术审美情趣，提高文化修养水平。增强创新思维能力，树立正确的价值观和艺术观。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通过优秀影视作品弘扬社会主义核心价值观。在艺术鉴赏中增强文化自信，培养家国情怀和人文精神。</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包含影视艺术基础理论、经典作品赏析、创作实践三个模块。理论部分讲解影视语言、类型特征等基础知识；赏析环节重点分析中外经典影片；实践模块组织短片创作、影评写作等活动。结合时代特色，选取反映社会发展的优秀作品，开展主题式影视教育活动。</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采用案例教学与互动讨论相结合的方式，精选具有教育意义的影视作品。学生需积极参与课堂讨论，完成鉴赏作业。教学中要注重价值引导，突出美育功能，培养学生批判性思维能力，提升艺术素养和人文情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18</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中国共产党简史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14:textFill>
                  <w14:solidFill>
                    <w14:schemeClr w14:val="tx1"/>
                  </w14:solidFill>
                </w14:textFill>
              </w:rPr>
              <w:t>把握中国共产党历史发展脉络，了解中国共产党百年奋</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斗的</w:t>
            </w:r>
            <w:r>
              <w:rPr>
                <w:rFonts w:hint="eastAsia" w:ascii="仿宋_GB2312" w:hAnsi="仿宋_GB2312" w:eastAsia="仿宋_GB2312" w:cs="仿宋_GB2312"/>
                <w:color w:val="000000" w:themeColor="text1"/>
                <w:sz w:val="24"/>
                <w:szCs w:val="24"/>
                <w:highlight w:val="none"/>
                <w14:textFill>
                  <w14:solidFill>
                    <w14:schemeClr w14:val="tx1"/>
                  </w14:solidFill>
                </w14:textFill>
              </w:rPr>
              <w:t>重大历史成就与历史经验；了解中国共产党是如何团结带领中国人民克服千难万险，创造了一个又一个彪炳史册的人间奇迹；了解一代又一代优秀中国共产党人的为民情怀与高尚情操。</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深刻领会“四大选择”，即历史和人民怎样选择了马克思主义、怎样选择了中国共产党、怎样选择了社会主义道路、选择了改革开放；历史和人民怎样经过艰辛曲折的社会主义建设道路的探索，进一步增强拥护中国共产党的领导和接受马克思主义指导的自觉性。通过课堂教学，运用参与式教学方法，鼓励学生开展自主性学习、合作性学习，帮助学生提高解决问题的能力，要求他们理论联系实际，力争解决现实社会遇到的各种问题。</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理解中国特色社会主义进入新时代的发展历程和时代特点。了解改革开放以来，我们寻找到了中国特色社会主义道路，形成了中国特色社会主义理论体系，并在中国特色社会主义理论体系指引下振兴中华民族的历程，从而自觉地继承和发扬近代以来中国共产党人的优秀品质，进一步增强民族自尊心、自信心和自豪感， 坚定对马克思主义的信仰、对中国共产党的信任、对社会主义的信心。促进学生政治素质和思想道德素质的提高，充分理解实行改革开放和实现中华民族伟大复兴中国梦的重大历史意义。</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课程内容包括中国共产党的创建和投身大革命</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的洪流</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掀起土地革命</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的</w:t>
            </w:r>
            <w:r>
              <w:rPr>
                <w:rFonts w:hint="eastAsia" w:ascii="仿宋_GB2312" w:hAnsi="仿宋_GB2312" w:eastAsia="仿宋_GB2312" w:cs="仿宋_GB2312"/>
                <w:color w:val="000000" w:themeColor="text1"/>
                <w:sz w:val="24"/>
                <w:szCs w:val="24"/>
                <w:highlight w:val="none"/>
                <w14:textFill>
                  <w14:solidFill>
                    <w14:schemeClr w14:val="tx1"/>
                  </w14:solidFill>
                </w14:textFill>
              </w:rPr>
              <w:t>风暴</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全民族抗日战争的中流砥柱</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夺取新民主主义革命的全国性胜利</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中华人民共和国的成立和社会主义制度的建立</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社会主义建设的探索和曲折发展</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伟大</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历史</w:t>
            </w:r>
            <w:r>
              <w:rPr>
                <w:rFonts w:hint="eastAsia" w:ascii="仿宋_GB2312" w:hAnsi="仿宋_GB2312" w:eastAsia="仿宋_GB2312" w:cs="仿宋_GB2312"/>
                <w:color w:val="000000" w:themeColor="text1"/>
                <w:sz w:val="24"/>
                <w:szCs w:val="24"/>
                <w:highlight w:val="none"/>
                <w14:textFill>
                  <w14:solidFill>
                    <w14:schemeClr w14:val="tx1"/>
                  </w14:solidFill>
                </w14:textFill>
              </w:rPr>
              <w:t>转折和中国特色社会主义的开创</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把中国特色社会主义全面推向21世纪</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在新</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的</w:t>
            </w:r>
            <w:r>
              <w:rPr>
                <w:rFonts w:hint="eastAsia" w:ascii="仿宋_GB2312" w:hAnsi="仿宋_GB2312" w:eastAsia="仿宋_GB2312" w:cs="仿宋_GB2312"/>
                <w:color w:val="000000" w:themeColor="text1"/>
                <w:sz w:val="24"/>
                <w:szCs w:val="24"/>
                <w:highlight w:val="none"/>
                <w14:textFill>
                  <w14:solidFill>
                    <w14:schemeClr w14:val="tx1"/>
                  </w14:solidFill>
                </w14:textFill>
              </w:rPr>
              <w:t>形势下坚持和发展中国特色社会主义</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中国特色社会主义进入新时代</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等</w:t>
            </w:r>
            <w:r>
              <w:rPr>
                <w:rFonts w:hint="eastAsia" w:ascii="仿宋_GB2312" w:hAnsi="仿宋_GB2312" w:eastAsia="仿宋_GB2312" w:cs="仿宋_GB2312"/>
                <w:color w:val="000000" w:themeColor="text1"/>
                <w:sz w:val="24"/>
                <w:szCs w:val="24"/>
                <w:highlight w:val="none"/>
                <w14:textFill>
                  <w14:solidFill>
                    <w14:schemeClr w14:val="tx1"/>
                  </w14:solidFill>
                </w14:textFill>
              </w:rPr>
              <w:t>。通过学习，学生将全面了解中国共产党领导中国人民进行革命、建设、改革的光辉历程，深刻领会党在各个历史时期取得的伟大成就和积累的宝贵经验。</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通过教师的理论讲授和丰富的史料佐证，以及线上线下参观历史纪念馆，引导学生树立正确的历史观，做到“</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学史明理、学史增信、学史崇德、学史力行</w:t>
            </w:r>
            <w:r>
              <w:rPr>
                <w:rFonts w:hint="eastAsia" w:ascii="仿宋_GB2312" w:hAnsi="仿宋_GB2312" w:eastAsia="仿宋_GB2312" w:cs="仿宋_GB2312"/>
                <w:color w:val="000000" w:themeColor="text1"/>
                <w:sz w:val="24"/>
                <w:szCs w:val="24"/>
                <w:highlight w:val="none"/>
                <w14:textFill>
                  <w14:solidFill>
                    <w14:schemeClr w14:val="tx1"/>
                  </w14:solidFill>
                </w14:textFill>
              </w:rPr>
              <w:t>”，感悟党的伟大，做“青春心向党</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14:textFill>
                  <w14:solidFill>
                    <w14:schemeClr w14:val="tx1"/>
                  </w14:solidFill>
                </w14:textFill>
              </w:rPr>
              <w:t>踔厉奋发建新功”的新时代青年。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19</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中华人民共和国简史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了解当代中国社会主义革命、建设和改革的具体历史条件和历史方位，其对国际共产主义运动的贡献。全面了解新中国历史的发展进程、历史分期、主要成就、探索进程中的曲折及重要经验教训、历史启示。掌握观察、分析、解决社会问题的基本方法和历史思维及辩证思维的能力。了解新中国成立的历史背景、历史意义，新中国成立初期的内外形势。恢复国民经济、巩固新生政权的主要措施及成效。新中国走社会主义道路的历史必然性。三大改造的主要过程、评价，“一五”计划的编制与实施。社会主义建设艰辛探索的主要过程、成就、失误及经验教训。</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jc w:val="both"/>
              <w:textAlignment w:val="auto"/>
              <w:rPr>
                <w:rFonts w:hint="eastAsia" w:ascii="仿宋_GB2312" w:hAnsi="仿宋_GB2312" w:eastAsia="仿宋_GB2312" w:cs="仿宋_GB2312"/>
                <w:i w:val="0"/>
                <w:iCs w:val="0"/>
                <w:caps w:val="0"/>
                <w:color w:val="000000" w:themeColor="text1"/>
                <w:spacing w:val="0"/>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学习新中国史研究的根本意义在于总结历史、立足现实、面向未来，不断深化对共产党执政规律、社会主义建设规律、人类社会发展规律的认识，总结治国理政经验，发挥思政育人功能，为实现中华民族伟大复兴的中国梦提供坚实的理论支撑。</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i w:val="0"/>
                <w:iCs w:val="0"/>
                <w:caps w:val="0"/>
                <w:color w:val="000000" w:themeColor="text1"/>
                <w:spacing w:val="0"/>
                <w:sz w:val="24"/>
                <w:szCs w:val="24"/>
                <w:highlight w:val="none"/>
                <w:lang w:val="en-US" w:eastAsia="zh-CN"/>
                <w14:textFill>
                  <w14:solidFill>
                    <w14:schemeClr w14:val="tx1"/>
                  </w14:solidFill>
                </w14:textFill>
              </w:rPr>
              <w:t>引导学生</w:t>
            </w:r>
            <w:r>
              <w:rPr>
                <w:rFonts w:hint="eastAsia" w:ascii="仿宋_GB2312" w:hAnsi="仿宋_GB2312"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了解在中国进行社会主义革命和建设的历史决定性及探索中主要成就、探索过程的艰辛曲折，坚定走中国特色社会主义道路的信念和信心；学会观察、分析和解决问题的科学方法，不断培养和提升辩证思维能力。</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课程主要包括：</w:t>
            </w:r>
            <w:r>
              <w:rPr>
                <w:rFonts w:hint="eastAsia" w:ascii="仿宋_GB2312" w:hAnsi="仿宋_GB2312" w:eastAsia="仿宋_GB2312" w:cs="仿宋_GB2312"/>
                <w:color w:val="000000" w:themeColor="text1"/>
                <w:sz w:val="24"/>
                <w:szCs w:val="24"/>
                <w:highlight w:val="none"/>
                <w14:textFill>
                  <w14:solidFill>
                    <w14:schemeClr w14:val="tx1"/>
                  </w14:solidFill>
                </w14:textFill>
              </w:rPr>
              <w:t>新中国成立和社会主义基本制度的确立</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社会主义建设的艰辛探索和曲折发展</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改革开放与中国特色社会主义的开创</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建立社会主义市场经济体制和把中国特色社会主义全面推向21世纪</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全面建设</w:t>
            </w:r>
            <w:r>
              <w:rPr>
                <w:rFonts w:hint="eastAsia" w:ascii="仿宋_GB2312" w:hAnsi="仿宋_GB2312" w:eastAsia="仿宋_GB2312" w:cs="仿宋_GB2312"/>
                <w:color w:val="000000" w:themeColor="text1"/>
                <w:sz w:val="24"/>
                <w:szCs w:val="24"/>
                <w:highlight w:val="none"/>
                <w14:textFill>
                  <w14:solidFill>
                    <w14:schemeClr w14:val="tx1"/>
                  </w14:solidFill>
                </w14:textFill>
              </w:rPr>
              <w:t>小康社会与新的形势下坚持和发展中国特色社会主义</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中国特色社会主义进入新时代和实现中华民族伟大复兴的中国梦</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决胜全面建成小康社会和开启全面建成社会主义现代化强国新征程</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等方面。通过学习，学生将深入了解中华人民共和国在各个历史阶段的发展变化，认识到中国特色社会主义道路的历史必然性和正确性，增强对国家的热爱和对未来的信心。</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通过课堂讲解、案例分析、小组讨论、模拟实践等方式，促进学生进一步增强民族自尊心、自信心和自豪感</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 xml:space="preserve"> 坚定对马克思主义的信仰、对中国共产党的信任、对社会主义的信心。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20</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改革开放简史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24"/>
                <w:szCs w:val="24"/>
                <w:highlight w:val="none"/>
                <w:lang w:val="en-US" w:eastAsia="zh-CN" w:bidi="ar-SA"/>
                <w14:textFill>
                  <w14:solidFill>
                    <w14:schemeClr w14:val="tx1"/>
                  </w14:solidFill>
                </w14:textFill>
              </w:rPr>
              <w:t>知识目标</w:t>
            </w:r>
            <w:r>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t>：帮助大学生了解我国改革开放的历史，把握一个国家、一个民族从贫穷落后到繁荣富强的规律，特别是党的十八大以来我国全面深化改革开放的新理念、新思想、新战略以及取得的重大成就和经验。掌握改革开放以来中国特色社会主义建设事业取得的历史性成就、作出的重大历史贡献，懂得进一步深化改革开放必须坚持的重要经验。</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24"/>
                <w:szCs w:val="24"/>
                <w:highlight w:val="none"/>
                <w:lang w:val="en-US" w:eastAsia="zh-CN" w:bidi="ar-SA"/>
                <w14:textFill>
                  <w14:solidFill>
                    <w14:schemeClr w14:val="tx1"/>
                  </w14:solidFill>
                </w14:textFill>
              </w:rPr>
              <w:t>能力目标：</w:t>
            </w:r>
            <w:r>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t>帮助学生更加熟练地运用辩证唯物主义和历史唯物主义的立场、观点、方法，全面正确认识我国改革开放取得的伟大成就，客观应对改革开放中的矛盾和问题，以更加积极主动的心态投身改革开放的伟大事业中。</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24"/>
                <w:szCs w:val="24"/>
                <w:highlight w:val="none"/>
                <w:lang w:val="en-US" w:eastAsia="zh-CN" w:bidi="ar-SA"/>
                <w14:textFill>
                  <w14:solidFill>
                    <w14:schemeClr w14:val="tx1"/>
                  </w14:solidFill>
                </w14:textFill>
              </w:rPr>
              <w:t>素质目标：</w:t>
            </w:r>
            <w:r>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t>使学生能够充分理解我国改革开放各个时期的路线、政策和目标，增强自觉执行党的路线、方针，增强“四个意识”、坚定“四个自信”、做到“两个维护”，紧密结合全面建设社会主义现代化国家的实际，把理论与实践、知与行统一起来，自觉投身于中国特色社会主义的伟大实践，为实现中华民族伟大复兴作出应有的贡献。</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课程内容涵盖</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改革开放拉开大幕</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改革开放全面展开</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改革开放开创新局面</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改革开放在科学发展中深化</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改革开放进入新时代</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坚定不移推进全面深化改革</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坚定不移扩大高水平对外开放</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等。</w:t>
            </w:r>
            <w:r>
              <w:rPr>
                <w:rFonts w:hint="eastAsia" w:ascii="仿宋_GB2312" w:hAnsi="仿宋_GB2312" w:eastAsia="仿宋_GB2312" w:cs="仿宋_GB2312"/>
                <w:color w:val="000000" w:themeColor="text1"/>
                <w:sz w:val="24"/>
                <w:szCs w:val="24"/>
                <w:highlight w:val="none"/>
                <w14:textFill>
                  <w14:solidFill>
                    <w14:schemeClr w14:val="tx1"/>
                  </w14:solidFill>
                </w14:textFill>
              </w:rPr>
              <w:t>通过学习，学生将了解改革开放是如何推动中国经济、政治、文化和社会等领域的深刻变革，如何使中国逐步走向世界舞台的中央，以及改革开放对中国和世界产生的深远影响。这将有助于学生更好地认识和理解中国特色社会主义的发展道路，坚定对中国特色社会主义的信心和决心。</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通过专题讲授法、情境通过专题讲授法、情境教学法</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案例教学法等</w:t>
            </w:r>
            <w:r>
              <w:rPr>
                <w:rFonts w:hint="eastAsia" w:ascii="仿宋_GB2312" w:hAnsi="仿宋_GB2312" w:eastAsia="仿宋_GB2312" w:cs="仿宋_GB2312"/>
                <w:color w:val="000000" w:themeColor="text1"/>
                <w:sz w:val="24"/>
                <w:szCs w:val="24"/>
                <w:highlight w:val="none"/>
                <w14:textFill>
                  <w14:solidFill>
                    <w14:schemeClr w14:val="tx1"/>
                  </w14:solidFill>
                </w14:textFill>
              </w:rPr>
              <w:t>，让学生能够系统把握中国改革开放事业的辉煌成就、重大贡献、重要经验和深刻启示。</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引导大学生在全面了解中国改革开放的历史进程中，中国共产党为国家和民族作出的伟大贡献，深刻感悟中国共产党始终不渝为人民的初心宗旨，弄清楚中国共产党为什么能、马克思主义为什么行、中国特色社会主义为什么好等基本道理，坚定不移听党话、跟党走，在全面建设社会主义现代化国家、实现中华民族伟大复兴的实践中建功立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21</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社会主义发展简史</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14:textFill>
                  <w14:solidFill>
                    <w14:schemeClr w14:val="tx1"/>
                  </w14:solidFill>
                </w14:textFill>
              </w:rPr>
              <w:t>帮助大学生重点了解空想社会主义的产生和发展，了解科学社会主义的产生和发展，了解世界和中国对社会主义道路和制度的探索和实践，了解新时代中国特色社会主义的理论创造和伟大实践</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从而增强对社会主义制度的认识与信心。</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有助于大学生开阔眼界，扩大视野，增长知识，学会把中国特色社会主义理论置于社会主义发生、发展和演变的历史长河中加以认识和把握；有助于大学生全面总结社会主义历史经验，正确看待历史遗产，在总结和借鉴正反两方面社会主义历史经验的基础上，加深对中国特色社会主义理论体系的理解；有助于大学生划清科学社会主义与非科学社会主义的界线，提高大学生的鉴别、分析和批判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帮助大学生正确认识和理解社会主义制度的优越性，进一步增强大学生道路自信、理论自信、制度自信、文化自信，进一步提升大学生坚持和发展中国特色社会主义理论的自觉性和坚定性。</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内容涵盖空想社会主义的产生与发展、科学社会主义的创立及其实践、世界第一个社会主义国家的建立、社会主义从一国到多国发展与苏联模式、中国共产党对社会主义建设道路的探索、世界社会主义的曲折与奋起、中国特色社会主义开辟社会主义新纪元、中国特色社会主义进入新时代。通过学习，学生将了解社会主义思想的起源、发展和变革，掌握社会主义制度在不同国家的实践经验和教训，为理解和坚持中国特色社会主义提供历史依据和理论支持。</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堂教学应采用启发式、研讨式、案例式、参与式、体验式、实践式等方法，充分调动学生的主体作用。在课程组织上应将理论讲授和社会实践融合在一起，贴近生活，贴近实际，使学生在现实生活中感受到历史的气息，既</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能激发学生的学习情趣</w:t>
            </w:r>
            <w:r>
              <w:rPr>
                <w:rFonts w:hint="eastAsia" w:ascii="仿宋_GB2312" w:hAnsi="仿宋_GB2312" w:eastAsia="仿宋_GB2312" w:cs="仿宋_GB2312"/>
                <w:color w:val="000000" w:themeColor="text1"/>
                <w:sz w:val="24"/>
                <w:szCs w:val="24"/>
                <w:highlight w:val="none"/>
                <w14:textFill>
                  <w14:solidFill>
                    <w14:schemeClr w14:val="tx1"/>
                  </w14:solidFill>
                </w14:textFill>
              </w:rPr>
              <w:t>，又有利于提高学生的认知、动手和研究能力，进而</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增强</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学生的爱国情怀</w:t>
            </w:r>
            <w:r>
              <w:rPr>
                <w:rFonts w:hint="eastAsia" w:ascii="仿宋_GB2312" w:hAnsi="仿宋_GB2312" w:eastAsia="仿宋_GB2312" w:cs="仿宋_GB2312"/>
                <w:color w:val="000000" w:themeColor="text1"/>
                <w:sz w:val="24"/>
                <w:szCs w:val="24"/>
                <w:highlight w:val="none"/>
                <w14:textFill>
                  <w14:solidFill>
                    <w14:schemeClr w14:val="tx1"/>
                  </w14:solidFill>
                </w14:textFill>
              </w:rPr>
              <w:t>、自信心和民族自豪感，帮助学生掌握关于当代社会主义的基本知识，以更深刻的视角理解认识当代中国社会，强化共产主义世界观。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22</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中华优秀传统文化</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掌握并传承中</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华优秀</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传统文化的基本内涵</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主要内容</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基本精神，了解了中国传统哲学、文学、</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仪式</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文化精髓，扩大学生视野，读懂更多的经典名著名篇，熟悉中国古代的艺术、科技、文化成果，弘扬中国传统礼仪、风俗及美食文化。</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掌握鉴赏中华优秀传统文化及其载体的能力；养成传统美德、树立文化自信、掌握文化精粹；培养发掘中华优秀传统文化的生成规律和闪光点的能力；能坚持创造性转化、创新性发展中华优秀传统文化。</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培养学生具有对中华优秀传统文化的热爱敬畏之情；具有强烈的民族精神、人文精神和科学精神；</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弘扬中华优秀传统文化</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树立中华优秀传统文化是我们每一个中国人的血脉和灵魂的情感；提升人格修养，培养文化情怀，</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具有较好的审美情趣和审美能力，</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具备一定的优秀传统文化素养。</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涵盖中华优秀传统文化的多个方面，包括传统文学、传统哲学、传统技艺、传统建筑、传统演艺、传统书画、传统饮食、传统医药、传统风俗、传统道德等。通过经典文献解读、历史故事讲述、艺术作品赏析等形式，系统介绍传统文化的基本内容与特点。同时，结合现代社会背景，探讨传统文化在当代的价值与应用，如道德伦理、社会治理、生态文明建设等方面的启示。</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堂上通过案例欣赏，要求学生积极参与课堂讨论，认真完成课后作业与阅读任务，深入理解并掌握课程知识。鼓励学生主动思考传统文化的现代意义，运用所学知识解决实际问题。同时，强调实践与体验的重要性，组织学生参与文化考察、艺术实践等活动，增强对传统文化的直观感受与亲身体验。通过多元化的考核方式，既系统介绍中国传统文化的基本精神和基本知识，又着力引导学生从文化的视野分析、解读当代社会的种种现象，全面评估学生的学习成效与综合素养。培养学生对民族文化的感情和担当大任的历史责任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23</w:t>
            </w:r>
          </w:p>
        </w:tc>
        <w:tc>
          <w:tcPr>
            <w:tcW w:w="752"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中华民族共同体概论</w:t>
            </w:r>
          </w:p>
        </w:tc>
        <w:tc>
          <w:tcPr>
            <w:tcW w:w="3928"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全面深入学习贯彻中央民族工作会议精神和习近平总书记关于加强和改进民族工作的重要思想，了解中华民族共同体的历史和现实，认识中华民族共同体的内涵与特征等中华民族共同体的基本常识，从历史中把握中华民族共同体演变的千年历程，树立正确的中华民族历史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w:t>
            </w:r>
            <w:r>
              <w:rPr>
                <w:rStyle w:val="14"/>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引导学生牢固树立“休戚与共、荣辱与共、生死与共、命运与共”的共同体理念，牢固树立正确的国家观、历史观、民族观、文化观、宗教观，增强学生对伟大祖国、中华民族、中华文化、中国共产党、中国特色社会主义的认同，为实现中华民族伟大复兴的中国梦不懈奋斗，不断巩固中华民族共同体思想基础。</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紧扣铸牢中华民族共同体意识的基本任务，自觉推动中华民族共同体建设。</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引导学生树立正确的中华民族历史观，不断增强“五个认同”，树立“四个与共”的理念，铸牢中华民族共同体意识，铸就中国心、铸造中华魂；学生能积极参与各民族交往交流交融；学生会思考在铸牢中华民族共同体意识的社会大势中规划人生蓝图，树立为中华民族伟大复兴贡献力量的高远理想，努力为实现中华民族复兴伟业贡献力量。</w:t>
            </w:r>
          </w:p>
        </w:tc>
        <w:tc>
          <w:tcPr>
            <w:tcW w:w="2960"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共设十六讲，系统涵盖多方面内容：从中华民族共同体的基础理论、正确历史观树立入手，按史前至清前中期的历史脉络，梳理了中华民族共同体的起源、演进、初步形成、大交融、繁盛、内聚发展、大统合、稳固壮大及格局底定过程；随后聚焦近现代以来，讲述了1840—1919年国家转型与民族意识觉醒、1919—1949年先锋队引领下的民族新选择、1949—2012年新中国开启的民族新纪元，以及2012年至今新时代的民族共同体建设；最后以“文明新路与人类命运共同体”收束，形成完整的课程内容体系。</w:t>
            </w:r>
          </w:p>
        </w:tc>
        <w:tc>
          <w:tcPr>
            <w:tcW w:w="262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要求学生积极参与课堂讨论，深入理解中华民族共同体的核心理念与价值追求。鼓励学生主动查阅资料，拓宽知识面，深化对中华民族共同体构建的认识。通过课程考核，全面评估学生的学习成效与中华民族共同体意识的养成情况。达到增强学生学习知识、理论的兴趣和钻研理论的热情、提高学生运用所学知识分析问题和解决问题的能力，培养正确开展民族交往交流交融的态度、情感、能力，铸牢中华民族共同体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24</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语文</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掌握现代汉语基础知识和常用文体特征，了解文学鉴赏基本方法。学习实用写作规范，提升语言表达准确性，培养基础文学素养。</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：培养阅读理解与书面表达能力，提升职场应用写作水平。增强口语交际能力，掌握专业文献阅读方法，适应职业发展需求。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培育人文精神与审美情趣，提高文化修养。增强逻辑思维与创新意识，树立终身学习理念。</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通过经典作品传承中华优秀传统文化，培育文化自信。在语言训练中融入社会主义核心价值观教育。</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包含现代汉语应用、文学鉴赏、实用写作三大模块。重点培养应用文写作、口语交际等实用技能，精选反映时代精神的文学作品。结合专业特色，设计职场情境语言训练，融入专业文献阅读指导，强化职业语文能力培养。</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教师需采用任务驱动教学法，设计真实语言应用场景。学生需积极参与课堂活动，完成实践训练任务。教学中要注重学用结合，突出职业导向，强化语言应用能力培养，提升学生人文素养和职业竞争力。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25</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物理</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掌握力学、热学、电磁学等经典物理核心概念与规律，了解其在高新技术和工程实践中的具体应用，构建必要的物理知识体系。</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能够运用物理原理分析和解决生产生活中的实际问题，具备基本的实验操作、数据处理和科学思维能力，提升技术应用与创新意识。</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培养严谨求实的科学态度、精益求精的工匠精神和探索未知的好奇心，为未来职业发展和终身学习奠定坚实基础。</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kern w:val="2"/>
                <w:sz w:val="24"/>
                <w:szCs w:val="24"/>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通过物理学史和科学家故事，弘扬科学精神和爱国情怀，培养职业道德、团队协作意识与社会责任感。</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课程涵盖经典物理核心内容，包括质点力学、刚体转动、机械振动与波；热力学基础与理想气体状态方程；静电场、恒定磁场与电磁感应现象。教学内容注重与专业结合，通过案例分析介绍物理原理在工程技术（如机械、电气、汽车）中的典型应用，并安排基础物理实验以强化实践认知。</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理论与实践并重，采用案例教学、项目驱动等方法，紧密联系专业实际和生活中的物理现象，激发学生兴趣。充分利用多媒体等信息化手段辅助教学，强化直观理解。注重培养学生动手操作、观察分析和解决实际问题的能力，鼓励团队协作与创新思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26</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化学</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掌握物质结构、溶液化学、反应速率、电解质溶液等基本化学原理，熟悉常见元素及其化合物的性质与重要反应律。</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能够规范进行基础化学实验操作，具备分析处理实验数据、鉴别常见物质及解决化工生产中一般性化学问题的实践能力。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培养严谨细致、实事求是的科学作风，树立环保、安全、节约的意识，为未来从事相关技术工作奠定良好的职业素养基础。</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kern w:val="2"/>
                <w:sz w:val="24"/>
                <w:szCs w:val="24"/>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通过我国古代化工成就与现代科技发展案例，增强民族自豪感，培养绿色化学理念、社会责任感和职业道德。</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教学内容涵盖物质结构基础；化学反应基本原理（能量、速率与平衡）；重要元素及其化合物（如金属、非金属）的性质与应用；溶液（电离、pH、胶体）与分析化学基础；有机化学入门（常见烃与烃的衍生物）。课程将紧密结合环境监测、材料加工、生物医药、日用化工等专业领域实例展开教学，并配套基础化学实验。</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坚持“理论够用、重在应用”原则，采用项目化、案例式教学，将知识点融入专业实例和生活情境。充分利用演示实验等手段辅助教学，突出重点，化解难点。高度重视实验安全教育，严格规范学生操作流程，着重培养其观察、动手、分析和解决实际问题的综合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pPr>
              <w:keepNext w:val="0"/>
              <w:keepLines w:val="0"/>
              <w:pageBreakBefore w:val="0"/>
              <w:widowControl w:val="0"/>
              <w:kinsoku/>
              <w:wordWrap/>
              <w:overflowPunct/>
              <w:topLinePunct w:val="0"/>
              <w:autoSpaceDE/>
              <w:autoSpaceDN/>
              <w:bidi w:val="0"/>
              <w:adjustRightInd/>
              <w:snapToGrid w:val="0"/>
              <w:spacing w:after="0" w:line="32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kern w:val="2"/>
                <w:sz w:val="24"/>
                <w:szCs w:val="24"/>
                <w:highlight w:val="none"/>
                <w:lang w:val="en-US" w:eastAsia="zh-CN" w:bidi="ar-SA"/>
              </w:rPr>
              <w:t>27</w:t>
            </w:r>
          </w:p>
        </w:tc>
        <w:tc>
          <w:tcPr>
            <w:tcW w:w="752"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after="0" w:line="300" w:lineRule="exact"/>
              <w:jc w:val="left"/>
              <w:textAlignment w:val="auto"/>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default" w:ascii="仿宋_GB2312" w:hAnsi="仿宋_GB2312" w:eastAsia="仿宋_GB2312" w:cs="仿宋_GB2312"/>
                <w:color w:val="auto"/>
                <w:sz w:val="24"/>
                <w:szCs w:val="24"/>
                <w:highlight w:val="none"/>
                <w:lang w:val="en-US" w:eastAsia="zh-CN"/>
              </w:rPr>
              <w:t>职业人文基础</w:t>
            </w:r>
          </w:p>
        </w:tc>
        <w:tc>
          <w:tcPr>
            <w:tcW w:w="3928" w:type="dxa"/>
            <w:shd w:val="clear" w:color="auto" w:fill="auto"/>
            <w:vAlign w:val="top"/>
          </w:tcPr>
          <w:p>
            <w:pPr>
              <w:keepNext w:val="0"/>
              <w:keepLines w:val="0"/>
              <w:pageBreakBefore w:val="0"/>
              <w:widowControl w:val="0"/>
              <w:kinsoku/>
              <w:wordWrap/>
              <w:overflowPunct/>
              <w:topLinePunct w:val="0"/>
              <w:autoSpaceDE/>
              <w:autoSpaceDN/>
              <w:bidi w:val="0"/>
              <w:adjustRightInd/>
              <w:snapToGrid w:val="0"/>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知识目标</w:t>
            </w:r>
            <w:r>
              <w:rPr>
                <w:rFonts w:hint="eastAsia" w:ascii="仿宋_GB2312" w:hAnsi="仿宋_GB2312" w:eastAsia="仿宋_GB2312" w:cs="仿宋_GB2312"/>
                <w:color w:val="auto"/>
                <w:kern w:val="2"/>
                <w:sz w:val="24"/>
                <w:szCs w:val="24"/>
                <w:highlight w:val="none"/>
                <w:lang w:val="en-US" w:eastAsia="zh-CN" w:bidi="ar-SA"/>
              </w:rPr>
              <w:t>：掌握人文社科的基本概念、理论；了解人文素养在职业发展中的重要性相关知识。</w:t>
            </w:r>
          </w:p>
          <w:p>
            <w:pPr>
              <w:keepNext w:val="0"/>
              <w:keepLines w:val="0"/>
              <w:pageBreakBefore w:val="0"/>
              <w:widowControl w:val="0"/>
              <w:kinsoku/>
              <w:wordWrap/>
              <w:overflowPunct/>
              <w:topLinePunct w:val="0"/>
              <w:autoSpaceDE/>
              <w:autoSpaceDN/>
              <w:bidi w:val="0"/>
              <w:adjustRightInd/>
              <w:snapToGrid w:val="0"/>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能力目标：</w:t>
            </w:r>
            <w:r>
              <w:rPr>
                <w:rFonts w:hint="eastAsia" w:ascii="仿宋_GB2312" w:hAnsi="仿宋_GB2312" w:eastAsia="仿宋_GB2312" w:cs="仿宋_GB2312"/>
                <w:color w:val="auto"/>
                <w:kern w:val="2"/>
                <w:sz w:val="24"/>
                <w:szCs w:val="24"/>
                <w:highlight w:val="none"/>
                <w:lang w:val="en-US" w:eastAsia="zh-CN" w:bidi="ar-SA"/>
              </w:rPr>
              <w:t>能够运用人文知识分析职业场景中的文化现象、人际互动等问题；具备良好的文字表达和口头交流能力，能清晰阐述人文观点。</w:t>
            </w:r>
          </w:p>
          <w:p>
            <w:pPr>
              <w:keepNext w:val="0"/>
              <w:keepLines w:val="0"/>
              <w:pageBreakBefore w:val="0"/>
              <w:widowControl w:val="0"/>
              <w:kinsoku/>
              <w:wordWrap/>
              <w:overflowPunct/>
              <w:topLinePunct w:val="0"/>
              <w:autoSpaceDE/>
              <w:autoSpaceDN/>
              <w:bidi w:val="0"/>
              <w:adjustRightInd/>
              <w:snapToGrid w:val="0"/>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素质目标：</w:t>
            </w:r>
            <w:r>
              <w:rPr>
                <w:rFonts w:hint="eastAsia" w:ascii="仿宋_GB2312" w:hAnsi="仿宋_GB2312" w:eastAsia="仿宋_GB2312" w:cs="仿宋_GB2312"/>
                <w:color w:val="auto"/>
                <w:kern w:val="2"/>
                <w:sz w:val="24"/>
                <w:szCs w:val="24"/>
                <w:highlight w:val="none"/>
                <w:lang w:val="en-US" w:eastAsia="zh-CN" w:bidi="ar-SA"/>
              </w:rPr>
              <w:t>培养学生对不同文化、价值观的尊重与包容，提升审美情趣和文化修养；塑造学生诚实守信、敬业负责的职业态度。</w:t>
            </w:r>
          </w:p>
          <w:p>
            <w:pPr>
              <w:keepNext w:val="0"/>
              <w:keepLines w:val="0"/>
              <w:pageBreakBefore w:val="0"/>
              <w:widowControl w:val="0"/>
              <w:kinsoku/>
              <w:wordWrap/>
              <w:overflowPunct/>
              <w:topLinePunct w:val="0"/>
              <w:autoSpaceDE/>
              <w:autoSpaceDN/>
              <w:bidi w:val="0"/>
              <w:adjustRightInd/>
              <w:snapToGrid w:val="0"/>
              <w:spacing w:after="0" w:line="300" w:lineRule="exact"/>
              <w:jc w:val="both"/>
              <w:textAlignment w:val="auto"/>
              <w:rPr>
                <w:rFonts w:hint="default" w:ascii="仿宋_GB2312" w:hAnsi="仿宋_GB2312" w:eastAsia="仿宋_GB2312" w:cs="仿宋_GB2312"/>
                <w:b/>
                <w:bCs/>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b/>
                <w:bCs/>
                <w:color w:val="auto"/>
                <w:kern w:val="2"/>
                <w:sz w:val="24"/>
                <w:szCs w:val="24"/>
                <w:highlight w:val="none"/>
                <w:lang w:val="en-US" w:eastAsia="zh-CN" w:bidi="ar-SA"/>
              </w:rPr>
              <w:t>课程思政育人目标：</w:t>
            </w:r>
            <w:r>
              <w:rPr>
                <w:rFonts w:hint="eastAsia" w:ascii="仿宋_GB2312" w:hAnsi="仿宋_GB2312" w:eastAsia="仿宋_GB2312" w:cs="仿宋_GB2312"/>
                <w:color w:val="auto"/>
                <w:kern w:val="2"/>
                <w:sz w:val="24"/>
                <w:szCs w:val="24"/>
                <w:highlight w:val="none"/>
                <w:lang w:val="en-US" w:eastAsia="zh-CN" w:bidi="ar-SA"/>
              </w:rPr>
              <w:t>引导学生从人文历史中汲取精神力量，树立正确的世界观、人生观、价值观；培养学生的社会责任感和家国情怀，明白职业发展与社会文化传承的紧密联系。</w:t>
            </w:r>
          </w:p>
        </w:tc>
        <w:tc>
          <w:tcPr>
            <w:tcW w:w="2960" w:type="dxa"/>
            <w:shd w:val="clear" w:color="auto" w:fill="auto"/>
            <w:vAlign w:val="top"/>
          </w:tcPr>
          <w:p>
            <w:pPr>
              <w:keepNext w:val="0"/>
              <w:keepLines w:val="0"/>
              <w:pageBreakBefore w:val="0"/>
              <w:widowControl w:val="0"/>
              <w:kinsoku/>
              <w:wordWrap/>
              <w:overflowPunct/>
              <w:topLinePunct w:val="0"/>
              <w:autoSpaceDE/>
              <w:autoSpaceDN/>
              <w:bidi w:val="0"/>
              <w:adjustRightInd/>
              <w:snapToGrid w:val="0"/>
              <w:spacing w:after="0" w:line="300" w:lineRule="exact"/>
              <w:jc w:val="both"/>
              <w:textAlignment w:val="auto"/>
              <w:rPr>
                <w:rFonts w:hint="default" w:ascii="仿宋_GB2312" w:hAnsi="仿宋_GB2312" w:eastAsia="仿宋_GB2312" w:cs="仿宋_GB2312"/>
                <w:color w:val="000000" w:themeColor="text1"/>
                <w:sz w:val="24"/>
                <w:szCs w:val="24"/>
                <w:lang w:val="en-US" w:eastAsia="zh-CN"/>
                <w14:textFill>
                  <w14:solidFill>
                    <w14:schemeClr w14:val="tx1"/>
                  </w14:solidFill>
                </w14:textFill>
              </w:rPr>
            </w:pPr>
            <w:r>
              <w:rPr>
                <w:rFonts w:hint="default" w:ascii="仿宋_GB2312" w:hAnsi="仿宋_GB2312" w:eastAsia="仿宋_GB2312" w:cs="仿宋_GB2312"/>
                <w:color w:val="auto"/>
                <w:sz w:val="24"/>
                <w:szCs w:val="24"/>
                <w:highlight w:val="none"/>
                <w:lang w:val="en-US" w:eastAsia="zh-CN"/>
              </w:rPr>
              <w:t>课程将系统讲解现代职场伦理规范与职业行为准则，深入分析不同行业的企业文化特征与职场人际关系处理策略，通过典型案例研习职场礼仪与职业形象管理要点，结合实践训练职场文书写作与商务沟通技巧，并引入职业心理健康维护与压力应对的实用方法。</w:t>
            </w:r>
          </w:p>
        </w:tc>
        <w:tc>
          <w:tcPr>
            <w:tcW w:w="2626" w:type="dxa"/>
            <w:shd w:val="clear" w:color="auto" w:fill="auto"/>
            <w:vAlign w:val="top"/>
          </w:tcPr>
          <w:p>
            <w:pPr>
              <w:keepNext w:val="0"/>
              <w:keepLines w:val="0"/>
              <w:pageBreakBefore w:val="0"/>
              <w:widowControl w:val="0"/>
              <w:kinsoku/>
              <w:wordWrap/>
              <w:overflowPunct/>
              <w:topLinePunct w:val="0"/>
              <w:autoSpaceDE/>
              <w:autoSpaceDN/>
              <w:bidi w:val="0"/>
              <w:adjustRightInd/>
              <w:snapToGrid w:val="0"/>
              <w:spacing w:after="0" w:line="300" w:lineRule="exact"/>
              <w:jc w:val="both"/>
              <w:textAlignment w:val="auto"/>
              <w:rPr>
                <w:rFonts w:hint="default" w:ascii="仿宋_GB2312" w:hAnsi="仿宋_GB2312" w:eastAsia="仿宋_GB2312" w:cs="仿宋_GB2312"/>
                <w:color w:val="000000" w:themeColor="text1"/>
                <w:sz w:val="24"/>
                <w:szCs w:val="24"/>
                <w:lang w:val="en-US" w:eastAsia="zh-CN"/>
                <w14:textFill>
                  <w14:solidFill>
                    <w14:schemeClr w14:val="tx1"/>
                  </w14:solidFill>
                </w14:textFill>
              </w:rPr>
            </w:pPr>
            <w:r>
              <w:rPr>
                <w:rFonts w:hint="default" w:ascii="仿宋_GB2312" w:hAnsi="仿宋_GB2312" w:eastAsia="仿宋_GB2312" w:cs="仿宋_GB2312"/>
                <w:color w:val="auto"/>
                <w:sz w:val="24"/>
                <w:szCs w:val="24"/>
                <w:highlight w:val="none"/>
                <w:lang w:val="en-US" w:eastAsia="zh-CN"/>
              </w:rPr>
              <w:t>通过系统的案例分析训练，使学生能够准确识别职场中的伦理困境并提出合理解决方案；通过角色扮演和情景模拟，培养学生达到在跨部门协作中有效沟通、化解冲突的能力；通过职业文书写作实训，使学生掌握规范的商务邮件、工作报告等实用文体的撰写技巧；最终使学生具备在真实职场环境中展现专业素养和人文关怀的综合能力</w:t>
            </w:r>
            <w:r>
              <w:rPr>
                <w:rFonts w:hint="eastAsia" w:ascii="仿宋_GB2312" w:hAnsi="仿宋_GB2312" w:eastAsia="仿宋_GB2312" w:cs="仿宋_GB2312"/>
                <w:color w:val="auto"/>
                <w:sz w:val="24"/>
                <w:szCs w:val="24"/>
                <w:highlight w:val="none"/>
                <w:lang w:val="en-US" w:eastAsia="zh-CN"/>
              </w:rPr>
              <w:t>。</w:t>
            </w:r>
          </w:p>
        </w:tc>
      </w:tr>
    </w:tbl>
    <w:p>
      <w:pPr>
        <w:pStyle w:val="2"/>
        <w:pageBreakBefore w:val="0"/>
        <w:widowControl/>
        <w:kinsoku/>
        <w:wordWrap/>
        <w:topLinePunct w:val="0"/>
        <w:autoSpaceDE/>
        <w:autoSpaceDN/>
        <w:bidi w:val="0"/>
        <w:snapToGrid/>
        <w:spacing w:before="0" w:after="0" w:line="520" w:lineRule="exact"/>
        <w:ind w:firstLine="640" w:firstLineChars="200"/>
        <w:jc w:val="left"/>
        <w:textAlignment w:val="auto"/>
        <w:outlineLvl w:val="1"/>
        <w:rPr>
          <w:rFonts w:hint="eastAsia" w:ascii="楷体" w:hAnsi="楷体" w:eastAsia="楷体" w:cs="楷体"/>
          <w:b w:val="0"/>
          <w:bCs/>
          <w:color w:val="auto"/>
          <w:sz w:val="32"/>
          <w:szCs w:val="32"/>
          <w:highlight w:val="none"/>
        </w:rPr>
      </w:pPr>
      <w:bookmarkStart w:id="56" w:name="_Toc10669"/>
      <w:r>
        <w:rPr>
          <w:rFonts w:hint="eastAsia" w:ascii="楷体" w:hAnsi="楷体" w:eastAsia="楷体" w:cs="楷体"/>
          <w:b w:val="0"/>
          <w:bCs/>
          <w:color w:val="auto"/>
          <w:sz w:val="32"/>
          <w:szCs w:val="32"/>
          <w:highlight w:val="none"/>
        </w:rPr>
        <w:t>（二）专业课程</w:t>
      </w:r>
      <w:bookmarkEnd w:id="56"/>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rPr>
        <w:t>一般包括专业基础课程、专业核心课程和专业拓展课程</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并涵盖有关实践性教学环节。</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rPr>
      </w:pPr>
      <w:bookmarkStart w:id="57" w:name="_Toc90734975"/>
      <w:r>
        <w:rPr>
          <w:rFonts w:hint="eastAsia" w:ascii="仿宋_GB2312" w:hAnsi="仿宋_GB2312" w:eastAsia="仿宋_GB2312" w:cs="仿宋_GB2312"/>
          <w:b w:val="0"/>
          <w:bCs w:val="0"/>
          <w:color w:val="auto"/>
          <w:sz w:val="32"/>
          <w:szCs w:val="32"/>
          <w:highlight w:val="none"/>
        </w:rPr>
        <w:t>1.专业基础课程</w:t>
      </w:r>
      <w:bookmarkEnd w:id="57"/>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jc w:val="left"/>
        <w:textAlignment w:val="auto"/>
        <w:rPr>
          <w:rFonts w:hint="eastAsia" w:ascii="仿宋_GB2312" w:hAnsi="仿宋_GB2312" w:eastAsia="仿宋_GB2312" w:cs="仿宋_GB2312"/>
          <w:color w:val="auto"/>
          <w:spacing w:val="-4"/>
          <w:sz w:val="32"/>
          <w:szCs w:val="32"/>
          <w:highlight w:val="none"/>
          <w:lang w:eastAsia="zh-CN"/>
        </w:rPr>
      </w:pPr>
      <w:r>
        <w:rPr>
          <w:rFonts w:hint="eastAsia" w:ascii="仿宋_GB2312" w:hAnsi="仿宋_GB2312" w:eastAsia="仿宋_GB2312" w:cs="仿宋_GB2312"/>
          <w:color w:val="auto"/>
          <w:kern w:val="2"/>
          <w:sz w:val="32"/>
          <w:szCs w:val="32"/>
          <w:highlight w:val="none"/>
          <w:lang w:val="en-US" w:eastAsia="zh-CN" w:bidi="ar-SA"/>
        </w:rPr>
        <w:t>专业基础课是为后续专业课程学习打基础的课程。包括：</w:t>
      </w:r>
      <w:r>
        <w:rPr>
          <w:rFonts w:hint="eastAsia" w:ascii="仿宋_GB2312" w:hAnsi="仿宋_GB2312" w:eastAsia="仿宋_GB2312" w:cs="仿宋_GB2312"/>
          <w:color w:val="000000"/>
          <w:kern w:val="0"/>
          <w:sz w:val="32"/>
          <w:szCs w:val="32"/>
          <w:highlight w:val="none"/>
          <w:lang w:val="en-US" w:eastAsia="zh-CN" w:bidi="ar"/>
        </w:rPr>
        <w:t>现代家政导论、管理学基础、社会学概论、人体结构与功能、家庭保健基础、婴幼儿心理发展、家政服务沟通与礼仪、人力资源管理、家政职业道德与法律法规、医疗急救</w:t>
      </w:r>
      <w:r>
        <w:rPr>
          <w:rFonts w:hint="eastAsia" w:ascii="仿宋_GB2312" w:hAnsi="仿宋_GB2312" w:eastAsia="仿宋_GB2312" w:cs="仿宋_GB2312"/>
          <w:color w:val="auto"/>
          <w:spacing w:val="-4"/>
          <w:sz w:val="32"/>
          <w:szCs w:val="32"/>
          <w:highlight w:val="none"/>
        </w:rPr>
        <w:t>等课程</w:t>
      </w:r>
      <w:r>
        <w:rPr>
          <w:rFonts w:hint="eastAsia" w:ascii="仿宋_GB2312" w:hAnsi="仿宋_GB2312" w:eastAsia="仿宋_GB2312" w:cs="仿宋_GB2312"/>
          <w:color w:val="auto"/>
          <w:spacing w:val="-4"/>
          <w:sz w:val="32"/>
          <w:szCs w:val="32"/>
          <w:highlight w:val="none"/>
          <w:lang w:eastAsia="zh-CN"/>
        </w:rPr>
        <w:t>。</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jc w:val="center"/>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表3</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专业基础课</w:t>
      </w:r>
      <w:r>
        <w:rPr>
          <w:rFonts w:hint="eastAsia" w:ascii="仿宋_GB2312" w:hAnsi="仿宋_GB2312" w:eastAsia="仿宋_GB2312" w:cs="仿宋_GB2312"/>
          <w:color w:val="auto"/>
          <w:sz w:val="32"/>
          <w:szCs w:val="32"/>
          <w:highlight w:val="none"/>
          <w:lang w:val="en-US" w:eastAsia="zh-CN"/>
        </w:rPr>
        <w:t>课</w:t>
      </w:r>
      <w:r>
        <w:rPr>
          <w:rFonts w:hint="eastAsia" w:ascii="仿宋_GB2312" w:hAnsi="仿宋_GB2312" w:eastAsia="仿宋_GB2312" w:cs="仿宋_GB2312"/>
          <w:color w:val="auto"/>
          <w:sz w:val="32"/>
          <w:szCs w:val="32"/>
          <w:highlight w:val="none"/>
        </w:rPr>
        <w:t>程</w:t>
      </w:r>
      <w:r>
        <w:rPr>
          <w:rFonts w:hint="eastAsia" w:ascii="仿宋_GB2312" w:hAnsi="仿宋_GB2312" w:eastAsia="仿宋_GB2312" w:cs="仿宋_GB2312"/>
          <w:color w:val="auto"/>
          <w:sz w:val="32"/>
          <w:szCs w:val="32"/>
          <w:highlight w:val="none"/>
          <w:lang w:val="en-US" w:eastAsia="zh-CN"/>
        </w:rPr>
        <w:t>目标、主要教学内容与要求</w:t>
      </w:r>
    </w:p>
    <w:tbl>
      <w:tblPr>
        <w:tblStyle w:val="12"/>
        <w:tblW w:w="10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
        <w:gridCol w:w="741"/>
        <w:gridCol w:w="3964"/>
        <w:gridCol w:w="2735"/>
        <w:gridCol w:w="2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spacing w:line="320" w:lineRule="exact"/>
              <w:jc w:val="center"/>
              <w:rPr>
                <w:rFonts w:hint="eastAsia" w:ascii="仿宋_GB2312" w:hAnsi="仿宋_GB2312" w:eastAsia="仿宋_GB2312" w:cs="仿宋_GB2312"/>
                <w:b w:val="0"/>
                <w:bCs w:val="0"/>
                <w:color w:val="auto"/>
                <w:sz w:val="24"/>
                <w:highlight w:val="none"/>
              </w:rPr>
            </w:pPr>
            <w:r>
              <w:rPr>
                <w:rFonts w:hint="eastAsia" w:ascii="仿宋_GB2312" w:hAnsi="仿宋_GB2312" w:eastAsia="仿宋_GB2312" w:cs="仿宋_GB2312"/>
                <w:b w:val="0"/>
                <w:bCs w:val="0"/>
                <w:color w:val="auto"/>
                <w:sz w:val="24"/>
                <w:highlight w:val="none"/>
              </w:rPr>
              <w:t>序号</w:t>
            </w:r>
          </w:p>
        </w:tc>
        <w:tc>
          <w:tcPr>
            <w:tcW w:w="741" w:type="dxa"/>
            <w:vAlign w:val="center"/>
          </w:tcPr>
          <w:p>
            <w:pPr>
              <w:spacing w:line="360" w:lineRule="exact"/>
              <w:jc w:val="center"/>
              <w:rPr>
                <w:rFonts w:hint="eastAsia" w:ascii="仿宋_GB2312" w:hAnsi="仿宋_GB2312" w:eastAsia="仿宋_GB2312" w:cs="仿宋_GB2312"/>
                <w:b w:val="0"/>
                <w:bCs w:val="0"/>
                <w:color w:val="auto"/>
                <w:sz w:val="24"/>
                <w:highlight w:val="none"/>
              </w:rPr>
            </w:pPr>
            <w:r>
              <w:rPr>
                <w:rFonts w:hint="eastAsia" w:ascii="仿宋_GB2312" w:hAnsi="仿宋_GB2312" w:eastAsia="仿宋_GB2312" w:cs="仿宋_GB2312"/>
                <w:b w:val="0"/>
                <w:bCs w:val="0"/>
                <w:color w:val="auto"/>
                <w:sz w:val="24"/>
                <w:szCs w:val="24"/>
                <w:highlight w:val="none"/>
              </w:rPr>
              <w:t>课程名称</w:t>
            </w:r>
          </w:p>
        </w:tc>
        <w:tc>
          <w:tcPr>
            <w:tcW w:w="3964" w:type="dxa"/>
            <w:vAlign w:val="center"/>
          </w:tcPr>
          <w:p>
            <w:pPr>
              <w:spacing w:line="360" w:lineRule="exact"/>
              <w:jc w:val="center"/>
              <w:rPr>
                <w:rFonts w:hint="eastAsia" w:ascii="仿宋_GB2312" w:hAnsi="仿宋_GB2312" w:eastAsia="仿宋_GB2312" w:cs="仿宋_GB2312"/>
                <w:b w:val="0"/>
                <w:bCs w:val="0"/>
                <w:color w:val="auto"/>
                <w:sz w:val="24"/>
                <w:highlight w:val="none"/>
              </w:rPr>
            </w:pPr>
            <w:r>
              <w:rPr>
                <w:rFonts w:hint="eastAsia" w:ascii="仿宋_GB2312" w:hAnsi="仿宋_GB2312" w:eastAsia="仿宋_GB2312" w:cs="仿宋_GB2312"/>
                <w:b w:val="0"/>
                <w:bCs w:val="0"/>
                <w:color w:val="auto"/>
                <w:sz w:val="24"/>
                <w:szCs w:val="24"/>
                <w:highlight w:val="none"/>
                <w:lang w:val="en-US" w:eastAsia="zh-CN"/>
              </w:rPr>
              <w:t>课程</w:t>
            </w:r>
            <w:r>
              <w:rPr>
                <w:rFonts w:hint="eastAsia" w:ascii="仿宋_GB2312" w:hAnsi="仿宋_GB2312" w:eastAsia="仿宋_GB2312" w:cs="仿宋_GB2312"/>
                <w:b w:val="0"/>
                <w:bCs w:val="0"/>
                <w:color w:val="auto"/>
                <w:sz w:val="24"/>
                <w:szCs w:val="24"/>
                <w:highlight w:val="none"/>
              </w:rPr>
              <w:t>目标</w:t>
            </w:r>
          </w:p>
        </w:tc>
        <w:tc>
          <w:tcPr>
            <w:tcW w:w="2735" w:type="dxa"/>
            <w:vAlign w:val="center"/>
          </w:tcPr>
          <w:p>
            <w:pPr>
              <w:spacing w:line="360" w:lineRule="exact"/>
              <w:jc w:val="center"/>
              <w:rPr>
                <w:rFonts w:hint="eastAsia" w:ascii="仿宋_GB2312" w:hAnsi="仿宋_GB2312" w:eastAsia="仿宋_GB2312" w:cs="仿宋_GB2312"/>
                <w:b w:val="0"/>
                <w:bCs w:val="0"/>
                <w:color w:val="auto"/>
                <w:sz w:val="24"/>
                <w:highlight w:val="none"/>
              </w:rPr>
            </w:pPr>
            <w:r>
              <w:rPr>
                <w:rFonts w:hint="eastAsia" w:ascii="仿宋_GB2312" w:hAnsi="仿宋_GB2312" w:eastAsia="仿宋_GB2312" w:cs="仿宋_GB2312"/>
                <w:b w:val="0"/>
                <w:bCs w:val="0"/>
                <w:color w:val="auto"/>
                <w:sz w:val="24"/>
                <w:szCs w:val="24"/>
                <w:highlight w:val="none"/>
                <w:lang w:val="en-US" w:eastAsia="zh-CN"/>
              </w:rPr>
              <w:t>主要</w:t>
            </w:r>
            <w:r>
              <w:rPr>
                <w:rFonts w:hint="eastAsia" w:ascii="仿宋_GB2312" w:hAnsi="仿宋_GB2312" w:eastAsia="仿宋_GB2312" w:cs="仿宋_GB2312"/>
                <w:b w:val="0"/>
                <w:bCs w:val="0"/>
                <w:color w:val="auto"/>
                <w:sz w:val="24"/>
                <w:szCs w:val="24"/>
                <w:highlight w:val="none"/>
              </w:rPr>
              <w:t>教学内容</w:t>
            </w:r>
          </w:p>
        </w:tc>
        <w:tc>
          <w:tcPr>
            <w:tcW w:w="2614" w:type="dxa"/>
            <w:vAlign w:val="center"/>
          </w:tcPr>
          <w:p>
            <w:pPr>
              <w:spacing w:line="360" w:lineRule="exact"/>
              <w:jc w:val="center"/>
              <w:rPr>
                <w:rFonts w:hint="eastAsia" w:ascii="仿宋_GB2312" w:hAnsi="仿宋_GB2312" w:eastAsia="仿宋_GB2312" w:cs="仿宋_GB2312"/>
                <w:b w:val="0"/>
                <w:bCs w:val="0"/>
                <w:color w:val="auto"/>
                <w:sz w:val="24"/>
                <w:highlight w:val="none"/>
              </w:rPr>
            </w:pPr>
            <w:r>
              <w:rPr>
                <w:rFonts w:hint="eastAsia" w:ascii="仿宋_GB2312" w:hAnsi="仿宋_GB2312" w:eastAsia="仿宋_GB2312" w:cs="仿宋_GB2312"/>
                <w:b w:val="0"/>
                <w:bCs w:val="0"/>
                <w:color w:val="auto"/>
                <w:sz w:val="24"/>
                <w:szCs w:val="24"/>
                <w:highlight w:val="none"/>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1</w:t>
            </w:r>
          </w:p>
        </w:tc>
        <w:tc>
          <w:tcPr>
            <w:tcW w:w="741" w:type="dxa"/>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现代家政导论</w:t>
            </w:r>
          </w:p>
        </w:tc>
        <w:tc>
          <w:tcPr>
            <w:tcW w:w="3964"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rPr>
              <w:t>掌握现代家政的基本概念、内涵与发展历程；了解现代家政服务与管理的主要内容、服务模式及行业规范。</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val="0"/>
                <w:bCs w:val="0"/>
                <w:color w:val="auto"/>
                <w:sz w:val="24"/>
                <w:szCs w:val="24"/>
                <w:highlight w:val="none"/>
              </w:rPr>
              <w:t>能够对现代家政服务与管理行业有整体认知，具备初步的家政服务需求分析能力；能向他人介绍现代家政行业的基本情况。</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val="0"/>
                <w:bCs w:val="0"/>
                <w:color w:val="auto"/>
                <w:sz w:val="24"/>
                <w:szCs w:val="24"/>
                <w:highlight w:val="none"/>
              </w:rPr>
              <w:t>培养学生对现代家政行业的认同感和职业自豪感，树立专业自信；提升学生的服务意识和职业道德素养。</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val="0"/>
                <w:bCs w:val="0"/>
                <w:color w:val="auto"/>
                <w:sz w:val="24"/>
                <w:szCs w:val="24"/>
                <w:highlight w:val="none"/>
              </w:rPr>
              <w:t>引导学生认识到现代家政服务是社会分工细化、人民生活水平提高的必然结果，是具有重要社会价值的职业；培养学生的劳动精神，尊重劳动、热爱劳动，明白家政服务工作的意义与价值。</w:t>
            </w:r>
          </w:p>
        </w:tc>
        <w:tc>
          <w:tcPr>
            <w:tcW w:w="2735" w:type="dxa"/>
            <w:vAlign w:val="top"/>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val="0"/>
                <w:bCs w:val="0"/>
                <w:color w:val="auto"/>
                <w:sz w:val="24"/>
                <w:szCs w:val="24"/>
                <w:highlight w:val="none"/>
              </w:rPr>
              <w:t>基础理论模块</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家政学概念、研究对象及学科发展历史。家庭结构与功能演变。家庭伦理与法律基础。家庭经济管理</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收支规划、投资策略、记账方法。家庭生活管理</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膳食营养搭配、服装搭配与收纳、家居安全与保健。家庭教育与心理</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儿童发展指导、老年心理关怀、冲突调解技巧。社会服务与技术应用模块</w:t>
            </w:r>
            <w:r>
              <w:rPr>
                <w:rFonts w:hint="eastAsia" w:ascii="仿宋_GB2312" w:hAnsi="仿宋_GB2312" w:eastAsia="仿宋_GB2312" w:cs="仿宋_GB2312"/>
                <w:b w:val="0"/>
                <w:bCs w:val="0"/>
                <w:color w:val="auto"/>
                <w:sz w:val="24"/>
                <w:szCs w:val="24"/>
                <w:highlight w:val="none"/>
                <w:lang w:val="en-US" w:eastAsia="zh-CN"/>
              </w:rPr>
              <w:t>家政</w:t>
            </w:r>
            <w:r>
              <w:rPr>
                <w:rFonts w:hint="eastAsia" w:ascii="仿宋_GB2312" w:hAnsi="仿宋_GB2312" w:eastAsia="仿宋_GB2312" w:cs="仿宋_GB2312"/>
                <w:b w:val="0"/>
                <w:bCs w:val="0"/>
                <w:color w:val="auto"/>
                <w:sz w:val="24"/>
                <w:szCs w:val="24"/>
                <w:highlight w:val="none"/>
              </w:rPr>
              <w:t>服务行业规范与职业素养。智能家居技术、家庭事务数字化管理工具。社区服务与家政市场开发</w:t>
            </w:r>
            <w:r>
              <w:rPr>
                <w:rFonts w:hint="eastAsia" w:ascii="仿宋_GB2312" w:hAnsi="仿宋_GB2312" w:eastAsia="仿宋_GB2312" w:cs="仿宋_GB2312"/>
                <w:b w:val="0"/>
                <w:bCs w:val="0"/>
                <w:color w:val="auto"/>
                <w:sz w:val="24"/>
                <w:szCs w:val="24"/>
                <w:highlight w:val="none"/>
                <w:lang w:eastAsia="zh-CN"/>
              </w:rPr>
              <w:t>。</w:t>
            </w:r>
          </w:p>
        </w:tc>
        <w:tc>
          <w:tcPr>
            <w:tcW w:w="2614" w:type="dxa"/>
            <w:vAlign w:val="top"/>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b w:val="0"/>
                <w:bCs w:val="0"/>
                <w:color w:val="auto"/>
                <w:sz w:val="24"/>
                <w:szCs w:val="24"/>
                <w:highlight w:val="none"/>
              </w:rPr>
              <w:t>采用“理论+实践”结合模式，融入案例教学、情景模拟。利用多媒体资源辅助教学，增强直观性。实践要求完成校内实训及校外实习。参与家庭管理项目设计。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auto"/>
                <w:sz w:val="24"/>
                <w:highlight w:val="none"/>
              </w:rPr>
            </w:pPr>
            <w:bookmarkStart w:id="58" w:name="_Hlk194587108"/>
            <w:r>
              <w:rPr>
                <w:rFonts w:hint="eastAsia" w:ascii="仿宋_GB2312" w:hAnsi="仿宋_GB2312" w:eastAsia="仿宋_GB2312" w:cs="仿宋_GB2312"/>
                <w:color w:val="auto"/>
                <w:sz w:val="24"/>
                <w:szCs w:val="24"/>
                <w:highlight w:val="none"/>
                <w:lang w:val="en-US" w:eastAsia="zh-CN"/>
              </w:rPr>
              <w:t>2</w:t>
            </w:r>
          </w:p>
        </w:tc>
        <w:tc>
          <w:tcPr>
            <w:tcW w:w="741" w:type="dxa"/>
            <w:vAlign w:val="center"/>
          </w:tcPr>
          <w:p>
            <w:pPr>
              <w:keepNext w:val="0"/>
              <w:keepLines w:val="0"/>
              <w:pageBreakBefore w:val="0"/>
              <w:widowControl w:val="0"/>
              <w:kinsoku/>
              <w:wordWrap/>
              <w:overflowPunct w:val="0"/>
              <w:topLinePunct w:val="0"/>
              <w:autoSpaceDE/>
              <w:autoSpaceDN/>
              <w:bidi w:val="0"/>
              <w:adjustRightInd w:val="0"/>
              <w:snapToGrid/>
              <w:spacing w:line="36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bidi="ar"/>
              </w:rPr>
              <w:t>管理学基础</w:t>
            </w:r>
          </w:p>
        </w:tc>
        <w:tc>
          <w:tcPr>
            <w:tcW w:w="3964"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掌握管理学的基本原理、方法和工具；了解家政服务与管理中的组织管理、人员管理、服务流程管理等方面的知识。</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能够运用管理学知识分析家政服务组织中的管理问题；具备初步的家政服务项目策划、组织协调和人员管理能力。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培养学生的管理意识和团队协作精神，提升学生的综合协调能力；使学生明白科学管理对提高家政服务质量和效率的重要性。</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引导学生认识到管理不仅是一种技能，更是一种责任，要以服务对象为中心，通过科学管理提升家政服务的社会效益；培养学生的大局观和责任感，在管理工作中做到公平、公正、公开。</w:t>
            </w:r>
          </w:p>
        </w:tc>
        <w:tc>
          <w:tcPr>
            <w:tcW w:w="2735" w:type="dxa"/>
            <w:vAlign w:val="top"/>
          </w:tcPr>
          <w:p>
            <w:pPr>
              <w:keepNext w:val="0"/>
              <w:keepLines w:val="0"/>
              <w:pageBreakBefore w:val="0"/>
              <w:widowControl w:val="0"/>
              <w:kinsoku/>
              <w:wordWrap/>
              <w:overflowPunct w:val="0"/>
              <w:topLinePunct w:val="0"/>
              <w:autoSpaceDE/>
              <w:autoSpaceDN/>
              <w:bidi w:val="0"/>
              <w:adjustRightInd w:val="0"/>
              <w:snapToGrid/>
              <w:spacing w:line="32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szCs w:val="24"/>
                <w:highlight w:val="none"/>
              </w:rPr>
              <w:t>内容包括管理和管理学的概念，管理理论的演化，组织结构类型及其特点，计划工作概述，决策在管理中的战略，领导，领导者的概念，领导方式，领导行为理论，激励的过程，现代激励理论。</w:t>
            </w:r>
          </w:p>
        </w:tc>
        <w:tc>
          <w:tcPr>
            <w:tcW w:w="2614" w:type="dxa"/>
            <w:vAlign w:val="top"/>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kern w:val="2"/>
                <w:sz w:val="24"/>
                <w:szCs w:val="24"/>
                <w:highlight w:val="none"/>
                <w:vertAlign w:val="baseline"/>
                <w:lang w:val="en-US" w:eastAsia="zh-CN" w:bidi="ar-SA"/>
              </w:rPr>
              <w:t>充分运用启发式的教学、案例教学、运用思维导图等方法，重视加强逻辑推理的方法，重点讲授和课堂讨论相结合，以培养学生的分析能力和运用能力；重视教学中的理论联系实际。发布任务让学生运用管理学中的理论知识解决现实生活中的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szCs w:val="24"/>
                <w:highlight w:val="none"/>
                <w:lang w:val="en-US" w:eastAsia="zh-CN"/>
              </w:rPr>
              <w:t>3</w:t>
            </w:r>
          </w:p>
        </w:tc>
        <w:tc>
          <w:tcPr>
            <w:tcW w:w="741" w:type="dxa"/>
            <w:vAlign w:val="center"/>
          </w:tcPr>
          <w:p>
            <w:pPr>
              <w:keepNext w:val="0"/>
              <w:keepLines w:val="0"/>
              <w:pageBreakBefore w:val="0"/>
              <w:widowControl w:val="0"/>
              <w:kinsoku/>
              <w:wordWrap/>
              <w:overflowPunct w:val="0"/>
              <w:topLinePunct w:val="0"/>
              <w:autoSpaceDE/>
              <w:autoSpaceDN/>
              <w:bidi w:val="0"/>
              <w:adjustRightInd w:val="0"/>
              <w:snapToGrid/>
              <w:spacing w:line="360" w:lineRule="exact"/>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bidi="ar"/>
              </w:rPr>
              <w:t>社会学概论</w:t>
            </w:r>
          </w:p>
        </w:tc>
        <w:tc>
          <w:tcPr>
            <w:tcW w:w="3964"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掌握社会学的基本概念、理论和研究方法；了解社会结构、社会群体、社会变迁等方面的知识，以及这些对家政服务与管理的影响。</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能够运用社会学知识分析家政服务与管理所处的社会环境、服务对象的社会特征等；具备从社会层面思考家政服务问题的能力。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培养学生的社会洞察力和人文关怀精神，使学生关注社会现象与社会问题；提升学生的社会适应能力和人际交往能力。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引导学生认识到家政服务与管理是社会系统的一部分，与社会的和谐发展密切相关；培养学生的社会责任感，通过优质的家政服务为社会和谐贡献力量，关注不同社会群体的需求。</w:t>
            </w:r>
          </w:p>
        </w:tc>
        <w:tc>
          <w:tcPr>
            <w:tcW w:w="2735" w:type="dxa"/>
            <w:vAlign w:val="top"/>
          </w:tcPr>
          <w:p>
            <w:pPr>
              <w:keepNext w:val="0"/>
              <w:keepLines w:val="0"/>
              <w:pageBreakBefore w:val="0"/>
              <w:widowControl w:val="0"/>
              <w:kinsoku/>
              <w:wordWrap/>
              <w:overflowPunct w:val="0"/>
              <w:topLinePunct w:val="0"/>
              <w:autoSpaceDE/>
              <w:autoSpaceDN/>
              <w:bidi w:val="0"/>
              <w:adjustRightInd w:val="0"/>
              <w:snapToGrid/>
              <w:spacing w:line="32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szCs w:val="24"/>
                <w:highlight w:val="none"/>
              </w:rPr>
              <w:t>社会学的基本理论、研究方法以及社会学史</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掌握社会化、社会网络、社会分层、人口城市化、人口问题等基本社会学知识</w:t>
            </w:r>
            <w:r>
              <w:rPr>
                <w:rFonts w:hint="eastAsia" w:ascii="仿宋_GB2312" w:hAnsi="仿宋_GB2312" w:eastAsia="仿宋_GB2312" w:cs="仿宋_GB2312"/>
                <w:color w:val="auto"/>
                <w:sz w:val="24"/>
                <w:szCs w:val="24"/>
                <w:highlight w:val="none"/>
                <w:lang w:eastAsia="zh-CN"/>
              </w:rPr>
              <w:t>。</w:t>
            </w:r>
          </w:p>
        </w:tc>
        <w:tc>
          <w:tcPr>
            <w:tcW w:w="2614" w:type="dxa"/>
            <w:vAlign w:val="top"/>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kern w:val="2"/>
                <w:sz w:val="24"/>
                <w:szCs w:val="24"/>
                <w:highlight w:val="none"/>
                <w:vertAlign w:val="baseline"/>
                <w:lang w:val="en-US" w:eastAsia="zh-CN" w:bidi="ar-SA"/>
              </w:rPr>
              <w:t>创设情景，让学生模拟社会不同成员的角色，与学生讨论社会现象，在探索中实现教学目标；观看教学视频，以小组为单位分析案例，并分别上台汇报讨论结果，实现课堂互动。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auto"/>
                <w:sz w:val="24"/>
                <w:highlight w:val="none"/>
                <w:lang w:val="en-US" w:eastAsia="zh-CN"/>
              </w:rPr>
            </w:pPr>
            <w:bookmarkStart w:id="59" w:name="_Toc90734977"/>
            <w:r>
              <w:rPr>
                <w:rFonts w:hint="eastAsia" w:ascii="仿宋_GB2312" w:hAnsi="仿宋_GB2312" w:eastAsia="仿宋_GB2312" w:cs="仿宋_GB2312"/>
                <w:color w:val="auto"/>
                <w:sz w:val="24"/>
                <w:szCs w:val="24"/>
                <w:highlight w:val="none"/>
                <w:lang w:val="en-US" w:eastAsia="zh-CN"/>
              </w:rPr>
              <w:t>4</w:t>
            </w:r>
          </w:p>
        </w:tc>
        <w:tc>
          <w:tcPr>
            <w:tcW w:w="741" w:type="dxa"/>
            <w:vAlign w:val="center"/>
          </w:tcPr>
          <w:p>
            <w:pPr>
              <w:keepNext w:val="0"/>
              <w:keepLines w:val="0"/>
              <w:pageBreakBefore w:val="0"/>
              <w:widowControl w:val="0"/>
              <w:kinsoku/>
              <w:wordWrap/>
              <w:overflowPunct w:val="0"/>
              <w:topLinePunct w:val="0"/>
              <w:autoSpaceDE/>
              <w:autoSpaceDN/>
              <w:bidi w:val="0"/>
              <w:adjustRightInd w:val="0"/>
              <w:snapToGrid/>
              <w:spacing w:line="360" w:lineRule="exact"/>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bidi="ar"/>
              </w:rPr>
              <w:t>人体结构与功能</w:t>
            </w:r>
          </w:p>
        </w:tc>
        <w:tc>
          <w:tcPr>
            <w:tcW w:w="3964"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掌握人体各系统的基本结构和功能；了解人体正常生理活动规律及常见生理现象的原理。</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能够运用人体结构与功能知识，为家政服务中的老年人护理、婴幼儿照料等工作提供科学依据；具备初步识别常见身体异常状况的能力。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培养学生的科学素养和严谨态度，明白家政服务中涉及人体健康的工作需遵循科学规律；增强学生对生命的尊重与关爱意识，提升护理服务的责任心。</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引导学生认识到人体结构与功能的复杂性和神奇性，激发学生对生命科学的敬畏与探索精神；培养学生的人道主义精神，在为服务对象提供护理等服务时，充满爱心与耐心，尊重生命、呵护健康。</w:t>
            </w:r>
          </w:p>
        </w:tc>
        <w:tc>
          <w:tcPr>
            <w:tcW w:w="2735" w:type="dxa"/>
            <w:vAlign w:val="top"/>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szCs w:val="24"/>
                <w:highlight w:val="none"/>
              </w:rPr>
              <w:t>本课程涵盖了人体解剖学、组织胚胎学、分子生物学、生理学、生物化学、医学微生物学、医学免疫学、人体寄生虫学、机体病理学九门学科的基础内容。</w:t>
            </w:r>
          </w:p>
        </w:tc>
        <w:tc>
          <w:tcPr>
            <w:tcW w:w="2614" w:type="dxa"/>
            <w:vAlign w:val="top"/>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szCs w:val="24"/>
                <w:highlight w:val="none"/>
              </w:rPr>
              <w:t>通过案例分析，学生能够学习如何将医学知识与患者的情感需求结合，培养出更具同理心的医疗工作者。这样的教学方式，不仅加深了学生对医学知识的理解，也让他们意识到医学不仅仅是科学，更是一种关怀。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widowControl w:val="0"/>
              <w:kinsoku/>
              <w:wordWrap/>
              <w:overflowPunct w:val="0"/>
              <w:topLinePunct w:val="0"/>
              <w:autoSpaceDE/>
              <w:autoSpaceDN/>
              <w:bidi w:val="0"/>
              <w:adjustRightInd w:val="0"/>
              <w:snapToGrid/>
              <w:spacing w:line="360" w:lineRule="exact"/>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szCs w:val="24"/>
                <w:highlight w:val="none"/>
              </w:rPr>
              <w:t>5</w:t>
            </w:r>
          </w:p>
        </w:tc>
        <w:tc>
          <w:tcPr>
            <w:tcW w:w="741" w:type="dxa"/>
            <w:vAlign w:val="center"/>
          </w:tcPr>
          <w:p>
            <w:pPr>
              <w:keepNext w:val="0"/>
              <w:keepLines w:val="0"/>
              <w:pageBreakBefore w:val="0"/>
              <w:widowControl w:val="0"/>
              <w:kinsoku/>
              <w:wordWrap/>
              <w:overflowPunct w:val="0"/>
              <w:topLinePunct w:val="0"/>
              <w:autoSpaceDE/>
              <w:autoSpaceDN/>
              <w:bidi w:val="0"/>
              <w:adjustRightInd w:val="0"/>
              <w:snapToGrid/>
              <w:spacing w:line="360" w:lineRule="exact"/>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bidi="ar"/>
              </w:rPr>
              <w:t>家庭保健基础</w:t>
            </w:r>
          </w:p>
        </w:tc>
        <w:tc>
          <w:tcPr>
            <w:tcW w:w="3964"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掌握人体各系统基础保健知识；了解不同年龄阶段人群的保健要点。</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能够为不同家庭成员制定个性化的家庭保健方案；具备家庭常见小病痛的初步处理能力；能指导家庭成员进行简单的保健运动与康复训练。</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培养学生对生命健康的敬畏与关爱之心，树立科学保健的意识；提升学生细致、耐心的服务品质，在家庭保健服务中体现人文关怀。</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引导学生认识到家庭保健是守护家人健康、促进家庭幸福的重要工作，培养学生的家庭责任感和社会责任感；从关爱家庭成员健康延伸到对社会大众健康的关注，树立大健康理念。</w:t>
            </w:r>
          </w:p>
        </w:tc>
        <w:tc>
          <w:tcPr>
            <w:tcW w:w="2735" w:type="dxa"/>
            <w:vAlign w:val="top"/>
          </w:tcPr>
          <w:p>
            <w:pPr>
              <w:keepNext w:val="0"/>
              <w:keepLines w:val="0"/>
              <w:pageBreakBefore w:val="0"/>
              <w:widowControl w:val="0"/>
              <w:kinsoku/>
              <w:wordWrap/>
              <w:overflowPunct w:val="0"/>
              <w:topLinePunct w:val="0"/>
              <w:autoSpaceDE/>
              <w:autoSpaceDN/>
              <w:bidi w:val="0"/>
              <w:adjustRightInd w:val="0"/>
              <w:snapToGrid/>
              <w:spacing w:after="0" w:line="32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szCs w:val="24"/>
                <w:highlight w:val="none"/>
              </w:rPr>
              <w:t>现代医疗保健技术模块</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智能设备应用</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健康监测设备的使用与数据分析。医疗知识基础</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常见慢性病的家庭管理。家庭安全与应急处理模块事故预防</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用电、燃气、火灾等隐患的识别与排查。急救技能</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心肺复苏、创伤处理、中毒应急措施。健康生活方式模块营养与膳食</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科学配餐、特殊人群饮食管理。中医保健</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推拿按摩、穴位保健等传统疗法的应用。家居环境优化模块</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污染源控制</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装修污染、空气质量的检测与改善。空间规划</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功能性家居布局</w:t>
            </w:r>
            <w:r>
              <w:rPr>
                <w:rFonts w:hint="eastAsia" w:ascii="仿宋_GB2312" w:hAnsi="仿宋_GB2312" w:eastAsia="仿宋_GB2312" w:cs="仿宋_GB2312"/>
                <w:color w:val="auto"/>
                <w:sz w:val="24"/>
                <w:szCs w:val="24"/>
                <w:highlight w:val="none"/>
                <w:lang w:eastAsia="zh-CN"/>
              </w:rPr>
              <w:t>。</w:t>
            </w:r>
          </w:p>
        </w:tc>
        <w:tc>
          <w:tcPr>
            <w:tcW w:w="2614" w:type="dxa"/>
            <w:vAlign w:val="top"/>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rPr>
              <w:t>理论与实践结合</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通过案例分析强化实操能力。要求完成健康管理计划书、家居安全排查报告等实践作业。技术工具应用</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掌握现代医疗设备操作及数据分析软件的使用。学习使用环保检测工具评估家居环境</w:t>
            </w:r>
            <w:r>
              <w:rPr>
                <w:rFonts w:hint="eastAsia" w:ascii="仿宋_GB2312" w:hAnsi="仿宋_GB2312" w:eastAsia="仿宋_GB2312" w:cs="仿宋_GB2312"/>
                <w:color w:val="auto"/>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widowControl w:val="0"/>
              <w:kinsoku/>
              <w:wordWrap/>
              <w:overflowPunct w:val="0"/>
              <w:topLinePunct w:val="0"/>
              <w:autoSpaceDE/>
              <w:autoSpaceDN/>
              <w:bidi w:val="0"/>
              <w:adjustRightInd w:val="0"/>
              <w:snapToGrid/>
              <w:spacing w:line="360" w:lineRule="exact"/>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szCs w:val="24"/>
                <w:highlight w:val="none"/>
              </w:rPr>
              <w:t>6</w:t>
            </w:r>
          </w:p>
        </w:tc>
        <w:tc>
          <w:tcPr>
            <w:tcW w:w="741" w:type="dxa"/>
            <w:vAlign w:val="center"/>
          </w:tcPr>
          <w:p>
            <w:pPr>
              <w:keepNext w:val="0"/>
              <w:keepLines w:val="0"/>
              <w:pageBreakBefore w:val="0"/>
              <w:widowControl w:val="0"/>
              <w:kinsoku/>
              <w:wordWrap/>
              <w:overflowPunct w:val="0"/>
              <w:topLinePunct w:val="0"/>
              <w:autoSpaceDE/>
              <w:autoSpaceDN/>
              <w:bidi w:val="0"/>
              <w:adjustRightInd w:val="0"/>
              <w:snapToGrid/>
              <w:spacing w:line="360" w:lineRule="exact"/>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bidi="ar"/>
              </w:rPr>
              <w:t>婴幼儿心理发展</w:t>
            </w:r>
          </w:p>
        </w:tc>
        <w:tc>
          <w:tcPr>
            <w:tcW w:w="3964"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掌握婴幼儿心理发展的基本理论；了解婴幼儿常见心理问题的表现与成因，如分离焦虑、任性等。</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能够根据婴幼儿心理发展特点，设计适合的早期教育与游戏活动；具备识别婴幼儿异常心理表现并进行初步引导干预的能力；能与婴幼儿及其家长进行有效的沟通，反馈婴幼儿心理发展情况。</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培养学生对婴幼儿的爱心、耐心与责任心，尊重婴幼儿的心理发展规律；提升学生的观察能力和共情能力，更好地理解婴幼儿的内心世界。</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让学生认识到婴幼儿是家庭和社会的未来，关注婴幼儿心理发展是为国家培养健康下一代的重要环节，增强学生的使命感；通过关爱婴幼儿心理，引导学生树立尊重生命、呵护成长的价值观。</w:t>
            </w:r>
          </w:p>
        </w:tc>
        <w:tc>
          <w:tcPr>
            <w:tcW w:w="2735" w:type="dxa"/>
            <w:vAlign w:val="top"/>
          </w:tcPr>
          <w:p>
            <w:pPr>
              <w:keepNext w:val="0"/>
              <w:keepLines w:val="0"/>
              <w:pageBreakBefore w:val="0"/>
              <w:widowControl w:val="0"/>
              <w:kinsoku/>
              <w:wordWrap/>
              <w:overflowPunct w:val="0"/>
              <w:topLinePunct w:val="0"/>
              <w:autoSpaceDE/>
              <w:autoSpaceDN/>
              <w:bidi w:val="0"/>
              <w:adjustRightInd w:val="0"/>
              <w:snapToGrid/>
              <w:spacing w:after="0" w:line="32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szCs w:val="24"/>
                <w:highlight w:val="none"/>
              </w:rPr>
              <w:t>基础理论模块</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婴幼儿心理发展的研究对象、影响因素及年龄特征12；相关理论学说。发展领域模块</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认知发展感知觉、注意、记忆、思维的发展规律及启蒙方法；动作发展粗大动作与精细动作的训练策略及安全指导；言语发展前言语阶段特征、语音/语义/语法发展规律及促进策略；情绪与社会性</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依恋类型、同伴关系、亲社会行为培养及情绪调控方法；个性发展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自我意识、气质类型及个性化教养策略。实践应用模块</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心理健康评估工具的应用；心理干预方法的操作实例</w:t>
            </w:r>
            <w:r>
              <w:rPr>
                <w:rFonts w:hint="eastAsia" w:ascii="仿宋_GB2312" w:hAnsi="仿宋_GB2312" w:eastAsia="仿宋_GB2312" w:cs="仿宋_GB2312"/>
                <w:color w:val="auto"/>
                <w:sz w:val="24"/>
                <w:szCs w:val="24"/>
                <w:highlight w:val="none"/>
                <w:lang w:eastAsia="zh-CN"/>
              </w:rPr>
              <w:t>。</w:t>
            </w:r>
          </w:p>
        </w:tc>
        <w:tc>
          <w:tcPr>
            <w:tcW w:w="2614" w:type="dxa"/>
            <w:vAlign w:val="top"/>
          </w:tcPr>
          <w:p>
            <w:pPr>
              <w:keepNext w:val="0"/>
              <w:keepLines w:val="0"/>
              <w:pageBreakBefore w:val="0"/>
              <w:widowControl w:val="0"/>
              <w:kinsoku/>
              <w:wordWrap/>
              <w:overflowPunct w:val="0"/>
              <w:topLinePunct w:val="0"/>
              <w:autoSpaceDE/>
              <w:autoSpaceDN/>
              <w:bidi w:val="0"/>
              <w:adjustRightInd w:val="0"/>
              <w:snapToGrid/>
              <w:spacing w:line="36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kern w:val="2"/>
                <w:sz w:val="24"/>
                <w:szCs w:val="24"/>
                <w:highlight w:val="none"/>
                <w:vertAlign w:val="baseline"/>
                <w:lang w:val="en-US" w:eastAsia="zh-CN" w:bidi="ar-SA"/>
              </w:rPr>
              <w:t>采用案例分析、情景模拟、小组讨论等互动形式，增强实践能力；结合婴幼儿成长视频或实际观察，分析行为特点与心理机制。重点婴幼儿各领域发展的关键期及规律，如依恋形成阶段、动作发展顺序；难点理论联系实际，如运用心理学原理设计个性化教育活动。考核要求，理论考核掌握发展规律及理论流派的核心观点；实践考核能够设计符合婴幼儿年龄特点的训练活动并实施评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widowControl w:val="0"/>
              <w:kinsoku/>
              <w:wordWrap/>
              <w:overflowPunct w:val="0"/>
              <w:topLinePunct w:val="0"/>
              <w:autoSpaceDE/>
              <w:autoSpaceDN/>
              <w:bidi w:val="0"/>
              <w:adjustRightInd w:val="0"/>
              <w:snapToGrid/>
              <w:spacing w:line="360" w:lineRule="exact"/>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szCs w:val="24"/>
                <w:highlight w:val="none"/>
                <w:lang w:val="en-US" w:eastAsia="zh-CN"/>
              </w:rPr>
              <w:t>7</w:t>
            </w:r>
          </w:p>
        </w:tc>
        <w:tc>
          <w:tcPr>
            <w:tcW w:w="741" w:type="dxa"/>
            <w:vAlign w:val="center"/>
          </w:tcPr>
          <w:p>
            <w:pPr>
              <w:keepNext w:val="0"/>
              <w:keepLines w:val="0"/>
              <w:pageBreakBefore w:val="0"/>
              <w:widowControl w:val="0"/>
              <w:kinsoku/>
              <w:wordWrap/>
              <w:overflowPunct w:val="0"/>
              <w:topLinePunct w:val="0"/>
              <w:autoSpaceDE/>
              <w:autoSpaceDN/>
              <w:bidi w:val="0"/>
              <w:adjustRightInd w:val="0"/>
              <w:snapToGrid/>
              <w:spacing w:line="360" w:lineRule="exact"/>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bidi="ar"/>
              </w:rPr>
              <w:t>家政服务沟通与礼仪</w:t>
            </w:r>
          </w:p>
        </w:tc>
        <w:tc>
          <w:tcPr>
            <w:tcW w:w="3964"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掌握家政服务中的沟通技巧；了解家政服务各场景的礼仪规范，包括仪容仪表、言谈举止、服务礼仪等。</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能够与客户进行高效、顺畅的沟通，准确理解客户需求并反馈服务情况；具备良好的礼仪素养，在不同家政服务场景中展现专业、得体的服务形象；能够协调处理服务过程中的沟通矛盾与礼仪问题。</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培养学生的职业素养和服务意识，树立 “以客户为中心” 的服务理念；提升学生的人际交往能力和团队协作能力，在服务中体现尊重与包容。</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通过规范的沟通与礼仪，引导学生树立职业自豪感，认识到家政服务是一份需要专业素养和尊重的职业；培养学生的诚信意识和责任意识，在沟通中做到真诚、守信，以优质服务赢得客户信任。</w:t>
            </w:r>
          </w:p>
        </w:tc>
        <w:tc>
          <w:tcPr>
            <w:tcW w:w="2735" w:type="dxa"/>
            <w:vAlign w:val="top"/>
          </w:tcPr>
          <w:p>
            <w:pPr>
              <w:keepNext w:val="0"/>
              <w:keepLines w:val="0"/>
              <w:pageBreakBefore w:val="0"/>
              <w:widowControl w:val="0"/>
              <w:kinsoku/>
              <w:wordWrap/>
              <w:overflowPunct w:val="0"/>
              <w:topLinePunct w:val="0"/>
              <w:autoSpaceDE/>
              <w:autoSpaceDN/>
              <w:bidi w:val="0"/>
              <w:adjustRightInd w:val="0"/>
              <w:snapToGrid/>
              <w:spacing w:line="32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szCs w:val="24"/>
                <w:highlight w:val="none"/>
              </w:rPr>
              <w:t>职业道德与行为准则</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包括遵纪守法、尊重隐私、诚信服务等。沟通技巧</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语言表达规范、倾听与反馈技巧、跨文化沟通策略。礼仪规范</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仪容仪表、行为举止、社交礼仪。实践模块场景模拟训练</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如家庭矛盾调解、特殊群体沟通模拟。职业形象实训化妆技巧、职业装搭配、体态矫正等。案例分析通过真实服务案例解析沟通失误与礼仪失范问题</w:t>
            </w:r>
            <w:r>
              <w:rPr>
                <w:rFonts w:hint="eastAsia" w:ascii="仿宋_GB2312" w:hAnsi="仿宋_GB2312" w:eastAsia="仿宋_GB2312" w:cs="仿宋_GB2312"/>
                <w:color w:val="auto"/>
                <w:sz w:val="24"/>
                <w:szCs w:val="24"/>
                <w:highlight w:val="none"/>
                <w:lang w:eastAsia="zh-CN"/>
              </w:rPr>
              <w:t>。</w:t>
            </w:r>
          </w:p>
        </w:tc>
        <w:tc>
          <w:tcPr>
            <w:tcW w:w="2614" w:type="dxa"/>
            <w:vAlign w:val="top"/>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kern w:val="2"/>
                <w:sz w:val="24"/>
                <w:szCs w:val="24"/>
                <w:highlight w:val="none"/>
                <w:vertAlign w:val="baseline"/>
                <w:lang w:val="en-US" w:eastAsia="zh-CN" w:bidi="ar-SA"/>
              </w:rPr>
              <w:t>采用“理论+实训+案例”三位一体模式，结合角色扮演、情景模拟、小组讨论等方法。引入多媒体教学资源增强直观性。学生需通过至少80%的实践课时参与，完成家庭场景服务模拟、职业形象设计等任务。定期组织行业专家讲座或企业实习，强化岗位适应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widowControl w:val="0"/>
              <w:kinsoku/>
              <w:wordWrap/>
              <w:overflowPunct w:val="0"/>
              <w:topLinePunct w:val="0"/>
              <w:autoSpaceDE/>
              <w:autoSpaceDN/>
              <w:bidi w:val="0"/>
              <w:adjustRightInd w:val="0"/>
              <w:snapToGrid/>
              <w:spacing w:line="360" w:lineRule="exact"/>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szCs w:val="24"/>
                <w:highlight w:val="none"/>
                <w:lang w:val="en-US" w:eastAsia="zh-CN"/>
              </w:rPr>
              <w:t>8</w:t>
            </w:r>
          </w:p>
        </w:tc>
        <w:tc>
          <w:tcPr>
            <w:tcW w:w="741" w:type="dxa"/>
            <w:vAlign w:val="center"/>
          </w:tcPr>
          <w:p>
            <w:pPr>
              <w:keepNext w:val="0"/>
              <w:keepLines w:val="0"/>
              <w:pageBreakBefore w:val="0"/>
              <w:widowControl w:val="0"/>
              <w:kinsoku/>
              <w:wordWrap/>
              <w:overflowPunct w:val="0"/>
              <w:topLinePunct w:val="0"/>
              <w:autoSpaceDE/>
              <w:autoSpaceDN/>
              <w:bidi w:val="0"/>
              <w:adjustRightInd w:val="0"/>
              <w:snapToGrid/>
              <w:spacing w:line="360" w:lineRule="exact"/>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bidi="ar"/>
              </w:rPr>
              <w:t>人力资源管理</w:t>
            </w:r>
          </w:p>
        </w:tc>
        <w:tc>
          <w:tcPr>
            <w:tcW w:w="3964"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掌握人力资源管理的基本理论；了解家政服务行业人力资源管理的特点与需求。</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够进行家政服务人员的招聘与选拔，制定招聘计划并开展招聘活动；具备设计家政员培训课程与方案的能力，组织实施培训并评估培训效果；能够建立家政服务人员的绩效考核与薪酬体系，进行绩效评估与薪酬核算。</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培养学生的组织管理能力和全局观，从人力资源角度推动家政服务企业或团队的发展；提升学生的公平、公正意识，在人力资源管理中做到客观评价、合理激励。</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引导学生认识到人力资源是家政服务行业发展的核心要素，重视人才的培养与发展；培养学生的人本意识，在管理中尊重家政员的劳动与价值，营造和谐的劳资关系。</w:t>
            </w:r>
          </w:p>
        </w:tc>
        <w:tc>
          <w:tcPr>
            <w:tcW w:w="2735" w:type="dxa"/>
            <w:vAlign w:val="top"/>
          </w:tcPr>
          <w:p>
            <w:pPr>
              <w:keepNext w:val="0"/>
              <w:keepLines w:val="0"/>
              <w:pageBreakBefore w:val="0"/>
              <w:widowControl w:val="0"/>
              <w:kinsoku/>
              <w:wordWrap/>
              <w:overflowPunct w:val="0"/>
              <w:topLinePunct w:val="0"/>
              <w:autoSpaceDE/>
              <w:autoSpaceDN/>
              <w:bidi w:val="0"/>
              <w:adjustRightInd w:val="0"/>
              <w:snapToGrid/>
              <w:spacing w:line="36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szCs w:val="24"/>
                <w:highlight w:val="none"/>
              </w:rPr>
              <w:t>人力资源管理概述，工作分析，员工招聘与录用，员工培训，员工职业生涯规划设计，员工绩效考核，薪酬管理，员工激励劳动合同。</w:t>
            </w:r>
          </w:p>
        </w:tc>
        <w:tc>
          <w:tcPr>
            <w:tcW w:w="2614" w:type="dxa"/>
            <w:vAlign w:val="top"/>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kern w:val="2"/>
                <w:sz w:val="24"/>
                <w:szCs w:val="24"/>
                <w:highlight w:val="none"/>
                <w:vertAlign w:val="baseline"/>
                <w:lang w:val="en-US" w:eastAsia="zh-CN" w:bidi="ar-SA"/>
              </w:rPr>
              <w:t>教师通过案例分析和小组讨论的形式，让学生深入理解人力资源管理的基本理念和方法。学生们在小组讨论中分享自己的观点，互相学习，增强了团队合作能力。这种互动式的教学方式，让学生在轻松愉快的氛围中掌握了人力资源管理的核心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widowControl w:val="0"/>
              <w:kinsoku/>
              <w:wordWrap/>
              <w:overflowPunct w:val="0"/>
              <w:topLinePunct w:val="0"/>
              <w:autoSpaceDE/>
              <w:autoSpaceDN/>
              <w:bidi w:val="0"/>
              <w:adjustRightInd w:val="0"/>
              <w:snapToGrid/>
              <w:spacing w:line="360" w:lineRule="exact"/>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szCs w:val="24"/>
                <w:highlight w:val="none"/>
                <w:lang w:val="en-US" w:eastAsia="zh-CN"/>
              </w:rPr>
              <w:t>9</w:t>
            </w:r>
          </w:p>
        </w:tc>
        <w:tc>
          <w:tcPr>
            <w:tcW w:w="741" w:type="dxa"/>
            <w:vAlign w:val="center"/>
          </w:tcPr>
          <w:p>
            <w:pPr>
              <w:keepNext w:val="0"/>
              <w:keepLines w:val="0"/>
              <w:pageBreakBefore w:val="0"/>
              <w:widowControl w:val="0"/>
              <w:kinsoku/>
              <w:wordWrap/>
              <w:overflowPunct w:val="0"/>
              <w:topLinePunct w:val="0"/>
              <w:autoSpaceDE/>
              <w:autoSpaceDN/>
              <w:bidi w:val="0"/>
              <w:adjustRightInd w:val="0"/>
              <w:snapToGrid/>
              <w:spacing w:line="360" w:lineRule="exact"/>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bidi="ar"/>
              </w:rPr>
              <w:t>家政职业道德与法律法规</w:t>
            </w:r>
          </w:p>
        </w:tc>
        <w:tc>
          <w:tcPr>
            <w:tcW w:w="3964"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掌握家政服务行业的职业道德规范；了解与家政服务相关的法律法规，如《中华人民共和国民法典》中关于服务合同、人身权益保护的内容，家政服务行业相关条例等。</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能够在实际工作中遵守职业道德规范，规范自身服务行为；具备运用法律法规维护自身与客户合法权益的能力，能处理简单的家政服务法律纠纷。</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培养学生的职业道德素养，树立正确的职业价值观；增强学生的法律意识和法治观念，做到知法、守法、用法。</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通过职业道德教育，引导学生树立高尚的职业操守，认识到家政服务不仅是谋生手段，更是为家庭和社会做贡献的事业；以法律法规为准则，培养学生的规则意识和契约精神，维护家政服务市场的秩序与公平。</w:t>
            </w:r>
          </w:p>
        </w:tc>
        <w:tc>
          <w:tcPr>
            <w:tcW w:w="2735" w:type="dxa"/>
            <w:vAlign w:val="top"/>
          </w:tcPr>
          <w:p>
            <w:pPr>
              <w:keepNext w:val="0"/>
              <w:keepLines w:val="0"/>
              <w:pageBreakBefore w:val="0"/>
              <w:widowControl w:val="0"/>
              <w:kinsoku/>
              <w:wordWrap/>
              <w:overflowPunct w:val="0"/>
              <w:topLinePunct w:val="0"/>
              <w:autoSpaceDE/>
              <w:autoSpaceDN/>
              <w:bidi w:val="0"/>
              <w:adjustRightInd w:val="0"/>
              <w:snapToGrid/>
              <w:spacing w:line="32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szCs w:val="24"/>
                <w:highlight w:val="none"/>
              </w:rPr>
              <w:t>职业道德模块</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家政服务行业的基本道德规范；职业行为准则。法律法规模块</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人身权益保护未成年人教育权、妇女权益、用工安全责任；财产权益保护</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合同纠纷处理、侵权责任划分；劳动保障</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劳动合同签订、工伤赔偿、劳动权益维护；刑法与民法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家政服务中可能涉及的刑事犯罪及民事诉讼流程。实践教学通过案例分析提升法律应用能力；角色扮演、模拟法庭等互动形式强化职业道德情境应对</w:t>
            </w:r>
            <w:r>
              <w:rPr>
                <w:rFonts w:hint="eastAsia" w:ascii="仿宋_GB2312" w:hAnsi="仿宋_GB2312" w:eastAsia="仿宋_GB2312" w:cs="仿宋_GB2312"/>
                <w:color w:val="auto"/>
                <w:sz w:val="24"/>
                <w:szCs w:val="24"/>
                <w:highlight w:val="none"/>
                <w:lang w:eastAsia="zh-CN"/>
              </w:rPr>
              <w:t>。</w:t>
            </w:r>
          </w:p>
        </w:tc>
        <w:tc>
          <w:tcPr>
            <w:tcW w:w="2614" w:type="dxa"/>
            <w:vAlign w:val="top"/>
          </w:tcPr>
          <w:p>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kern w:val="2"/>
                <w:sz w:val="24"/>
                <w:szCs w:val="24"/>
                <w:highlight w:val="none"/>
                <w:vertAlign w:val="baseline"/>
                <w:lang w:val="en-US" w:eastAsia="zh-CN" w:bidi="ar-SA"/>
              </w:rPr>
              <w:t>通过职业道德情景模拟训练，使学生内化诚实守信、尊重隐私等职业操守；通过法律案例分析，培养学生准确识别和防范家政服务法律风险的能力；通过合同文书实操，使学生掌握规范的家政服务协议拟订技能；最终使学生能够依法合规开展家政服务工作，并具备运用法律手段维护各方合法权益的专业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5" w:type="dxa"/>
            <w:vAlign w:val="center"/>
          </w:tcPr>
          <w:p>
            <w:pPr>
              <w:keepNext w:val="0"/>
              <w:keepLines w:val="0"/>
              <w:pageBreakBefore w:val="0"/>
              <w:widowControl w:val="0"/>
              <w:kinsoku/>
              <w:wordWrap/>
              <w:overflowPunct w:val="0"/>
              <w:topLinePunct w:val="0"/>
              <w:autoSpaceDE/>
              <w:autoSpaceDN/>
              <w:bidi w:val="0"/>
              <w:adjustRightInd w:val="0"/>
              <w:snapToGrid/>
              <w:spacing w:line="360" w:lineRule="exact"/>
              <w:jc w:val="center"/>
              <w:textAlignment w:val="auto"/>
              <w:rPr>
                <w:rFonts w:hint="default"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val="0"/>
              <w:topLinePunct w:val="0"/>
              <w:autoSpaceDE/>
              <w:autoSpaceDN/>
              <w:bidi w:val="0"/>
              <w:adjustRightInd w:val="0"/>
              <w:snapToGrid/>
              <w:spacing w:line="36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10</w:t>
            </w:r>
          </w:p>
        </w:tc>
        <w:tc>
          <w:tcPr>
            <w:tcW w:w="741" w:type="dxa"/>
            <w:vAlign w:val="center"/>
          </w:tcPr>
          <w:p>
            <w:pPr>
              <w:keepNext w:val="0"/>
              <w:keepLines w:val="0"/>
              <w:pageBreakBefore w:val="0"/>
              <w:widowControl w:val="0"/>
              <w:kinsoku/>
              <w:wordWrap/>
              <w:overflowPunct w:val="0"/>
              <w:topLinePunct w:val="0"/>
              <w:autoSpaceDE/>
              <w:autoSpaceDN/>
              <w:bidi w:val="0"/>
              <w:adjustRightInd w:val="0"/>
              <w:snapToGrid/>
              <w:spacing w:line="360" w:lineRule="exact"/>
              <w:jc w:val="center"/>
              <w:textAlignment w:val="auto"/>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医疗急救</w:t>
            </w:r>
          </w:p>
        </w:tc>
        <w:tc>
          <w:tcPr>
            <w:tcW w:w="396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了解急救护理学基本概念、发展历程，掌握急救医学基本原则、工作流程及常见急救病例（如创伤、心搏骤停等）处理方法，明晰心肺复苏、止血、包扎等核心急救技能的操作原理与适用场景。</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能运用急救知识快速识别紧急情况，熟练规范操作心肺复苏、止血等技能；通过案例分析制定基础急救方案，具备独立应对常见紧急场景的实操与处置能力，满足应急救护基本需求。</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通过理论 + 案例 + 实操教学，形成急救医学综合素养，强化急救意识与应急反应能力，提升理论转化为实践的应用水平，为医疗相关职业或日常应急救护筑牢基础。</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树立 “生命至上” 的职业信仰与社会责任担当，培养沉着应变、严谨操作的急救态度，坚守医疗救护伦理与操作规范，以专业能力守护生命安全，传递医者仁心价值观。​</w:t>
            </w:r>
          </w:p>
        </w:tc>
        <w:tc>
          <w:tcPr>
            <w:tcW w:w="2735"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default" w:ascii="仿宋_GB2312" w:hAnsi="仿宋_GB2312" w:eastAsia="仿宋_GB2312" w:cs="仿宋_GB2312"/>
                <w:color w:val="auto"/>
                <w:sz w:val="24"/>
                <w:szCs w:val="24"/>
                <w:highlight w:val="none"/>
                <w:lang w:val="en-US" w:eastAsia="zh-CN"/>
              </w:rPr>
              <w:t>本</w:t>
            </w:r>
            <w:r>
              <w:rPr>
                <w:rFonts w:hint="eastAsia" w:ascii="仿宋_GB2312" w:hAnsi="仿宋_GB2312" w:eastAsia="仿宋_GB2312" w:cs="仿宋_GB2312"/>
                <w:color w:val="auto"/>
                <w:sz w:val="24"/>
                <w:szCs w:val="24"/>
                <w:highlight w:val="none"/>
                <w:lang w:val="en-US" w:eastAsia="zh-CN"/>
              </w:rPr>
              <w:t>课程</w:t>
            </w:r>
            <w:r>
              <w:rPr>
                <w:rFonts w:hint="default" w:ascii="仿宋_GB2312" w:hAnsi="仿宋_GB2312" w:eastAsia="仿宋_GB2312" w:cs="仿宋_GB2312"/>
                <w:color w:val="auto"/>
                <w:sz w:val="24"/>
                <w:szCs w:val="24"/>
                <w:highlight w:val="none"/>
                <w:lang w:val="en-US" w:eastAsia="zh-CN"/>
              </w:rPr>
              <w:t>介绍急救护理学的基本概念、原则和技能，帮助学生掌握急救护理的基本知识和技能，提高其应对紧急情况的能力。通过理论讲解、案例分析和实践操作等方式，培养学生在急救护理方面的综合素养。</w:t>
            </w:r>
          </w:p>
        </w:tc>
        <w:tc>
          <w:tcPr>
            <w:tcW w:w="261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通过对本门课程的学习，使学生</w:t>
            </w:r>
            <w:r>
              <w:rPr>
                <w:rFonts w:hint="default" w:ascii="仿宋_GB2312" w:hAnsi="仿宋_GB2312" w:eastAsia="仿宋_GB2312" w:cs="仿宋_GB2312"/>
                <w:color w:val="auto"/>
                <w:sz w:val="24"/>
                <w:szCs w:val="24"/>
                <w:highlight w:val="none"/>
                <w:lang w:val="en-US" w:eastAsia="zh-CN"/>
              </w:rPr>
              <w:t>了解急救护理学的基本概念和发展历程</w:t>
            </w:r>
            <w:r>
              <w:rPr>
                <w:rFonts w:hint="eastAsia" w:ascii="仿宋_GB2312" w:hAnsi="仿宋_GB2312" w:eastAsia="仿宋_GB2312" w:cs="仿宋_GB2312"/>
                <w:color w:val="auto"/>
                <w:sz w:val="24"/>
                <w:szCs w:val="24"/>
                <w:highlight w:val="none"/>
                <w:lang w:val="en-US" w:eastAsia="zh-CN"/>
              </w:rPr>
              <w:t>，</w:t>
            </w:r>
            <w:r>
              <w:rPr>
                <w:rFonts w:hint="default" w:ascii="仿宋_GB2312" w:hAnsi="仿宋_GB2312" w:eastAsia="仿宋_GB2312" w:cs="仿宋_GB2312"/>
                <w:color w:val="auto"/>
                <w:sz w:val="24"/>
                <w:szCs w:val="24"/>
                <w:highlight w:val="none"/>
                <w:lang w:val="en-US" w:eastAsia="zh-CN"/>
              </w:rPr>
              <w:t>掌握急救护理学的基本原则和流程</w:t>
            </w:r>
            <w:r>
              <w:rPr>
                <w:rFonts w:hint="eastAsia" w:ascii="仿宋_GB2312" w:hAnsi="仿宋_GB2312" w:eastAsia="仿宋_GB2312" w:cs="仿宋_GB2312"/>
                <w:color w:val="auto"/>
                <w:sz w:val="24"/>
                <w:szCs w:val="24"/>
                <w:highlight w:val="none"/>
                <w:lang w:val="en-US" w:eastAsia="zh-CN"/>
              </w:rPr>
              <w:t>，</w:t>
            </w:r>
            <w:r>
              <w:rPr>
                <w:rFonts w:hint="default" w:ascii="仿宋_GB2312" w:hAnsi="仿宋_GB2312" w:eastAsia="仿宋_GB2312" w:cs="仿宋_GB2312"/>
                <w:color w:val="auto"/>
                <w:sz w:val="24"/>
                <w:szCs w:val="24"/>
                <w:highlight w:val="none"/>
                <w:lang w:val="en-US" w:eastAsia="zh-CN"/>
              </w:rPr>
              <w:t>熟悉常见急救病例的处理方法</w:t>
            </w:r>
            <w:r>
              <w:rPr>
                <w:rFonts w:hint="eastAsia" w:ascii="仿宋_GB2312" w:hAnsi="仿宋_GB2312" w:eastAsia="仿宋_GB2312" w:cs="仿宋_GB2312"/>
                <w:color w:val="auto"/>
                <w:sz w:val="24"/>
                <w:szCs w:val="24"/>
                <w:highlight w:val="none"/>
                <w:lang w:val="en-US" w:eastAsia="zh-CN"/>
              </w:rPr>
              <w:t>，</w:t>
            </w:r>
            <w:r>
              <w:rPr>
                <w:rFonts w:hint="default" w:ascii="仿宋_GB2312" w:hAnsi="仿宋_GB2312" w:eastAsia="仿宋_GB2312" w:cs="仿宋_GB2312"/>
                <w:color w:val="auto"/>
                <w:sz w:val="24"/>
                <w:szCs w:val="24"/>
                <w:highlight w:val="none"/>
                <w:lang w:val="en-US" w:eastAsia="zh-CN"/>
              </w:rPr>
              <w:t>学习常见急救技能，如心肺复苏、止血等</w:t>
            </w:r>
            <w:r>
              <w:rPr>
                <w:rFonts w:hint="eastAsia" w:ascii="仿宋_GB2312" w:hAnsi="仿宋_GB2312" w:eastAsia="仿宋_GB2312" w:cs="仿宋_GB2312"/>
                <w:color w:val="auto"/>
                <w:sz w:val="24"/>
                <w:szCs w:val="24"/>
                <w:highlight w:val="none"/>
                <w:lang w:val="en-US" w:eastAsia="zh-CN"/>
              </w:rPr>
              <w:t>。同时，</w:t>
            </w:r>
            <w:r>
              <w:rPr>
                <w:rFonts w:hint="default" w:ascii="仿宋_GB2312" w:hAnsi="仿宋_GB2312" w:eastAsia="仿宋_GB2312" w:cs="仿宋_GB2312"/>
                <w:color w:val="auto"/>
                <w:sz w:val="24"/>
                <w:szCs w:val="24"/>
                <w:highlight w:val="none"/>
                <w:lang w:val="en-US" w:eastAsia="zh-CN"/>
              </w:rPr>
              <w:t>培养学生的急救意识和应对紧急情况的能力。</w:t>
            </w:r>
          </w:p>
        </w:tc>
      </w:tr>
      <w:bookmarkEnd w:id="58"/>
    </w:tbl>
    <w:p>
      <w:pPr>
        <w:keepNext w:val="0"/>
        <w:keepLines w:val="0"/>
        <w:pageBreakBefore w:val="0"/>
        <w:widowControl w:val="0"/>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2.专业核心课程</w:t>
      </w:r>
      <w:bookmarkEnd w:id="59"/>
    </w:p>
    <w:p>
      <w:pPr>
        <w:keepNext w:val="0"/>
        <w:keepLines w:val="0"/>
        <w:pageBreakBefore w:val="0"/>
        <w:widowControl w:val="0"/>
        <w:kinsoku/>
        <w:wordWrap/>
        <w:overflowPunct/>
        <w:topLinePunct w:val="0"/>
        <w:autoSpaceDE/>
        <w:autoSpaceDN/>
        <w:bidi w:val="0"/>
        <w:adjustRightInd w:val="0"/>
        <w:snapToGrid w:val="0"/>
        <w:spacing w:after="0" w:line="520" w:lineRule="exact"/>
        <w:ind w:firstLine="624"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pacing w:val="-4"/>
          <w:sz w:val="32"/>
          <w:szCs w:val="32"/>
          <w:highlight w:val="none"/>
        </w:rPr>
        <w:t>专业核心</w:t>
      </w:r>
      <w:r>
        <w:rPr>
          <w:rFonts w:hint="eastAsia" w:ascii="仿宋_GB2312" w:hAnsi="仿宋_GB2312" w:eastAsia="仿宋_GB2312" w:cs="仿宋_GB2312"/>
          <w:color w:val="auto"/>
          <w:spacing w:val="-4"/>
          <w:sz w:val="32"/>
          <w:szCs w:val="32"/>
          <w:highlight w:val="none"/>
          <w:lang w:eastAsia="zh-CN"/>
        </w:rPr>
        <w:t>课程</w:t>
      </w:r>
      <w:r>
        <w:rPr>
          <w:rFonts w:hint="eastAsia" w:ascii="仿宋_GB2312" w:hAnsi="仿宋_GB2312" w:eastAsia="仿宋_GB2312" w:cs="仿宋_GB2312"/>
          <w:color w:val="auto"/>
          <w:spacing w:val="-4"/>
          <w:sz w:val="32"/>
          <w:szCs w:val="32"/>
          <w:highlight w:val="none"/>
        </w:rPr>
        <w:t>是面向家政服务员、育婴员和保育员、健康管理师、养老照护员、家政培训师等岗位（群），结合养老机构、幼儿园、医院等单位的管理岗位，建立现代家政服务与管理专业核心课程，培养学生家政服务与管理能力。包括家庭整理与收纳、家庭营养与膳食指导、家庭成员照护技术、婴幼儿早期发展指导、家政培训实务、家政新媒体营销等课程。</w:t>
      </w:r>
    </w:p>
    <w:p>
      <w:pPr>
        <w:overflowPunct w:val="0"/>
        <w:adjustRightInd w:val="0"/>
        <w:spacing w:line="52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表4</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专业核心课</w:t>
      </w:r>
      <w:r>
        <w:rPr>
          <w:rFonts w:hint="eastAsia" w:ascii="仿宋_GB2312" w:hAnsi="仿宋_GB2312" w:eastAsia="仿宋_GB2312" w:cs="仿宋_GB2312"/>
          <w:color w:val="auto"/>
          <w:sz w:val="32"/>
          <w:szCs w:val="32"/>
          <w:highlight w:val="none"/>
          <w:lang w:val="en-US" w:eastAsia="zh-CN"/>
        </w:rPr>
        <w:t>课程目标、主要教学内容与要求</w:t>
      </w:r>
    </w:p>
    <w:tbl>
      <w:tblPr>
        <w:tblStyle w:val="12"/>
        <w:tblW w:w="104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
        <w:gridCol w:w="775"/>
        <w:gridCol w:w="4086"/>
        <w:gridCol w:w="2786"/>
        <w:gridCol w:w="23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topLinePunct w:val="0"/>
              <w:autoSpaceDE/>
              <w:autoSpaceDN/>
              <w:bidi w:val="0"/>
              <w:snapToGrid/>
              <w:spacing w:after="0" w:line="36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序号</w:t>
            </w:r>
          </w:p>
        </w:tc>
        <w:tc>
          <w:tcPr>
            <w:tcW w:w="775" w:type="dxa"/>
            <w:vAlign w:val="center"/>
          </w:tcPr>
          <w:p>
            <w:pPr>
              <w:keepNext w:val="0"/>
              <w:keepLines w:val="0"/>
              <w:pageBreakBefore w:val="0"/>
              <w:widowControl w:val="0"/>
              <w:kinsoku/>
              <w:wordWrap/>
              <w:topLinePunct w:val="0"/>
              <w:autoSpaceDE/>
              <w:autoSpaceDN/>
              <w:bidi w:val="0"/>
              <w:snapToGrid/>
              <w:spacing w:after="0" w:line="36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课程名称</w:t>
            </w:r>
          </w:p>
        </w:tc>
        <w:tc>
          <w:tcPr>
            <w:tcW w:w="4086" w:type="dxa"/>
            <w:vAlign w:val="center"/>
          </w:tcPr>
          <w:p>
            <w:pPr>
              <w:keepNext w:val="0"/>
              <w:keepLines w:val="0"/>
              <w:pageBreakBefore w:val="0"/>
              <w:widowControl w:val="0"/>
              <w:kinsoku/>
              <w:wordWrap/>
              <w:topLinePunct w:val="0"/>
              <w:autoSpaceDE/>
              <w:autoSpaceDN/>
              <w:bidi w:val="0"/>
              <w:snapToGrid/>
              <w:spacing w:after="0" w:line="36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课程</w:t>
            </w:r>
            <w:r>
              <w:rPr>
                <w:rFonts w:hint="eastAsia" w:ascii="仿宋_GB2312" w:hAnsi="仿宋_GB2312" w:eastAsia="仿宋_GB2312" w:cs="仿宋_GB2312"/>
                <w:color w:val="auto"/>
                <w:sz w:val="24"/>
                <w:szCs w:val="24"/>
                <w:highlight w:val="none"/>
              </w:rPr>
              <w:t>目标</w:t>
            </w:r>
          </w:p>
        </w:tc>
        <w:tc>
          <w:tcPr>
            <w:tcW w:w="2786" w:type="dxa"/>
            <w:vAlign w:val="center"/>
          </w:tcPr>
          <w:p>
            <w:pPr>
              <w:keepNext w:val="0"/>
              <w:keepLines w:val="0"/>
              <w:pageBreakBefore w:val="0"/>
              <w:widowControl w:val="0"/>
              <w:kinsoku/>
              <w:wordWrap/>
              <w:topLinePunct w:val="0"/>
              <w:autoSpaceDE/>
              <w:autoSpaceDN/>
              <w:bidi w:val="0"/>
              <w:snapToGrid/>
              <w:spacing w:after="0" w:line="36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主要</w:t>
            </w:r>
            <w:r>
              <w:rPr>
                <w:rFonts w:hint="eastAsia" w:ascii="仿宋_GB2312" w:hAnsi="仿宋_GB2312" w:eastAsia="仿宋_GB2312" w:cs="仿宋_GB2312"/>
                <w:color w:val="auto"/>
                <w:sz w:val="24"/>
                <w:szCs w:val="24"/>
                <w:highlight w:val="none"/>
              </w:rPr>
              <w:t>教学内容</w:t>
            </w:r>
          </w:p>
        </w:tc>
        <w:tc>
          <w:tcPr>
            <w:tcW w:w="2327" w:type="dxa"/>
            <w:vAlign w:val="center"/>
          </w:tcPr>
          <w:p>
            <w:pPr>
              <w:keepNext w:val="0"/>
              <w:keepLines w:val="0"/>
              <w:pageBreakBefore w:val="0"/>
              <w:widowControl w:val="0"/>
              <w:kinsoku/>
              <w:wordWrap/>
              <w:topLinePunct w:val="0"/>
              <w:autoSpaceDE/>
              <w:autoSpaceDN/>
              <w:bidi w:val="0"/>
              <w:snapToGrid/>
              <w:spacing w:after="0" w:line="36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1</w:t>
            </w:r>
          </w:p>
        </w:tc>
        <w:tc>
          <w:tcPr>
            <w:tcW w:w="77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000000"/>
                <w:kern w:val="0"/>
                <w:sz w:val="24"/>
                <w:szCs w:val="24"/>
                <w:highlight w:val="none"/>
                <w:lang w:val="en-US" w:eastAsia="zh-CN" w:bidi="ar"/>
              </w:rPr>
              <w:t>家庭整理与收纳</w:t>
            </w:r>
          </w:p>
        </w:tc>
        <w:tc>
          <w:tcPr>
            <w:tcW w:w="4086"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掌握不同空间的整理收纳原则与方法；了解各类物品的收纳技巧及工具使用知识。</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能为不同户型、不同需求的家庭制定个性化整理收纳方案；具备高效、有序整理收纳家庭物品的实操能力，能合理利用空间和收纳工具。</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培养学生耐心、细致的工作态度，以及对家居环境美学的感知力；提升学生的规划能力和空间利用意识，在整理收纳中体现对生活品质的追求。</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引导学生认识到家庭整理与收纳不仅是美化环境，更是营造温馨、有序家庭氛围的重要方式，培养学生对家庭的热爱与责任感；通过整理收纳的有序性，培养学生的规则意识和条理性。</w:t>
            </w:r>
          </w:p>
        </w:tc>
        <w:tc>
          <w:tcPr>
            <w:tcW w:w="278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基</w:t>
            </w:r>
            <w:r>
              <w:rPr>
                <w:rFonts w:hint="eastAsia" w:ascii="仿宋_GB2312" w:hAnsi="仿宋_GB2312" w:eastAsia="仿宋_GB2312" w:cs="仿宋_GB2312"/>
                <w:color w:val="auto"/>
                <w:sz w:val="24"/>
                <w:szCs w:val="24"/>
                <w:highlight w:val="none"/>
              </w:rPr>
              <w:t>础理论与方法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分类与整理原则</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按材质、季节、用途分类，学习折叠、堆叠等技巧。工具与空间规划</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认识收纳工具，掌握小空间优化、多功能收纳策略。实践操作模块场景化收纳</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涵盖玄关、客厅、厨房等空间，结合案例模拟实际收纳流程。环保实践旧物改造、循环利用方法，强化资源节约理念。综合能力提升上门服务模拟</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学习客户需求分析、方案交付标准，培养职业化服务能力。创新设计结合美学与实用性，设计“五有”收纳方案</w:t>
            </w:r>
            <w:r>
              <w:rPr>
                <w:rFonts w:hint="eastAsia" w:ascii="仿宋_GB2312" w:hAnsi="仿宋_GB2312" w:eastAsia="仿宋_GB2312" w:cs="仿宋_GB2312"/>
                <w:color w:val="auto"/>
                <w:sz w:val="24"/>
                <w:szCs w:val="24"/>
                <w:highlight w:val="none"/>
                <w:lang w:eastAsia="zh-CN"/>
              </w:rPr>
              <w:t>。</w:t>
            </w:r>
          </w:p>
        </w:tc>
        <w:tc>
          <w:tcPr>
            <w:tcW w:w="2327"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采用多元化教学</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案例分析法、角色扮演、实验法。强调实践与互动</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通过收纳比赛、成果展示提升参与度，结合社区服务项目深化应用能力</w:t>
            </w:r>
            <w:r>
              <w:rPr>
                <w:rFonts w:hint="eastAsia" w:ascii="仿宋_GB2312" w:hAnsi="仿宋_GB2312" w:eastAsia="仿宋_GB2312" w:cs="仿宋_GB2312"/>
                <w:color w:val="auto"/>
                <w:sz w:val="24"/>
                <w:szCs w:val="24"/>
                <w:highlight w:val="none"/>
                <w:lang w:eastAsia="zh-CN"/>
              </w:rPr>
              <w:t>。观察课堂参与度、收纳方案设计质量，定期进行知识测验。需完成家庭/社区收纳实践任务，提交对比照片及反思日记。对接家政服务职业标准，培养复合型技能。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sz w:val="24"/>
                <w:szCs w:val="24"/>
                <w:highlight w:val="none"/>
                <w:lang w:val="en-US" w:eastAsia="zh-CN"/>
              </w:rPr>
              <w:t>2</w:t>
            </w:r>
          </w:p>
        </w:tc>
        <w:tc>
          <w:tcPr>
            <w:tcW w:w="77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家庭营养与膳食指导</w:t>
            </w:r>
          </w:p>
        </w:tc>
        <w:tc>
          <w:tcPr>
            <w:tcW w:w="4086"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知识目标：</w:t>
            </w:r>
            <w:r>
              <w:rPr>
                <w:rFonts w:hint="eastAsia" w:ascii="仿宋_GB2312" w:hAnsi="仿宋_GB2312" w:eastAsia="仿宋_GB2312" w:cs="仿宋_GB2312"/>
                <w:color w:val="auto"/>
                <w:sz w:val="24"/>
                <w:szCs w:val="24"/>
                <w:highlight w:val="none"/>
              </w:rPr>
              <w:t>掌握营养学基本理论，包括人体所需营养素的种类、功能及食物来源；了解不同人群的营养需求与膳食特点；熟悉常见疾病的膳食调理原则。</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能力目标：</w:t>
            </w:r>
            <w:r>
              <w:rPr>
                <w:rFonts w:hint="eastAsia" w:ascii="仿宋_GB2312" w:hAnsi="仿宋_GB2312" w:eastAsia="仿宋_GB2312" w:cs="仿宋_GB2312"/>
                <w:color w:val="auto"/>
                <w:sz w:val="24"/>
                <w:szCs w:val="24"/>
                <w:highlight w:val="none"/>
              </w:rPr>
              <w:t>能根据不同家庭成员的年龄、健康状况等，制定科学合理的家庭膳食计划；具备膳食搭配与食谱设计能力，能制作营养均衡、美味可口的家庭餐食；能对家庭膳食进行营养分析与指导，纠正不良饮食习惯。</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素质目标：</w:t>
            </w:r>
            <w:r>
              <w:rPr>
                <w:rFonts w:hint="eastAsia" w:ascii="仿宋_GB2312" w:hAnsi="仿宋_GB2312" w:eastAsia="仿宋_GB2312" w:cs="仿宋_GB2312"/>
                <w:color w:val="auto"/>
                <w:sz w:val="24"/>
                <w:szCs w:val="24"/>
                <w:highlight w:val="none"/>
              </w:rPr>
              <w:t>培养学生对健康饮食的重视，树立科学营养的膳食观念；提升学生的烹饪技能和创新能力，在膳食制作中体现对家人健康的关爱。</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课程思政育人目标：</w:t>
            </w:r>
            <w:r>
              <w:rPr>
                <w:rFonts w:hint="eastAsia" w:ascii="仿宋_GB2312" w:hAnsi="仿宋_GB2312" w:eastAsia="仿宋_GB2312" w:cs="仿宋_GB2312"/>
                <w:color w:val="auto"/>
                <w:sz w:val="24"/>
                <w:szCs w:val="24"/>
                <w:highlight w:val="none"/>
              </w:rPr>
              <w:t>让学生认识到合理膳食是保障家庭健康的基础，培养学生的家庭健康责任意识；通过推广健康饮食，引导学生关注社会大众的饮食健康，树立大健康理念。</w:t>
            </w:r>
          </w:p>
        </w:tc>
        <w:tc>
          <w:tcPr>
            <w:tcW w:w="278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课程内容涵盖基础营养学理论体系包括六大营养素的功能与食物来源、人体各生命周期的营养需求特点、中国居民膳食指南的核心要点解读、家庭膳食调查与评估方法、特殊生理状态的营养管理策略、常见慢性病的膳食调理方案、食品标签识别与安全选购技巧、家庭应急营养储备原则以及营养餐设计与烹饪技巧等实用知识模块。</w:t>
            </w:r>
          </w:p>
        </w:tc>
        <w:tc>
          <w:tcPr>
            <w:tcW w:w="2327"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通过学习使学生巩固掌握营养学的基本知识和理论，了解不同年龄、性别、职业、体质、健康状况的人群对膳食营养的各自需求特点，掌握针对不同人群或个人进行科学配餐与食谱编制的知识以及宴会食谱设计。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bookmarkStart w:id="60" w:name="_Toc90734991"/>
            <w:r>
              <w:rPr>
                <w:rFonts w:hint="eastAsia" w:ascii="仿宋_GB2312" w:hAnsi="仿宋_GB2312" w:eastAsia="仿宋_GB2312" w:cs="仿宋_GB2312"/>
                <w:color w:val="auto"/>
                <w:sz w:val="24"/>
                <w:szCs w:val="24"/>
                <w:highlight w:val="none"/>
                <w:lang w:val="en-US" w:eastAsia="zh-CN"/>
              </w:rPr>
              <w:t>3</w:t>
            </w:r>
          </w:p>
        </w:tc>
        <w:tc>
          <w:tcPr>
            <w:tcW w:w="775"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家庭成员照护技术</w:t>
            </w:r>
          </w:p>
        </w:tc>
        <w:tc>
          <w:tcPr>
            <w:tcW w:w="4086"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知识目标：</w:t>
            </w:r>
            <w:r>
              <w:rPr>
                <w:rFonts w:hint="eastAsia" w:ascii="仿宋_GB2312" w:hAnsi="仿宋_GB2312" w:eastAsia="仿宋_GB2312" w:cs="仿宋_GB2312"/>
                <w:color w:val="auto"/>
                <w:sz w:val="24"/>
                <w:szCs w:val="24"/>
                <w:highlight w:val="none"/>
              </w:rPr>
              <w:t>掌握婴幼儿、老年人、孕产妇等不同家庭成员的照护知识；了解照护过程中的安全防护知识与急救技能。</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能力目标：</w:t>
            </w:r>
            <w:r>
              <w:rPr>
                <w:rFonts w:hint="eastAsia" w:ascii="仿宋_GB2312" w:hAnsi="仿宋_GB2312" w:eastAsia="仿宋_GB2312" w:cs="仿宋_GB2312"/>
                <w:color w:val="auto"/>
                <w:sz w:val="24"/>
                <w:szCs w:val="24"/>
                <w:highlight w:val="none"/>
              </w:rPr>
              <w:t>能为婴幼儿进行日常护理、健康观察与常见问题处理；具备老年人日常照护能力，包括生活照料、健康监测、康复辅助等；能为孕产妇提供孕期、产后的护理与健康指导。</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素质目标：</w:t>
            </w:r>
            <w:r>
              <w:rPr>
                <w:rFonts w:hint="eastAsia" w:ascii="仿宋_GB2312" w:hAnsi="仿宋_GB2312" w:eastAsia="仿宋_GB2312" w:cs="仿宋_GB2312"/>
                <w:color w:val="auto"/>
                <w:sz w:val="24"/>
                <w:szCs w:val="24"/>
                <w:highlight w:val="none"/>
              </w:rPr>
              <w:t>培养学生的爱心、耐心与责任心，尊重照护对象的需求与感受；提升学生的观察能力和应急处理能力，在照护过程中体现人文关怀。</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课程思政育人目标：</w:t>
            </w:r>
            <w:r>
              <w:rPr>
                <w:rFonts w:hint="eastAsia" w:ascii="仿宋_GB2312" w:hAnsi="仿宋_GB2312" w:eastAsia="仿宋_GB2312" w:cs="仿宋_GB2312"/>
                <w:color w:val="auto"/>
                <w:sz w:val="24"/>
                <w:szCs w:val="24"/>
                <w:highlight w:val="none"/>
              </w:rPr>
              <w:t>引导学生认识到家庭成员照护是维系家庭亲情、促进家庭和谐的重要工作，培养学生的家庭伦理观念和亲情意识；通过照护不同家庭成员，培养学生的尊老爱幼、关爱他人的传统美德。</w:t>
            </w:r>
          </w:p>
        </w:tc>
        <w:tc>
          <w:tcPr>
            <w:tcW w:w="2786" w:type="dxa"/>
            <w:shd w:val="clear" w:color="auto" w:fill="auto"/>
            <w:vAlign w:val="top"/>
          </w:tcPr>
          <w:p>
            <w:pPr>
              <w:keepNext w:val="0"/>
              <w:keepLines w:val="0"/>
              <w:pageBreakBefore w:val="0"/>
              <w:widowControl w:val="0"/>
              <w:kinsoku/>
              <w:wordWrap/>
              <w:topLinePunct w:val="0"/>
              <w:autoSpaceDE/>
              <w:autoSpaceDN/>
              <w:bidi w:val="0"/>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i w:val="0"/>
                <w:iCs w:val="0"/>
                <w:caps w:val="0"/>
                <w:color w:val="auto"/>
                <w:spacing w:val="0"/>
                <w:sz w:val="24"/>
                <w:szCs w:val="24"/>
                <w:highlight w:val="none"/>
                <w:lang w:val="en-US" w:eastAsia="zh-CN"/>
              </w:rPr>
              <w:t>家庭保健护理的概念和重要性；常见家庭保健护理技能、卫生习惯，了解均衡饮食的重要性，学习选择健康食材和烹饪方法等、心理健康，了解心理健康问题，并学习应对压力和情绪管理的方法等。</w:t>
            </w:r>
          </w:p>
        </w:tc>
        <w:tc>
          <w:tcPr>
            <w:tcW w:w="2327"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生命体征的测量及护理， 家庭环境感染与防控。家庭成员的舒适与安全，家庭成员的休息与活动，常用抢救技术，常见慢性疾病家庭照护。通过讲授、演示、录像、练习、自学、讨论、角色扮演等使学生建立整体观念。培养科学的护理思维方法，理解掌握护理程序的步骤，培养评判性思维能力。掌握护理的基本理论、知识和技能，加强实践技能训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4</w:t>
            </w:r>
          </w:p>
        </w:tc>
        <w:tc>
          <w:tcPr>
            <w:tcW w:w="775" w:type="dxa"/>
            <w:shd w:val="clear" w:color="auto" w:fill="auto"/>
            <w:vAlign w:val="center"/>
          </w:tcPr>
          <w:p>
            <w:pPr>
              <w:keepNext w:val="0"/>
              <w:keepLines w:val="0"/>
              <w:pageBreakBefore w:val="0"/>
              <w:widowControl w:val="0"/>
              <w:tabs>
                <w:tab w:val="left" w:pos="331"/>
              </w:tabs>
              <w:kinsoku/>
              <w:wordWrap/>
              <w:overflowPunct w:val="0"/>
              <w:topLinePunct w:val="0"/>
              <w:autoSpaceDE/>
              <w:autoSpaceDN/>
              <w:bidi w:val="0"/>
              <w:adjustRightInd w:val="0"/>
              <w:snapToGrid/>
              <w:spacing w:after="0" w:line="360" w:lineRule="exact"/>
              <w:jc w:val="left"/>
              <w:textAlignment w:val="auto"/>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婴幼儿早期发展指导</w:t>
            </w:r>
          </w:p>
        </w:tc>
        <w:tc>
          <w:tcPr>
            <w:tcW w:w="4086"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知识目标：</w:t>
            </w:r>
            <w:r>
              <w:rPr>
                <w:rFonts w:hint="eastAsia" w:ascii="仿宋_GB2312" w:hAnsi="仿宋_GB2312" w:eastAsia="仿宋_GB2312" w:cs="仿宋_GB2312"/>
                <w:color w:val="auto"/>
                <w:sz w:val="24"/>
                <w:szCs w:val="24"/>
                <w:highlight w:val="none"/>
              </w:rPr>
              <w:t>掌握婴幼儿早期发展的基本理论；了解婴幼儿早期教育的原则、方法与活动设计知识。</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能力目标：</w:t>
            </w:r>
            <w:r>
              <w:rPr>
                <w:rFonts w:hint="eastAsia" w:ascii="仿宋_GB2312" w:hAnsi="仿宋_GB2312" w:eastAsia="仿宋_GB2312" w:cs="仿宋_GB2312"/>
                <w:color w:val="auto"/>
                <w:sz w:val="24"/>
                <w:szCs w:val="24"/>
                <w:highlight w:val="none"/>
              </w:rPr>
              <w:t>能根据婴幼儿的发展阶段和特点，设计适合的早期教育活动；具备与婴幼儿及其家长进行有效沟通的能力，能为家长提供婴幼儿早期发展的指导与建议。</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素质目标：</w:t>
            </w:r>
            <w:r>
              <w:rPr>
                <w:rFonts w:hint="eastAsia" w:ascii="仿宋_GB2312" w:hAnsi="仿宋_GB2312" w:eastAsia="仿宋_GB2312" w:cs="仿宋_GB2312"/>
                <w:color w:val="auto"/>
                <w:sz w:val="24"/>
                <w:szCs w:val="24"/>
                <w:highlight w:val="none"/>
              </w:rPr>
              <w:t>培养学生对婴幼儿的关爱与尊重，遵循婴幼儿早期发展规律开展教育活动；提升学生的创造力和教育设计能力，在早期教育中激发婴幼儿的潜能。</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课程思政育人目标：</w:t>
            </w:r>
            <w:r>
              <w:rPr>
                <w:rFonts w:hint="eastAsia" w:ascii="仿宋_GB2312" w:hAnsi="仿宋_GB2312" w:eastAsia="仿宋_GB2312" w:cs="仿宋_GB2312"/>
                <w:color w:val="auto"/>
                <w:sz w:val="24"/>
                <w:szCs w:val="24"/>
                <w:highlight w:val="none"/>
              </w:rPr>
              <w:t>让学生认识到婴幼儿早期发展对其一生的重要性，培养学生的教育责任意识；通过科学的早期教育指导，引导学生树立正确的教育观，为国家培养健康、聪明的下一代贡献力量。</w:t>
            </w:r>
          </w:p>
        </w:tc>
        <w:tc>
          <w:tcPr>
            <w:tcW w:w="2786" w:type="dxa"/>
            <w:shd w:val="clear" w:color="auto" w:fill="auto"/>
            <w:vAlign w:val="top"/>
          </w:tcPr>
          <w:p>
            <w:pPr>
              <w:keepNext w:val="0"/>
              <w:keepLines w:val="0"/>
              <w:pageBreakBefore w:val="0"/>
              <w:widowControl w:val="0"/>
              <w:kinsoku/>
              <w:wordWrap/>
              <w:topLinePunct w:val="0"/>
              <w:autoSpaceDE/>
              <w:autoSpaceDN/>
              <w:bidi w:val="0"/>
              <w:snapToGrid/>
              <w:spacing w:after="0" w:line="320" w:lineRule="exact"/>
              <w:jc w:val="both"/>
              <w:textAlignment w:val="auto"/>
              <w:rPr>
                <w:rFonts w:hint="eastAsia" w:ascii="仿宋_GB2312" w:hAnsi="仿宋_GB2312" w:eastAsia="仿宋_GB2312" w:cs="仿宋_GB2312"/>
                <w:i w:val="0"/>
                <w:iCs w:val="0"/>
                <w:caps w:val="0"/>
                <w:color w:val="auto"/>
                <w:spacing w:val="0"/>
                <w:kern w:val="2"/>
                <w:sz w:val="24"/>
                <w:szCs w:val="24"/>
                <w:highlight w:val="none"/>
                <w:lang w:val="en-US" w:eastAsia="zh-CN" w:bidi="ar-SA"/>
              </w:rPr>
            </w:pPr>
            <w:r>
              <w:rPr>
                <w:rFonts w:hint="eastAsia" w:ascii="仿宋_GB2312" w:hAnsi="仿宋_GB2312" w:eastAsia="仿宋_GB2312" w:cs="仿宋_GB2312"/>
                <w:i w:val="0"/>
                <w:iCs w:val="0"/>
                <w:caps w:val="0"/>
                <w:color w:val="auto"/>
                <w:spacing w:val="0"/>
                <w:sz w:val="24"/>
                <w:szCs w:val="24"/>
                <w:highlight w:val="none"/>
                <w:lang w:val="en-US" w:eastAsia="zh-CN"/>
              </w:rPr>
              <w:t>理论模块，婴幼儿发展基础生理特点、心理敏感期。早期教育理论，关键期理论、五大领域与八大智能、回应性照护框架。政策与评估，《婴幼儿早期发展服务指南》解读、发展风险评估工具应用。实训模块，活动设计，分龄段游戏案例，如大动作训练、精细动作。技能实操，音乐教育钢琴基础指法、奥尔夫乐器应用、儿歌弹唱。语言训练，看图讲述、情境表演、提问艺术。实习模块，幼儿园或早教中心见习，参与早教课程组织与环境创设。</w:t>
            </w:r>
          </w:p>
        </w:tc>
        <w:tc>
          <w:tcPr>
            <w:tcW w:w="2327"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采用“工学结合”模式，课堂讲授占40%，情境模拟占30%，实习实践占30%。运用案例分析、多媒体资源辅助教学。教师须具备育婴师资格及早教机构工作经验，能示范亲子互动技巧。配套资源，标准化评估工具包、亲子活动案例库、感统教具套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sz w:val="24"/>
                <w:szCs w:val="24"/>
                <w:highlight w:val="none"/>
                <w:lang w:val="en-US" w:eastAsia="zh-CN"/>
              </w:rPr>
              <w:t>5</w:t>
            </w:r>
          </w:p>
        </w:tc>
        <w:tc>
          <w:tcPr>
            <w:tcW w:w="775"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000000"/>
                <w:kern w:val="0"/>
                <w:sz w:val="24"/>
                <w:szCs w:val="24"/>
                <w:highlight w:val="none"/>
                <w:lang w:val="en-US" w:eastAsia="zh-CN" w:bidi="ar"/>
              </w:rPr>
              <w:t>家政培训实务</w:t>
            </w:r>
          </w:p>
        </w:tc>
        <w:tc>
          <w:tcPr>
            <w:tcW w:w="4086"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知识目标：</w:t>
            </w:r>
            <w:r>
              <w:rPr>
                <w:rFonts w:hint="eastAsia" w:ascii="仿宋_GB2312" w:hAnsi="仿宋_GB2312" w:eastAsia="仿宋_GB2312" w:cs="仿宋_GB2312"/>
                <w:color w:val="auto"/>
                <w:sz w:val="24"/>
                <w:szCs w:val="24"/>
                <w:highlight w:val="none"/>
              </w:rPr>
              <w:t>掌握家政培训的基本理论与方法；了解家政服务各领域的培训内容与要点。</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能力目标：</w:t>
            </w:r>
            <w:r>
              <w:rPr>
                <w:rFonts w:hint="eastAsia" w:ascii="仿宋_GB2312" w:hAnsi="仿宋_GB2312" w:eastAsia="仿宋_GB2312" w:cs="仿宋_GB2312"/>
                <w:color w:val="auto"/>
                <w:sz w:val="24"/>
                <w:szCs w:val="24"/>
                <w:highlight w:val="none"/>
              </w:rPr>
              <w:t>能进行家政培训需求调研与分析，制定针对性的培训计划；具备家政培训课程设计与开发能力，能设计实用、有效的培训课程；能开展家政培训教学活动，运用多种教学方法提升培训效果；能对家政培训效果进行评估与反馈，持续改进培训工作。</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素质目标：</w:t>
            </w:r>
            <w:r>
              <w:rPr>
                <w:rFonts w:hint="eastAsia" w:ascii="仿宋_GB2312" w:hAnsi="仿宋_GB2312" w:eastAsia="仿宋_GB2312" w:cs="仿宋_GB2312"/>
                <w:color w:val="auto"/>
                <w:sz w:val="24"/>
                <w:szCs w:val="24"/>
                <w:highlight w:val="none"/>
              </w:rPr>
              <w:t>培养学生的组织管理能力和教学能力，提升专业素养；增强学生的服务意识和责任感，为家政行业培养优质人才。</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课程思政育人目标：</w:t>
            </w:r>
            <w:r>
              <w:rPr>
                <w:rFonts w:hint="eastAsia" w:ascii="仿宋_GB2312" w:hAnsi="仿宋_GB2312" w:eastAsia="仿宋_GB2312" w:cs="仿宋_GB2312"/>
                <w:color w:val="auto"/>
                <w:sz w:val="24"/>
                <w:szCs w:val="24"/>
                <w:highlight w:val="none"/>
              </w:rPr>
              <w:t>引导学生认识到家政培训是提升家政服务行业整体水平的关键，培养学生的行业发展责任意识；通过培训工作，传递专业、敬业的职业精神，推动家政行业的规范化、职业化发展。</w:t>
            </w:r>
          </w:p>
        </w:tc>
        <w:tc>
          <w:tcPr>
            <w:tcW w:w="2786" w:type="dxa"/>
            <w:shd w:val="clear" w:color="auto" w:fill="auto"/>
            <w:vAlign w:val="top"/>
          </w:tcPr>
          <w:p>
            <w:pPr>
              <w:keepNext w:val="0"/>
              <w:keepLines w:val="0"/>
              <w:pageBreakBefore w:val="0"/>
              <w:widowControl w:val="0"/>
              <w:kinsoku/>
              <w:wordWrap/>
              <w:topLinePunct w:val="0"/>
              <w:autoSpaceDE/>
              <w:autoSpaceDN/>
              <w:bidi w:val="0"/>
              <w:snapToGrid/>
              <w:spacing w:after="0" w:line="320" w:lineRule="exact"/>
              <w:jc w:val="both"/>
              <w:textAlignment w:val="auto"/>
              <w:rPr>
                <w:rFonts w:hint="eastAsia" w:ascii="仿宋_GB2312" w:hAnsi="仿宋_GB2312" w:eastAsia="仿宋_GB2312" w:cs="仿宋_GB2312"/>
                <w:i w:val="0"/>
                <w:iCs w:val="0"/>
                <w:caps w:val="0"/>
                <w:color w:val="auto"/>
                <w:spacing w:val="0"/>
                <w:kern w:val="2"/>
                <w:sz w:val="24"/>
                <w:szCs w:val="24"/>
                <w:highlight w:val="none"/>
                <w:lang w:val="en-US" w:eastAsia="zh-CN" w:bidi="ar-SA"/>
              </w:rPr>
            </w:pPr>
            <w:r>
              <w:rPr>
                <w:rFonts w:hint="eastAsia" w:ascii="仿宋_GB2312" w:hAnsi="仿宋_GB2312" w:eastAsia="仿宋_GB2312" w:cs="仿宋_GB2312"/>
                <w:i w:val="0"/>
                <w:iCs w:val="0"/>
                <w:caps w:val="0"/>
                <w:color w:val="auto"/>
                <w:spacing w:val="0"/>
                <w:sz w:val="24"/>
                <w:szCs w:val="24"/>
                <w:highlight w:val="none"/>
                <w:lang w:val="en-US" w:eastAsia="zh-CN"/>
              </w:rPr>
              <w:t>课程内容全面涵盖现代家政服务行业标准与职业规范、家居清洁与消毒标准化操作流程、科学收纳与空间规划方法、不同年龄段家庭成员照护要点、家庭膳食营养搭配与烹饪技巧、家用电器安全使用与维护、服务礼仪与沟通技巧、突发事件应急处理、家政服务质量管理等实务操作内容，并结合真实案例进行技能强化训练。</w:t>
            </w:r>
          </w:p>
        </w:tc>
        <w:tc>
          <w:tcPr>
            <w:tcW w:w="2327"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使学生通过全部教学内容的学习，掌握家政服务与管理的基本理论，达到能够运用家政服务与管理的方法和艺术，去解决工作中实际问题的能力，并能够运用家政管理与服务的知识为有需要的人服务。风格培养，PPT 制作与展示，对学员思想、感受、行为的设计，课堂互动技巧，语言训练等知识和技能。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sz w:val="24"/>
                <w:szCs w:val="24"/>
                <w:highlight w:val="none"/>
                <w:lang w:val="en-US" w:eastAsia="zh-CN"/>
              </w:rPr>
              <w:t>6</w:t>
            </w:r>
          </w:p>
        </w:tc>
        <w:tc>
          <w:tcPr>
            <w:tcW w:w="775"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000000"/>
                <w:kern w:val="0"/>
                <w:sz w:val="24"/>
                <w:szCs w:val="24"/>
                <w:highlight w:val="none"/>
                <w:lang w:val="en-US" w:eastAsia="zh-CN" w:bidi="ar"/>
              </w:rPr>
              <w:t>家政新媒体营销</w:t>
            </w:r>
          </w:p>
        </w:tc>
        <w:tc>
          <w:tcPr>
            <w:tcW w:w="4086"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知识目标：</w:t>
            </w:r>
            <w:r>
              <w:rPr>
                <w:rFonts w:hint="eastAsia" w:ascii="仿宋_GB2312" w:hAnsi="仿宋_GB2312" w:eastAsia="仿宋_GB2312" w:cs="仿宋_GB2312"/>
                <w:color w:val="auto"/>
                <w:sz w:val="24"/>
                <w:szCs w:val="24"/>
                <w:highlight w:val="none"/>
              </w:rPr>
              <w:t>掌握新媒体营销的基本理论与方法，包括新媒体平台的特点与运营规则；了解家政服务行业新媒体营销的策略与技巧，如内容创作、账号运营、粉丝管理、流量转化等。</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能力目标：</w:t>
            </w:r>
            <w:r>
              <w:rPr>
                <w:rFonts w:hint="eastAsia" w:ascii="仿宋_GB2312" w:hAnsi="仿宋_GB2312" w:eastAsia="仿宋_GB2312" w:cs="仿宋_GB2312"/>
                <w:color w:val="auto"/>
                <w:sz w:val="24"/>
                <w:szCs w:val="24"/>
                <w:highlight w:val="none"/>
              </w:rPr>
              <w:t>能运营家政服务类新媒体账号，进行内容创作与发布；具备新媒体营销策划能力，能制定家政服务新媒体营销方案；能通过新媒体平台进行客户引流与转化，提升家政服务的知名度与业务量。</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素质目标：</w:t>
            </w:r>
            <w:r>
              <w:rPr>
                <w:rFonts w:hint="eastAsia" w:ascii="仿宋_GB2312" w:hAnsi="仿宋_GB2312" w:eastAsia="仿宋_GB2312" w:cs="仿宋_GB2312"/>
                <w:color w:val="auto"/>
                <w:sz w:val="24"/>
                <w:szCs w:val="24"/>
                <w:highlight w:val="none"/>
              </w:rPr>
              <w:t>培养学生的创新意识和互联网思维，适应新媒体时代的发展需求；提升学生的内容创作能力和营销能力，为家政行业拓展业务渠道。</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课程思政育人目标：</w:t>
            </w:r>
            <w:r>
              <w:rPr>
                <w:rFonts w:hint="eastAsia" w:ascii="仿宋_GB2312" w:hAnsi="仿宋_GB2312" w:eastAsia="仿宋_GB2312" w:cs="仿宋_GB2312"/>
                <w:color w:val="auto"/>
                <w:sz w:val="24"/>
                <w:szCs w:val="24"/>
                <w:highlight w:val="none"/>
              </w:rPr>
              <w:t>引导学生认识到新媒体营销是家政行业适应时代发展、提升服务影响力的重要手段，培养学生的创新发展意识；通过新媒体传播家政服务的正能量内容，树立家政行业的良好形象，传递社会正能量。</w:t>
            </w:r>
          </w:p>
        </w:tc>
        <w:tc>
          <w:tcPr>
            <w:tcW w:w="2786" w:type="dxa"/>
            <w:shd w:val="clear" w:color="auto" w:fill="auto"/>
            <w:vAlign w:val="top"/>
          </w:tcPr>
          <w:p>
            <w:pPr>
              <w:keepNext w:val="0"/>
              <w:keepLines w:val="0"/>
              <w:pageBreakBefore w:val="0"/>
              <w:widowControl w:val="0"/>
              <w:kinsoku/>
              <w:wordWrap/>
              <w:overflowPunct w:val="0"/>
              <w:topLinePunct w:val="0"/>
              <w:autoSpaceDE/>
              <w:autoSpaceDN/>
              <w:bidi w:val="0"/>
              <w:adjustRightInd w:val="0"/>
              <w:snapToGrid/>
              <w:spacing w:after="0" w:line="320" w:lineRule="exact"/>
              <w:jc w:val="both"/>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基础认知，家政行业新媒体矩阵布局策略，内容生产，家政服务对比视频脚本撰写，前后效果。类短视频制作，制作3分钟收纳服务改造全流程视频。渠道运营，小红书家政笔记排版设计，微信视频号直播话术设计策划母婴护理主题直播活动。据优化，保洁订单转化漏斗分析，客户满意度评价监测使用千瓜数据优化保洁套餐推广。危机管理，服务纠纷的舆情应对，负面评价处理流程，模拟保姆服务差评公关方案。</w:t>
            </w:r>
          </w:p>
        </w:tc>
        <w:tc>
          <w:tcPr>
            <w:tcW w:w="2327"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kern w:val="2"/>
                <w:sz w:val="24"/>
                <w:szCs w:val="24"/>
                <w:highlight w:val="none"/>
                <w:vertAlign w:val="baseline"/>
                <w:lang w:val="en-US" w:eastAsia="zh-CN" w:bidi="ar-SA"/>
              </w:rPr>
              <w:t>采用“真实企业工单”模式，如为合作家政公司完成季度涨粉目标，使用家政服务场景模拟系统进行虚拟直播训练。新媒体营销导论、平台、文案写作、技能、 引流、带货、数据分析等知识和技能。</w:t>
            </w: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after="0" w:line="50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专业拓展课程</w:t>
      </w:r>
      <w:bookmarkEnd w:id="60"/>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2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专业拓展课程是按照岗位迁移，根据家政行业发展的趋势，通过企业用人需求调研，依据企业对具备专业技能和资质的家政人才日益增加的市场需求实际状况，建立了现代家政服务与管理专业拓展课，并将辅修方向课程纳入其中。由家宴策划与组织、家居空间规划、家庭环境与美化、插花与茶艺、产后恢复、亲子教育、婴幼儿玩教具与游戏、现代教育技术、家政资讯管理、家政电子商务实务、家政企业经营与管理、家庭服务营销、婴幼儿艺术启蒙</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kern w:val="0"/>
          <w:sz w:val="32"/>
          <w:szCs w:val="32"/>
          <w:lang w:val="en-US" w:eastAsia="zh-CN" w:bidi="ar"/>
        </w:rPr>
        <w:t>习近平经济思想概论</w:t>
      </w:r>
      <w:r>
        <w:rPr>
          <w:rFonts w:hint="eastAsia" w:ascii="仿宋_GB2312" w:hAnsi="仿宋_GB2312" w:eastAsia="仿宋_GB2312" w:cs="仿宋_GB2312"/>
          <w:color w:val="auto"/>
          <w:sz w:val="32"/>
          <w:szCs w:val="32"/>
          <w:highlight w:val="none"/>
        </w:rPr>
        <w:t>等课程构成专业拓展课。</w:t>
      </w:r>
    </w:p>
    <w:p>
      <w:pPr>
        <w:overflowPunct w:val="0"/>
        <w:adjustRightInd w:val="0"/>
        <w:spacing w:line="52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表</w:t>
      </w:r>
      <w:r>
        <w:rPr>
          <w:rFonts w:hint="eastAsia" w:ascii="仿宋_GB2312" w:hAnsi="仿宋_GB2312" w:eastAsia="仿宋_GB2312" w:cs="仿宋_GB2312"/>
          <w:color w:val="auto"/>
          <w:sz w:val="32"/>
          <w:szCs w:val="32"/>
          <w:highlight w:val="none"/>
          <w:lang w:val="en-US" w:eastAsia="zh-CN"/>
        </w:rPr>
        <w:t xml:space="preserve">5 </w:t>
      </w:r>
      <w:r>
        <w:rPr>
          <w:rFonts w:hint="eastAsia" w:ascii="仿宋_GB2312" w:hAnsi="仿宋_GB2312" w:eastAsia="仿宋_GB2312" w:cs="仿宋_GB2312"/>
          <w:color w:val="auto"/>
          <w:sz w:val="32"/>
          <w:szCs w:val="32"/>
          <w:highlight w:val="none"/>
        </w:rPr>
        <w:t>专业拓展</w:t>
      </w:r>
      <w:r>
        <w:rPr>
          <w:rFonts w:hint="eastAsia" w:ascii="仿宋_GB2312" w:hAnsi="仿宋_GB2312" w:eastAsia="仿宋_GB2312" w:cs="仿宋_GB2312"/>
          <w:color w:val="000000" w:themeColor="text1"/>
          <w:sz w:val="32"/>
          <w:szCs w:val="32"/>
          <w:highlight w:val="none"/>
          <w14:textFill>
            <w14:solidFill>
              <w14:schemeClr w14:val="tx1"/>
            </w14:solidFill>
          </w14:textFill>
        </w:rPr>
        <w:t>课</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课程目标、主要教学内容与要求</w:t>
      </w:r>
    </w:p>
    <w:tbl>
      <w:tblPr>
        <w:tblStyle w:val="12"/>
        <w:tblpPr w:leftFromText="180" w:rightFromText="180" w:vertAnchor="text" w:tblpXSpec="center" w:tblpY="1"/>
        <w:tblOverlap w:val="never"/>
        <w:tblW w:w="10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1"/>
        <w:gridCol w:w="857"/>
        <w:gridCol w:w="3793"/>
        <w:gridCol w:w="2721"/>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1" w:type="dxa"/>
            <w:vAlign w:val="center"/>
          </w:tcPr>
          <w:p>
            <w:pPr>
              <w:keepNext w:val="0"/>
              <w:keepLines w:val="0"/>
              <w:pageBreakBefore w:val="0"/>
              <w:widowControl w:val="0"/>
              <w:kinsoku/>
              <w:wordWrap/>
              <w:topLinePunct w:val="0"/>
              <w:autoSpaceDE/>
              <w:autoSpaceDN/>
              <w:bidi w:val="0"/>
              <w:snapToGrid/>
              <w:spacing w:after="0"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序号</w:t>
            </w:r>
          </w:p>
        </w:tc>
        <w:tc>
          <w:tcPr>
            <w:tcW w:w="857" w:type="dxa"/>
            <w:vAlign w:val="center"/>
          </w:tcPr>
          <w:p>
            <w:pPr>
              <w:keepNext w:val="0"/>
              <w:keepLines w:val="0"/>
              <w:pageBreakBefore w:val="0"/>
              <w:kinsoku/>
              <w:wordWrap/>
              <w:topLinePunct w:val="0"/>
              <w:autoSpaceDE/>
              <w:autoSpaceDN/>
              <w:bidi w:val="0"/>
              <w:snapToGrid/>
              <w:spacing w:after="0" w:line="36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课程</w:t>
            </w:r>
            <w:r>
              <w:rPr>
                <w:rFonts w:hint="eastAsia" w:ascii="仿宋_GB2312" w:hAnsi="仿宋_GB2312" w:eastAsia="仿宋_GB2312" w:cs="仿宋_GB2312"/>
                <w:color w:val="auto"/>
                <w:sz w:val="24"/>
                <w:szCs w:val="24"/>
                <w:highlight w:val="none"/>
                <w:lang w:val="en-US" w:eastAsia="zh-CN"/>
              </w:rPr>
              <w:t xml:space="preserve"> </w:t>
            </w:r>
            <w:r>
              <w:rPr>
                <w:rFonts w:hint="eastAsia" w:ascii="仿宋_GB2312" w:hAnsi="仿宋_GB2312" w:eastAsia="仿宋_GB2312" w:cs="仿宋_GB2312"/>
                <w:color w:val="auto"/>
                <w:sz w:val="24"/>
                <w:szCs w:val="24"/>
                <w:highlight w:val="none"/>
              </w:rPr>
              <w:t>名称</w:t>
            </w:r>
          </w:p>
        </w:tc>
        <w:tc>
          <w:tcPr>
            <w:tcW w:w="3793" w:type="dxa"/>
            <w:vAlign w:val="center"/>
          </w:tcPr>
          <w:p>
            <w:pPr>
              <w:keepNext w:val="0"/>
              <w:keepLines w:val="0"/>
              <w:pageBreakBefore w:val="0"/>
              <w:kinsoku/>
              <w:wordWrap/>
              <w:topLinePunct w:val="0"/>
              <w:autoSpaceDE/>
              <w:autoSpaceDN/>
              <w:bidi w:val="0"/>
              <w:snapToGrid/>
              <w:spacing w:after="0" w:line="36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课程</w:t>
            </w:r>
            <w:r>
              <w:rPr>
                <w:rFonts w:hint="eastAsia" w:ascii="仿宋_GB2312" w:hAnsi="仿宋_GB2312" w:eastAsia="仿宋_GB2312" w:cs="仿宋_GB2312"/>
                <w:color w:val="auto"/>
                <w:sz w:val="24"/>
                <w:szCs w:val="24"/>
                <w:highlight w:val="none"/>
              </w:rPr>
              <w:t>目标</w:t>
            </w:r>
          </w:p>
        </w:tc>
        <w:tc>
          <w:tcPr>
            <w:tcW w:w="2721" w:type="dxa"/>
            <w:vAlign w:val="center"/>
          </w:tcPr>
          <w:p>
            <w:pPr>
              <w:keepNext w:val="0"/>
              <w:keepLines w:val="0"/>
              <w:pageBreakBefore w:val="0"/>
              <w:kinsoku/>
              <w:wordWrap/>
              <w:topLinePunct w:val="0"/>
              <w:autoSpaceDE/>
              <w:autoSpaceDN/>
              <w:bidi w:val="0"/>
              <w:snapToGrid/>
              <w:spacing w:after="0" w:line="36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主要</w:t>
            </w:r>
            <w:r>
              <w:rPr>
                <w:rFonts w:hint="eastAsia" w:ascii="仿宋_GB2312" w:hAnsi="仿宋_GB2312" w:eastAsia="仿宋_GB2312" w:cs="仿宋_GB2312"/>
                <w:color w:val="auto"/>
                <w:sz w:val="24"/>
                <w:szCs w:val="24"/>
                <w:highlight w:val="none"/>
              </w:rPr>
              <w:t>教学内容</w:t>
            </w:r>
          </w:p>
        </w:tc>
        <w:tc>
          <w:tcPr>
            <w:tcW w:w="2552" w:type="dxa"/>
            <w:vAlign w:val="center"/>
          </w:tcPr>
          <w:p>
            <w:pPr>
              <w:keepNext w:val="0"/>
              <w:keepLines w:val="0"/>
              <w:pageBreakBefore w:val="0"/>
              <w:kinsoku/>
              <w:wordWrap/>
              <w:topLinePunct w:val="0"/>
              <w:autoSpaceDE/>
              <w:autoSpaceDN/>
              <w:bidi w:val="0"/>
              <w:snapToGrid/>
              <w:spacing w:after="0" w:line="36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9" w:hRule="atLeast"/>
          <w:jc w:val="center"/>
        </w:trPr>
        <w:tc>
          <w:tcPr>
            <w:tcW w:w="70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sz w:val="24"/>
                <w:szCs w:val="24"/>
                <w:highlight w:val="none"/>
                <w:lang w:val="en-US" w:eastAsia="zh-CN"/>
              </w:rPr>
              <w:t>1</w:t>
            </w:r>
          </w:p>
        </w:tc>
        <w:tc>
          <w:tcPr>
            <w:tcW w:w="857"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000000"/>
                <w:kern w:val="0"/>
                <w:sz w:val="24"/>
                <w:szCs w:val="24"/>
                <w:highlight w:val="none"/>
                <w:lang w:val="en-US" w:eastAsia="zh-CN" w:bidi="ar"/>
              </w:rPr>
              <w:t>家宴策划与组织</w:t>
            </w:r>
          </w:p>
        </w:tc>
        <w:tc>
          <w:tcPr>
            <w:tcW w:w="3793"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掌握家宴策划的基本流程；了解不同类型家宴的特点与策划要点；熟悉家宴餐饮搭配、成本核算等知识。</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能根据客户需求和家庭情况，制定个性化的家宴策划方案；具备家宴场地布置、菜单设计与成本控制的能力；能组织协调家宴筹备与实施过程中的各项工作，确保家宴顺利进行。</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培养学生的策划能力和统筹协调能力，提升对生活品质的追求；增强学生的服务意识和责任感，在策划与组织家宴中体现对家人或客户的关爱。</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引导学生认识到家宴是家庭情感交流、传承家庭文化的重要载体，培养学生的家庭情感意识和文化传承意识；通过精心策划家宴，传递对家人的爱与尊重，营造和谐家庭氛围。</w:t>
            </w:r>
          </w:p>
        </w:tc>
        <w:tc>
          <w:tcPr>
            <w:tcW w:w="2721" w:type="dxa"/>
            <w:shd w:val="clear" w:color="auto" w:fill="auto"/>
            <w:vAlign w:val="top"/>
          </w:tcPr>
          <w:p>
            <w:pPr>
              <w:keepNext w:val="0"/>
              <w:keepLines w:val="0"/>
              <w:pageBreakBefore w:val="0"/>
              <w:widowControl w:val="0"/>
              <w:kinsoku/>
              <w:wordWrap/>
              <w:overflowPunct w:val="0"/>
              <w:topLinePunct w:val="0"/>
              <w:autoSpaceDE/>
              <w:autoSpaceDN/>
              <w:bidi w:val="0"/>
              <w:adjustRightInd w:val="0"/>
              <w:snapToGrid/>
              <w:spacing w:beforeAutospacing="0" w:after="0" w:afterAutospacing="0" w:line="320" w:lineRule="exact"/>
              <w:jc w:val="both"/>
              <w:textAlignment w:val="auto"/>
              <w:rPr>
                <w:rFonts w:hint="eastAsia" w:ascii="仿宋_GB2312" w:hAnsi="仿宋_GB2312" w:eastAsia="仿宋_GB2312" w:cs="仿宋_GB2312"/>
                <w:b w:val="0"/>
                <w:bCs w:val="0"/>
                <w:color w:val="auto"/>
                <w:kern w:val="2"/>
                <w:sz w:val="24"/>
                <w:szCs w:val="24"/>
                <w:highlight w:val="none"/>
                <w:vertAlign w:val="baseline"/>
                <w:lang w:val="en-US" w:eastAsia="zh-CN" w:bidi="ar-SA"/>
              </w:rPr>
            </w:pPr>
            <w:r>
              <w:rPr>
                <w:rFonts w:hint="eastAsia" w:ascii="仿宋_GB2312" w:hAnsi="仿宋_GB2312" w:eastAsia="仿宋_GB2312" w:cs="仿宋_GB2312"/>
                <w:b w:val="0"/>
                <w:bCs w:val="0"/>
                <w:i w:val="0"/>
                <w:iCs w:val="0"/>
                <w:caps w:val="0"/>
                <w:spacing w:val="0"/>
                <w:sz w:val="24"/>
                <w:szCs w:val="24"/>
                <w:highlight w:val="none"/>
                <w:shd w:val="clear" w:fill="FFFFFF"/>
              </w:rPr>
              <w:t>课程内容涵盖家宴类型与主题定位策略、中西式宴会礼仪文化比较、菜单设计与营养搭配原则、酒水搭配知识与侍酒技巧、餐桌艺术与场景布置方法、宾客动线设计与座次安排、预算编制与成本控制技巧、食材采购与储存要点、厨房工作流程优化、服务人员管理与培训、应急预案制定等专业内容，并结合实际案例进行全流程模拟训练。</w:t>
            </w:r>
          </w:p>
        </w:tc>
        <w:tc>
          <w:tcPr>
            <w:tcW w:w="2552" w:type="dxa"/>
            <w:shd w:val="clear" w:color="auto" w:fill="auto"/>
            <w:vAlign w:val="top"/>
          </w:tcPr>
          <w:p>
            <w:pPr>
              <w:keepNext w:val="0"/>
              <w:keepLines w:val="0"/>
              <w:pageBreakBefore w:val="0"/>
              <w:widowControl/>
              <w:numPr>
                <w:ilvl w:val="0"/>
                <w:numId w:val="0"/>
              </w:numPr>
              <w:suppressLineNumbers w:val="0"/>
              <w:kinsoku/>
              <w:wordWrap/>
              <w:topLinePunct w:val="0"/>
              <w:autoSpaceDE/>
              <w:autoSpaceDN/>
              <w:bidi w:val="0"/>
              <w:snapToGrid/>
              <w:spacing w:before="0" w:beforeAutospacing="0" w:after="0" w:afterAutospacing="0" w:line="320" w:lineRule="exact"/>
              <w:jc w:val="both"/>
              <w:textAlignment w:val="auto"/>
              <w:rPr>
                <w:rFonts w:hint="eastAsia" w:ascii="仿宋_GB2312" w:hAnsi="仿宋_GB2312" w:eastAsia="仿宋_GB2312" w:cs="仿宋_GB2312"/>
                <w:b w:val="0"/>
                <w:bCs w:val="0"/>
                <w:sz w:val="24"/>
                <w:szCs w:val="24"/>
                <w:highlight w:val="none"/>
              </w:rPr>
            </w:pPr>
            <w:r>
              <w:rPr>
                <w:rStyle w:val="14"/>
                <w:rFonts w:hint="eastAsia" w:ascii="仿宋_GB2312" w:hAnsi="仿宋_GB2312" w:eastAsia="仿宋_GB2312" w:cs="仿宋_GB2312"/>
                <w:b w:val="0"/>
                <w:bCs w:val="0"/>
                <w:i w:val="0"/>
                <w:iCs w:val="0"/>
                <w:caps w:val="0"/>
                <w:spacing w:val="0"/>
                <w:sz w:val="24"/>
                <w:szCs w:val="24"/>
                <w:highlight w:val="none"/>
                <w:u w:val="none"/>
                <w:shd w:val="clear" w:fill="FFFFFF"/>
              </w:rPr>
              <w:t>理论教学</w:t>
            </w:r>
            <w:r>
              <w:rPr>
                <w:rFonts w:hint="eastAsia" w:ascii="仿宋_GB2312" w:hAnsi="仿宋_GB2312" w:eastAsia="仿宋_GB2312" w:cs="仿宋_GB2312"/>
                <w:b w:val="0"/>
                <w:bCs w:val="0"/>
                <w:i w:val="0"/>
                <w:iCs w:val="0"/>
                <w:caps w:val="0"/>
                <w:spacing w:val="0"/>
                <w:sz w:val="24"/>
                <w:szCs w:val="24"/>
                <w:highlight w:val="none"/>
                <w:shd w:val="clear" w:fill="FFFFFF"/>
              </w:rPr>
              <w:t>通过课堂讲授、案例分析等方式，传授家宴策划与组织的理论知识。</w:t>
            </w:r>
            <w:r>
              <w:rPr>
                <w:rStyle w:val="14"/>
                <w:rFonts w:hint="eastAsia" w:ascii="仿宋_GB2312" w:hAnsi="仿宋_GB2312" w:eastAsia="仿宋_GB2312" w:cs="仿宋_GB2312"/>
                <w:b w:val="0"/>
                <w:bCs w:val="0"/>
                <w:i w:val="0"/>
                <w:iCs w:val="0"/>
                <w:caps w:val="0"/>
                <w:spacing w:val="0"/>
                <w:sz w:val="24"/>
                <w:szCs w:val="24"/>
                <w:highlight w:val="none"/>
                <w:u w:val="none"/>
                <w:shd w:val="clear" w:fill="FFFFFF"/>
              </w:rPr>
              <w:t>实践教学</w:t>
            </w:r>
            <w:r>
              <w:rPr>
                <w:rFonts w:hint="eastAsia" w:ascii="仿宋_GB2312" w:hAnsi="仿宋_GB2312" w:eastAsia="仿宋_GB2312" w:cs="仿宋_GB2312"/>
                <w:b w:val="0"/>
                <w:bCs w:val="0"/>
                <w:i w:val="0"/>
                <w:iCs w:val="0"/>
                <w:caps w:val="0"/>
                <w:spacing w:val="0"/>
                <w:sz w:val="24"/>
                <w:szCs w:val="24"/>
                <w:highlight w:val="none"/>
                <w:shd w:val="clear" w:fill="FFFFFF"/>
              </w:rPr>
              <w:t>安排实训课程，让学生在实际操作中掌握家宴策划与组织的技能，如模拟家宴策划、实地布置等。</w:t>
            </w:r>
            <w:r>
              <w:rPr>
                <w:rStyle w:val="14"/>
                <w:rFonts w:hint="eastAsia" w:ascii="仿宋_GB2312" w:hAnsi="仿宋_GB2312" w:eastAsia="仿宋_GB2312" w:cs="仿宋_GB2312"/>
                <w:b w:val="0"/>
                <w:bCs w:val="0"/>
                <w:i w:val="0"/>
                <w:iCs w:val="0"/>
                <w:caps w:val="0"/>
                <w:spacing w:val="0"/>
                <w:sz w:val="24"/>
                <w:szCs w:val="24"/>
                <w:highlight w:val="none"/>
                <w:u w:val="none"/>
                <w:shd w:val="clear" w:fill="FFFFFF"/>
              </w:rPr>
              <w:t>小组协作学习</w:t>
            </w:r>
            <w:r>
              <w:rPr>
                <w:rFonts w:hint="eastAsia" w:ascii="仿宋_GB2312" w:hAnsi="仿宋_GB2312" w:eastAsia="仿宋_GB2312" w:cs="仿宋_GB2312"/>
                <w:b w:val="0"/>
                <w:bCs w:val="0"/>
                <w:i w:val="0"/>
                <w:iCs w:val="0"/>
                <w:caps w:val="0"/>
                <w:spacing w:val="0"/>
                <w:sz w:val="24"/>
                <w:szCs w:val="24"/>
                <w:highlight w:val="none"/>
                <w:shd w:val="clear" w:fill="FFFFFF"/>
              </w:rPr>
              <w:t>以小组形式开展学习项目，培养学生的团队协作精神和沟通能力。</w:t>
            </w:r>
            <w:r>
              <w:rPr>
                <w:rStyle w:val="14"/>
                <w:rFonts w:hint="eastAsia" w:ascii="仿宋_GB2312" w:hAnsi="仿宋_GB2312" w:eastAsia="仿宋_GB2312" w:cs="仿宋_GB2312"/>
                <w:b w:val="0"/>
                <w:bCs w:val="0"/>
                <w:i w:val="0"/>
                <w:iCs w:val="0"/>
                <w:caps w:val="0"/>
                <w:spacing w:val="0"/>
                <w:sz w:val="24"/>
                <w:szCs w:val="24"/>
                <w:highlight w:val="none"/>
                <w:u w:val="none"/>
                <w:shd w:val="clear" w:fill="FFFFFF"/>
              </w:rPr>
              <w:t>现场教学</w:t>
            </w:r>
            <w:r>
              <w:rPr>
                <w:rFonts w:hint="eastAsia" w:ascii="仿宋_GB2312" w:hAnsi="仿宋_GB2312" w:eastAsia="仿宋_GB2312" w:cs="仿宋_GB2312"/>
                <w:b w:val="0"/>
                <w:bCs w:val="0"/>
                <w:i w:val="0"/>
                <w:iCs w:val="0"/>
                <w:caps w:val="0"/>
                <w:spacing w:val="0"/>
                <w:sz w:val="24"/>
                <w:szCs w:val="24"/>
                <w:highlight w:val="none"/>
                <w:shd w:val="clear" w:fill="FFFFFF"/>
              </w:rPr>
              <w:t>组织学生到酒店、餐厅等场所进行现场教学，了解实际家宴的策划与组织过程。</w:t>
            </w:r>
          </w:p>
          <w:p>
            <w:pPr>
              <w:keepNext w:val="0"/>
              <w:keepLines w:val="0"/>
              <w:pageBreakBefore w:val="0"/>
              <w:widowControl w:val="0"/>
              <w:kinsoku/>
              <w:wordWrap/>
              <w:overflowPunct/>
              <w:topLinePunct w:val="0"/>
              <w:autoSpaceDE/>
              <w:autoSpaceDN/>
              <w:bidi w:val="0"/>
              <w:adjustRightInd/>
              <w:snapToGrid/>
              <w:spacing w:beforeAutospacing="0" w:after="0" w:afterAutospacing="0" w:line="320" w:lineRule="exact"/>
              <w:jc w:val="both"/>
              <w:textAlignment w:val="auto"/>
              <w:rPr>
                <w:rFonts w:hint="eastAsia" w:ascii="仿宋_GB2312" w:hAnsi="仿宋_GB2312" w:eastAsia="仿宋_GB2312" w:cs="仿宋_GB2312"/>
                <w:b w:val="0"/>
                <w:bCs w:val="0"/>
                <w:color w:val="auto"/>
                <w:kern w:val="2"/>
                <w:sz w:val="24"/>
                <w:szCs w:val="24"/>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sz w:val="24"/>
                <w:szCs w:val="24"/>
                <w:highlight w:val="none"/>
                <w:lang w:val="en-US" w:eastAsia="zh-CN"/>
              </w:rPr>
              <w:t>2</w:t>
            </w:r>
          </w:p>
        </w:tc>
        <w:tc>
          <w:tcPr>
            <w:tcW w:w="857"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000000"/>
                <w:kern w:val="0"/>
                <w:sz w:val="24"/>
                <w:szCs w:val="24"/>
                <w:highlight w:val="none"/>
                <w:lang w:val="en-US" w:eastAsia="zh-CN" w:bidi="ar"/>
              </w:rPr>
              <w:t>家居空间规划</w:t>
            </w:r>
          </w:p>
        </w:tc>
        <w:tc>
          <w:tcPr>
            <w:tcW w:w="3793"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知识目标：</w:t>
            </w:r>
            <w:r>
              <w:rPr>
                <w:rFonts w:hint="eastAsia" w:ascii="仿宋_GB2312" w:hAnsi="仿宋_GB2312" w:eastAsia="仿宋_GB2312" w:cs="仿宋_GB2312"/>
                <w:color w:val="auto"/>
                <w:sz w:val="24"/>
                <w:szCs w:val="24"/>
                <w:highlight w:val="none"/>
              </w:rPr>
              <w:t>掌握家居空间规划的基本原理；了解不同户型的空间规划要点；熟悉家居空间规划与人体工程学、家居风格的关系。</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能力目标：</w:t>
            </w:r>
            <w:r>
              <w:rPr>
                <w:rFonts w:hint="eastAsia" w:ascii="仿宋_GB2312" w:hAnsi="仿宋_GB2312" w:eastAsia="仿宋_GB2312" w:cs="仿宋_GB2312"/>
                <w:color w:val="auto"/>
                <w:sz w:val="24"/>
                <w:szCs w:val="24"/>
                <w:highlight w:val="none"/>
              </w:rPr>
              <w:t>能根据家庭人员结构、生活习惯等，进行家居空间功能分区与动线设计；具备家具布局与空间利用优化的能力，能为不同户型的家庭制定合理的空间规划方案；能结合家居风格进行空间规划，提升家居空间的美观与实用性。</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素质目标：</w:t>
            </w:r>
            <w:r>
              <w:rPr>
                <w:rFonts w:hint="eastAsia" w:ascii="仿宋_GB2312" w:hAnsi="仿宋_GB2312" w:eastAsia="仿宋_GB2312" w:cs="仿宋_GB2312"/>
                <w:color w:val="auto"/>
                <w:sz w:val="24"/>
                <w:szCs w:val="24"/>
                <w:highlight w:val="none"/>
              </w:rPr>
              <w:t>培养学生的空间感知能力和设计思维，提升对家居环境的审美水平；增强学生的实用主义意识，在空间规划中体现对生活便利性的追求。</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课程思政育人目标：</w:t>
            </w:r>
            <w:r>
              <w:rPr>
                <w:rFonts w:hint="eastAsia" w:ascii="仿宋_GB2312" w:hAnsi="仿宋_GB2312" w:eastAsia="仿宋_GB2312" w:cs="仿宋_GB2312"/>
                <w:color w:val="auto"/>
                <w:sz w:val="24"/>
                <w:szCs w:val="24"/>
                <w:highlight w:val="none"/>
              </w:rPr>
              <w:t>引导学生认识到家居空间规划是营造舒适、温馨家庭环境的基础，培养学生的家庭归属感和对美好生活的向往；通过合理规划空间，传递节约资源、合理利用空间的理念，树立环保意识。</w:t>
            </w:r>
          </w:p>
        </w:tc>
        <w:tc>
          <w:tcPr>
            <w:tcW w:w="2721" w:type="dxa"/>
            <w:shd w:val="clear" w:color="auto" w:fill="auto"/>
            <w:vAlign w:val="top"/>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20" w:lineRule="exact"/>
              <w:ind w:left="0" w:leftChars="0" w:firstLine="0" w:firstLineChars="0"/>
              <w:jc w:val="both"/>
              <w:textAlignment w:val="auto"/>
              <w:rPr>
                <w:rFonts w:hint="eastAsia" w:ascii="仿宋_GB2312" w:hAnsi="仿宋_GB2312" w:eastAsia="仿宋_GB2312" w:cs="仿宋_GB2312"/>
                <w:b w:val="0"/>
                <w:bCs w:val="0"/>
                <w:color w:val="auto"/>
                <w:kern w:val="2"/>
                <w:sz w:val="24"/>
                <w:szCs w:val="24"/>
                <w:highlight w:val="none"/>
                <w:vertAlign w:val="baseline"/>
                <w:lang w:val="en-US" w:eastAsia="zh-CN" w:bidi="ar-SA"/>
              </w:rPr>
            </w:pPr>
            <w:r>
              <w:rPr>
                <w:rStyle w:val="14"/>
                <w:rFonts w:hint="eastAsia" w:ascii="仿宋_GB2312" w:hAnsi="仿宋_GB2312" w:eastAsia="仿宋_GB2312" w:cs="仿宋_GB2312"/>
                <w:b w:val="0"/>
                <w:bCs w:val="0"/>
                <w:i w:val="0"/>
                <w:iCs w:val="0"/>
                <w:caps w:val="0"/>
                <w:spacing w:val="0"/>
                <w:sz w:val="24"/>
                <w:szCs w:val="24"/>
                <w:highlight w:val="none"/>
                <w:u w:val="none"/>
                <w:shd w:val="clear" w:fill="FFFFFF"/>
              </w:rPr>
              <w:t>家居空间设计理论</w:t>
            </w:r>
            <w:r>
              <w:rPr>
                <w:rStyle w:val="14"/>
                <w:rFonts w:hint="eastAsia" w:ascii="仿宋_GB2312" w:hAnsi="仿宋_GB2312" w:eastAsia="仿宋_GB2312" w:cs="仿宋_GB2312"/>
                <w:b w:val="0"/>
                <w:bCs w:val="0"/>
                <w:i w:val="0"/>
                <w:iCs w:val="0"/>
                <w:caps w:val="0"/>
                <w:spacing w:val="0"/>
                <w:sz w:val="24"/>
                <w:szCs w:val="24"/>
                <w:highlight w:val="none"/>
                <w:u w:val="none"/>
                <w:shd w:val="clear" w:fill="FFFFFF"/>
                <w:lang w:eastAsia="zh-CN"/>
              </w:rPr>
              <w:t>，</w:t>
            </w:r>
            <w:r>
              <w:rPr>
                <w:rFonts w:hint="eastAsia" w:ascii="仿宋_GB2312" w:hAnsi="仿宋_GB2312" w:eastAsia="仿宋_GB2312" w:cs="仿宋_GB2312"/>
                <w:b w:val="0"/>
                <w:bCs w:val="0"/>
                <w:i w:val="0"/>
                <w:iCs w:val="0"/>
                <w:caps w:val="0"/>
                <w:spacing w:val="0"/>
                <w:sz w:val="24"/>
                <w:szCs w:val="24"/>
                <w:highlight w:val="none"/>
                <w:shd w:val="clear" w:fill="FFFFFF"/>
              </w:rPr>
              <w:t>包括住宅室内设计的概念、住宅空间的历史演变、住宅室内设计的设计特点、现代住宅空间的主要功能空间、现代住宅空间室内设计的设计风格、室内设计的装饰手段、设计中的感官尺度、空间的界定方式、材料认知等内容，</w:t>
            </w:r>
            <w:r>
              <w:rPr>
                <w:rStyle w:val="14"/>
                <w:rFonts w:hint="eastAsia" w:ascii="仿宋_GB2312" w:hAnsi="仿宋_GB2312" w:eastAsia="仿宋_GB2312" w:cs="仿宋_GB2312"/>
                <w:b w:val="0"/>
                <w:bCs w:val="0"/>
                <w:i w:val="0"/>
                <w:iCs w:val="0"/>
                <w:caps w:val="0"/>
                <w:spacing w:val="0"/>
                <w:sz w:val="24"/>
                <w:szCs w:val="24"/>
                <w:highlight w:val="none"/>
                <w:u w:val="none"/>
                <w:shd w:val="clear" w:fill="FFFFFF"/>
              </w:rPr>
              <w:t>设计规范与标准</w:t>
            </w:r>
            <w:r>
              <w:rPr>
                <w:rStyle w:val="14"/>
                <w:rFonts w:hint="eastAsia" w:ascii="仿宋_GB2312" w:hAnsi="仿宋_GB2312" w:eastAsia="仿宋_GB2312" w:cs="仿宋_GB2312"/>
                <w:b w:val="0"/>
                <w:bCs w:val="0"/>
                <w:i w:val="0"/>
                <w:iCs w:val="0"/>
                <w:caps w:val="0"/>
                <w:spacing w:val="0"/>
                <w:sz w:val="24"/>
                <w:szCs w:val="24"/>
                <w:highlight w:val="none"/>
                <w:u w:val="none"/>
                <w:shd w:val="clear" w:fill="FFFFFF"/>
                <w:lang w:eastAsia="zh-CN"/>
              </w:rPr>
              <w:t>，</w:t>
            </w:r>
            <w:r>
              <w:rPr>
                <w:rFonts w:hint="eastAsia" w:ascii="仿宋_GB2312" w:hAnsi="仿宋_GB2312" w:eastAsia="仿宋_GB2312" w:cs="仿宋_GB2312"/>
                <w:b w:val="0"/>
                <w:bCs w:val="0"/>
                <w:i w:val="0"/>
                <w:iCs w:val="0"/>
                <w:caps w:val="0"/>
                <w:spacing w:val="0"/>
                <w:sz w:val="24"/>
                <w:szCs w:val="24"/>
                <w:highlight w:val="none"/>
                <w:shd w:val="clear" w:fill="FFFFFF"/>
              </w:rPr>
              <w:t>介绍室内设计制图规范、人体工程学在室内设计中的应用等知识，使学生能够按照国家标准正确而快速绘图。</w:t>
            </w:r>
            <w:r>
              <w:rPr>
                <w:rFonts w:hint="eastAsia" w:ascii="仿宋_GB2312" w:hAnsi="仿宋_GB2312" w:eastAsia="仿宋_GB2312" w:cs="仿宋_GB2312"/>
                <w:b w:val="0"/>
                <w:bCs w:val="0"/>
                <w:i w:val="0"/>
                <w:iCs w:val="0"/>
                <w:caps w:val="0"/>
                <w:spacing w:val="0"/>
                <w:sz w:val="24"/>
                <w:szCs w:val="24"/>
                <w:highlight w:val="none"/>
                <w:u w:val="none"/>
                <w:shd w:val="clear" w:fill="FFFFFF"/>
              </w:rPr>
              <w:t>实践操作</w:t>
            </w:r>
            <w:r>
              <w:rPr>
                <w:rStyle w:val="14"/>
                <w:rFonts w:hint="eastAsia" w:ascii="仿宋_GB2312" w:hAnsi="仿宋_GB2312" w:eastAsia="仿宋_GB2312" w:cs="仿宋_GB2312"/>
                <w:b w:val="0"/>
                <w:bCs w:val="0"/>
                <w:i w:val="0"/>
                <w:iCs w:val="0"/>
                <w:caps w:val="0"/>
                <w:spacing w:val="0"/>
                <w:sz w:val="24"/>
                <w:szCs w:val="24"/>
                <w:highlight w:val="none"/>
                <w:u w:val="none"/>
                <w:shd w:val="clear" w:fill="FFFFFF"/>
              </w:rPr>
              <w:t>家居空间尺度调研</w:t>
            </w:r>
            <w:r>
              <w:rPr>
                <w:rStyle w:val="14"/>
                <w:rFonts w:hint="eastAsia" w:ascii="仿宋_GB2312" w:hAnsi="仿宋_GB2312" w:eastAsia="仿宋_GB2312" w:cs="仿宋_GB2312"/>
                <w:b w:val="0"/>
                <w:bCs w:val="0"/>
                <w:i w:val="0"/>
                <w:iCs w:val="0"/>
                <w:caps w:val="0"/>
                <w:spacing w:val="0"/>
                <w:sz w:val="24"/>
                <w:szCs w:val="24"/>
                <w:highlight w:val="none"/>
                <w:u w:val="none"/>
                <w:shd w:val="clear" w:fill="FFFFFF"/>
                <w:lang w:eastAsia="zh-CN"/>
              </w:rPr>
              <w:t>，</w:t>
            </w:r>
            <w:r>
              <w:rPr>
                <w:rFonts w:hint="eastAsia" w:ascii="仿宋_GB2312" w:hAnsi="仿宋_GB2312" w:eastAsia="仿宋_GB2312" w:cs="仿宋_GB2312"/>
                <w:b w:val="0"/>
                <w:bCs w:val="0"/>
                <w:i w:val="0"/>
                <w:iCs w:val="0"/>
                <w:caps w:val="0"/>
                <w:spacing w:val="0"/>
                <w:sz w:val="24"/>
                <w:szCs w:val="24"/>
                <w:highlight w:val="none"/>
                <w:shd w:val="clear" w:fill="FFFFFF"/>
              </w:rPr>
              <w:t>让学生了解家具尺度，学会用自身肢体感受尺度，掌握常用家具的尺寸；学习居住功能空间的尺度，学习居住空间各功能空间的关系和组合方式；了解家居空间的界面处理和细部处理，</w:t>
            </w:r>
            <w:r>
              <w:rPr>
                <w:rStyle w:val="14"/>
                <w:rFonts w:hint="eastAsia" w:ascii="仿宋_GB2312" w:hAnsi="仿宋_GB2312" w:eastAsia="仿宋_GB2312" w:cs="仿宋_GB2312"/>
                <w:b w:val="0"/>
                <w:bCs w:val="0"/>
                <w:i w:val="0"/>
                <w:iCs w:val="0"/>
                <w:caps w:val="0"/>
                <w:spacing w:val="0"/>
                <w:sz w:val="24"/>
                <w:szCs w:val="24"/>
                <w:highlight w:val="none"/>
                <w:u w:val="none"/>
                <w:shd w:val="clear" w:fill="FFFFFF"/>
              </w:rPr>
              <w:t>居住空间室内设计实践</w:t>
            </w:r>
            <w:r>
              <w:rPr>
                <w:rStyle w:val="14"/>
                <w:rFonts w:hint="eastAsia" w:ascii="仿宋_GB2312" w:hAnsi="仿宋_GB2312" w:eastAsia="仿宋_GB2312" w:cs="仿宋_GB2312"/>
                <w:b w:val="0"/>
                <w:bCs w:val="0"/>
                <w:i w:val="0"/>
                <w:iCs w:val="0"/>
                <w:caps w:val="0"/>
                <w:spacing w:val="0"/>
                <w:sz w:val="24"/>
                <w:szCs w:val="24"/>
                <w:highlight w:val="none"/>
                <w:u w:val="none"/>
                <w:shd w:val="clear" w:fill="FFFFFF"/>
                <w:lang w:eastAsia="zh-CN"/>
              </w:rPr>
              <w:t>，</w:t>
            </w:r>
            <w:r>
              <w:rPr>
                <w:rFonts w:hint="eastAsia" w:ascii="仿宋_GB2312" w:hAnsi="仿宋_GB2312" w:eastAsia="仿宋_GB2312" w:cs="仿宋_GB2312"/>
                <w:b w:val="0"/>
                <w:bCs w:val="0"/>
                <w:i w:val="0"/>
                <w:iCs w:val="0"/>
                <w:caps w:val="0"/>
                <w:spacing w:val="0"/>
                <w:sz w:val="24"/>
                <w:szCs w:val="24"/>
                <w:highlight w:val="none"/>
                <w:shd w:val="clear" w:fill="FFFFFF"/>
              </w:rPr>
              <w:t>学生运用所学的家居空间设计理论展开设计，进行平面布局规划、流线设计以及相应的设计成果表达，涵盖绘制施工图纸、效果图等</w:t>
            </w:r>
            <w:r>
              <w:rPr>
                <w:rFonts w:hint="eastAsia" w:ascii="仿宋_GB2312" w:hAnsi="仿宋_GB2312" w:eastAsia="仿宋_GB2312" w:cs="仿宋_GB2312"/>
                <w:b w:val="0"/>
                <w:bCs w:val="0"/>
                <w:i w:val="0"/>
                <w:iCs w:val="0"/>
                <w:caps w:val="0"/>
                <w:spacing w:val="0"/>
                <w:sz w:val="24"/>
                <w:szCs w:val="24"/>
                <w:highlight w:val="none"/>
                <w:shd w:val="clear" w:fill="FFFFFF"/>
                <w:lang w:eastAsia="zh-CN"/>
              </w:rPr>
              <w:t>。</w:t>
            </w:r>
          </w:p>
        </w:tc>
        <w:tc>
          <w:tcPr>
            <w:tcW w:w="2552" w:type="dxa"/>
            <w:shd w:val="clear" w:color="auto" w:fill="auto"/>
            <w:vAlign w:val="top"/>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20" w:lineRule="exact"/>
              <w:ind w:left="0" w:leftChars="0"/>
              <w:jc w:val="both"/>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i w:val="0"/>
                <w:iCs w:val="0"/>
                <w:caps w:val="0"/>
                <w:spacing w:val="0"/>
                <w:sz w:val="24"/>
                <w:szCs w:val="24"/>
                <w:highlight w:val="none"/>
                <w:shd w:val="clear" w:fill="FFFFFF"/>
              </w:rPr>
              <w:t>学生应具备一定的专业设计基础知识，掌握相关的专业设计软件，要求学生具备相应的设计制图基础和初步</w:t>
            </w:r>
            <w:r>
              <w:rPr>
                <w:rFonts w:hint="eastAsia" w:ascii="仿宋_GB2312" w:hAnsi="仿宋_GB2312" w:eastAsia="仿宋_GB2312" w:cs="仿宋_GB2312"/>
                <w:b w:val="0"/>
                <w:bCs w:val="0"/>
                <w:i w:val="0"/>
                <w:iCs w:val="0"/>
                <w:caps w:val="0"/>
                <w:spacing w:val="0"/>
                <w:sz w:val="24"/>
                <w:szCs w:val="24"/>
                <w:highlight w:val="none"/>
                <w:shd w:val="clear" w:fill="FFFFFF"/>
                <w:lang w:eastAsia="zh-CN"/>
              </w:rPr>
              <w:t>地</w:t>
            </w:r>
            <w:r>
              <w:rPr>
                <w:rFonts w:hint="eastAsia" w:ascii="仿宋_GB2312" w:hAnsi="仿宋_GB2312" w:eastAsia="仿宋_GB2312" w:cs="仿宋_GB2312"/>
                <w:b w:val="0"/>
                <w:bCs w:val="0"/>
                <w:i w:val="0"/>
                <w:iCs w:val="0"/>
                <w:caps w:val="0"/>
                <w:spacing w:val="0"/>
                <w:sz w:val="24"/>
                <w:szCs w:val="24"/>
                <w:highlight w:val="none"/>
                <w:shd w:val="clear" w:fill="FFFFFF"/>
              </w:rPr>
              <w:t>对于设计和空间的理解。学生需根据环境需要确定自己的学习目标，并主动地通过搜集信息、分析信息、讨论、实践、质疑、创造等方法来实现学习目标，培养自主学习能力</w:t>
            </w:r>
            <w:r>
              <w:rPr>
                <w:rFonts w:hint="eastAsia" w:ascii="仿宋_GB2312" w:hAnsi="仿宋_GB2312" w:eastAsia="仿宋_GB2312" w:cs="仿宋_GB2312"/>
                <w:b w:val="0"/>
                <w:bCs w:val="0"/>
                <w:i w:val="0"/>
                <w:iCs w:val="0"/>
                <w:caps w:val="0"/>
                <w:spacing w:val="0"/>
                <w:sz w:val="24"/>
                <w:szCs w:val="24"/>
                <w:highlight w:val="none"/>
                <w:shd w:val="clear" w:fill="FFFFFF"/>
                <w:lang w:eastAsia="zh-CN"/>
              </w:rPr>
              <w:t>。</w:t>
            </w:r>
          </w:p>
          <w:p>
            <w:pPr>
              <w:keepNext w:val="0"/>
              <w:keepLines w:val="0"/>
              <w:pageBreakBefore w:val="0"/>
              <w:widowControl w:val="0"/>
              <w:kinsoku/>
              <w:wordWrap/>
              <w:overflowPunct/>
              <w:topLinePunct w:val="0"/>
              <w:autoSpaceDE/>
              <w:autoSpaceDN/>
              <w:bidi w:val="0"/>
              <w:adjustRightInd/>
              <w:snapToGrid/>
              <w:spacing w:beforeAutospacing="0" w:after="0" w:afterAutospacing="0" w:line="320" w:lineRule="exact"/>
              <w:ind w:left="0" w:leftChars="0"/>
              <w:jc w:val="both"/>
              <w:textAlignment w:val="auto"/>
              <w:rPr>
                <w:rFonts w:hint="eastAsia" w:ascii="仿宋_GB2312" w:hAnsi="仿宋_GB2312" w:eastAsia="仿宋_GB2312" w:cs="仿宋_GB2312"/>
                <w:b w:val="0"/>
                <w:bCs w:val="0"/>
                <w:color w:val="auto"/>
                <w:kern w:val="2"/>
                <w:sz w:val="24"/>
                <w:szCs w:val="24"/>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0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sz w:val="24"/>
                <w:szCs w:val="24"/>
                <w:highlight w:val="none"/>
                <w:lang w:val="en-US" w:eastAsia="zh-CN"/>
              </w:rPr>
              <w:t>3</w:t>
            </w:r>
          </w:p>
        </w:tc>
        <w:tc>
          <w:tcPr>
            <w:tcW w:w="857"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000000"/>
                <w:kern w:val="0"/>
                <w:sz w:val="24"/>
                <w:szCs w:val="24"/>
                <w:highlight w:val="none"/>
                <w:lang w:val="en-US" w:eastAsia="zh-CN" w:bidi="ar"/>
              </w:rPr>
              <w:t>家庭环境与美化</w:t>
            </w:r>
          </w:p>
        </w:tc>
        <w:tc>
          <w:tcPr>
            <w:tcW w:w="3793"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知识目标：</w:t>
            </w:r>
            <w:r>
              <w:rPr>
                <w:rFonts w:hint="eastAsia" w:ascii="仿宋_GB2312" w:hAnsi="仿宋_GB2312" w:eastAsia="仿宋_GB2312" w:cs="仿宋_GB2312"/>
                <w:color w:val="auto"/>
                <w:sz w:val="24"/>
                <w:szCs w:val="24"/>
                <w:highlight w:val="none"/>
              </w:rPr>
              <w:t>掌握家庭环境美化的基本原理；了解不同家居风格的环境美化特点与方法；熟悉家庭环境卫生与安全知识。</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能力目标：</w:t>
            </w:r>
            <w:r>
              <w:rPr>
                <w:rFonts w:hint="eastAsia" w:ascii="仿宋_GB2312" w:hAnsi="仿宋_GB2312" w:eastAsia="仿宋_GB2312" w:cs="仿宋_GB2312"/>
                <w:color w:val="auto"/>
                <w:sz w:val="24"/>
                <w:szCs w:val="24"/>
                <w:highlight w:val="none"/>
              </w:rPr>
              <w:t>能根据家居风格和家庭需求，进行家庭环境色彩搭配与装饰布置；具备家庭绿植选择与布置、软装搭配的能力，提升家庭环境的美观度；能进行家庭环境卫生清洁与维护，选择环保安全的家居用品，营造健康的家庭环境。</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素质目标：</w:t>
            </w:r>
            <w:r>
              <w:rPr>
                <w:rFonts w:hint="eastAsia" w:ascii="仿宋_GB2312" w:hAnsi="仿宋_GB2312" w:eastAsia="仿宋_GB2312" w:cs="仿宋_GB2312"/>
                <w:color w:val="auto"/>
                <w:sz w:val="24"/>
                <w:szCs w:val="24"/>
                <w:highlight w:val="none"/>
              </w:rPr>
              <w:t>培养学生的审美能力和动手能力，提升对家庭环境的热爱；增强学生的环保意识和健康意识，在家庭环境美化中注重环保与健康。</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课程思政育人目标：</w:t>
            </w:r>
            <w:r>
              <w:rPr>
                <w:rFonts w:hint="eastAsia" w:ascii="仿宋_GB2312" w:hAnsi="仿宋_GB2312" w:eastAsia="仿宋_GB2312" w:cs="仿宋_GB2312"/>
                <w:color w:val="auto"/>
                <w:sz w:val="24"/>
                <w:szCs w:val="24"/>
                <w:highlight w:val="none"/>
              </w:rPr>
              <w:t>引导学生认识到美化家庭环境是创造美好生活的重要方式，培养学生的生活情趣和对幸福生活的追求；通过选择环保材料、营造健康环境，传递绿色生活、健康生活的理念，树立可持续发展意识。</w:t>
            </w:r>
          </w:p>
        </w:tc>
        <w:tc>
          <w:tcPr>
            <w:tcW w:w="2721" w:type="dxa"/>
            <w:shd w:val="clear" w:color="auto" w:fill="auto"/>
            <w:vAlign w:val="top"/>
          </w:tcPr>
          <w:p>
            <w:pPr>
              <w:pStyle w:val="3"/>
              <w:keepNext w:val="0"/>
              <w:keepLines w:val="0"/>
              <w:pageBreakBefore w:val="0"/>
              <w:widowControl/>
              <w:suppressLineNumbers w:val="0"/>
              <w:shd w:val="clear" w:fill="FFFFFF"/>
              <w:kinsoku/>
              <w:wordWrap/>
              <w:topLinePunct w:val="0"/>
              <w:autoSpaceDE/>
              <w:autoSpaceDN/>
              <w:bidi w:val="0"/>
              <w:snapToGrid/>
              <w:spacing w:before="0" w:beforeAutospacing="0" w:after="0" w:afterAutospacing="0" w:line="320" w:lineRule="exact"/>
              <w:ind w:left="0" w:right="0" w:firstLine="0"/>
              <w:jc w:val="both"/>
              <w:textAlignment w:val="auto"/>
              <w:rPr>
                <w:rFonts w:hint="eastAsia" w:ascii="仿宋_GB2312" w:hAnsi="仿宋_GB2312" w:eastAsia="仿宋_GB2312" w:cs="仿宋_GB2312"/>
                <w:b w:val="0"/>
                <w:bCs w:val="0"/>
                <w:color w:val="auto"/>
                <w:kern w:val="2"/>
                <w:sz w:val="24"/>
                <w:szCs w:val="24"/>
                <w:highlight w:val="none"/>
                <w:vertAlign w:val="baseline"/>
                <w:lang w:val="en-US" w:eastAsia="zh-CN" w:bidi="ar-SA"/>
              </w:rPr>
            </w:pPr>
            <w:r>
              <w:rPr>
                <w:rFonts w:hint="eastAsia" w:ascii="仿宋_GB2312" w:hAnsi="仿宋_GB2312" w:eastAsia="仿宋_GB2312" w:cs="仿宋_GB2312"/>
                <w:b w:val="0"/>
                <w:bCs w:val="0"/>
                <w:i w:val="0"/>
                <w:iCs w:val="0"/>
                <w:caps w:val="0"/>
                <w:spacing w:val="0"/>
                <w:sz w:val="24"/>
                <w:szCs w:val="24"/>
                <w:highlight w:val="none"/>
                <w:u w:val="none"/>
                <w:shd w:val="clear" w:fill="FFFFFF"/>
              </w:rPr>
              <w:t>家庭环境基础</w:t>
            </w:r>
            <w:r>
              <w:rPr>
                <w:rFonts w:hint="eastAsia" w:ascii="仿宋_GB2312" w:hAnsi="仿宋_GB2312" w:eastAsia="仿宋_GB2312" w:cs="仿宋_GB2312"/>
                <w:b w:val="0"/>
                <w:bCs w:val="0"/>
                <w:i w:val="0"/>
                <w:iCs w:val="0"/>
                <w:caps w:val="0"/>
                <w:spacing w:val="0"/>
                <w:sz w:val="24"/>
                <w:szCs w:val="24"/>
                <w:highlight w:val="none"/>
                <w:u w:val="none"/>
                <w:shd w:val="clear" w:fill="FFFFFF"/>
                <w:lang w:eastAsia="zh-CN"/>
              </w:rPr>
              <w:t>，</w:t>
            </w:r>
            <w:r>
              <w:rPr>
                <w:rFonts w:hint="eastAsia" w:ascii="仿宋_GB2312" w:hAnsi="仿宋_GB2312" w:eastAsia="仿宋_GB2312" w:cs="仿宋_GB2312"/>
                <w:b w:val="0"/>
                <w:bCs w:val="0"/>
                <w:i w:val="0"/>
                <w:iCs w:val="0"/>
                <w:caps w:val="0"/>
                <w:spacing w:val="0"/>
                <w:sz w:val="24"/>
                <w:szCs w:val="24"/>
                <w:highlight w:val="none"/>
                <w:shd w:val="clear" w:fill="FFFFFF"/>
              </w:rPr>
              <w:t>介绍家庭环境的定义、范畴，包括室内空间布局、装饰风格、色彩搭配等方面。讲解家庭环境对居住者身心健康、生活质量的影响。</w:t>
            </w:r>
            <w:r>
              <w:rPr>
                <w:rFonts w:hint="eastAsia" w:ascii="仿宋_GB2312" w:hAnsi="仿宋_GB2312" w:eastAsia="仿宋_GB2312" w:cs="仿宋_GB2312"/>
                <w:b w:val="0"/>
                <w:bCs w:val="0"/>
                <w:i w:val="0"/>
                <w:iCs w:val="0"/>
                <w:caps w:val="0"/>
                <w:spacing w:val="0"/>
                <w:sz w:val="24"/>
                <w:szCs w:val="24"/>
                <w:highlight w:val="none"/>
                <w:u w:val="none"/>
                <w:shd w:val="clear" w:fill="FFFFFF"/>
              </w:rPr>
              <w:t>家居布置方法</w:t>
            </w:r>
            <w:r>
              <w:rPr>
                <w:rFonts w:hint="eastAsia" w:ascii="仿宋_GB2312" w:hAnsi="仿宋_GB2312" w:eastAsia="仿宋_GB2312" w:cs="仿宋_GB2312"/>
                <w:b w:val="0"/>
                <w:bCs w:val="0"/>
                <w:i w:val="0"/>
                <w:iCs w:val="0"/>
                <w:caps w:val="0"/>
                <w:spacing w:val="0"/>
                <w:sz w:val="24"/>
                <w:szCs w:val="24"/>
                <w:highlight w:val="none"/>
                <w:shd w:val="clear" w:fill="FFFFFF"/>
                <w:lang w:eastAsia="zh-CN"/>
              </w:rPr>
              <w:t>，</w:t>
            </w:r>
            <w:r>
              <w:rPr>
                <w:rFonts w:hint="eastAsia" w:ascii="仿宋_GB2312" w:hAnsi="仿宋_GB2312" w:eastAsia="仿宋_GB2312" w:cs="仿宋_GB2312"/>
                <w:b w:val="0"/>
                <w:bCs w:val="0"/>
                <w:i w:val="0"/>
                <w:iCs w:val="0"/>
                <w:caps w:val="0"/>
                <w:spacing w:val="0"/>
                <w:sz w:val="24"/>
                <w:szCs w:val="24"/>
                <w:highlight w:val="none"/>
                <w:shd w:val="clear" w:fill="FFFFFF"/>
              </w:rPr>
              <w:t>引导学生合理规划家居空间，如不同功能区域的划分和布局。教授家居布置的基本技巧，如家具的选择与摆放、物品的收纳整理等。</w:t>
            </w:r>
            <w:r>
              <w:rPr>
                <w:rFonts w:hint="eastAsia" w:ascii="仿宋_GB2312" w:hAnsi="仿宋_GB2312" w:eastAsia="仿宋_GB2312" w:cs="仿宋_GB2312"/>
                <w:b w:val="0"/>
                <w:bCs w:val="0"/>
                <w:i w:val="0"/>
                <w:iCs w:val="0"/>
                <w:caps w:val="0"/>
                <w:spacing w:val="0"/>
                <w:sz w:val="24"/>
                <w:szCs w:val="24"/>
                <w:highlight w:val="none"/>
                <w:u w:val="none"/>
                <w:shd w:val="clear" w:fill="FFFFFF"/>
              </w:rPr>
              <w:t>家居美化元素</w:t>
            </w:r>
            <w:r>
              <w:rPr>
                <w:rFonts w:hint="eastAsia" w:ascii="仿宋_GB2312" w:hAnsi="仿宋_GB2312" w:eastAsia="仿宋_GB2312" w:cs="仿宋_GB2312"/>
                <w:b w:val="0"/>
                <w:bCs w:val="0"/>
                <w:i w:val="0"/>
                <w:iCs w:val="0"/>
                <w:caps w:val="0"/>
                <w:spacing w:val="0"/>
                <w:sz w:val="24"/>
                <w:szCs w:val="24"/>
                <w:highlight w:val="none"/>
                <w:u w:val="none"/>
                <w:shd w:val="clear" w:fill="FFFFFF"/>
                <w:lang w:eastAsia="zh-CN"/>
              </w:rPr>
              <w:t>，</w:t>
            </w:r>
            <w:r>
              <w:rPr>
                <w:rFonts w:hint="eastAsia" w:ascii="仿宋_GB2312" w:hAnsi="仿宋_GB2312" w:eastAsia="仿宋_GB2312" w:cs="仿宋_GB2312"/>
                <w:b w:val="0"/>
                <w:bCs w:val="0"/>
                <w:i w:val="0"/>
                <w:iCs w:val="0"/>
                <w:caps w:val="0"/>
                <w:spacing w:val="0"/>
                <w:sz w:val="24"/>
                <w:szCs w:val="24"/>
                <w:highlight w:val="none"/>
                <w:shd w:val="clear" w:fill="FFFFFF"/>
              </w:rPr>
              <w:t>介绍家居绿化知识，包括适合室内种植的植物种类、养护方法，以及如何用植物点缀家居。讲解家居装饰的艺术，如使用剪纸、布艺、泥塑、插花等工艺作品装点家居的方法和技巧。探讨家居色彩搭配原则，如何根据不同的房间功能和个人喜好选择合适的色彩方案。</w:t>
            </w:r>
            <w:r>
              <w:rPr>
                <w:rFonts w:hint="eastAsia" w:ascii="仿宋_GB2312" w:hAnsi="仿宋_GB2312" w:eastAsia="仿宋_GB2312" w:cs="仿宋_GB2312"/>
                <w:b w:val="0"/>
                <w:bCs w:val="0"/>
                <w:i w:val="0"/>
                <w:iCs w:val="0"/>
                <w:caps w:val="0"/>
                <w:spacing w:val="0"/>
                <w:sz w:val="24"/>
                <w:szCs w:val="24"/>
                <w:highlight w:val="none"/>
                <w:u w:val="none"/>
                <w:shd w:val="clear" w:fill="FFFFFF"/>
              </w:rPr>
              <w:t>实践操作与案例分析</w:t>
            </w:r>
            <w:r>
              <w:rPr>
                <w:rFonts w:hint="eastAsia" w:ascii="仿宋_GB2312" w:hAnsi="仿宋_GB2312" w:eastAsia="仿宋_GB2312" w:cs="仿宋_GB2312"/>
                <w:b w:val="0"/>
                <w:bCs w:val="0"/>
                <w:i w:val="0"/>
                <w:iCs w:val="0"/>
                <w:caps w:val="0"/>
                <w:spacing w:val="0"/>
                <w:sz w:val="24"/>
                <w:szCs w:val="24"/>
                <w:highlight w:val="none"/>
                <w:u w:val="none"/>
                <w:shd w:val="clear" w:fill="FFFFFF"/>
                <w:lang w:eastAsia="zh-CN"/>
              </w:rPr>
              <w:t>，</w:t>
            </w:r>
            <w:r>
              <w:rPr>
                <w:rFonts w:hint="eastAsia" w:ascii="仿宋_GB2312" w:hAnsi="仿宋_GB2312" w:eastAsia="仿宋_GB2312" w:cs="仿宋_GB2312"/>
                <w:b w:val="0"/>
                <w:bCs w:val="0"/>
                <w:i w:val="0"/>
                <w:iCs w:val="0"/>
                <w:caps w:val="0"/>
                <w:spacing w:val="0"/>
                <w:sz w:val="24"/>
                <w:szCs w:val="24"/>
                <w:highlight w:val="none"/>
                <w:shd w:val="clear" w:fill="FFFFFF"/>
              </w:rPr>
              <w:t>安排学生进行家居美化实践活动，如设计家居布置方案、实际动手布置自己的居室等。分析优秀的家居环境布置案例，总结经验，激发学生的创意和灵感</w:t>
            </w:r>
            <w:r>
              <w:rPr>
                <w:rFonts w:hint="eastAsia" w:ascii="仿宋_GB2312" w:hAnsi="仿宋_GB2312" w:eastAsia="仿宋_GB2312" w:cs="仿宋_GB2312"/>
                <w:b w:val="0"/>
                <w:bCs w:val="0"/>
                <w:i w:val="0"/>
                <w:iCs w:val="0"/>
                <w:caps w:val="0"/>
                <w:spacing w:val="0"/>
                <w:sz w:val="24"/>
                <w:szCs w:val="24"/>
                <w:highlight w:val="none"/>
                <w:shd w:val="clear" w:fill="FFFFFF"/>
                <w:lang w:eastAsia="zh-CN"/>
              </w:rPr>
              <w:t>。</w:t>
            </w:r>
          </w:p>
        </w:tc>
        <w:tc>
          <w:tcPr>
            <w:tcW w:w="2552" w:type="dxa"/>
            <w:shd w:val="clear" w:color="auto" w:fill="auto"/>
            <w:vAlign w:val="top"/>
          </w:tcPr>
          <w:p>
            <w:pPr>
              <w:keepNext w:val="0"/>
              <w:keepLines w:val="0"/>
              <w:pageBreakBefore w:val="0"/>
              <w:widowControl/>
              <w:numPr>
                <w:ilvl w:val="0"/>
                <w:numId w:val="0"/>
              </w:numPr>
              <w:suppressLineNumbers w:val="0"/>
              <w:kinsoku/>
              <w:wordWrap/>
              <w:topLinePunct w:val="0"/>
              <w:autoSpaceDE/>
              <w:autoSpaceDN/>
              <w:bidi w:val="0"/>
              <w:snapToGrid/>
              <w:spacing w:before="0" w:beforeAutospacing="0" w:after="0" w:afterAutospacing="0" w:line="320" w:lineRule="exact"/>
              <w:ind w:left="0" w:leftChars="0"/>
              <w:jc w:val="both"/>
              <w:textAlignment w:val="auto"/>
              <w:rPr>
                <w:rFonts w:hint="eastAsia" w:ascii="仿宋_GB2312" w:hAnsi="仿宋_GB2312" w:eastAsia="仿宋_GB2312" w:cs="仿宋_GB2312"/>
                <w:b w:val="0"/>
                <w:bCs w:val="0"/>
                <w:sz w:val="24"/>
                <w:szCs w:val="24"/>
                <w:highlight w:val="none"/>
                <w:lang w:eastAsia="zh-CN"/>
              </w:rPr>
            </w:pPr>
            <w:r>
              <w:rPr>
                <w:rFonts w:hint="eastAsia" w:ascii="仿宋_GB2312" w:hAnsi="仿宋_GB2312" w:eastAsia="仿宋_GB2312" w:cs="仿宋_GB2312"/>
                <w:b w:val="0"/>
                <w:bCs w:val="0"/>
                <w:i w:val="0"/>
                <w:iCs w:val="0"/>
                <w:caps w:val="0"/>
                <w:spacing w:val="0"/>
                <w:sz w:val="24"/>
                <w:szCs w:val="24"/>
                <w:highlight w:val="none"/>
                <w:shd w:val="clear" w:fill="FFFFFF"/>
              </w:rPr>
              <w:t>学生应积极参与课堂讨论和实践活动，主动思考，大胆表达自己的观点和想法。认真完成教师布置的作业和实践任务，如家居布置方案设计、实际动手美化家居等，不断提高自己的动手能力和实践能力。在小组合作中，学生要学会倾听他人的意见，尊重他人的想法，积极与小组成员沟通协作，共同完成学习任务。学生要将所学知识运用到实际生活中，养成良好的家居整理和美化习惯，提高家庭环境质量</w:t>
            </w:r>
            <w:r>
              <w:rPr>
                <w:rFonts w:hint="eastAsia" w:ascii="仿宋_GB2312" w:hAnsi="仿宋_GB2312" w:eastAsia="仿宋_GB2312" w:cs="仿宋_GB2312"/>
                <w:b w:val="0"/>
                <w:bCs w:val="0"/>
                <w:i w:val="0"/>
                <w:iCs w:val="0"/>
                <w:caps w:val="0"/>
                <w:spacing w:val="0"/>
                <w:sz w:val="24"/>
                <w:szCs w:val="24"/>
                <w:highlight w:val="none"/>
                <w:shd w:val="clear" w:fill="FFFFFF"/>
                <w:lang w:eastAsia="zh-CN"/>
              </w:rPr>
              <w:t>。</w:t>
            </w:r>
          </w:p>
          <w:p>
            <w:pPr>
              <w:keepNext w:val="0"/>
              <w:keepLines w:val="0"/>
              <w:pageBreakBefore w:val="0"/>
              <w:widowControl w:val="0"/>
              <w:kinsoku/>
              <w:wordWrap/>
              <w:overflowPunct/>
              <w:topLinePunct w:val="0"/>
              <w:autoSpaceDE/>
              <w:autoSpaceDN/>
              <w:bidi w:val="0"/>
              <w:adjustRightInd/>
              <w:snapToGrid/>
              <w:spacing w:beforeAutospacing="0" w:after="0" w:afterAutospacing="0" w:line="320" w:lineRule="exact"/>
              <w:ind w:left="0" w:leftChars="0"/>
              <w:jc w:val="both"/>
              <w:textAlignment w:val="auto"/>
              <w:rPr>
                <w:rFonts w:hint="eastAsia" w:ascii="仿宋_GB2312" w:hAnsi="仿宋_GB2312" w:eastAsia="仿宋_GB2312" w:cs="仿宋_GB2312"/>
                <w:b w:val="0"/>
                <w:bCs w:val="0"/>
                <w:color w:val="auto"/>
                <w:kern w:val="2"/>
                <w:sz w:val="24"/>
                <w:szCs w:val="24"/>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4</w:t>
            </w:r>
          </w:p>
        </w:tc>
        <w:tc>
          <w:tcPr>
            <w:tcW w:w="857"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000000"/>
                <w:kern w:val="0"/>
                <w:sz w:val="24"/>
                <w:szCs w:val="24"/>
                <w:highlight w:val="none"/>
                <w:lang w:val="en-US" w:eastAsia="zh-CN" w:bidi="ar"/>
              </w:rPr>
              <w:t>插花与茶艺</w:t>
            </w:r>
          </w:p>
        </w:tc>
        <w:tc>
          <w:tcPr>
            <w:tcW w:w="3793"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知识目标：</w:t>
            </w:r>
            <w:r>
              <w:rPr>
                <w:rFonts w:hint="eastAsia" w:ascii="仿宋_GB2312" w:hAnsi="仿宋_GB2312" w:eastAsia="仿宋_GB2312" w:cs="仿宋_GB2312"/>
                <w:color w:val="auto"/>
                <w:sz w:val="24"/>
                <w:szCs w:val="24"/>
                <w:highlight w:val="none"/>
              </w:rPr>
              <w:t>掌握插花的基本理论；了解不同插花风格的特点与创作方法；熟悉茶艺的基本理论。</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能力目标：</w:t>
            </w:r>
            <w:r>
              <w:rPr>
                <w:rFonts w:hint="eastAsia" w:ascii="仿宋_GB2312" w:hAnsi="仿宋_GB2312" w:eastAsia="仿宋_GB2312" w:cs="仿宋_GB2312"/>
                <w:color w:val="auto"/>
                <w:sz w:val="24"/>
                <w:szCs w:val="24"/>
                <w:highlight w:val="none"/>
              </w:rPr>
              <w:t>能根据不同场景和需求，进行插花创作，掌握基本的插花技巧；具备茶艺表演与品茶能力，能熟练冲泡不同种类的茶叶，展示良好的品茶礼仪；能将插花与茶艺结合，营造优雅的家庭生活氛围。</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素质目标：</w:t>
            </w:r>
            <w:r>
              <w:rPr>
                <w:rFonts w:hint="eastAsia" w:ascii="仿宋_GB2312" w:hAnsi="仿宋_GB2312" w:eastAsia="仿宋_GB2312" w:cs="仿宋_GB2312"/>
                <w:color w:val="auto"/>
                <w:sz w:val="24"/>
                <w:szCs w:val="24"/>
                <w:highlight w:val="none"/>
              </w:rPr>
              <w:t>培养学生的艺术修养和审美情趣，提升对生活美学的感知；增强学生的耐心和专注力，在插花与茶艺中体会慢生活的乐趣。</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课程思政育人目标：</w:t>
            </w:r>
            <w:r>
              <w:rPr>
                <w:rFonts w:hint="eastAsia" w:ascii="仿宋_GB2312" w:hAnsi="仿宋_GB2312" w:eastAsia="仿宋_GB2312" w:cs="仿宋_GB2312"/>
                <w:color w:val="auto"/>
                <w:sz w:val="24"/>
                <w:szCs w:val="24"/>
                <w:highlight w:val="none"/>
              </w:rPr>
              <w:t>引导学生认识到插花与茶艺是中国传统文化的重要组成部分，培养学生的文化自信和对传统文化的热爱；通过插花与茶艺活动，传递宁静、和谐、优雅的生活态度，提升学生的人文素养。</w:t>
            </w:r>
          </w:p>
        </w:tc>
        <w:tc>
          <w:tcPr>
            <w:tcW w:w="2721" w:type="dxa"/>
            <w:shd w:val="clear" w:color="auto" w:fill="auto"/>
            <w:vAlign w:val="top"/>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20" w:lineRule="exact"/>
              <w:ind w:left="0" w:leftChars="0" w:firstLine="0" w:firstLineChars="0"/>
              <w:jc w:val="both"/>
              <w:textAlignment w:val="auto"/>
              <w:rPr>
                <w:rFonts w:hint="eastAsia" w:ascii="仿宋_GB2312" w:hAnsi="仿宋_GB2312" w:eastAsia="仿宋_GB2312" w:cs="仿宋_GB2312"/>
                <w:b w:val="0"/>
                <w:bCs w:val="0"/>
                <w:color w:val="auto"/>
                <w:kern w:val="2"/>
                <w:sz w:val="24"/>
                <w:szCs w:val="24"/>
                <w:highlight w:val="none"/>
                <w:vertAlign w:val="baseline"/>
                <w:lang w:val="en-US" w:eastAsia="zh-CN" w:bidi="ar-SA"/>
              </w:rPr>
            </w:pPr>
            <w:r>
              <w:rPr>
                <w:rFonts w:hint="eastAsia" w:ascii="仿宋_GB2312" w:hAnsi="仿宋_GB2312" w:eastAsia="仿宋_GB2312" w:cs="仿宋_GB2312"/>
                <w:b w:val="0"/>
                <w:bCs w:val="0"/>
                <w:i w:val="0"/>
                <w:iCs w:val="0"/>
                <w:caps w:val="0"/>
                <w:spacing w:val="0"/>
                <w:sz w:val="24"/>
                <w:szCs w:val="24"/>
                <w:highlight w:val="none"/>
                <w:shd w:val="clear" w:fill="FFFFFF"/>
              </w:rPr>
              <w:t>课程内容全面涵盖花材分类与保鲜技术、东西方插花风格比较与技法训练、花器选择与色彩搭配原理、茶文化发展史与六大茶类特征、茶具鉴赏与使用方法、茶叶冲泡技艺与水温控制、茶席设计与茶事礼仪规范、茶会组织流程等专业知识模块，并结合节日主题和不同场景进行创意实践训练。</w:t>
            </w:r>
          </w:p>
        </w:tc>
        <w:tc>
          <w:tcPr>
            <w:tcW w:w="2552" w:type="dxa"/>
            <w:shd w:val="clear" w:color="auto" w:fill="auto"/>
            <w:vAlign w:val="top"/>
          </w:tcPr>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仿宋_GB2312" w:hAnsi="仿宋_GB2312" w:eastAsia="仿宋_GB2312" w:cs="仿宋_GB2312"/>
                <w:b w:val="0"/>
                <w:bCs w:val="0"/>
                <w:i w:val="0"/>
                <w:iCs w:val="0"/>
                <w:caps w:val="0"/>
                <w:spacing w:val="0"/>
                <w:kern w:val="2"/>
                <w:sz w:val="24"/>
                <w:szCs w:val="24"/>
                <w:highlight w:val="none"/>
                <w:shd w:val="clear" w:fill="FFFFFF"/>
                <w:lang w:val="en-US" w:eastAsia="zh-CN" w:bidi="ar-SA"/>
              </w:rPr>
            </w:pPr>
            <w:r>
              <w:rPr>
                <w:rFonts w:hint="eastAsia" w:ascii="仿宋_GB2312" w:hAnsi="仿宋_GB2312" w:eastAsia="仿宋_GB2312" w:cs="仿宋_GB2312"/>
                <w:b w:val="0"/>
                <w:bCs w:val="0"/>
                <w:i w:val="0"/>
                <w:iCs w:val="0"/>
                <w:caps w:val="0"/>
                <w:spacing w:val="0"/>
                <w:kern w:val="0"/>
                <w:sz w:val="24"/>
                <w:szCs w:val="24"/>
                <w:highlight w:val="none"/>
                <w:shd w:val="clear" w:fill="FFFFFF"/>
                <w:lang w:val="en-US" w:eastAsia="zh-CN" w:bidi="ar"/>
              </w:rPr>
              <w:t>通过花材处理实操训练，使学生掌握鲜花保鲜和基础造型能力；通过插花作品创作，培养学生具备根据不同场合设计主题花艺的审美能力；通过茶艺流程演练，使学生达到规范演示绿茶、乌龙茶等代表性茶类冲泡技法的水准；最终使学生能够综合运用插花与茶艺知识，独立完成小型茶会活动的</w:t>
            </w:r>
            <w:r>
              <w:rPr>
                <w:rFonts w:hint="eastAsia" w:ascii="仿宋_GB2312" w:hAnsi="仿宋_GB2312" w:eastAsia="仿宋_GB2312" w:cs="仿宋_GB2312"/>
                <w:b w:val="0"/>
                <w:bCs w:val="0"/>
                <w:i w:val="0"/>
                <w:iCs w:val="0"/>
                <w:caps w:val="0"/>
                <w:spacing w:val="0"/>
                <w:kern w:val="2"/>
                <w:sz w:val="24"/>
                <w:szCs w:val="24"/>
                <w:highlight w:val="none"/>
                <w:shd w:val="clear" w:fill="FFFFFF"/>
                <w:lang w:val="en-US" w:eastAsia="zh-CN" w:bidi="ar-SA"/>
              </w:rPr>
              <w:t>整体环境布置与流程执行工作。</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320" w:lineRule="exact"/>
              <w:ind w:left="0" w:leftChars="0" w:firstLine="0" w:firstLineChars="0"/>
              <w:jc w:val="both"/>
              <w:textAlignment w:val="auto"/>
              <w:outlineLvl w:val="3"/>
              <w:rPr>
                <w:rFonts w:hint="eastAsia" w:ascii="仿宋_GB2312" w:hAnsi="仿宋_GB2312" w:eastAsia="仿宋_GB2312" w:cs="仿宋_GB2312"/>
                <w:b w:val="0"/>
                <w:bCs w:val="0"/>
                <w:i w:val="0"/>
                <w:iCs w:val="0"/>
                <w:caps w:val="0"/>
                <w:spacing w:val="0"/>
                <w:kern w:val="0"/>
                <w:sz w:val="24"/>
                <w:szCs w:val="24"/>
                <w:highlight w:val="none"/>
                <w:shd w:val="clear" w:fill="FFFFFF"/>
                <w:lang w:val="en-US" w:eastAsia="zh-CN" w:bidi="ar"/>
              </w:rPr>
            </w:pPr>
            <w:r>
              <w:rPr>
                <w:rFonts w:hint="eastAsia" w:ascii="仿宋_GB2312" w:hAnsi="仿宋_GB2312" w:eastAsia="仿宋_GB2312" w:cs="仿宋_GB2312"/>
                <w:b w:val="0"/>
                <w:bCs w:val="0"/>
                <w:i w:val="0"/>
                <w:iCs w:val="0"/>
                <w:caps w:val="0"/>
                <w:spacing w:val="0"/>
                <w:kern w:val="2"/>
                <w:sz w:val="24"/>
                <w:szCs w:val="24"/>
                <w:highlight w:val="none"/>
                <w:shd w:val="clear" w:fill="FFFFFF"/>
                <w:lang w:val="en-US" w:eastAsia="zh-CN" w:bidi="ar-SA"/>
              </w:rPr>
              <w:t>实验技能方面，学生能够科学冲泡一杯茶，独立进行茶席设计及主题茶艺的编创，具备依托茶艺形式推广茶文化和茶产业发展的能力。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5</w:t>
            </w:r>
          </w:p>
        </w:tc>
        <w:tc>
          <w:tcPr>
            <w:tcW w:w="857"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产后</w:t>
            </w:r>
          </w:p>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恢复</w:t>
            </w:r>
          </w:p>
        </w:tc>
        <w:tc>
          <w:tcPr>
            <w:tcW w:w="3793"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知识目标：</w:t>
            </w:r>
            <w:r>
              <w:rPr>
                <w:rFonts w:hint="eastAsia" w:ascii="仿宋_GB2312" w:hAnsi="仿宋_GB2312" w:eastAsia="仿宋_GB2312" w:cs="仿宋_GB2312"/>
                <w:color w:val="auto"/>
                <w:sz w:val="24"/>
                <w:szCs w:val="24"/>
                <w:highlight w:val="none"/>
              </w:rPr>
              <w:t>掌握产后女性身体变化的基本知识</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了解产后恢复的基本理论与方法；熟悉产后常见问题的识别与处理知识。</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能力目标：</w:t>
            </w:r>
            <w:r>
              <w:rPr>
                <w:rFonts w:hint="eastAsia" w:ascii="仿宋_GB2312" w:hAnsi="仿宋_GB2312" w:eastAsia="仿宋_GB2312" w:cs="仿宋_GB2312"/>
                <w:color w:val="auto"/>
                <w:sz w:val="24"/>
                <w:szCs w:val="24"/>
                <w:highlight w:val="none"/>
              </w:rPr>
              <w:t>能为产后女性制定个性化的产后恢复方案，包括身体康复计划、心理调适建议、营养调理食谱等；具备产后常见问题初步识别与处理的能力，能为产后女性提供基础的健康指导；能与产后女性及其家人进行有效沟通，给予心理支持与关怀。</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素质目标：</w:t>
            </w:r>
            <w:r>
              <w:rPr>
                <w:rFonts w:hint="eastAsia" w:ascii="仿宋_GB2312" w:hAnsi="仿宋_GB2312" w:eastAsia="仿宋_GB2312" w:cs="仿宋_GB2312"/>
                <w:color w:val="auto"/>
                <w:sz w:val="24"/>
                <w:szCs w:val="24"/>
                <w:highlight w:val="none"/>
              </w:rPr>
              <w:t>培养学生的爱心、耐心与责任心，关注产后女性的身心健康；提升学生的专业素养和服务意识，为产后女性提供科学、贴心的服务。</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课程思政育人目标：</w:t>
            </w:r>
            <w:r>
              <w:rPr>
                <w:rFonts w:hint="eastAsia" w:ascii="仿宋_GB2312" w:hAnsi="仿宋_GB2312" w:eastAsia="仿宋_GB2312" w:cs="仿宋_GB2312"/>
                <w:color w:val="auto"/>
                <w:sz w:val="24"/>
                <w:szCs w:val="24"/>
                <w:highlight w:val="none"/>
              </w:rPr>
              <w:t>引导学生认识到产后恢复是关爱女性、保障母婴健康的重要工作，培养学生的性别平等意识和对女性健康的关注；通过为产后女性提供服务，传递关爱与温暖，营造尊重女性、关爱家庭的社会氛围。</w:t>
            </w:r>
          </w:p>
        </w:tc>
        <w:tc>
          <w:tcPr>
            <w:tcW w:w="2721" w:type="dxa"/>
            <w:shd w:val="clear" w:color="auto" w:fill="auto"/>
            <w:vAlign w:val="top"/>
          </w:tcPr>
          <w:p>
            <w:pPr>
              <w:pStyle w:val="3"/>
              <w:keepNext w:val="0"/>
              <w:keepLines w:val="0"/>
              <w:pageBreakBefore w:val="0"/>
              <w:widowControl/>
              <w:suppressLineNumbers w:val="0"/>
              <w:shd w:val="clear" w:fill="FFFFFF"/>
              <w:kinsoku/>
              <w:wordWrap/>
              <w:topLinePunct w:val="0"/>
              <w:autoSpaceDE/>
              <w:autoSpaceDN/>
              <w:bidi w:val="0"/>
              <w:snapToGrid/>
              <w:spacing w:before="0" w:beforeAutospacing="0" w:after="0" w:afterAutospacing="0" w:line="320" w:lineRule="exact"/>
              <w:ind w:left="0" w:leftChars="0" w:right="0" w:rightChars="0" w:firstLine="0" w:firstLineChars="0"/>
              <w:jc w:val="both"/>
              <w:textAlignment w:val="auto"/>
              <w:rPr>
                <w:rFonts w:hint="eastAsia" w:ascii="仿宋_GB2312" w:hAnsi="仿宋_GB2312" w:eastAsia="仿宋_GB2312" w:cs="仿宋_GB2312"/>
                <w:b w:val="0"/>
                <w:bCs w:val="0"/>
                <w:color w:val="auto"/>
                <w:kern w:val="2"/>
                <w:sz w:val="24"/>
                <w:szCs w:val="24"/>
                <w:highlight w:val="none"/>
                <w:vertAlign w:val="baseline"/>
                <w:lang w:val="en-US" w:eastAsia="zh-CN" w:bidi="ar-SA"/>
              </w:rPr>
            </w:pPr>
            <w:r>
              <w:rPr>
                <w:rFonts w:hint="eastAsia" w:ascii="仿宋_GB2312" w:hAnsi="仿宋_GB2312" w:eastAsia="仿宋_GB2312" w:cs="仿宋_GB2312"/>
                <w:b w:val="0"/>
                <w:bCs w:val="0"/>
                <w:i w:val="0"/>
                <w:iCs w:val="0"/>
                <w:caps w:val="0"/>
                <w:spacing w:val="0"/>
                <w:sz w:val="24"/>
                <w:szCs w:val="24"/>
                <w:highlight w:val="none"/>
                <w:u w:val="none"/>
                <w:shd w:val="clear" w:fill="FFFFFF"/>
              </w:rPr>
              <w:t>产后身体变化与恢复原理</w:t>
            </w:r>
            <w:r>
              <w:rPr>
                <w:rFonts w:hint="eastAsia" w:ascii="仿宋_GB2312" w:hAnsi="仿宋_GB2312" w:eastAsia="仿宋_GB2312" w:cs="仿宋_GB2312"/>
                <w:b w:val="0"/>
                <w:bCs w:val="0"/>
                <w:i w:val="0"/>
                <w:iCs w:val="0"/>
                <w:caps w:val="0"/>
                <w:spacing w:val="0"/>
                <w:sz w:val="24"/>
                <w:szCs w:val="24"/>
                <w:highlight w:val="none"/>
                <w:u w:val="none"/>
                <w:shd w:val="clear" w:fill="FFFFFF"/>
                <w:lang w:eastAsia="zh-CN"/>
              </w:rPr>
              <w:t>，</w:t>
            </w:r>
            <w:r>
              <w:rPr>
                <w:rFonts w:hint="eastAsia" w:ascii="仿宋_GB2312" w:hAnsi="仿宋_GB2312" w:eastAsia="仿宋_GB2312" w:cs="仿宋_GB2312"/>
                <w:b w:val="0"/>
                <w:bCs w:val="0"/>
                <w:i w:val="0"/>
                <w:iCs w:val="0"/>
                <w:caps w:val="0"/>
                <w:spacing w:val="0"/>
                <w:sz w:val="24"/>
                <w:szCs w:val="24"/>
                <w:highlight w:val="none"/>
                <w:shd w:val="clear" w:fill="FFFFFF"/>
              </w:rPr>
              <w:t>产后身体各系统变化特点，如骨骼、肌肉、内分泌等系统的生理变化。产后恢复的基本原理与阶段性特点。</w:t>
            </w:r>
            <w:r>
              <w:rPr>
                <w:rFonts w:hint="eastAsia" w:ascii="仿宋_GB2312" w:hAnsi="仿宋_GB2312" w:eastAsia="仿宋_GB2312" w:cs="仿宋_GB2312"/>
                <w:b w:val="0"/>
                <w:bCs w:val="0"/>
                <w:i w:val="0"/>
                <w:iCs w:val="0"/>
                <w:caps w:val="0"/>
                <w:spacing w:val="0"/>
                <w:sz w:val="24"/>
                <w:szCs w:val="24"/>
                <w:highlight w:val="none"/>
                <w:u w:val="none"/>
                <w:shd w:val="clear" w:fill="FFFFFF"/>
              </w:rPr>
              <w:t>产后营养与饮食调理</w:t>
            </w:r>
            <w:r>
              <w:rPr>
                <w:rFonts w:hint="eastAsia" w:ascii="仿宋_GB2312" w:hAnsi="仿宋_GB2312" w:eastAsia="仿宋_GB2312" w:cs="仿宋_GB2312"/>
                <w:b w:val="0"/>
                <w:bCs w:val="0"/>
                <w:i w:val="0"/>
                <w:iCs w:val="0"/>
                <w:caps w:val="0"/>
                <w:spacing w:val="0"/>
                <w:sz w:val="24"/>
                <w:szCs w:val="24"/>
                <w:highlight w:val="none"/>
                <w:u w:val="none"/>
                <w:shd w:val="clear" w:fill="FFFFFF"/>
                <w:lang w:eastAsia="zh-CN"/>
              </w:rPr>
              <w:t>，</w:t>
            </w:r>
            <w:r>
              <w:rPr>
                <w:rFonts w:hint="eastAsia" w:ascii="仿宋_GB2312" w:hAnsi="仿宋_GB2312" w:eastAsia="仿宋_GB2312" w:cs="仿宋_GB2312"/>
                <w:b w:val="0"/>
                <w:bCs w:val="0"/>
                <w:i w:val="0"/>
                <w:iCs w:val="0"/>
                <w:caps w:val="0"/>
                <w:spacing w:val="0"/>
                <w:sz w:val="24"/>
                <w:szCs w:val="24"/>
                <w:highlight w:val="none"/>
                <w:shd w:val="clear" w:fill="FFFFFF"/>
              </w:rPr>
              <w:t>产后营养需求与食物选择。产后饮食调理原则与方法。</w:t>
            </w:r>
            <w:r>
              <w:rPr>
                <w:rFonts w:hint="eastAsia" w:ascii="仿宋_GB2312" w:hAnsi="仿宋_GB2312" w:eastAsia="仿宋_GB2312" w:cs="仿宋_GB2312"/>
                <w:b w:val="0"/>
                <w:bCs w:val="0"/>
                <w:i w:val="0"/>
                <w:iCs w:val="0"/>
                <w:caps w:val="0"/>
                <w:spacing w:val="0"/>
                <w:sz w:val="24"/>
                <w:szCs w:val="24"/>
                <w:highlight w:val="none"/>
                <w:u w:val="none"/>
                <w:shd w:val="clear" w:fill="FFFFFF"/>
              </w:rPr>
              <w:t>产后运动锻炼</w:t>
            </w:r>
            <w:r>
              <w:rPr>
                <w:rFonts w:hint="eastAsia" w:ascii="仿宋_GB2312" w:hAnsi="仿宋_GB2312" w:eastAsia="仿宋_GB2312" w:cs="仿宋_GB2312"/>
                <w:b w:val="0"/>
                <w:bCs w:val="0"/>
                <w:i w:val="0"/>
                <w:iCs w:val="0"/>
                <w:caps w:val="0"/>
                <w:spacing w:val="0"/>
                <w:sz w:val="24"/>
                <w:szCs w:val="24"/>
                <w:highlight w:val="none"/>
                <w:u w:val="none"/>
                <w:shd w:val="clear" w:fill="FFFFFF"/>
                <w:lang w:eastAsia="zh-CN"/>
              </w:rPr>
              <w:t>，</w:t>
            </w:r>
            <w:r>
              <w:rPr>
                <w:rFonts w:hint="eastAsia" w:ascii="仿宋_GB2312" w:hAnsi="仿宋_GB2312" w:eastAsia="仿宋_GB2312" w:cs="仿宋_GB2312"/>
                <w:b w:val="0"/>
                <w:bCs w:val="0"/>
                <w:i w:val="0"/>
                <w:iCs w:val="0"/>
                <w:caps w:val="0"/>
                <w:spacing w:val="0"/>
                <w:sz w:val="24"/>
                <w:szCs w:val="24"/>
                <w:highlight w:val="none"/>
                <w:shd w:val="clear" w:fill="FFFFFF"/>
              </w:rPr>
              <w:t>产后运动锻炼的原则与注意事项。产后运动项目及方法。产后运动阶梯的概念、各个阶梯的运动目的和适用阶段。</w:t>
            </w:r>
            <w:r>
              <w:rPr>
                <w:rFonts w:hint="eastAsia" w:ascii="仿宋_GB2312" w:hAnsi="仿宋_GB2312" w:eastAsia="仿宋_GB2312" w:cs="仿宋_GB2312"/>
                <w:b w:val="0"/>
                <w:bCs w:val="0"/>
                <w:i w:val="0"/>
                <w:iCs w:val="0"/>
                <w:caps w:val="0"/>
                <w:spacing w:val="0"/>
                <w:sz w:val="24"/>
                <w:szCs w:val="24"/>
                <w:highlight w:val="none"/>
                <w:u w:val="none"/>
                <w:shd w:val="clear" w:fill="FFFFFF"/>
              </w:rPr>
              <w:t>产后心理调适</w:t>
            </w:r>
            <w:r>
              <w:rPr>
                <w:rFonts w:hint="eastAsia" w:ascii="仿宋_GB2312" w:hAnsi="仿宋_GB2312" w:eastAsia="仿宋_GB2312" w:cs="仿宋_GB2312"/>
                <w:b w:val="0"/>
                <w:bCs w:val="0"/>
                <w:i w:val="0"/>
                <w:iCs w:val="0"/>
                <w:caps w:val="0"/>
                <w:spacing w:val="0"/>
                <w:sz w:val="24"/>
                <w:szCs w:val="24"/>
                <w:highlight w:val="none"/>
                <w:u w:val="none"/>
                <w:shd w:val="clear" w:fill="FFFFFF"/>
                <w:lang w:eastAsia="zh-CN"/>
              </w:rPr>
              <w:t>，</w:t>
            </w:r>
            <w:r>
              <w:rPr>
                <w:rFonts w:hint="eastAsia" w:ascii="仿宋_GB2312" w:hAnsi="仿宋_GB2312" w:eastAsia="仿宋_GB2312" w:cs="仿宋_GB2312"/>
                <w:b w:val="0"/>
                <w:bCs w:val="0"/>
                <w:i w:val="0"/>
                <w:iCs w:val="0"/>
                <w:caps w:val="0"/>
                <w:spacing w:val="0"/>
                <w:sz w:val="24"/>
                <w:szCs w:val="24"/>
                <w:highlight w:val="none"/>
                <w:shd w:val="clear" w:fill="FFFFFF"/>
              </w:rPr>
              <w:t>产后心理变化及其影响。产后心理调适方法与技巧</w:t>
            </w:r>
            <w:r>
              <w:rPr>
                <w:rFonts w:hint="eastAsia" w:ascii="仿宋_GB2312" w:hAnsi="仿宋_GB2312" w:eastAsia="仿宋_GB2312" w:cs="仿宋_GB2312"/>
                <w:b w:val="0"/>
                <w:bCs w:val="0"/>
                <w:i w:val="0"/>
                <w:iCs w:val="0"/>
                <w:caps w:val="0"/>
                <w:spacing w:val="0"/>
                <w:sz w:val="24"/>
                <w:szCs w:val="24"/>
                <w:highlight w:val="none"/>
                <w:shd w:val="clear" w:fill="FFFFFF"/>
                <w:lang w:eastAsia="zh-CN"/>
              </w:rPr>
              <w:t>。</w:t>
            </w:r>
            <w:r>
              <w:rPr>
                <w:rFonts w:hint="eastAsia" w:ascii="仿宋_GB2312" w:hAnsi="仿宋_GB2312" w:eastAsia="仿宋_GB2312" w:cs="仿宋_GB2312"/>
                <w:b w:val="0"/>
                <w:bCs w:val="0"/>
                <w:i w:val="0"/>
                <w:iCs w:val="0"/>
                <w:caps w:val="0"/>
                <w:spacing w:val="0"/>
                <w:sz w:val="24"/>
                <w:szCs w:val="24"/>
                <w:highlight w:val="none"/>
                <w:u w:val="none"/>
                <w:shd w:val="clear" w:fill="FFFFFF"/>
              </w:rPr>
              <w:t>产后恢复辅助工具与设备</w:t>
            </w:r>
            <w:r>
              <w:rPr>
                <w:rFonts w:hint="eastAsia" w:ascii="仿宋_GB2312" w:hAnsi="仿宋_GB2312" w:eastAsia="仿宋_GB2312" w:cs="仿宋_GB2312"/>
                <w:b w:val="0"/>
                <w:bCs w:val="0"/>
                <w:i w:val="0"/>
                <w:iCs w:val="0"/>
                <w:caps w:val="0"/>
                <w:spacing w:val="0"/>
                <w:sz w:val="24"/>
                <w:szCs w:val="24"/>
                <w:highlight w:val="none"/>
                <w:u w:val="none"/>
                <w:shd w:val="clear" w:fill="FFFFFF"/>
                <w:lang w:eastAsia="zh-CN"/>
              </w:rPr>
              <w:t>，</w:t>
            </w:r>
            <w:r>
              <w:rPr>
                <w:rFonts w:hint="eastAsia" w:ascii="仿宋_GB2312" w:hAnsi="仿宋_GB2312" w:eastAsia="仿宋_GB2312" w:cs="仿宋_GB2312"/>
                <w:b w:val="0"/>
                <w:bCs w:val="0"/>
                <w:i w:val="0"/>
                <w:iCs w:val="0"/>
                <w:caps w:val="0"/>
                <w:spacing w:val="0"/>
                <w:sz w:val="24"/>
                <w:szCs w:val="24"/>
                <w:highlight w:val="none"/>
                <w:shd w:val="clear" w:fill="FFFFFF"/>
              </w:rPr>
              <w:t>常用产后恢复辅助工具介绍。产后恢复设备的使用方法与注意事项。</w:t>
            </w:r>
            <w:r>
              <w:rPr>
                <w:rFonts w:hint="eastAsia" w:ascii="仿宋_GB2312" w:hAnsi="仿宋_GB2312" w:eastAsia="仿宋_GB2312" w:cs="仿宋_GB2312"/>
                <w:b w:val="0"/>
                <w:bCs w:val="0"/>
                <w:i w:val="0"/>
                <w:iCs w:val="0"/>
                <w:caps w:val="0"/>
                <w:spacing w:val="0"/>
                <w:sz w:val="24"/>
                <w:szCs w:val="24"/>
                <w:highlight w:val="none"/>
                <w:u w:val="none"/>
                <w:shd w:val="clear" w:fill="FFFFFF"/>
              </w:rPr>
              <w:t>产后修复方案设计</w:t>
            </w:r>
            <w:r>
              <w:rPr>
                <w:rFonts w:hint="eastAsia" w:ascii="仿宋_GB2312" w:hAnsi="仿宋_GB2312" w:eastAsia="仿宋_GB2312" w:cs="仿宋_GB2312"/>
                <w:b w:val="0"/>
                <w:bCs w:val="0"/>
                <w:i w:val="0"/>
                <w:iCs w:val="0"/>
                <w:caps w:val="0"/>
                <w:spacing w:val="0"/>
                <w:sz w:val="24"/>
                <w:szCs w:val="24"/>
                <w:highlight w:val="none"/>
                <w:u w:val="none"/>
                <w:shd w:val="clear" w:fill="FFFFFF"/>
                <w:lang w:eastAsia="zh-CN"/>
              </w:rPr>
              <w:t>，</w:t>
            </w:r>
            <w:r>
              <w:rPr>
                <w:rFonts w:hint="eastAsia" w:ascii="仿宋_GB2312" w:hAnsi="仿宋_GB2312" w:eastAsia="仿宋_GB2312" w:cs="仿宋_GB2312"/>
                <w:b w:val="0"/>
                <w:bCs w:val="0"/>
                <w:i w:val="0"/>
                <w:iCs w:val="0"/>
                <w:caps w:val="0"/>
                <w:spacing w:val="0"/>
                <w:sz w:val="24"/>
                <w:szCs w:val="24"/>
                <w:highlight w:val="none"/>
                <w:shd w:val="clear" w:fill="FFFFFF"/>
              </w:rPr>
              <w:t>学习如何为产后母亲制定个性化修复方案，包括运动、饮食、心理调适等方面。</w:t>
            </w:r>
            <w:r>
              <w:rPr>
                <w:rFonts w:hint="eastAsia" w:ascii="仿宋_GB2312" w:hAnsi="仿宋_GB2312" w:eastAsia="仿宋_GB2312" w:cs="仿宋_GB2312"/>
                <w:b w:val="0"/>
                <w:bCs w:val="0"/>
                <w:i w:val="0"/>
                <w:iCs w:val="0"/>
                <w:caps w:val="0"/>
                <w:spacing w:val="0"/>
                <w:sz w:val="24"/>
                <w:szCs w:val="24"/>
                <w:highlight w:val="none"/>
                <w:u w:val="none"/>
                <w:shd w:val="clear" w:fill="FFFFFF"/>
              </w:rPr>
              <w:t>产后修复技巧与实践</w:t>
            </w:r>
            <w:r>
              <w:rPr>
                <w:rFonts w:hint="eastAsia" w:ascii="仿宋_GB2312" w:hAnsi="仿宋_GB2312" w:eastAsia="仿宋_GB2312" w:cs="仿宋_GB2312"/>
                <w:b w:val="0"/>
                <w:bCs w:val="0"/>
                <w:i w:val="0"/>
                <w:iCs w:val="0"/>
                <w:caps w:val="0"/>
                <w:spacing w:val="0"/>
                <w:sz w:val="24"/>
                <w:szCs w:val="24"/>
                <w:highlight w:val="none"/>
                <w:u w:val="none"/>
                <w:shd w:val="clear" w:fill="FFFFFF"/>
                <w:lang w:eastAsia="zh-CN"/>
              </w:rPr>
              <w:t>，</w:t>
            </w:r>
            <w:r>
              <w:rPr>
                <w:rFonts w:hint="eastAsia" w:ascii="仿宋_GB2312" w:hAnsi="仿宋_GB2312" w:eastAsia="仿宋_GB2312" w:cs="仿宋_GB2312"/>
                <w:b w:val="0"/>
                <w:bCs w:val="0"/>
                <w:i w:val="0"/>
                <w:iCs w:val="0"/>
                <w:caps w:val="0"/>
                <w:spacing w:val="0"/>
                <w:sz w:val="24"/>
                <w:szCs w:val="24"/>
                <w:highlight w:val="none"/>
                <w:shd w:val="clear" w:fill="FFFFFF"/>
              </w:rPr>
              <w:t>教授产后修复的基本技巧，如骨盆底肌肉锻炼、腹直肌分离修复等。</w:t>
            </w:r>
            <w:r>
              <w:rPr>
                <w:rFonts w:hint="eastAsia" w:ascii="仿宋_GB2312" w:hAnsi="仿宋_GB2312" w:eastAsia="仿宋_GB2312" w:cs="仿宋_GB2312"/>
                <w:b w:val="0"/>
                <w:bCs w:val="0"/>
                <w:i w:val="0"/>
                <w:iCs w:val="0"/>
                <w:caps w:val="0"/>
                <w:spacing w:val="0"/>
                <w:sz w:val="24"/>
                <w:szCs w:val="24"/>
                <w:highlight w:val="none"/>
                <w:u w:val="none"/>
                <w:shd w:val="clear" w:fill="FFFFFF"/>
              </w:rPr>
              <w:t>产后恢复案例分析与实操</w:t>
            </w:r>
            <w:r>
              <w:rPr>
                <w:rFonts w:hint="eastAsia" w:ascii="仿宋_GB2312" w:hAnsi="仿宋_GB2312" w:eastAsia="仿宋_GB2312" w:cs="仿宋_GB2312"/>
                <w:b w:val="0"/>
                <w:bCs w:val="0"/>
                <w:i w:val="0"/>
                <w:iCs w:val="0"/>
                <w:caps w:val="0"/>
                <w:spacing w:val="0"/>
                <w:sz w:val="24"/>
                <w:szCs w:val="24"/>
                <w:highlight w:val="none"/>
                <w:u w:val="none"/>
                <w:shd w:val="clear" w:fill="FFFFFF"/>
                <w:lang w:eastAsia="zh-CN"/>
              </w:rPr>
              <w:t>，</w:t>
            </w:r>
            <w:r>
              <w:rPr>
                <w:rFonts w:hint="eastAsia" w:ascii="仿宋_GB2312" w:hAnsi="仿宋_GB2312" w:eastAsia="仿宋_GB2312" w:cs="仿宋_GB2312"/>
                <w:b w:val="0"/>
                <w:bCs w:val="0"/>
                <w:i w:val="0"/>
                <w:iCs w:val="0"/>
                <w:caps w:val="0"/>
                <w:spacing w:val="0"/>
                <w:sz w:val="24"/>
                <w:szCs w:val="24"/>
                <w:highlight w:val="none"/>
                <w:shd w:val="clear" w:fill="FFFFFF"/>
              </w:rPr>
              <w:t>产后恢复成功案例分析。学生分组讨论，设计产后恢复方案。实操演练，体验产后恢复锻炼</w:t>
            </w:r>
            <w:r>
              <w:rPr>
                <w:rFonts w:hint="eastAsia" w:ascii="仿宋_GB2312" w:hAnsi="仿宋_GB2312" w:eastAsia="仿宋_GB2312" w:cs="仿宋_GB2312"/>
                <w:b w:val="0"/>
                <w:bCs w:val="0"/>
                <w:i w:val="0"/>
                <w:iCs w:val="0"/>
                <w:caps w:val="0"/>
                <w:spacing w:val="0"/>
                <w:sz w:val="24"/>
                <w:szCs w:val="24"/>
                <w:highlight w:val="none"/>
                <w:shd w:val="clear" w:fill="FFFFFF"/>
                <w:lang w:eastAsia="zh-CN"/>
              </w:rPr>
              <w:t>。</w:t>
            </w:r>
          </w:p>
        </w:tc>
        <w:tc>
          <w:tcPr>
            <w:tcW w:w="2552" w:type="dxa"/>
            <w:shd w:val="clear" w:color="auto" w:fill="auto"/>
            <w:vAlign w:val="top"/>
          </w:tcPr>
          <w:p>
            <w:pPr>
              <w:pStyle w:val="3"/>
              <w:keepNext w:val="0"/>
              <w:keepLines w:val="0"/>
              <w:pageBreakBefore w:val="0"/>
              <w:widowControl/>
              <w:suppressLineNumbers w:val="0"/>
              <w:shd w:val="clear" w:fill="FFFFFF"/>
              <w:kinsoku/>
              <w:wordWrap/>
              <w:topLinePunct w:val="0"/>
              <w:autoSpaceDE/>
              <w:autoSpaceDN/>
              <w:bidi w:val="0"/>
              <w:snapToGrid/>
              <w:spacing w:before="0" w:beforeAutospacing="0" w:after="0" w:afterAutospacing="0" w:line="320" w:lineRule="exact"/>
              <w:ind w:left="0" w:leftChars="0" w:right="0" w:rightChars="0" w:firstLine="0" w:firstLineChars="0"/>
              <w:jc w:val="both"/>
              <w:textAlignment w:val="auto"/>
              <w:rPr>
                <w:rFonts w:hint="eastAsia" w:ascii="仿宋_GB2312" w:hAnsi="仿宋_GB2312" w:eastAsia="仿宋_GB2312" w:cs="仿宋_GB2312"/>
                <w:b w:val="0"/>
                <w:bCs w:val="0"/>
                <w:color w:val="auto"/>
                <w:kern w:val="2"/>
                <w:sz w:val="24"/>
                <w:szCs w:val="24"/>
                <w:highlight w:val="none"/>
                <w:vertAlign w:val="baseline"/>
                <w:lang w:val="en-US" w:eastAsia="zh-CN" w:bidi="ar-SA"/>
              </w:rPr>
            </w:pPr>
            <w:r>
              <w:rPr>
                <w:rFonts w:hint="eastAsia" w:ascii="仿宋_GB2312" w:hAnsi="仿宋_GB2312" w:eastAsia="仿宋_GB2312" w:cs="仿宋_GB2312"/>
                <w:b w:val="0"/>
                <w:bCs w:val="0"/>
                <w:i w:val="0"/>
                <w:iCs w:val="0"/>
                <w:caps w:val="0"/>
                <w:spacing w:val="0"/>
                <w:sz w:val="24"/>
                <w:szCs w:val="24"/>
                <w:highlight w:val="none"/>
                <w:u w:val="none"/>
                <w:shd w:val="clear" w:fill="FFFFFF"/>
              </w:rPr>
              <w:t>产后身体变化与恢复原理</w:t>
            </w:r>
            <w:r>
              <w:rPr>
                <w:rFonts w:hint="eastAsia" w:ascii="仿宋_GB2312" w:hAnsi="仿宋_GB2312" w:eastAsia="仿宋_GB2312" w:cs="仿宋_GB2312"/>
                <w:b w:val="0"/>
                <w:bCs w:val="0"/>
                <w:i w:val="0"/>
                <w:iCs w:val="0"/>
                <w:caps w:val="0"/>
                <w:spacing w:val="0"/>
                <w:sz w:val="24"/>
                <w:szCs w:val="24"/>
                <w:highlight w:val="none"/>
                <w:u w:val="none"/>
                <w:shd w:val="clear" w:fill="FFFFFF"/>
                <w:lang w:eastAsia="zh-CN"/>
              </w:rPr>
              <w:t>，</w:t>
            </w:r>
            <w:r>
              <w:rPr>
                <w:rFonts w:hint="eastAsia" w:ascii="仿宋_GB2312" w:hAnsi="仿宋_GB2312" w:eastAsia="仿宋_GB2312" w:cs="仿宋_GB2312"/>
                <w:b w:val="0"/>
                <w:bCs w:val="0"/>
                <w:i w:val="0"/>
                <w:iCs w:val="0"/>
                <w:caps w:val="0"/>
                <w:spacing w:val="0"/>
                <w:sz w:val="24"/>
                <w:szCs w:val="24"/>
                <w:highlight w:val="none"/>
                <w:shd w:val="clear" w:fill="FFFFFF"/>
              </w:rPr>
              <w:t>产后身体各系统变化特点，如骨骼、肌肉、内分泌等系统的生理变化。产后恢复的基本原理与阶段性特点。</w:t>
            </w:r>
            <w:r>
              <w:rPr>
                <w:rFonts w:hint="eastAsia" w:ascii="仿宋_GB2312" w:hAnsi="仿宋_GB2312" w:eastAsia="仿宋_GB2312" w:cs="仿宋_GB2312"/>
                <w:b w:val="0"/>
                <w:bCs w:val="0"/>
                <w:i w:val="0"/>
                <w:iCs w:val="0"/>
                <w:caps w:val="0"/>
                <w:spacing w:val="0"/>
                <w:sz w:val="24"/>
                <w:szCs w:val="24"/>
                <w:highlight w:val="none"/>
                <w:u w:val="none"/>
                <w:shd w:val="clear" w:fill="FFFFFF"/>
              </w:rPr>
              <w:t>产后营养与饮食调理</w:t>
            </w:r>
            <w:r>
              <w:rPr>
                <w:rFonts w:hint="eastAsia" w:ascii="仿宋_GB2312" w:hAnsi="仿宋_GB2312" w:eastAsia="仿宋_GB2312" w:cs="仿宋_GB2312"/>
                <w:b w:val="0"/>
                <w:bCs w:val="0"/>
                <w:i w:val="0"/>
                <w:iCs w:val="0"/>
                <w:caps w:val="0"/>
                <w:spacing w:val="0"/>
                <w:sz w:val="24"/>
                <w:szCs w:val="24"/>
                <w:highlight w:val="none"/>
                <w:u w:val="none"/>
                <w:shd w:val="clear" w:fill="FFFFFF"/>
                <w:lang w:eastAsia="zh-CN"/>
              </w:rPr>
              <w:t>，</w:t>
            </w:r>
            <w:r>
              <w:rPr>
                <w:rFonts w:hint="eastAsia" w:ascii="仿宋_GB2312" w:hAnsi="仿宋_GB2312" w:eastAsia="仿宋_GB2312" w:cs="仿宋_GB2312"/>
                <w:b w:val="0"/>
                <w:bCs w:val="0"/>
                <w:i w:val="0"/>
                <w:iCs w:val="0"/>
                <w:caps w:val="0"/>
                <w:spacing w:val="0"/>
                <w:sz w:val="24"/>
                <w:szCs w:val="24"/>
                <w:highlight w:val="none"/>
                <w:shd w:val="clear" w:fill="FFFFFF"/>
              </w:rPr>
              <w:t>产后营养需求与食物选择。产后饮食调理原则与方法。</w:t>
            </w:r>
            <w:r>
              <w:rPr>
                <w:rFonts w:hint="eastAsia" w:ascii="仿宋_GB2312" w:hAnsi="仿宋_GB2312" w:eastAsia="仿宋_GB2312" w:cs="仿宋_GB2312"/>
                <w:b w:val="0"/>
                <w:bCs w:val="0"/>
                <w:i w:val="0"/>
                <w:iCs w:val="0"/>
                <w:caps w:val="0"/>
                <w:spacing w:val="0"/>
                <w:sz w:val="24"/>
                <w:szCs w:val="24"/>
                <w:highlight w:val="none"/>
                <w:u w:val="none"/>
                <w:shd w:val="clear" w:fill="FFFFFF"/>
              </w:rPr>
              <w:t>产后运动锻炼</w:t>
            </w:r>
            <w:r>
              <w:rPr>
                <w:rFonts w:hint="eastAsia" w:ascii="仿宋_GB2312" w:hAnsi="仿宋_GB2312" w:eastAsia="仿宋_GB2312" w:cs="仿宋_GB2312"/>
                <w:b w:val="0"/>
                <w:bCs w:val="0"/>
                <w:i w:val="0"/>
                <w:iCs w:val="0"/>
                <w:caps w:val="0"/>
                <w:spacing w:val="0"/>
                <w:sz w:val="24"/>
                <w:szCs w:val="24"/>
                <w:highlight w:val="none"/>
                <w:u w:val="none"/>
                <w:shd w:val="clear" w:fill="FFFFFF"/>
                <w:lang w:eastAsia="zh-CN"/>
              </w:rPr>
              <w:t>，</w:t>
            </w:r>
            <w:r>
              <w:rPr>
                <w:rFonts w:hint="eastAsia" w:ascii="仿宋_GB2312" w:hAnsi="仿宋_GB2312" w:eastAsia="仿宋_GB2312" w:cs="仿宋_GB2312"/>
                <w:b w:val="0"/>
                <w:bCs w:val="0"/>
                <w:i w:val="0"/>
                <w:iCs w:val="0"/>
                <w:caps w:val="0"/>
                <w:spacing w:val="0"/>
                <w:sz w:val="24"/>
                <w:szCs w:val="24"/>
                <w:highlight w:val="none"/>
                <w:shd w:val="clear" w:fill="FFFFFF"/>
              </w:rPr>
              <w:t>产后运动锻炼的原则与注意事项。常见产后运动项目及方法，产后运动阶梯中的各个动作及适用阶段。</w:t>
            </w:r>
            <w:r>
              <w:rPr>
                <w:rFonts w:hint="eastAsia" w:ascii="仿宋_GB2312" w:hAnsi="仿宋_GB2312" w:eastAsia="仿宋_GB2312" w:cs="仿宋_GB2312"/>
                <w:b w:val="0"/>
                <w:bCs w:val="0"/>
                <w:i w:val="0"/>
                <w:iCs w:val="0"/>
                <w:caps w:val="0"/>
                <w:spacing w:val="0"/>
                <w:sz w:val="24"/>
                <w:szCs w:val="24"/>
                <w:highlight w:val="none"/>
                <w:u w:val="none"/>
                <w:shd w:val="clear" w:fill="FFFFFF"/>
              </w:rPr>
              <w:t>产后心理调适</w:t>
            </w:r>
            <w:r>
              <w:rPr>
                <w:rFonts w:hint="eastAsia" w:ascii="仿宋_GB2312" w:hAnsi="仿宋_GB2312" w:eastAsia="仿宋_GB2312" w:cs="仿宋_GB2312"/>
                <w:b w:val="0"/>
                <w:bCs w:val="0"/>
                <w:i w:val="0"/>
                <w:iCs w:val="0"/>
                <w:caps w:val="0"/>
                <w:spacing w:val="0"/>
                <w:sz w:val="24"/>
                <w:szCs w:val="24"/>
                <w:highlight w:val="none"/>
                <w:u w:val="none"/>
                <w:shd w:val="clear" w:fill="FFFFFF"/>
                <w:lang w:eastAsia="zh-CN"/>
              </w:rPr>
              <w:t>，</w:t>
            </w:r>
            <w:r>
              <w:rPr>
                <w:rFonts w:hint="eastAsia" w:ascii="仿宋_GB2312" w:hAnsi="仿宋_GB2312" w:eastAsia="仿宋_GB2312" w:cs="仿宋_GB2312"/>
                <w:b w:val="0"/>
                <w:bCs w:val="0"/>
                <w:i w:val="0"/>
                <w:iCs w:val="0"/>
                <w:caps w:val="0"/>
                <w:spacing w:val="0"/>
                <w:sz w:val="24"/>
                <w:szCs w:val="24"/>
                <w:highlight w:val="none"/>
                <w:shd w:val="clear" w:fill="FFFFFF"/>
              </w:rPr>
              <w:t>产后心理变化及其影响。产后心理调适方法与技巧。</w:t>
            </w:r>
            <w:r>
              <w:rPr>
                <w:rFonts w:hint="eastAsia" w:ascii="仿宋_GB2312" w:hAnsi="仿宋_GB2312" w:eastAsia="仿宋_GB2312" w:cs="仿宋_GB2312"/>
                <w:b w:val="0"/>
                <w:bCs w:val="0"/>
                <w:i w:val="0"/>
                <w:iCs w:val="0"/>
                <w:caps w:val="0"/>
                <w:spacing w:val="0"/>
                <w:sz w:val="24"/>
                <w:szCs w:val="24"/>
                <w:highlight w:val="none"/>
                <w:u w:val="none"/>
                <w:shd w:val="clear" w:fill="FFFFFF"/>
              </w:rPr>
              <w:t>产后恢复辅助工具与设备</w:t>
            </w:r>
            <w:r>
              <w:rPr>
                <w:rFonts w:hint="eastAsia" w:ascii="仿宋_GB2312" w:hAnsi="仿宋_GB2312" w:eastAsia="仿宋_GB2312" w:cs="仿宋_GB2312"/>
                <w:b w:val="0"/>
                <w:bCs w:val="0"/>
                <w:i w:val="0"/>
                <w:iCs w:val="0"/>
                <w:caps w:val="0"/>
                <w:spacing w:val="0"/>
                <w:sz w:val="24"/>
                <w:szCs w:val="24"/>
                <w:highlight w:val="none"/>
                <w:u w:val="none"/>
                <w:shd w:val="clear" w:fill="FFFFFF"/>
                <w:lang w:eastAsia="zh-CN"/>
              </w:rPr>
              <w:t>，</w:t>
            </w:r>
            <w:r>
              <w:rPr>
                <w:rFonts w:hint="eastAsia" w:ascii="仿宋_GB2312" w:hAnsi="仿宋_GB2312" w:eastAsia="仿宋_GB2312" w:cs="仿宋_GB2312"/>
                <w:b w:val="0"/>
                <w:bCs w:val="0"/>
                <w:i w:val="0"/>
                <w:iCs w:val="0"/>
                <w:caps w:val="0"/>
                <w:spacing w:val="0"/>
                <w:sz w:val="24"/>
                <w:szCs w:val="24"/>
                <w:highlight w:val="none"/>
                <w:shd w:val="clear" w:fill="FFFFFF"/>
              </w:rPr>
              <w:t>常用产后恢复辅助工具介绍。产后恢复设备的使用方法与注意事项。</w:t>
            </w:r>
            <w:r>
              <w:rPr>
                <w:rFonts w:hint="eastAsia" w:ascii="仿宋_GB2312" w:hAnsi="仿宋_GB2312" w:eastAsia="仿宋_GB2312" w:cs="仿宋_GB2312"/>
                <w:b w:val="0"/>
                <w:bCs w:val="0"/>
                <w:i w:val="0"/>
                <w:iCs w:val="0"/>
                <w:caps w:val="0"/>
                <w:spacing w:val="0"/>
                <w:sz w:val="24"/>
                <w:szCs w:val="24"/>
                <w:highlight w:val="none"/>
                <w:u w:val="none"/>
                <w:shd w:val="clear" w:fill="FFFFFF"/>
              </w:rPr>
              <w:t>产后恢复方案设计</w:t>
            </w:r>
            <w:r>
              <w:rPr>
                <w:rFonts w:hint="eastAsia" w:ascii="仿宋_GB2312" w:hAnsi="仿宋_GB2312" w:eastAsia="仿宋_GB2312" w:cs="仿宋_GB2312"/>
                <w:b w:val="0"/>
                <w:bCs w:val="0"/>
                <w:i w:val="0"/>
                <w:iCs w:val="0"/>
                <w:caps w:val="0"/>
                <w:spacing w:val="0"/>
                <w:sz w:val="24"/>
                <w:szCs w:val="24"/>
                <w:highlight w:val="none"/>
                <w:u w:val="none"/>
                <w:shd w:val="clear" w:fill="FFFFFF"/>
                <w:lang w:eastAsia="zh-CN"/>
              </w:rPr>
              <w:t>，</w:t>
            </w:r>
            <w:r>
              <w:rPr>
                <w:rFonts w:hint="eastAsia" w:ascii="仿宋_GB2312" w:hAnsi="仿宋_GB2312" w:eastAsia="仿宋_GB2312" w:cs="仿宋_GB2312"/>
                <w:b w:val="0"/>
                <w:bCs w:val="0"/>
                <w:i w:val="0"/>
                <w:iCs w:val="0"/>
                <w:caps w:val="0"/>
                <w:spacing w:val="0"/>
                <w:sz w:val="24"/>
                <w:szCs w:val="24"/>
                <w:highlight w:val="none"/>
                <w:shd w:val="clear" w:fill="FFFFFF"/>
              </w:rPr>
              <w:t>学习如何为产后母亲制定个性化修复方案，包括运动、饮食、心理调适等方面。</w:t>
            </w:r>
            <w:r>
              <w:rPr>
                <w:rFonts w:hint="eastAsia" w:ascii="仿宋_GB2312" w:hAnsi="仿宋_GB2312" w:eastAsia="仿宋_GB2312" w:cs="仿宋_GB2312"/>
                <w:b w:val="0"/>
                <w:bCs w:val="0"/>
                <w:i w:val="0"/>
                <w:iCs w:val="0"/>
                <w:caps w:val="0"/>
                <w:spacing w:val="0"/>
                <w:sz w:val="24"/>
                <w:szCs w:val="24"/>
                <w:highlight w:val="none"/>
                <w:u w:val="none"/>
                <w:shd w:val="clear" w:fill="FFFFFF"/>
              </w:rPr>
              <w:t>产后恢复技巧与实践</w:t>
            </w:r>
            <w:r>
              <w:rPr>
                <w:rFonts w:hint="eastAsia" w:ascii="仿宋_GB2312" w:hAnsi="仿宋_GB2312" w:eastAsia="仿宋_GB2312" w:cs="仿宋_GB2312"/>
                <w:b w:val="0"/>
                <w:bCs w:val="0"/>
                <w:i w:val="0"/>
                <w:iCs w:val="0"/>
                <w:caps w:val="0"/>
                <w:spacing w:val="0"/>
                <w:sz w:val="24"/>
                <w:szCs w:val="24"/>
                <w:highlight w:val="none"/>
                <w:u w:val="none"/>
                <w:shd w:val="clear" w:fill="FFFFFF"/>
                <w:lang w:eastAsia="zh-CN"/>
              </w:rPr>
              <w:t>，</w:t>
            </w:r>
            <w:r>
              <w:rPr>
                <w:rFonts w:hint="eastAsia" w:ascii="仿宋_GB2312" w:hAnsi="仿宋_GB2312" w:eastAsia="仿宋_GB2312" w:cs="仿宋_GB2312"/>
                <w:b w:val="0"/>
                <w:bCs w:val="0"/>
                <w:i w:val="0"/>
                <w:iCs w:val="0"/>
                <w:caps w:val="0"/>
                <w:spacing w:val="0"/>
                <w:sz w:val="24"/>
                <w:szCs w:val="24"/>
                <w:highlight w:val="none"/>
                <w:shd w:val="clear" w:fill="FFFFFF"/>
              </w:rPr>
              <w:t>教授产后修复的基本技巧，如骨盆底肌肉锻炼、腹直肌分离修复等。</w:t>
            </w:r>
            <w:r>
              <w:rPr>
                <w:rFonts w:hint="eastAsia" w:ascii="仿宋_GB2312" w:hAnsi="仿宋_GB2312" w:eastAsia="仿宋_GB2312" w:cs="仿宋_GB2312"/>
                <w:b w:val="0"/>
                <w:bCs w:val="0"/>
                <w:i w:val="0"/>
                <w:iCs w:val="0"/>
                <w:caps w:val="0"/>
                <w:spacing w:val="0"/>
                <w:sz w:val="24"/>
                <w:szCs w:val="24"/>
                <w:highlight w:val="none"/>
                <w:u w:val="none"/>
                <w:shd w:val="clear" w:fill="FFFFFF"/>
              </w:rPr>
              <w:t>产后恢复案例分析与实操</w:t>
            </w:r>
            <w:r>
              <w:rPr>
                <w:rFonts w:hint="eastAsia" w:ascii="仿宋_GB2312" w:hAnsi="仿宋_GB2312" w:eastAsia="仿宋_GB2312" w:cs="仿宋_GB2312"/>
                <w:b w:val="0"/>
                <w:bCs w:val="0"/>
                <w:i w:val="0"/>
                <w:iCs w:val="0"/>
                <w:caps w:val="0"/>
                <w:spacing w:val="0"/>
                <w:sz w:val="24"/>
                <w:szCs w:val="24"/>
                <w:highlight w:val="none"/>
                <w:u w:val="none"/>
                <w:shd w:val="clear" w:fill="FFFFFF"/>
                <w:lang w:eastAsia="zh-CN"/>
              </w:rPr>
              <w:t>，</w:t>
            </w:r>
            <w:r>
              <w:rPr>
                <w:rFonts w:hint="eastAsia" w:ascii="仿宋_GB2312" w:hAnsi="仿宋_GB2312" w:eastAsia="仿宋_GB2312" w:cs="仿宋_GB2312"/>
                <w:b w:val="0"/>
                <w:bCs w:val="0"/>
                <w:i w:val="0"/>
                <w:iCs w:val="0"/>
                <w:caps w:val="0"/>
                <w:spacing w:val="0"/>
                <w:sz w:val="24"/>
                <w:szCs w:val="24"/>
                <w:highlight w:val="none"/>
                <w:shd w:val="clear" w:fill="FFFFFF"/>
              </w:rPr>
              <w:t>分析产后恢复的成功案例和问题案例。学生分组讨论，设计产后恢复方案。实操演练，体验产后恢复锻炼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6</w:t>
            </w:r>
          </w:p>
        </w:tc>
        <w:tc>
          <w:tcPr>
            <w:tcW w:w="857"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亲子</w:t>
            </w:r>
          </w:p>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教育</w:t>
            </w:r>
          </w:p>
        </w:tc>
        <w:tc>
          <w:tcPr>
            <w:tcW w:w="3793"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知识目标：</w:t>
            </w:r>
            <w:r>
              <w:rPr>
                <w:rFonts w:hint="eastAsia" w:ascii="仿宋_GB2312" w:hAnsi="仿宋_GB2312" w:eastAsia="仿宋_GB2312" w:cs="仿宋_GB2312"/>
                <w:color w:val="auto"/>
                <w:sz w:val="24"/>
                <w:szCs w:val="24"/>
                <w:highlight w:val="none"/>
              </w:rPr>
              <w:t>掌握亲子教育的基本理论；了解不同年龄段儿童的特点与亲子教育要点；熟悉亲子活动设计、亲子关系建立与维护的知识。</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能力目标：</w:t>
            </w:r>
            <w:r>
              <w:rPr>
                <w:rFonts w:hint="eastAsia" w:ascii="仿宋_GB2312" w:hAnsi="仿宋_GB2312" w:eastAsia="仿宋_GB2312" w:cs="仿宋_GB2312"/>
                <w:color w:val="auto"/>
                <w:sz w:val="24"/>
                <w:szCs w:val="24"/>
                <w:highlight w:val="none"/>
              </w:rPr>
              <w:t>能根据儿童的年龄和特点，设计适合的亲子活动，促进儿童的全面发展；具备良好的亲子沟通能力，能与儿童及其家长进行有效交流，指导家长进行科学的亲子教育；能识别亲子关系中存在的问题并提供改进建议，帮助建立和谐的亲子关系。</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素质目标：</w:t>
            </w:r>
            <w:r>
              <w:rPr>
                <w:rFonts w:hint="eastAsia" w:ascii="仿宋_GB2312" w:hAnsi="仿宋_GB2312" w:eastAsia="仿宋_GB2312" w:cs="仿宋_GB2312"/>
                <w:color w:val="auto"/>
                <w:sz w:val="24"/>
                <w:szCs w:val="24"/>
                <w:highlight w:val="none"/>
              </w:rPr>
              <w:t>培养学生对儿童的关爱与尊重，遵循儿童发展规律开展亲子教育；提升学生的教育能力和沟通能力，在亲子教育中传递科学的教育理念。</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课程思政育人目标：</w:t>
            </w:r>
            <w:r>
              <w:rPr>
                <w:rFonts w:hint="eastAsia" w:ascii="仿宋_GB2312" w:hAnsi="仿宋_GB2312" w:eastAsia="仿宋_GB2312" w:cs="仿宋_GB2312"/>
                <w:color w:val="auto"/>
                <w:sz w:val="24"/>
                <w:szCs w:val="24"/>
                <w:highlight w:val="none"/>
              </w:rPr>
              <w:t>引导学生认识到亲子教育是家庭教育的核心，良好的亲子关系是儿童健康成长的基础，培养学生的家庭责任意识和教育责任意识；通过科学的亲子教育，传递爱与尊重、平等与沟通的家庭价值观，促进家庭和谐与社会和谐。</w:t>
            </w:r>
          </w:p>
        </w:tc>
        <w:tc>
          <w:tcPr>
            <w:tcW w:w="2721" w:type="dxa"/>
            <w:shd w:val="clear" w:color="auto" w:fill="auto"/>
            <w:vAlign w:val="top"/>
          </w:tcPr>
          <w:p>
            <w:pPr>
              <w:keepNext w:val="0"/>
              <w:keepLines w:val="0"/>
              <w:pageBreakBefore w:val="0"/>
              <w:widowControl w:val="0"/>
              <w:kinsoku/>
              <w:wordWrap/>
              <w:overflowPunct w:val="0"/>
              <w:topLinePunct w:val="0"/>
              <w:autoSpaceDE/>
              <w:autoSpaceDN/>
              <w:bidi w:val="0"/>
              <w:adjustRightInd w:val="0"/>
              <w:snapToGrid/>
              <w:spacing w:beforeAutospacing="0" w:after="0" w:afterAutospacing="0" w:line="320" w:lineRule="exact"/>
              <w:jc w:val="both"/>
              <w:textAlignment w:val="auto"/>
              <w:rPr>
                <w:rFonts w:hint="eastAsia" w:ascii="仿宋_GB2312" w:hAnsi="仿宋_GB2312" w:eastAsia="仿宋_GB2312" w:cs="仿宋_GB2312"/>
                <w:b w:val="0"/>
                <w:bCs w:val="0"/>
                <w:color w:val="auto"/>
                <w:kern w:val="2"/>
                <w:sz w:val="24"/>
                <w:szCs w:val="24"/>
                <w:highlight w:val="none"/>
                <w:vertAlign w:val="baseline"/>
                <w:lang w:val="en-US" w:eastAsia="zh-CN" w:bidi="ar-SA"/>
              </w:rPr>
            </w:pPr>
            <w:r>
              <w:rPr>
                <w:rFonts w:hint="eastAsia" w:ascii="仿宋_GB2312" w:hAnsi="仿宋_GB2312" w:eastAsia="仿宋_GB2312" w:cs="仿宋_GB2312"/>
                <w:b w:val="0"/>
                <w:bCs w:val="0"/>
                <w:color w:val="auto"/>
                <w:kern w:val="2"/>
                <w:sz w:val="24"/>
                <w:szCs w:val="24"/>
                <w:highlight w:val="none"/>
                <w:vertAlign w:val="baseline"/>
                <w:lang w:val="en-US" w:eastAsia="zh-CN" w:bidi="ar-SA"/>
              </w:rPr>
              <w:t>亲子关系概述，介绍亲子关系的定义、特点，以及在不同成长阶段亲子关系的变化。通过技巧训练，教授倾听、表达、同理心等沟通技巧，提高学生与父母的有效沟通能力。家庭活动设计与实施，指导学生如何策划家庭活动，增进亲子间的情感交流。解决家庭冲突，分析家庭冲突的类型，提供解决冲突的方法和策略。</w:t>
            </w:r>
          </w:p>
        </w:tc>
        <w:tc>
          <w:tcPr>
            <w:tcW w:w="255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320" w:lineRule="exact"/>
              <w:jc w:val="both"/>
              <w:textAlignment w:val="auto"/>
              <w:rPr>
                <w:rFonts w:hint="eastAsia" w:ascii="仿宋_GB2312" w:hAnsi="仿宋_GB2312" w:eastAsia="仿宋_GB2312" w:cs="仿宋_GB2312"/>
                <w:b w:val="0"/>
                <w:bCs w:val="0"/>
                <w:color w:val="auto"/>
                <w:kern w:val="2"/>
                <w:sz w:val="24"/>
                <w:szCs w:val="24"/>
                <w:highlight w:val="none"/>
                <w:vertAlign w:val="baseline"/>
                <w:lang w:val="en-US" w:eastAsia="zh-CN" w:bidi="ar-SA"/>
              </w:rPr>
            </w:pPr>
            <w:r>
              <w:rPr>
                <w:rFonts w:hint="eastAsia" w:ascii="仿宋_GB2312" w:hAnsi="仿宋_GB2312" w:eastAsia="仿宋_GB2312" w:cs="仿宋_GB2312"/>
                <w:b w:val="0"/>
                <w:bCs w:val="0"/>
                <w:color w:val="auto"/>
                <w:kern w:val="2"/>
                <w:sz w:val="24"/>
                <w:szCs w:val="24"/>
                <w:highlight w:val="none"/>
                <w:vertAlign w:val="baseline"/>
                <w:lang w:val="en-US" w:eastAsia="zh-CN" w:bidi="ar-SA"/>
              </w:rPr>
              <w:t>结合课本内容，注重实用性，以案例分析和实践操作为主，引导学生积极参与，增强课程效果。将目标分解为具体的学习成果，便于教学设计和评估。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7</w:t>
            </w:r>
          </w:p>
        </w:tc>
        <w:tc>
          <w:tcPr>
            <w:tcW w:w="857"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婴幼儿玩教具与游戏</w:t>
            </w:r>
          </w:p>
        </w:tc>
        <w:tc>
          <w:tcPr>
            <w:tcW w:w="3793"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知识目标：</w:t>
            </w:r>
            <w:r>
              <w:rPr>
                <w:rFonts w:hint="eastAsia" w:ascii="仿宋_GB2312" w:hAnsi="仿宋_GB2312" w:eastAsia="仿宋_GB2312" w:cs="仿宋_GB2312"/>
                <w:color w:val="auto"/>
                <w:sz w:val="24"/>
                <w:szCs w:val="24"/>
                <w:highlight w:val="none"/>
              </w:rPr>
              <w:t>掌握婴幼儿玩教具的分类、选择原则及教育价值；熟悉不同年龄段婴幼儿游戏的特点、类型及设计依据；了解玩教具制作的基本材料与方法。</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能力目标：</w:t>
            </w:r>
            <w:r>
              <w:rPr>
                <w:rFonts w:hint="eastAsia" w:ascii="仿宋_GB2312" w:hAnsi="仿宋_GB2312" w:eastAsia="仿宋_GB2312" w:cs="仿宋_GB2312"/>
                <w:color w:val="auto"/>
                <w:sz w:val="24"/>
                <w:szCs w:val="24"/>
                <w:highlight w:val="none"/>
              </w:rPr>
              <w:t>能根据婴幼儿发展阶段和需求，选择合适的玩教具；具备设计、制作简易婴幼儿玩教具的能力；能组织开展符合婴幼儿发展特点的游戏活动。</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素质目标：</w:t>
            </w:r>
            <w:r>
              <w:rPr>
                <w:rFonts w:hint="eastAsia" w:ascii="仿宋_GB2312" w:hAnsi="仿宋_GB2312" w:eastAsia="仿宋_GB2312" w:cs="仿宋_GB2312"/>
                <w:color w:val="auto"/>
                <w:sz w:val="24"/>
                <w:szCs w:val="24"/>
                <w:highlight w:val="none"/>
              </w:rPr>
              <w:t>培养对婴幼儿的爱心与耐心，提升对婴幼儿发展需求的敏感度；增强创新意识与动手能力，为婴幼儿提供优质的游戏体验。</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课程思政育人目标：</w:t>
            </w:r>
            <w:r>
              <w:rPr>
                <w:rFonts w:hint="eastAsia" w:ascii="仿宋_GB2312" w:hAnsi="仿宋_GB2312" w:eastAsia="仿宋_GB2312" w:cs="仿宋_GB2312"/>
                <w:color w:val="auto"/>
                <w:sz w:val="24"/>
                <w:szCs w:val="24"/>
                <w:highlight w:val="none"/>
              </w:rPr>
              <w:t>引导学生认识到玩教具与游戏对婴幼儿成长的重要性，树立科学育儿理念；通过亲手制作玩教具和设计游戏，培养工匠精神与责任意识，助力婴幼儿健康成长。</w:t>
            </w:r>
          </w:p>
        </w:tc>
        <w:tc>
          <w:tcPr>
            <w:tcW w:w="2721" w:type="dxa"/>
            <w:shd w:val="clear" w:color="auto" w:fill="auto"/>
            <w:vAlign w:val="top"/>
          </w:tcPr>
          <w:p>
            <w:pPr>
              <w:keepNext w:val="0"/>
              <w:keepLines w:val="0"/>
              <w:pageBreakBefore w:val="0"/>
              <w:widowControl w:val="0"/>
              <w:kinsoku/>
              <w:wordWrap/>
              <w:overflowPunct w:val="0"/>
              <w:topLinePunct w:val="0"/>
              <w:autoSpaceDE/>
              <w:autoSpaceDN/>
              <w:bidi w:val="0"/>
              <w:adjustRightInd w:val="0"/>
              <w:snapToGrid/>
              <w:spacing w:beforeAutospacing="0" w:after="0" w:afterAutospacing="0" w:line="320" w:lineRule="exact"/>
              <w:jc w:val="both"/>
              <w:textAlignment w:val="auto"/>
              <w:rPr>
                <w:rFonts w:hint="eastAsia" w:ascii="仿宋_GB2312" w:hAnsi="仿宋_GB2312" w:eastAsia="仿宋_GB2312" w:cs="仿宋_GB2312"/>
                <w:b w:val="0"/>
                <w:bCs w:val="0"/>
                <w:color w:val="auto"/>
                <w:kern w:val="2"/>
                <w:sz w:val="24"/>
                <w:szCs w:val="24"/>
                <w:highlight w:val="none"/>
                <w:vertAlign w:val="baseline"/>
                <w:lang w:val="en-US" w:eastAsia="zh-CN" w:bidi="ar-SA"/>
              </w:rPr>
            </w:pPr>
            <w:r>
              <w:rPr>
                <w:rFonts w:hint="eastAsia" w:ascii="仿宋_GB2312" w:hAnsi="仿宋_GB2312" w:eastAsia="仿宋_GB2312" w:cs="仿宋_GB2312"/>
                <w:b w:val="0"/>
                <w:bCs w:val="0"/>
                <w:color w:val="auto"/>
                <w:kern w:val="2"/>
                <w:sz w:val="24"/>
                <w:szCs w:val="24"/>
                <w:highlight w:val="none"/>
                <w:vertAlign w:val="baseline"/>
                <w:lang w:val="en-US" w:eastAsia="zh-CN" w:bidi="ar-SA"/>
              </w:rPr>
              <w:t>理论基础模块游戏理论，经典游戏理论、社会文化历史学派理论、觉醒理论等。婴幼儿发展规律，游戏与生理/心理发展、不同年龄段游戏特点及指导要点。玩教具制作模块材料技术，纸艺、布艺、泥工、线编等制作技法。</w:t>
            </w:r>
          </w:p>
          <w:p>
            <w:pPr>
              <w:keepNext w:val="0"/>
              <w:keepLines w:val="0"/>
              <w:pageBreakBefore w:val="0"/>
              <w:widowControl w:val="0"/>
              <w:kinsoku/>
              <w:wordWrap/>
              <w:overflowPunct w:val="0"/>
              <w:topLinePunct w:val="0"/>
              <w:autoSpaceDE/>
              <w:autoSpaceDN/>
              <w:bidi w:val="0"/>
              <w:adjustRightInd w:val="0"/>
              <w:snapToGrid/>
              <w:spacing w:beforeAutospacing="0" w:after="0" w:afterAutospacing="0" w:line="320" w:lineRule="exact"/>
              <w:jc w:val="both"/>
              <w:textAlignment w:val="auto"/>
              <w:rPr>
                <w:rFonts w:hint="eastAsia" w:ascii="仿宋_GB2312" w:hAnsi="仿宋_GB2312" w:eastAsia="仿宋_GB2312" w:cs="仿宋_GB2312"/>
                <w:b w:val="0"/>
                <w:bCs w:val="0"/>
                <w:color w:val="auto"/>
                <w:kern w:val="2"/>
                <w:sz w:val="24"/>
                <w:szCs w:val="24"/>
                <w:highlight w:val="none"/>
                <w:vertAlign w:val="baseline"/>
                <w:lang w:val="en-US" w:eastAsia="zh-CN" w:bidi="ar-SA"/>
              </w:rPr>
            </w:pPr>
            <w:r>
              <w:rPr>
                <w:rFonts w:hint="eastAsia" w:ascii="仿宋_GB2312" w:hAnsi="仿宋_GB2312" w:eastAsia="仿宋_GB2312" w:cs="仿宋_GB2312"/>
                <w:b w:val="0"/>
                <w:bCs w:val="0"/>
                <w:color w:val="auto"/>
                <w:kern w:val="2"/>
                <w:sz w:val="24"/>
                <w:szCs w:val="24"/>
                <w:highlight w:val="none"/>
                <w:vertAlign w:val="baseline"/>
                <w:lang w:val="en-US" w:eastAsia="zh-CN" w:bidi="ar-SA"/>
              </w:rPr>
              <w:t>分类设计：科学类、生活类、体育类玩教具的设计原则与实例分析。游戏指导与实践模块区域游戏组织，角色扮演区、建构区、益智区的环境创设与材料投放策略。游戏观察与评价，记录婴幼儿游戏行为，分析发展水平并调整教学方案。综合应用模块。废旧材料改造，利用自然物或生活废弃物制作玩教具。游戏课程开发，结合幼儿园主题教学，设计融合多领域目标的游戏活动。</w:t>
            </w:r>
          </w:p>
        </w:tc>
        <w:tc>
          <w:tcPr>
            <w:tcW w:w="255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320" w:lineRule="exact"/>
              <w:jc w:val="both"/>
              <w:textAlignment w:val="auto"/>
              <w:rPr>
                <w:rFonts w:hint="eastAsia" w:ascii="仿宋_GB2312" w:hAnsi="仿宋_GB2312" w:eastAsia="仿宋_GB2312" w:cs="仿宋_GB2312"/>
                <w:b w:val="0"/>
                <w:bCs w:val="0"/>
                <w:color w:val="auto"/>
                <w:kern w:val="2"/>
                <w:sz w:val="24"/>
                <w:szCs w:val="24"/>
                <w:highlight w:val="none"/>
                <w:vertAlign w:val="baseline"/>
                <w:lang w:val="en-US" w:eastAsia="zh-CN" w:bidi="ar-SA"/>
              </w:rPr>
            </w:pPr>
            <w:r>
              <w:rPr>
                <w:rFonts w:hint="eastAsia" w:ascii="仿宋_GB2312" w:hAnsi="仿宋_GB2312" w:eastAsia="仿宋_GB2312" w:cs="仿宋_GB2312"/>
                <w:b w:val="0"/>
                <w:bCs w:val="0"/>
                <w:color w:val="auto"/>
                <w:kern w:val="2"/>
                <w:sz w:val="24"/>
                <w:szCs w:val="24"/>
                <w:highlight w:val="none"/>
                <w:vertAlign w:val="baseline"/>
                <w:lang w:val="en-US" w:eastAsia="zh-CN" w:bidi="ar-SA"/>
              </w:rPr>
              <w:t>采用“理论+实践”模式，</w:t>
            </w:r>
          </w:p>
          <w:p>
            <w:pPr>
              <w:keepNext w:val="0"/>
              <w:keepLines w:val="0"/>
              <w:pageBreakBefore w:val="0"/>
              <w:widowControl w:val="0"/>
              <w:kinsoku/>
              <w:wordWrap/>
              <w:overflowPunct/>
              <w:topLinePunct w:val="0"/>
              <w:autoSpaceDE/>
              <w:autoSpaceDN/>
              <w:bidi w:val="0"/>
              <w:adjustRightInd/>
              <w:snapToGrid/>
              <w:spacing w:beforeAutospacing="0" w:after="0" w:afterAutospacing="0" w:line="320" w:lineRule="exact"/>
              <w:jc w:val="both"/>
              <w:textAlignment w:val="auto"/>
              <w:rPr>
                <w:rFonts w:hint="eastAsia" w:ascii="仿宋_GB2312" w:hAnsi="仿宋_GB2312" w:eastAsia="仿宋_GB2312" w:cs="仿宋_GB2312"/>
                <w:b w:val="0"/>
                <w:bCs w:val="0"/>
                <w:color w:val="auto"/>
                <w:kern w:val="2"/>
                <w:sz w:val="24"/>
                <w:szCs w:val="24"/>
                <w:highlight w:val="none"/>
                <w:vertAlign w:val="baseline"/>
                <w:lang w:val="en-US" w:eastAsia="zh-CN" w:bidi="ar-SA"/>
              </w:rPr>
            </w:pPr>
            <w:r>
              <w:rPr>
                <w:rFonts w:hint="eastAsia" w:ascii="仿宋_GB2312" w:hAnsi="仿宋_GB2312" w:eastAsia="仿宋_GB2312" w:cs="仿宋_GB2312"/>
                <w:b w:val="0"/>
                <w:bCs w:val="0"/>
                <w:color w:val="auto"/>
                <w:kern w:val="2"/>
                <w:sz w:val="24"/>
                <w:szCs w:val="24"/>
                <w:highlight w:val="none"/>
                <w:vertAlign w:val="baseline"/>
                <w:lang w:val="en-US" w:eastAsia="zh-CN" w:bidi="ar-SA"/>
              </w:rPr>
              <w:t>结合真实幼儿园案例，分析游戏指导中的典型问题。学生能力达标要求技能掌握，能独立完成5类以上玩教具制作，并通过作品展示评估创意与实用性。教学应用，设计并实施一节完整的游戏活动课，体现目标适配性、材料丰富性和师幼互动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8</w:t>
            </w:r>
          </w:p>
        </w:tc>
        <w:tc>
          <w:tcPr>
            <w:tcW w:w="857"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现代教育技术</w:t>
            </w:r>
          </w:p>
        </w:tc>
        <w:tc>
          <w:tcPr>
            <w:tcW w:w="3793"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知识目标：</w:t>
            </w:r>
            <w:r>
              <w:rPr>
                <w:rFonts w:hint="eastAsia" w:ascii="仿宋_GB2312" w:hAnsi="仿宋_GB2312" w:eastAsia="仿宋_GB2312" w:cs="仿宋_GB2312"/>
                <w:color w:val="auto"/>
                <w:sz w:val="24"/>
                <w:szCs w:val="24"/>
                <w:highlight w:val="none"/>
              </w:rPr>
              <w:t>掌握常见现代教育技术工具的功能与操作方法；了解现代教育技术在家庭早教、家政培训等场景中的应用模式。</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能力目标：</w:t>
            </w:r>
            <w:r>
              <w:rPr>
                <w:rFonts w:hint="eastAsia" w:ascii="仿宋_GB2312" w:hAnsi="仿宋_GB2312" w:eastAsia="仿宋_GB2312" w:cs="仿宋_GB2312"/>
                <w:color w:val="auto"/>
                <w:sz w:val="24"/>
                <w:szCs w:val="24"/>
                <w:highlight w:val="none"/>
              </w:rPr>
              <w:t>能熟练运用现代教育技术工具制作家政服务或早教相关的教学课件、微课等；具备借助在线平台开展家政培训或亲子教育指导的能力。</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素质目标：</w:t>
            </w:r>
            <w:r>
              <w:rPr>
                <w:rFonts w:hint="eastAsia" w:ascii="仿宋_GB2312" w:hAnsi="仿宋_GB2312" w:eastAsia="仿宋_GB2312" w:cs="仿宋_GB2312"/>
                <w:color w:val="auto"/>
                <w:sz w:val="24"/>
                <w:szCs w:val="24"/>
                <w:highlight w:val="none"/>
              </w:rPr>
              <w:t>提升信息化素养，适应现代教育与家政服务行业的数字化发展趋势；培养创新应用能力，将现代教育技术灵活融入家政服务工作中。</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课程思政育人目标：</w:t>
            </w:r>
            <w:r>
              <w:rPr>
                <w:rFonts w:hint="eastAsia" w:ascii="仿宋_GB2312" w:hAnsi="仿宋_GB2312" w:eastAsia="仿宋_GB2312" w:cs="仿宋_GB2312"/>
                <w:color w:val="auto"/>
                <w:sz w:val="24"/>
                <w:szCs w:val="24"/>
                <w:highlight w:val="none"/>
              </w:rPr>
              <w:t>让学生认识到现代教育技术对提升家政服务效率与质量的重要性，激发对行业创新发展的热情；引导学生合理、规范使用现代教育技术，传播积极健康的教育与服务内容。</w:t>
            </w:r>
          </w:p>
        </w:tc>
        <w:tc>
          <w:tcPr>
            <w:tcW w:w="2721" w:type="dxa"/>
            <w:shd w:val="clear" w:color="auto" w:fill="auto"/>
            <w:vAlign w:val="top"/>
          </w:tcPr>
          <w:p>
            <w:pPr>
              <w:keepNext w:val="0"/>
              <w:keepLines w:val="0"/>
              <w:pageBreakBefore w:val="0"/>
              <w:widowControl w:val="0"/>
              <w:kinsoku/>
              <w:wordWrap/>
              <w:overflowPunct w:val="0"/>
              <w:topLinePunct w:val="0"/>
              <w:autoSpaceDE/>
              <w:autoSpaceDN/>
              <w:bidi w:val="0"/>
              <w:adjustRightInd w:val="0"/>
              <w:snapToGrid/>
              <w:spacing w:beforeAutospacing="0" w:after="0" w:afterAutospacing="0" w:line="320" w:lineRule="exact"/>
              <w:jc w:val="both"/>
              <w:textAlignment w:val="auto"/>
              <w:rPr>
                <w:rFonts w:hint="eastAsia" w:ascii="仿宋_GB2312" w:hAnsi="仿宋_GB2312" w:eastAsia="仿宋_GB2312" w:cs="仿宋_GB2312"/>
                <w:b w:val="0"/>
                <w:bCs w:val="0"/>
                <w:color w:val="auto"/>
                <w:kern w:val="2"/>
                <w:sz w:val="24"/>
                <w:szCs w:val="24"/>
                <w:highlight w:val="none"/>
                <w:vertAlign w:val="baseline"/>
                <w:lang w:val="en-US" w:eastAsia="zh-CN" w:bidi="ar-SA"/>
              </w:rPr>
            </w:pPr>
            <w:r>
              <w:rPr>
                <w:rFonts w:hint="eastAsia" w:ascii="仿宋_GB2312" w:hAnsi="仿宋_GB2312" w:eastAsia="仿宋_GB2312" w:cs="仿宋_GB2312"/>
                <w:b w:val="0"/>
                <w:bCs w:val="0"/>
                <w:color w:val="auto"/>
                <w:kern w:val="2"/>
                <w:sz w:val="24"/>
                <w:szCs w:val="24"/>
                <w:highlight w:val="none"/>
                <w:vertAlign w:val="baseline"/>
                <w:lang w:val="en-US" w:eastAsia="zh-CN" w:bidi="ar-SA"/>
              </w:rPr>
              <w:t>教育技术基础理论，包括教育技术的定义、发展脉络、视听感知规律、经验之塔理论、教育传播模式等。信息化教学环境与技术应用，教学媒体视觉/听觉媒体设备操作、多媒体教室与智慧教室的功能应用。资源开发，课件制作、微课开发与虚拟仿真工具使用。教学设计与实践模块，教学设计流程教学目标分析、教学内容重组、教学方法选择。教学评价信息化教学效果评估方法及工具。新兴技术教育应用，涵盖在线教育平台、混合式学习模式、人工智能辅助教学等前沿领域案例分析。</w:t>
            </w:r>
          </w:p>
        </w:tc>
        <w:tc>
          <w:tcPr>
            <w:tcW w:w="255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320" w:lineRule="exact"/>
              <w:jc w:val="both"/>
              <w:textAlignment w:val="auto"/>
              <w:rPr>
                <w:rFonts w:hint="eastAsia" w:ascii="仿宋_GB2312" w:hAnsi="仿宋_GB2312" w:eastAsia="仿宋_GB2312" w:cs="仿宋_GB2312"/>
                <w:b w:val="0"/>
                <w:bCs w:val="0"/>
                <w:color w:val="auto"/>
                <w:kern w:val="2"/>
                <w:sz w:val="24"/>
                <w:szCs w:val="24"/>
                <w:highlight w:val="none"/>
                <w:vertAlign w:val="baseline"/>
                <w:lang w:val="en-US" w:eastAsia="zh-CN" w:bidi="ar-SA"/>
              </w:rPr>
            </w:pPr>
            <w:r>
              <w:rPr>
                <w:rFonts w:hint="eastAsia" w:ascii="仿宋_GB2312" w:hAnsi="仿宋_GB2312" w:eastAsia="仿宋_GB2312" w:cs="仿宋_GB2312"/>
                <w:b w:val="0"/>
                <w:bCs w:val="0"/>
                <w:color w:val="auto"/>
                <w:kern w:val="2"/>
                <w:sz w:val="24"/>
                <w:szCs w:val="24"/>
                <w:highlight w:val="none"/>
                <w:vertAlign w:val="baseline"/>
                <w:lang w:val="en-US" w:eastAsia="zh-CN" w:bidi="ar-SA"/>
              </w:rPr>
              <w:t>理论学习与实践结合，需在掌握教育技术理论的基础上，通过实验课完成至少2个综合性实践项目，强调理论与实践融合。技术操作能力达标，学生需独立完成多媒体素材处理、教学课件制作，并具备信息化教学环境的操作能力。课程思政与职业素养，教学中融入版权意识、信息伦理教育，培养师范生利用技术促进教育公平的使命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9</w:t>
            </w:r>
          </w:p>
        </w:tc>
        <w:tc>
          <w:tcPr>
            <w:tcW w:w="857"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家政资讯管理</w:t>
            </w:r>
          </w:p>
        </w:tc>
        <w:tc>
          <w:tcPr>
            <w:tcW w:w="3793"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知识目标：</w:t>
            </w:r>
            <w:r>
              <w:rPr>
                <w:rFonts w:hint="eastAsia" w:ascii="仿宋_GB2312" w:hAnsi="仿宋_GB2312" w:eastAsia="仿宋_GB2312" w:cs="仿宋_GB2312"/>
                <w:color w:val="auto"/>
                <w:sz w:val="24"/>
                <w:szCs w:val="24"/>
                <w:highlight w:val="none"/>
              </w:rPr>
              <w:t>了解家政行业政策法规、行业动态、市场信息等资讯的类型与来源；掌握家政资讯收集、整理、分析与管理的方法。</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能力目标：</w:t>
            </w:r>
            <w:r>
              <w:rPr>
                <w:rFonts w:hint="eastAsia" w:ascii="仿宋_GB2312" w:hAnsi="仿宋_GB2312" w:eastAsia="仿宋_GB2312" w:cs="仿宋_GB2312"/>
                <w:color w:val="auto"/>
                <w:sz w:val="24"/>
                <w:szCs w:val="24"/>
                <w:highlight w:val="none"/>
              </w:rPr>
              <w:t>能高效收集、筛选有价值的家政资讯；具备对家政资讯进行分类整理与分析研判的能力，为家政服务提供决策支持。</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素质目标：</w:t>
            </w:r>
            <w:r>
              <w:rPr>
                <w:rFonts w:hint="eastAsia" w:ascii="仿宋_GB2312" w:hAnsi="仿宋_GB2312" w:eastAsia="仿宋_GB2312" w:cs="仿宋_GB2312"/>
                <w:color w:val="auto"/>
                <w:sz w:val="24"/>
                <w:szCs w:val="24"/>
                <w:highlight w:val="none"/>
              </w:rPr>
              <w:t>培养信息素养与敏锐的行业洞察力，及时把握家政行业发展趋势；增强责任心，确保家政资讯的准确性与保密性。</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课程思政育人目标：</w:t>
            </w:r>
            <w:r>
              <w:rPr>
                <w:rFonts w:hint="eastAsia" w:ascii="仿宋_GB2312" w:hAnsi="仿宋_GB2312" w:eastAsia="仿宋_GB2312" w:cs="仿宋_GB2312"/>
                <w:color w:val="auto"/>
                <w:sz w:val="24"/>
                <w:szCs w:val="24"/>
                <w:highlight w:val="none"/>
              </w:rPr>
              <w:t>引导学生关注家政行业发展，增强对行业的认同感与归属感；通过对政策法规资讯的学习，培养依法从业、规范服务的意识。</w:t>
            </w:r>
          </w:p>
        </w:tc>
        <w:tc>
          <w:tcPr>
            <w:tcW w:w="2721" w:type="dxa"/>
            <w:shd w:val="clear" w:color="auto" w:fill="auto"/>
            <w:vAlign w:val="top"/>
          </w:tcPr>
          <w:p>
            <w:pPr>
              <w:keepNext w:val="0"/>
              <w:keepLines w:val="0"/>
              <w:pageBreakBefore w:val="0"/>
              <w:widowControl w:val="0"/>
              <w:kinsoku/>
              <w:wordWrap/>
              <w:overflowPunct w:val="0"/>
              <w:topLinePunct w:val="0"/>
              <w:autoSpaceDE/>
              <w:autoSpaceDN/>
              <w:bidi w:val="0"/>
              <w:adjustRightInd w:val="0"/>
              <w:snapToGrid/>
              <w:spacing w:beforeAutospacing="0" w:after="0" w:afterAutospacing="0" w:line="320" w:lineRule="exact"/>
              <w:jc w:val="both"/>
              <w:textAlignment w:val="auto"/>
              <w:rPr>
                <w:rFonts w:hint="eastAsia" w:ascii="仿宋_GB2312" w:hAnsi="仿宋_GB2312" w:eastAsia="仿宋_GB2312" w:cs="仿宋_GB2312"/>
                <w:b w:val="0"/>
                <w:bCs w:val="0"/>
                <w:color w:val="auto"/>
                <w:kern w:val="2"/>
                <w:sz w:val="24"/>
                <w:szCs w:val="24"/>
                <w:highlight w:val="none"/>
                <w:vertAlign w:val="baseline"/>
                <w:lang w:val="en-US" w:eastAsia="zh-CN" w:bidi="ar-SA"/>
              </w:rPr>
            </w:pPr>
            <w:r>
              <w:rPr>
                <w:rFonts w:hint="eastAsia" w:ascii="仿宋_GB2312" w:hAnsi="仿宋_GB2312" w:eastAsia="仿宋_GB2312" w:cs="仿宋_GB2312"/>
                <w:b w:val="0"/>
                <w:bCs w:val="0"/>
                <w:color w:val="auto"/>
                <w:kern w:val="2"/>
                <w:sz w:val="24"/>
                <w:szCs w:val="24"/>
                <w:highlight w:val="none"/>
                <w:vertAlign w:val="baseline"/>
                <w:lang w:val="en-US" w:eastAsia="zh-CN" w:bidi="ar-SA"/>
              </w:rPr>
              <w:t>家政信息化基础，家政行业信息化发展趋势与政策法规。家政资讯管理系统架构与功能模块。数据管理与分析技术，家政服务数据的采集、清洗与存储方法。数据分析工具的应用案例：客户偏好分析、服务质量评估。家政资讯安全与伦理，客户隐私保护的法律要求与技术实现。信息伦理案例分析：虚假宣传、数据泄露风险防控。实践模块家政管理系统操作实训。团队项目设计一个小型家政企业的信息化解决方案。</w:t>
            </w:r>
          </w:p>
        </w:tc>
        <w:tc>
          <w:tcPr>
            <w:tcW w:w="255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320" w:lineRule="exact"/>
              <w:jc w:val="both"/>
              <w:textAlignment w:val="auto"/>
              <w:rPr>
                <w:rFonts w:hint="eastAsia" w:ascii="仿宋_GB2312" w:hAnsi="仿宋_GB2312" w:eastAsia="仿宋_GB2312" w:cs="仿宋_GB2312"/>
                <w:b w:val="0"/>
                <w:bCs w:val="0"/>
                <w:color w:val="auto"/>
                <w:kern w:val="2"/>
                <w:sz w:val="24"/>
                <w:szCs w:val="24"/>
                <w:highlight w:val="none"/>
                <w:vertAlign w:val="baseline"/>
                <w:lang w:val="en-US" w:eastAsia="zh-CN" w:bidi="ar-SA"/>
              </w:rPr>
            </w:pPr>
            <w:r>
              <w:rPr>
                <w:rFonts w:hint="eastAsia" w:ascii="仿宋_GB2312" w:hAnsi="仿宋_GB2312" w:eastAsia="仿宋_GB2312" w:cs="仿宋_GB2312"/>
                <w:b w:val="0"/>
                <w:bCs w:val="0"/>
                <w:color w:val="auto"/>
                <w:kern w:val="2"/>
                <w:sz w:val="24"/>
                <w:szCs w:val="24"/>
                <w:highlight w:val="none"/>
                <w:vertAlign w:val="baseline"/>
                <w:lang w:val="en-US" w:eastAsia="zh-CN" w:bidi="ar-SA"/>
              </w:rPr>
              <w:t>通过信息管理系统实操，使学生掌握家政客户和服务人员数据的规范化管理能力；通过行业数据分析项目，培养学生从海量资讯中提取有价值信息的分析能力；通过信息安全演练，使学生具备保护客户隐私和数据安全的风险防范意识；最终使学生能够运用信息化手段优化家政服务流程，提升管理决策的科学性和精准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10</w:t>
            </w:r>
          </w:p>
        </w:tc>
        <w:tc>
          <w:tcPr>
            <w:tcW w:w="857"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家政电子商务实务</w:t>
            </w:r>
          </w:p>
        </w:tc>
        <w:tc>
          <w:tcPr>
            <w:tcW w:w="3793"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知识目标：</w:t>
            </w:r>
            <w:r>
              <w:rPr>
                <w:rFonts w:hint="eastAsia" w:ascii="仿宋_GB2312" w:hAnsi="仿宋_GB2312" w:eastAsia="仿宋_GB2312" w:cs="仿宋_GB2312"/>
                <w:color w:val="auto"/>
                <w:sz w:val="24"/>
                <w:szCs w:val="24"/>
                <w:highlight w:val="none"/>
              </w:rPr>
              <w:t>掌握电子商务基本理论与运营模式；熟悉家政服务电子商务平台的搭建、运营与管理要点；了解家政电商客户开发、维护与服务流程。</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能力目标：</w:t>
            </w:r>
            <w:r>
              <w:rPr>
                <w:rFonts w:hint="eastAsia" w:ascii="仿宋_GB2312" w:hAnsi="仿宋_GB2312" w:eastAsia="仿宋_GB2312" w:cs="仿宋_GB2312"/>
                <w:color w:val="auto"/>
                <w:sz w:val="24"/>
                <w:szCs w:val="24"/>
                <w:highlight w:val="none"/>
              </w:rPr>
              <w:t>能协助搭建家政电商平台，进行产品（服务）上架、信息维护等操作；具备通过电商平台开展家政服务营销、客户沟通与订单处理的能力。</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素质目标：</w:t>
            </w:r>
            <w:r>
              <w:rPr>
                <w:rFonts w:hint="eastAsia" w:ascii="仿宋_GB2312" w:hAnsi="仿宋_GB2312" w:eastAsia="仿宋_GB2312" w:cs="仿宋_GB2312"/>
                <w:color w:val="auto"/>
                <w:sz w:val="24"/>
                <w:szCs w:val="24"/>
                <w:highlight w:val="none"/>
              </w:rPr>
              <w:t>培养互联网思维与商业意识，适应家政行业电商化发展；提升服务意识与沟通能力，为电商客户提供优质家政服务体验。</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课程思政育人目标：</w:t>
            </w:r>
            <w:r>
              <w:rPr>
                <w:rFonts w:hint="eastAsia" w:ascii="仿宋_GB2312" w:hAnsi="仿宋_GB2312" w:eastAsia="仿宋_GB2312" w:cs="仿宋_GB2312"/>
                <w:color w:val="auto"/>
                <w:sz w:val="24"/>
                <w:szCs w:val="24"/>
                <w:highlight w:val="none"/>
              </w:rPr>
              <w:t>引导学生认识到家政电商对拓展家政服务市场、促进就业的重要作用，激发创新创业热情；培养诚信经营意识，确保电商交易中的服务质量与信誉。</w:t>
            </w:r>
          </w:p>
        </w:tc>
        <w:tc>
          <w:tcPr>
            <w:tcW w:w="2721" w:type="dxa"/>
            <w:shd w:val="clear" w:color="auto" w:fill="auto"/>
            <w:vAlign w:val="top"/>
          </w:tcPr>
          <w:p>
            <w:pPr>
              <w:keepNext w:val="0"/>
              <w:keepLines w:val="0"/>
              <w:pageBreakBefore w:val="0"/>
              <w:widowControl w:val="0"/>
              <w:kinsoku/>
              <w:wordWrap/>
              <w:overflowPunct w:val="0"/>
              <w:topLinePunct w:val="0"/>
              <w:autoSpaceDE/>
              <w:autoSpaceDN/>
              <w:bidi w:val="0"/>
              <w:adjustRightInd w:val="0"/>
              <w:snapToGrid/>
              <w:spacing w:beforeAutospacing="0" w:after="0" w:afterAutospacing="0" w:line="320" w:lineRule="exact"/>
              <w:jc w:val="both"/>
              <w:textAlignment w:val="auto"/>
              <w:rPr>
                <w:rFonts w:hint="eastAsia" w:ascii="仿宋_GB2312" w:hAnsi="仿宋_GB2312" w:eastAsia="仿宋_GB2312" w:cs="仿宋_GB2312"/>
                <w:b w:val="0"/>
                <w:bCs w:val="0"/>
                <w:color w:val="auto"/>
                <w:kern w:val="2"/>
                <w:sz w:val="24"/>
                <w:szCs w:val="24"/>
                <w:highlight w:val="none"/>
                <w:vertAlign w:val="baseline"/>
                <w:lang w:val="en-US" w:eastAsia="zh-CN" w:bidi="ar-SA"/>
              </w:rPr>
            </w:pPr>
            <w:r>
              <w:rPr>
                <w:rFonts w:hint="eastAsia" w:ascii="仿宋_GB2312" w:hAnsi="仿宋_GB2312" w:eastAsia="仿宋_GB2312" w:cs="仿宋_GB2312"/>
                <w:b w:val="0"/>
                <w:bCs w:val="0"/>
                <w:color w:val="auto"/>
                <w:kern w:val="2"/>
                <w:sz w:val="24"/>
                <w:szCs w:val="24"/>
                <w:highlight w:val="none"/>
                <w:vertAlign w:val="baseline"/>
                <w:lang w:val="en-US" w:eastAsia="zh-CN" w:bidi="ar-SA"/>
              </w:rPr>
              <w:t>课程内容涵盖家政电商模式分析、主流服务平台入驻与运营、在线服务产品设计与定价、客户在线咨询与订单处理、服务人员在线管理与调度、移动支付与电子合同应用、客户评价管理与数据分析、私域流量运营与社群营销、家政服务小程序开发基础等前沿内容，结合真实平台进行实操训练。</w:t>
            </w:r>
          </w:p>
        </w:tc>
        <w:tc>
          <w:tcPr>
            <w:tcW w:w="255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320" w:lineRule="exact"/>
              <w:jc w:val="both"/>
              <w:textAlignment w:val="auto"/>
              <w:rPr>
                <w:rFonts w:hint="eastAsia" w:ascii="仿宋_GB2312" w:hAnsi="仿宋_GB2312" w:eastAsia="仿宋_GB2312" w:cs="仿宋_GB2312"/>
                <w:b w:val="0"/>
                <w:bCs w:val="0"/>
                <w:color w:val="auto"/>
                <w:kern w:val="2"/>
                <w:sz w:val="24"/>
                <w:szCs w:val="24"/>
                <w:highlight w:val="none"/>
                <w:vertAlign w:val="baseline"/>
                <w:lang w:val="en-US" w:eastAsia="zh-CN" w:bidi="ar-SA"/>
              </w:rPr>
            </w:pPr>
            <w:r>
              <w:rPr>
                <w:rFonts w:hint="eastAsia" w:ascii="仿宋_GB2312" w:hAnsi="仿宋_GB2312" w:eastAsia="仿宋_GB2312" w:cs="仿宋_GB2312"/>
                <w:b w:val="0"/>
                <w:bCs w:val="0"/>
                <w:color w:val="auto"/>
                <w:kern w:val="2"/>
                <w:sz w:val="24"/>
                <w:szCs w:val="24"/>
                <w:highlight w:val="none"/>
                <w:vertAlign w:val="baseline"/>
                <w:lang w:val="en-US" w:eastAsia="zh-CN" w:bidi="ar-SA"/>
              </w:rPr>
              <w:t>采用“理论+实训+项目”三位一体模式，例如通过角色扮演模拟客户服务场景。引入企业真实数据进行案例教学。通过平台运营模拟，使学生掌握家政服务线上化的全流程操作能力；通过数据分析实践，培养学生基于数据优化服务产品的决策能力；通过数字营销项目，使学生具备运用新媒体拓展线上客户的实际操作技能；最终使学生能够独立完成家政服务从传统模式向数字化转型的基础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11</w:t>
            </w:r>
          </w:p>
        </w:tc>
        <w:tc>
          <w:tcPr>
            <w:tcW w:w="857"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家政企业经营与管理</w:t>
            </w:r>
          </w:p>
        </w:tc>
        <w:tc>
          <w:tcPr>
            <w:tcW w:w="3793"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知识目标：</w:t>
            </w:r>
            <w:r>
              <w:rPr>
                <w:rFonts w:hint="eastAsia" w:ascii="仿宋_GB2312" w:hAnsi="仿宋_GB2312" w:eastAsia="仿宋_GB2312" w:cs="仿宋_GB2312"/>
                <w:color w:val="auto"/>
                <w:sz w:val="24"/>
                <w:szCs w:val="24"/>
                <w:highlight w:val="none"/>
              </w:rPr>
              <w:t>掌握企业管理基本理论；了解家政企业的组织架构、运营模式与管理特点；熟悉家政企业市场拓展、品牌建设的方法。</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能力目标：</w:t>
            </w:r>
            <w:r>
              <w:rPr>
                <w:rFonts w:hint="eastAsia" w:ascii="仿宋_GB2312" w:hAnsi="仿宋_GB2312" w:eastAsia="仿宋_GB2312" w:cs="仿宋_GB2312"/>
                <w:color w:val="auto"/>
                <w:sz w:val="24"/>
                <w:szCs w:val="24"/>
                <w:highlight w:val="none"/>
              </w:rPr>
              <w:t>能参与家政企业日常运营管理；具备为家政企业制定简单市场拓展与品牌建设方案的能力。</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素质目标：</w:t>
            </w:r>
            <w:r>
              <w:rPr>
                <w:rFonts w:hint="eastAsia" w:ascii="仿宋_GB2312" w:hAnsi="仿宋_GB2312" w:eastAsia="仿宋_GB2312" w:cs="仿宋_GB2312"/>
                <w:color w:val="auto"/>
                <w:sz w:val="24"/>
                <w:szCs w:val="24"/>
                <w:highlight w:val="none"/>
              </w:rPr>
              <w:t>培养企业管理思维与全局观，提升对家政企业运营的认知；增强责任意识与团队协作精神，适应企业管理岗位需求。</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课程思政育人目标：</w:t>
            </w:r>
            <w:r>
              <w:rPr>
                <w:rFonts w:hint="eastAsia" w:ascii="仿宋_GB2312" w:hAnsi="仿宋_GB2312" w:eastAsia="仿宋_GB2312" w:cs="仿宋_GB2312"/>
                <w:color w:val="auto"/>
                <w:sz w:val="24"/>
                <w:szCs w:val="24"/>
                <w:highlight w:val="none"/>
              </w:rPr>
              <w:t>引导学生认识到家政企业在促进行业发展、解决社会就业中的重要作用，树立服务社会的责任感；通过学习企业管理中的规范与创新，培养敬业精神与创新意识。</w:t>
            </w:r>
          </w:p>
        </w:tc>
        <w:tc>
          <w:tcPr>
            <w:tcW w:w="2721" w:type="dxa"/>
            <w:shd w:val="clear" w:color="auto" w:fill="auto"/>
            <w:vAlign w:val="top"/>
          </w:tcPr>
          <w:p>
            <w:pPr>
              <w:keepNext w:val="0"/>
              <w:keepLines w:val="0"/>
              <w:pageBreakBefore w:val="0"/>
              <w:widowControl w:val="0"/>
              <w:kinsoku/>
              <w:wordWrap/>
              <w:overflowPunct w:val="0"/>
              <w:topLinePunct w:val="0"/>
              <w:autoSpaceDE/>
              <w:autoSpaceDN/>
              <w:bidi w:val="0"/>
              <w:adjustRightInd w:val="0"/>
              <w:snapToGrid/>
              <w:spacing w:beforeAutospacing="0" w:after="0" w:afterAutospacing="0" w:line="320" w:lineRule="exact"/>
              <w:jc w:val="both"/>
              <w:textAlignment w:val="auto"/>
              <w:rPr>
                <w:rFonts w:hint="eastAsia" w:ascii="仿宋_GB2312" w:hAnsi="仿宋_GB2312" w:eastAsia="仿宋_GB2312" w:cs="仿宋_GB2312"/>
                <w:b w:val="0"/>
                <w:bCs w:val="0"/>
                <w:color w:val="auto"/>
                <w:kern w:val="2"/>
                <w:sz w:val="24"/>
                <w:szCs w:val="24"/>
                <w:highlight w:val="none"/>
                <w:vertAlign w:val="baseline"/>
                <w:lang w:val="en-US" w:eastAsia="zh-CN" w:bidi="ar-SA"/>
              </w:rPr>
            </w:pPr>
            <w:r>
              <w:rPr>
                <w:rFonts w:hint="eastAsia" w:ascii="仿宋_GB2312" w:hAnsi="仿宋_GB2312" w:eastAsia="仿宋_GB2312" w:cs="仿宋_GB2312"/>
                <w:b w:val="0"/>
                <w:bCs w:val="0"/>
                <w:color w:val="auto"/>
                <w:kern w:val="2"/>
                <w:sz w:val="24"/>
                <w:szCs w:val="24"/>
                <w:highlight w:val="none"/>
                <w:vertAlign w:val="baseline"/>
                <w:lang w:val="en-US" w:eastAsia="zh-CN" w:bidi="ar-SA"/>
              </w:rPr>
              <w:t>理论教学模块，家政企业概述行业现状、企业类型、政策法规。战略规划，市场分析、目标设定、竞争策略。组织管理，岗位设计、薪酬体系、绩效考核。品牌与营销，品牌建设、服务差异化、客户维护。实务操作模块，服务产品开发标准化服务流程、个性化定制方案。连锁经营实务，加盟模式、标准化复制、区域管理。质量控制与风险管理，服务标准制定、投诉处理、危机应对。案例分析模块，国内外家政企业成功/失败案例研讨，模拟企业运营决策。</w:t>
            </w:r>
          </w:p>
        </w:tc>
        <w:tc>
          <w:tcPr>
            <w:tcW w:w="255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320" w:lineRule="exact"/>
              <w:jc w:val="both"/>
              <w:textAlignment w:val="auto"/>
              <w:rPr>
                <w:rFonts w:hint="eastAsia" w:ascii="仿宋_GB2312" w:hAnsi="仿宋_GB2312" w:eastAsia="仿宋_GB2312" w:cs="仿宋_GB2312"/>
                <w:b w:val="0"/>
                <w:bCs w:val="0"/>
                <w:color w:val="auto"/>
                <w:kern w:val="2"/>
                <w:sz w:val="24"/>
                <w:szCs w:val="24"/>
                <w:highlight w:val="none"/>
                <w:vertAlign w:val="baseline"/>
                <w:lang w:val="en-US" w:eastAsia="zh-CN" w:bidi="ar-SA"/>
              </w:rPr>
            </w:pPr>
            <w:r>
              <w:rPr>
                <w:rFonts w:hint="eastAsia" w:ascii="仿宋_GB2312" w:hAnsi="仿宋_GB2312" w:eastAsia="仿宋_GB2312" w:cs="仿宋_GB2312"/>
                <w:b w:val="0"/>
                <w:bCs w:val="0"/>
                <w:color w:val="auto"/>
                <w:kern w:val="2"/>
                <w:sz w:val="24"/>
                <w:szCs w:val="24"/>
                <w:highlight w:val="none"/>
                <w:vertAlign w:val="baseline"/>
                <w:lang w:val="en-US" w:eastAsia="zh-CN" w:bidi="ar-SA"/>
              </w:rPr>
              <w:t>理论结合实践，通过案例分析深化理论知识。情景模拟，设计企业注册、服务纠纷处理等场景进行角色演练。企业实习，安排学生参与家政企业的实际运营管理。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12</w:t>
            </w:r>
          </w:p>
        </w:tc>
        <w:tc>
          <w:tcPr>
            <w:tcW w:w="857"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家庭服务营销</w:t>
            </w:r>
          </w:p>
        </w:tc>
        <w:tc>
          <w:tcPr>
            <w:tcW w:w="3793"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知识目标：</w:t>
            </w:r>
            <w:r>
              <w:rPr>
                <w:rFonts w:hint="eastAsia" w:ascii="仿宋_GB2312" w:hAnsi="仿宋_GB2312" w:eastAsia="仿宋_GB2312" w:cs="仿宋_GB2312"/>
                <w:color w:val="auto"/>
                <w:sz w:val="24"/>
                <w:szCs w:val="24"/>
                <w:highlight w:val="none"/>
              </w:rPr>
              <w:t>掌握市场营销基本理论</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了解家庭服务市场的特点、需求与竞争状况；熟悉家庭服务营销渠道与策略。</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能力目标：</w:t>
            </w:r>
            <w:r>
              <w:rPr>
                <w:rFonts w:hint="eastAsia" w:ascii="仿宋_GB2312" w:hAnsi="仿宋_GB2312" w:eastAsia="仿宋_GB2312" w:cs="仿宋_GB2312"/>
                <w:color w:val="auto"/>
                <w:sz w:val="24"/>
                <w:szCs w:val="24"/>
                <w:highlight w:val="none"/>
              </w:rPr>
              <w:t>能进行家庭服务市场调研与分析，明确目标客户群体；具备制定家庭服务营销方案、开展营销活动的能力。</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素质目标：</w:t>
            </w:r>
            <w:r>
              <w:rPr>
                <w:rFonts w:hint="eastAsia" w:ascii="仿宋_GB2312" w:hAnsi="仿宋_GB2312" w:eastAsia="仿宋_GB2312" w:cs="仿宋_GB2312"/>
                <w:color w:val="auto"/>
                <w:sz w:val="24"/>
                <w:szCs w:val="24"/>
                <w:highlight w:val="none"/>
              </w:rPr>
              <w:t>培养营销意识与市场敏感度，精准把握家庭服务市场需求；提升沟通与谈判能力，有效开展家庭服务营销。</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课程思政育人目标：</w:t>
            </w:r>
            <w:r>
              <w:rPr>
                <w:rFonts w:hint="eastAsia" w:ascii="仿宋_GB2312" w:hAnsi="仿宋_GB2312" w:eastAsia="仿宋_GB2312" w:cs="仿宋_GB2312"/>
                <w:color w:val="auto"/>
                <w:sz w:val="24"/>
                <w:szCs w:val="24"/>
                <w:highlight w:val="none"/>
              </w:rPr>
              <w:t>引导学生认识到优质家庭服务营销是为家庭提供更好生活解决方案的过程，树立以客户为中心的服务理念；培养诚信营销意识，确保营销信息的真实性与服务的可靠性。</w:t>
            </w:r>
          </w:p>
        </w:tc>
        <w:tc>
          <w:tcPr>
            <w:tcW w:w="2721" w:type="dxa"/>
            <w:shd w:val="clear" w:color="auto" w:fill="auto"/>
            <w:vAlign w:val="top"/>
          </w:tcPr>
          <w:p>
            <w:pPr>
              <w:keepNext w:val="0"/>
              <w:keepLines w:val="0"/>
              <w:pageBreakBefore w:val="0"/>
              <w:widowControl w:val="0"/>
              <w:kinsoku/>
              <w:wordWrap/>
              <w:overflowPunct w:val="0"/>
              <w:topLinePunct w:val="0"/>
              <w:autoSpaceDE/>
              <w:autoSpaceDN/>
              <w:bidi w:val="0"/>
              <w:adjustRightInd w:val="0"/>
              <w:snapToGrid/>
              <w:spacing w:beforeAutospacing="0" w:after="0" w:afterAutospacing="0" w:line="320" w:lineRule="exact"/>
              <w:jc w:val="both"/>
              <w:textAlignment w:val="auto"/>
              <w:rPr>
                <w:rFonts w:hint="eastAsia" w:ascii="仿宋_GB2312" w:hAnsi="仿宋_GB2312" w:eastAsia="仿宋_GB2312" w:cs="仿宋_GB2312"/>
                <w:b w:val="0"/>
                <w:bCs w:val="0"/>
                <w:color w:val="auto"/>
                <w:kern w:val="2"/>
                <w:sz w:val="24"/>
                <w:szCs w:val="24"/>
                <w:highlight w:val="none"/>
                <w:vertAlign w:val="baseline"/>
                <w:lang w:val="en-US" w:eastAsia="zh-CN" w:bidi="ar-SA"/>
              </w:rPr>
            </w:pPr>
            <w:r>
              <w:rPr>
                <w:rFonts w:hint="eastAsia" w:ascii="仿宋_GB2312" w:hAnsi="仿宋_GB2312" w:eastAsia="仿宋_GB2312" w:cs="仿宋_GB2312"/>
                <w:b w:val="0"/>
                <w:bCs w:val="0"/>
                <w:color w:val="auto"/>
                <w:kern w:val="2"/>
                <w:sz w:val="24"/>
                <w:szCs w:val="24"/>
                <w:highlight w:val="none"/>
                <w:vertAlign w:val="baseline"/>
                <w:lang w:val="en-US" w:eastAsia="zh-CN" w:bidi="ar-SA"/>
              </w:rPr>
              <w:t>理论基础模块，家庭服务营销核心逻辑，价值感知→价值锁定→价值交付→价值提升。家庭客户行为分析：生命周期阶段需求差异。策略设计模块，服务产品设计，家庭服务包构建。服务定价策略，家庭预算敏感性分析，会员制、套餐定价等模式。数字化营销工具，社交媒体运营、家庭客户关系管理系统应用。实践技能模块，服务蓝图设计，可视化家庭服务流程，识别关键接触点。</w:t>
            </w:r>
          </w:p>
          <w:p>
            <w:pPr>
              <w:keepNext w:val="0"/>
              <w:keepLines w:val="0"/>
              <w:pageBreakBefore w:val="0"/>
              <w:widowControl w:val="0"/>
              <w:kinsoku/>
              <w:wordWrap/>
              <w:overflowPunct w:val="0"/>
              <w:topLinePunct w:val="0"/>
              <w:autoSpaceDE/>
              <w:autoSpaceDN/>
              <w:bidi w:val="0"/>
              <w:adjustRightInd w:val="0"/>
              <w:snapToGrid/>
              <w:spacing w:beforeAutospacing="0" w:after="0" w:afterAutospacing="0" w:line="320" w:lineRule="exact"/>
              <w:jc w:val="both"/>
              <w:textAlignment w:val="auto"/>
              <w:rPr>
                <w:rFonts w:hint="eastAsia" w:ascii="仿宋_GB2312" w:hAnsi="仿宋_GB2312" w:eastAsia="仿宋_GB2312" w:cs="仿宋_GB2312"/>
                <w:b w:val="0"/>
                <w:bCs w:val="0"/>
                <w:color w:val="auto"/>
                <w:kern w:val="2"/>
                <w:sz w:val="24"/>
                <w:szCs w:val="24"/>
                <w:highlight w:val="none"/>
                <w:vertAlign w:val="baseline"/>
                <w:lang w:val="en-US" w:eastAsia="zh-CN" w:bidi="ar-SA"/>
              </w:rPr>
            </w:pPr>
            <w:r>
              <w:rPr>
                <w:rFonts w:hint="eastAsia" w:ascii="仿宋_GB2312" w:hAnsi="仿宋_GB2312" w:eastAsia="仿宋_GB2312" w:cs="仿宋_GB2312"/>
                <w:b w:val="0"/>
                <w:bCs w:val="0"/>
                <w:color w:val="auto"/>
                <w:kern w:val="2"/>
                <w:sz w:val="24"/>
                <w:szCs w:val="24"/>
                <w:highlight w:val="none"/>
                <w:vertAlign w:val="baseline"/>
                <w:lang w:val="en-US" w:eastAsia="zh-CN" w:bidi="ar-SA"/>
              </w:rPr>
              <w:t>家庭活动策划：结合亲子关系课程设计理念，组织家庭互动场景。案例分析与角色扮演，模拟家庭服务冲突解决。</w:t>
            </w:r>
          </w:p>
        </w:tc>
        <w:tc>
          <w:tcPr>
            <w:tcW w:w="255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320" w:lineRule="exact"/>
              <w:jc w:val="both"/>
              <w:textAlignment w:val="auto"/>
              <w:rPr>
                <w:rFonts w:hint="eastAsia" w:ascii="仿宋_GB2312" w:hAnsi="仿宋_GB2312" w:eastAsia="仿宋_GB2312" w:cs="仿宋_GB2312"/>
                <w:b w:val="0"/>
                <w:bCs w:val="0"/>
                <w:color w:val="auto"/>
                <w:kern w:val="2"/>
                <w:sz w:val="24"/>
                <w:szCs w:val="24"/>
                <w:highlight w:val="none"/>
                <w:vertAlign w:val="baseline"/>
                <w:lang w:val="en-US" w:eastAsia="zh-CN" w:bidi="ar-SA"/>
              </w:rPr>
            </w:pPr>
            <w:r>
              <w:rPr>
                <w:rFonts w:hint="eastAsia" w:ascii="仿宋_GB2312" w:hAnsi="仿宋_GB2312" w:eastAsia="仿宋_GB2312" w:cs="仿宋_GB2312"/>
                <w:b w:val="0"/>
                <w:bCs w:val="0"/>
                <w:color w:val="auto"/>
                <w:kern w:val="2"/>
                <w:sz w:val="24"/>
                <w:szCs w:val="24"/>
                <w:highlight w:val="none"/>
                <w:vertAlign w:val="baseline"/>
                <w:lang w:val="en-US" w:eastAsia="zh-CN" w:bidi="ar-SA"/>
              </w:rPr>
              <w:t>数字化工具辅助，使用虚拟仿真软件模拟家庭服务场景。通过市场调研项目，使学生掌握家庭服务需求分析与目标客户定位能力；通过营销方案设计，培养学生制定完整服务营销策略的系统思维；通过数字化工具实操，使学生具备运用新媒体开展精准营销的实战技能；最终使学生能够独立完成从市场分析到营销执行的全流程家庭服务营销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13</w:t>
            </w:r>
          </w:p>
        </w:tc>
        <w:tc>
          <w:tcPr>
            <w:tcW w:w="857"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color w:val="000000"/>
                <w:kern w:val="0"/>
                <w:sz w:val="24"/>
                <w:szCs w:val="24"/>
                <w:highlight w:val="none"/>
                <w:lang w:val="en-US" w:eastAsia="zh-CN" w:bidi="ar"/>
              </w:rPr>
            </w:pPr>
            <w:r>
              <w:rPr>
                <w:rFonts w:hint="eastAsia" w:ascii="仿宋_GB2312" w:hAnsi="仿宋_GB2312" w:eastAsia="仿宋_GB2312" w:cs="仿宋_GB2312"/>
                <w:color w:val="000000"/>
                <w:kern w:val="0"/>
                <w:sz w:val="24"/>
                <w:szCs w:val="24"/>
                <w:highlight w:val="none"/>
                <w:lang w:val="en-US" w:eastAsia="zh-CN" w:bidi="ar"/>
              </w:rPr>
              <w:t>婴幼儿艺术启蒙</w:t>
            </w:r>
          </w:p>
        </w:tc>
        <w:tc>
          <w:tcPr>
            <w:tcW w:w="3793" w:type="dxa"/>
            <w:vAlign w:val="top"/>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知识目标：</w:t>
            </w:r>
            <w:r>
              <w:rPr>
                <w:rFonts w:hint="eastAsia" w:ascii="仿宋_GB2312" w:hAnsi="仿宋_GB2312" w:eastAsia="仿宋_GB2312" w:cs="仿宋_GB2312"/>
                <w:color w:val="auto"/>
                <w:sz w:val="24"/>
                <w:szCs w:val="24"/>
                <w:highlight w:val="none"/>
              </w:rPr>
              <w:t>掌握婴幼儿艺术启蒙的基本理论；了解不同艺术形式在婴幼儿艺术启蒙中的作用与方法。</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能力目标：</w:t>
            </w:r>
            <w:r>
              <w:rPr>
                <w:rFonts w:hint="eastAsia" w:ascii="仿宋_GB2312" w:hAnsi="仿宋_GB2312" w:eastAsia="仿宋_GB2312" w:cs="仿宋_GB2312"/>
                <w:color w:val="auto"/>
                <w:sz w:val="24"/>
                <w:szCs w:val="24"/>
                <w:highlight w:val="none"/>
              </w:rPr>
              <w:t>能设计适合婴幼儿的艺术启蒙活动，如绘画课、音乐游戏、手工制作等；具备引导婴幼儿感受艺术、激发创造力的能力。</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素质目标：</w:t>
            </w:r>
            <w:r>
              <w:rPr>
                <w:rFonts w:hint="eastAsia" w:ascii="仿宋_GB2312" w:hAnsi="仿宋_GB2312" w:eastAsia="仿宋_GB2312" w:cs="仿宋_GB2312"/>
                <w:color w:val="auto"/>
                <w:sz w:val="24"/>
                <w:szCs w:val="24"/>
                <w:highlight w:val="none"/>
              </w:rPr>
              <w:t>培养对婴幼儿艺术发展的关注与热爱，提升艺术素养；增强耐心与引导能力，为婴幼儿艺术启蒙提供良好支持。</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课程思政育人目标：</w:t>
            </w:r>
            <w:r>
              <w:rPr>
                <w:rFonts w:hint="eastAsia" w:ascii="仿宋_GB2312" w:hAnsi="仿宋_GB2312" w:eastAsia="仿宋_GB2312" w:cs="仿宋_GB2312"/>
                <w:color w:val="auto"/>
                <w:sz w:val="24"/>
                <w:szCs w:val="24"/>
                <w:highlight w:val="none"/>
              </w:rPr>
              <w:t>引导学生认识到艺术启蒙对婴幼儿全面发展的重要性，树立科学的艺术教育理念；通过艺术启蒙活动，培养婴幼儿的审美能力与创造力，传递对美好事物的追求。</w:t>
            </w:r>
          </w:p>
        </w:tc>
        <w:tc>
          <w:tcPr>
            <w:tcW w:w="2721" w:type="dxa"/>
            <w:shd w:val="clear" w:color="auto" w:fill="auto"/>
            <w:vAlign w:val="top"/>
          </w:tcPr>
          <w:p>
            <w:pPr>
              <w:keepNext w:val="0"/>
              <w:keepLines w:val="0"/>
              <w:pageBreakBefore w:val="0"/>
              <w:widowControl w:val="0"/>
              <w:kinsoku/>
              <w:wordWrap/>
              <w:overflowPunct w:val="0"/>
              <w:topLinePunct w:val="0"/>
              <w:autoSpaceDE/>
              <w:autoSpaceDN/>
              <w:bidi w:val="0"/>
              <w:adjustRightInd w:val="0"/>
              <w:snapToGrid/>
              <w:spacing w:beforeAutospacing="0" w:after="0" w:afterAutospacing="0" w:line="320" w:lineRule="exact"/>
              <w:jc w:val="both"/>
              <w:textAlignment w:val="auto"/>
              <w:rPr>
                <w:rFonts w:hint="eastAsia" w:ascii="仿宋_GB2312" w:hAnsi="仿宋_GB2312" w:eastAsia="仿宋_GB2312" w:cs="仿宋_GB2312"/>
                <w:b w:val="0"/>
                <w:bCs w:val="0"/>
                <w:color w:val="auto"/>
                <w:kern w:val="2"/>
                <w:sz w:val="24"/>
                <w:szCs w:val="24"/>
                <w:highlight w:val="none"/>
                <w:vertAlign w:val="baseline"/>
                <w:lang w:val="en-US" w:eastAsia="zh-CN" w:bidi="ar-SA"/>
              </w:rPr>
            </w:pPr>
            <w:r>
              <w:rPr>
                <w:rFonts w:hint="eastAsia" w:ascii="仿宋_GB2312" w:hAnsi="仿宋_GB2312" w:eastAsia="仿宋_GB2312" w:cs="仿宋_GB2312"/>
                <w:b w:val="0"/>
                <w:bCs w:val="0"/>
                <w:color w:val="auto"/>
                <w:kern w:val="2"/>
                <w:sz w:val="24"/>
                <w:szCs w:val="24"/>
                <w:highlight w:val="none"/>
                <w:vertAlign w:val="baseline"/>
                <w:lang w:val="en-US" w:eastAsia="zh-CN" w:bidi="ar-SA"/>
              </w:rPr>
              <w:t>艺术形式模块音乐启蒙，通过儿歌、简单乐器培养节奏感，结合肢体律动。绘画与手工：使用安全材料进行自由涂鸦、拼贴，鼓励个性化表达。舞蹈与律动，通过模仿游戏、音乐律动发展身体协调性。主题活动设计主题创作，结合季节、节日设计主题绘画或手工活动。亲子互动组织亲子艺术活动，增强家庭参与。环境与资源提供多样化材料，安全颜料、乐器、自然素材等，激发探索兴趣。创设艺术角，在教室或家庭中设置自由创作空间，展示婴幼儿作品。</w:t>
            </w:r>
          </w:p>
        </w:tc>
        <w:tc>
          <w:tcPr>
            <w:tcW w:w="255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beforeAutospacing="0" w:after="0" w:afterAutospacing="0" w:line="320" w:lineRule="exact"/>
              <w:jc w:val="both"/>
              <w:textAlignment w:val="auto"/>
              <w:rPr>
                <w:rFonts w:hint="eastAsia" w:ascii="仿宋_GB2312" w:hAnsi="仿宋_GB2312" w:eastAsia="仿宋_GB2312" w:cs="仿宋_GB2312"/>
                <w:b w:val="0"/>
                <w:bCs w:val="0"/>
                <w:color w:val="auto"/>
                <w:kern w:val="2"/>
                <w:sz w:val="24"/>
                <w:szCs w:val="24"/>
                <w:highlight w:val="none"/>
                <w:vertAlign w:val="baseline"/>
                <w:lang w:val="en-US" w:eastAsia="zh-CN" w:bidi="ar-SA"/>
              </w:rPr>
            </w:pPr>
            <w:r>
              <w:rPr>
                <w:rFonts w:hint="eastAsia" w:ascii="仿宋_GB2312" w:hAnsi="仿宋_GB2312" w:eastAsia="仿宋_GB2312" w:cs="仿宋_GB2312"/>
                <w:b w:val="0"/>
                <w:bCs w:val="0"/>
                <w:color w:val="auto"/>
                <w:kern w:val="2"/>
                <w:sz w:val="24"/>
                <w:szCs w:val="24"/>
                <w:highlight w:val="none"/>
                <w:vertAlign w:val="baseline"/>
                <w:lang w:val="en-US" w:eastAsia="zh-CN" w:bidi="ar-SA"/>
              </w:rPr>
              <w:t>游戏化教学，将艺术活动融入游戏，避免机械训练，保持趣味性。过程重于结果：关注婴幼儿创作过程中的体验，而非作品完成度。差异化指导，根据婴幼儿发展水平调整活动难度，提供个性化支持。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1"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14</w:t>
            </w:r>
          </w:p>
        </w:tc>
        <w:tc>
          <w:tcPr>
            <w:tcW w:w="85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sz w:val="21"/>
                <w:szCs w:val="21"/>
                <w:highlight w:val="none"/>
                <w:lang w:val="en-US" w:eastAsia="zh-CN"/>
              </w:rPr>
              <w:t>习近平经济思想概论</w:t>
            </w:r>
          </w:p>
        </w:tc>
        <w:tc>
          <w:tcPr>
            <w:tcW w:w="3793"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rPr>
            </w:pPr>
            <w:r>
              <w:rPr>
                <w:rStyle w:val="14"/>
                <w:rFonts w:hint="eastAsia" w:ascii="仿宋_GB2312" w:hAnsi="仿宋_GB2312" w:eastAsia="仿宋_GB2312" w:cs="仿宋_GB2312"/>
                <w:b/>
                <w:bCs/>
                <w:color w:val="000000"/>
                <w:sz w:val="24"/>
                <w:szCs w:val="24"/>
              </w:rPr>
              <w:t>知识目标</w:t>
            </w:r>
            <w:r>
              <w:rPr>
                <w:rFonts w:hint="eastAsia" w:ascii="仿宋_GB2312" w:hAnsi="仿宋_GB2312" w:eastAsia="仿宋_GB2312" w:cs="仿宋_GB2312"/>
                <w:sz w:val="24"/>
                <w:szCs w:val="24"/>
              </w:rPr>
              <w:t>：掌握习近平经济思想的形成背景、科学体系、核心要义和实践要求，理解新发展理念、高质量发展、新发展格局等重要理论。</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rPr>
            </w:pPr>
            <w:r>
              <w:rPr>
                <w:rStyle w:val="14"/>
                <w:rFonts w:hint="eastAsia" w:ascii="仿宋_GB2312" w:hAnsi="仿宋_GB2312" w:eastAsia="仿宋_GB2312" w:cs="仿宋_GB2312"/>
                <w:b/>
                <w:bCs/>
                <w:color w:val="000000"/>
                <w:sz w:val="24"/>
                <w:szCs w:val="24"/>
              </w:rPr>
              <w:t>能力目标</w:t>
            </w:r>
            <w:r>
              <w:rPr>
                <w:rFonts w:hint="eastAsia" w:ascii="仿宋_GB2312" w:hAnsi="仿宋_GB2312" w:eastAsia="仿宋_GB2312" w:cs="仿宋_GB2312"/>
                <w:sz w:val="24"/>
                <w:szCs w:val="24"/>
              </w:rPr>
              <w:t>：提升运用习近平经济思想分析现实经济问题、解读国家经济政策、服务发展实践的能力。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rPr>
            </w:pPr>
            <w:r>
              <w:rPr>
                <w:rStyle w:val="14"/>
                <w:rFonts w:hint="eastAsia" w:ascii="仿宋_GB2312" w:hAnsi="仿宋_GB2312" w:eastAsia="仿宋_GB2312" w:cs="仿宋_GB2312"/>
                <w:b/>
                <w:bCs/>
                <w:color w:val="000000"/>
                <w:sz w:val="24"/>
                <w:szCs w:val="24"/>
              </w:rPr>
              <w:t>素质目标</w:t>
            </w:r>
            <w:r>
              <w:rPr>
                <w:rFonts w:hint="eastAsia" w:ascii="仿宋_GB2312" w:hAnsi="仿宋_GB2312" w:eastAsia="仿宋_GB2312" w:cs="仿宋_GB2312"/>
                <w:sz w:val="24"/>
                <w:szCs w:val="24"/>
              </w:rPr>
              <w:t>：坚定中国特色社会主义道路自信、理论自信、制度自信、文化自信，树立正确发展观、现代化观。</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b/>
                <w:bCs/>
                <w:color w:val="auto"/>
                <w:kern w:val="2"/>
                <w:sz w:val="24"/>
                <w:szCs w:val="24"/>
                <w:highlight w:val="none"/>
                <w:lang w:val="en-US" w:eastAsia="zh-CN" w:bidi="ar-SA"/>
              </w:rPr>
            </w:pPr>
            <w:r>
              <w:rPr>
                <w:rStyle w:val="14"/>
                <w:rFonts w:hint="eastAsia" w:ascii="仿宋_GB2312" w:hAnsi="仿宋_GB2312" w:eastAsia="仿宋_GB2312" w:cs="仿宋_GB2312"/>
                <w:b/>
                <w:bCs/>
                <w:color w:val="000000"/>
                <w:sz w:val="24"/>
                <w:szCs w:val="24"/>
              </w:rPr>
              <w:t>课程思政育人目标</w:t>
            </w:r>
            <w:r>
              <w:rPr>
                <w:rFonts w:hint="eastAsia" w:ascii="仿宋_GB2312" w:hAnsi="仿宋_GB2312" w:eastAsia="仿宋_GB2312" w:cs="仿宋_GB2312"/>
                <w:sz w:val="24"/>
                <w:szCs w:val="24"/>
              </w:rPr>
              <w:t>：厚植家国情怀与责任担当，强化以人民为中心的价值立场，自觉把个人发展融入中国式现代化建设。</w:t>
            </w:r>
          </w:p>
        </w:tc>
        <w:tc>
          <w:tcPr>
            <w:tcW w:w="2721"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sz w:val="21"/>
                <w:szCs w:val="21"/>
                <w:highlight w:val="none"/>
              </w:rPr>
              <w:t>重点讲授习近平经济思想的根本立场、根本保证、重大原则、实践路径，阐释高质量发展、新质生产力、统筹发展和安全等关键内容，把握理论逻辑、历史逻辑与实践逻辑。</w:t>
            </w:r>
          </w:p>
        </w:tc>
        <w:tc>
          <w:tcPr>
            <w:tcW w:w="255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kern w:val="2"/>
                <w:sz w:val="21"/>
                <w:szCs w:val="21"/>
                <w:highlight w:val="none"/>
                <w:lang w:val="en-US" w:eastAsia="zh-CN" w:bidi="ar-SA"/>
              </w:rPr>
            </w:pPr>
            <w:r>
              <w:rPr>
                <w:rFonts w:hint="eastAsia" w:ascii="仿宋_GB2312" w:hAnsi="仿宋_GB2312" w:eastAsia="仿宋_GB2312" w:cs="仿宋_GB2312"/>
                <w:sz w:val="21"/>
                <w:szCs w:val="21"/>
                <w:highlight w:val="none"/>
              </w:rPr>
              <w:t>坚持理论联系实际，读原著、学原文、悟原理，突出课程思政引领。做到学思用贯通、知信行统一，引导学生深刻领会思想精髓，提升理论素养与政治觉悟，增强服务国家发展的自觉性。</w:t>
            </w:r>
          </w:p>
        </w:tc>
      </w:tr>
    </w:tbl>
    <w:p>
      <w:pPr>
        <w:keepNext w:val="0"/>
        <w:keepLines w:val="0"/>
        <w:pageBreakBefore w:val="0"/>
        <w:widowControl w:val="0"/>
        <w:kinsoku/>
        <w:wordWrap/>
        <w:topLinePunct w:val="0"/>
        <w:autoSpaceDE/>
        <w:autoSpaceDN/>
        <w:bidi w:val="0"/>
        <w:adjustRightInd w:val="0"/>
        <w:snapToGrid w:val="0"/>
        <w:spacing w:after="0" w:line="52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.实践</w:t>
      </w:r>
      <w:r>
        <w:rPr>
          <w:rFonts w:hint="eastAsia" w:ascii="仿宋_GB2312" w:hAnsi="仿宋_GB2312" w:eastAsia="仿宋_GB2312" w:cs="仿宋_GB2312"/>
          <w:color w:val="auto"/>
          <w:sz w:val="32"/>
          <w:szCs w:val="32"/>
          <w:highlight w:val="none"/>
          <w:lang w:val="en-US" w:eastAsia="zh-CN"/>
        </w:rPr>
        <w:t>性</w:t>
      </w:r>
      <w:r>
        <w:rPr>
          <w:rFonts w:hint="eastAsia" w:ascii="仿宋_GB2312" w:hAnsi="仿宋_GB2312" w:eastAsia="仿宋_GB2312" w:cs="仿宋_GB2312"/>
          <w:color w:val="auto"/>
          <w:sz w:val="32"/>
          <w:szCs w:val="32"/>
          <w:highlight w:val="none"/>
        </w:rPr>
        <w:t>教学环节 ：毕业设计、岗位实习、综合实训</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val="0"/>
        <w:topLinePunct w:val="0"/>
        <w:autoSpaceDE/>
        <w:autoSpaceDN/>
        <w:bidi w:val="0"/>
        <w:adjustRightInd w:val="0"/>
        <w:spacing w:after="0" w:line="520" w:lineRule="exact"/>
        <w:jc w:val="center"/>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表</w:t>
      </w:r>
      <w:r>
        <w:rPr>
          <w:rFonts w:hint="eastAsia" w:ascii="仿宋_GB2312" w:hAnsi="仿宋_GB2312" w:eastAsia="仿宋_GB2312" w:cs="仿宋_GB2312"/>
          <w:color w:val="auto"/>
          <w:sz w:val="32"/>
          <w:szCs w:val="32"/>
          <w:highlight w:val="none"/>
          <w:lang w:val="en-US" w:eastAsia="zh-CN"/>
        </w:rPr>
        <w:t xml:space="preserve">6 </w:t>
      </w:r>
      <w:r>
        <w:rPr>
          <w:rFonts w:hint="eastAsia" w:ascii="仿宋_GB2312" w:hAnsi="仿宋_GB2312" w:eastAsia="仿宋_GB2312" w:cs="仿宋_GB2312"/>
          <w:color w:val="auto"/>
          <w:sz w:val="32"/>
          <w:szCs w:val="32"/>
          <w:highlight w:val="none"/>
        </w:rPr>
        <w:t>实践</w:t>
      </w:r>
      <w:r>
        <w:rPr>
          <w:rFonts w:hint="eastAsia" w:ascii="仿宋_GB2312" w:hAnsi="仿宋_GB2312" w:eastAsia="仿宋_GB2312" w:cs="仿宋_GB2312"/>
          <w:color w:val="auto"/>
          <w:sz w:val="32"/>
          <w:szCs w:val="32"/>
          <w:highlight w:val="none"/>
          <w:lang w:val="en-US" w:eastAsia="zh-CN"/>
        </w:rPr>
        <w:t>性</w:t>
      </w:r>
      <w:r>
        <w:rPr>
          <w:rFonts w:hint="eastAsia" w:ascii="仿宋_GB2312" w:hAnsi="仿宋_GB2312" w:eastAsia="仿宋_GB2312" w:cs="仿宋_GB2312"/>
          <w:color w:val="auto"/>
          <w:sz w:val="32"/>
          <w:szCs w:val="32"/>
          <w:highlight w:val="none"/>
        </w:rPr>
        <w:t>教学环节课程</w:t>
      </w:r>
      <w:r>
        <w:rPr>
          <w:rFonts w:hint="eastAsia" w:ascii="仿宋_GB2312" w:hAnsi="仿宋_GB2312" w:eastAsia="仿宋_GB2312" w:cs="仿宋_GB2312"/>
          <w:color w:val="auto"/>
          <w:sz w:val="32"/>
          <w:szCs w:val="32"/>
          <w:highlight w:val="none"/>
          <w:lang w:val="en-US" w:eastAsia="zh-CN"/>
        </w:rPr>
        <w:t>目标、主要教学内容与要求</w:t>
      </w:r>
    </w:p>
    <w:tbl>
      <w:tblPr>
        <w:tblStyle w:val="12"/>
        <w:tblW w:w="10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6"/>
        <w:gridCol w:w="783"/>
        <w:gridCol w:w="3823"/>
        <w:gridCol w:w="2412"/>
        <w:gridCol w:w="28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726" w:type="dxa"/>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color w:val="auto"/>
                <w:sz w:val="24"/>
                <w:szCs w:val="24"/>
                <w:highlight w:val="none"/>
              </w:rPr>
            </w:pPr>
            <w:bookmarkStart w:id="61" w:name="OLE_LINK21"/>
            <w:r>
              <w:rPr>
                <w:rFonts w:hint="eastAsia" w:ascii="仿宋_GB2312" w:hAnsi="仿宋_GB2312" w:eastAsia="仿宋_GB2312" w:cs="仿宋_GB2312"/>
                <w:color w:val="auto"/>
                <w:sz w:val="24"/>
                <w:szCs w:val="24"/>
                <w:highlight w:val="none"/>
              </w:rPr>
              <w:t>序号</w:t>
            </w:r>
          </w:p>
        </w:tc>
        <w:tc>
          <w:tcPr>
            <w:tcW w:w="783"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课程</w:t>
            </w:r>
          </w:p>
          <w:p>
            <w:pPr>
              <w:keepNext w:val="0"/>
              <w:keepLines w:val="0"/>
              <w:pageBreakBefore w:val="0"/>
              <w:widowControl w:val="0"/>
              <w:kinsoku/>
              <w:wordWrap/>
              <w:overflowPunct/>
              <w:topLinePunct w:val="0"/>
              <w:autoSpaceDE/>
              <w:autoSpaceDN/>
              <w:bidi w:val="0"/>
              <w:adjustRightInd/>
              <w:snapToGrid/>
              <w:spacing w:after="0" w:line="32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名称</w:t>
            </w:r>
          </w:p>
        </w:tc>
        <w:tc>
          <w:tcPr>
            <w:tcW w:w="3823" w:type="dxa"/>
            <w:vAlign w:val="center"/>
          </w:tcPr>
          <w:p>
            <w:pPr>
              <w:keepNext w:val="0"/>
              <w:keepLines w:val="0"/>
              <w:pageBreakBefore w:val="0"/>
              <w:widowControl w:val="0"/>
              <w:kinsoku/>
              <w:wordWrap/>
              <w:topLinePunct w:val="0"/>
              <w:autoSpaceDE/>
              <w:autoSpaceDN/>
              <w:bidi w:val="0"/>
              <w:snapToGrid/>
              <w:spacing w:after="0" w:line="36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课程</w:t>
            </w:r>
            <w:r>
              <w:rPr>
                <w:rFonts w:hint="eastAsia" w:ascii="仿宋_GB2312" w:hAnsi="仿宋_GB2312" w:eastAsia="仿宋_GB2312" w:cs="仿宋_GB2312"/>
                <w:color w:val="auto"/>
                <w:sz w:val="24"/>
                <w:szCs w:val="24"/>
                <w:highlight w:val="none"/>
              </w:rPr>
              <w:t>目标</w:t>
            </w:r>
          </w:p>
        </w:tc>
        <w:tc>
          <w:tcPr>
            <w:tcW w:w="2412" w:type="dxa"/>
            <w:vAlign w:val="center"/>
          </w:tcPr>
          <w:p>
            <w:pPr>
              <w:keepNext w:val="0"/>
              <w:keepLines w:val="0"/>
              <w:pageBreakBefore w:val="0"/>
              <w:widowControl w:val="0"/>
              <w:kinsoku/>
              <w:wordWrap/>
              <w:topLinePunct w:val="0"/>
              <w:autoSpaceDE/>
              <w:autoSpaceDN/>
              <w:bidi w:val="0"/>
              <w:snapToGrid/>
              <w:spacing w:after="0" w:line="36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主要</w:t>
            </w:r>
            <w:r>
              <w:rPr>
                <w:rFonts w:hint="eastAsia" w:ascii="仿宋_GB2312" w:hAnsi="仿宋_GB2312" w:eastAsia="仿宋_GB2312" w:cs="仿宋_GB2312"/>
                <w:color w:val="auto"/>
                <w:sz w:val="24"/>
                <w:szCs w:val="24"/>
                <w:highlight w:val="none"/>
              </w:rPr>
              <w:t>教学内容</w:t>
            </w:r>
          </w:p>
        </w:tc>
        <w:tc>
          <w:tcPr>
            <w:tcW w:w="2894" w:type="dxa"/>
            <w:vAlign w:val="center"/>
          </w:tcPr>
          <w:p>
            <w:pPr>
              <w:keepNext w:val="0"/>
              <w:keepLines w:val="0"/>
              <w:pageBreakBefore w:val="0"/>
              <w:widowControl w:val="0"/>
              <w:kinsoku/>
              <w:wordWrap/>
              <w:topLinePunct w:val="0"/>
              <w:autoSpaceDE/>
              <w:autoSpaceDN/>
              <w:bidi w:val="0"/>
              <w:snapToGrid/>
              <w:spacing w:after="0" w:line="36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2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sz w:val="24"/>
                <w:szCs w:val="24"/>
                <w:highlight w:val="none"/>
                <w:lang w:val="en-US" w:eastAsia="zh-CN"/>
              </w:rPr>
              <w:t>1</w:t>
            </w:r>
          </w:p>
        </w:tc>
        <w:tc>
          <w:tcPr>
            <w:tcW w:w="783"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毕业</w:t>
            </w:r>
          </w:p>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sz w:val="24"/>
                <w:szCs w:val="24"/>
                <w:highlight w:val="none"/>
              </w:rPr>
              <w:t>设计</w:t>
            </w:r>
          </w:p>
        </w:tc>
        <w:tc>
          <w:tcPr>
            <w:tcW w:w="3823"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系统整合现代家政服务与管理专业所学知识，深入理解家政行业相关理论、政策法规、服务技能等内容，能运用专业知识分析家政领域实际问题。</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具备独立开展家政相关课题研究、方案设计的能力，能撰写规范的毕业设计报告，有效进行成果展示与答辩。</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培养严谨的学术态度、创新精神和综合素养，提升对家政专业的认同感与职业自豪感。</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引导学生将专业知识与社会需求相结合，树立为家政行业发展贡献力量的使命感，培养精益求精的工匠精神与社会责任感。</w:t>
            </w:r>
          </w:p>
        </w:tc>
        <w:tc>
          <w:tcPr>
            <w:tcW w:w="241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sz w:val="24"/>
                <w:szCs w:val="24"/>
                <w:highlight w:val="none"/>
              </w:rPr>
              <w:t>选题和资料收集；分析和计划；开题报告；撰写初稿；修改定稿；答辩</w:t>
            </w:r>
            <w:r>
              <w:rPr>
                <w:rFonts w:hint="eastAsia" w:ascii="仿宋_GB2312" w:hAnsi="仿宋_GB2312" w:eastAsia="仿宋_GB2312" w:cs="仿宋_GB2312"/>
                <w:color w:val="auto"/>
                <w:sz w:val="24"/>
                <w:szCs w:val="24"/>
                <w:highlight w:val="none"/>
                <w:lang w:eastAsia="zh-CN"/>
              </w:rPr>
              <w:t>。</w:t>
            </w:r>
          </w:p>
        </w:tc>
        <w:tc>
          <w:tcPr>
            <w:tcW w:w="2894" w:type="dxa"/>
            <w:shd w:val="clear" w:color="auto" w:fill="auto"/>
            <w:vAlign w:val="top"/>
          </w:tcPr>
          <w:p>
            <w:pPr>
              <w:keepNext w:val="0"/>
              <w:keepLines w:val="0"/>
              <w:pageBreakBefore w:val="0"/>
              <w:widowControl w:val="0"/>
              <w:numPr>
                <w:ilvl w:val="0"/>
                <w:numId w:val="0"/>
              </w:numPr>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通过导师指导制、阶段性检查与反馈、毕业答辩模拟等教学方法，确保学生高质量完成毕业设计，提升综合应用能力和创新能力。要求学生面对真实的家政服务与管理工作环境，针对专业领域内某一有价值、有挑战的选题（问题），合理设计解决问题的技术路线，创造性地提出具体解决方案，并能卓有成效地展示毕业设计成果，从而全面提升学生综合运用所学基础理论和基本技能去解决本专业范围内的一般问题的能力。</w:t>
            </w:r>
            <w:r>
              <w:rPr>
                <w:rFonts w:hint="eastAsia" w:ascii="仿宋_GB2312" w:hAnsi="仿宋_GB2312" w:eastAsia="仿宋_GB2312" w:cs="仿宋_GB2312"/>
                <w:i w:val="0"/>
                <w:iCs w:val="0"/>
                <w:caps w:val="0"/>
                <w:color w:val="auto"/>
                <w:spacing w:val="0"/>
                <w:sz w:val="24"/>
                <w:szCs w:val="24"/>
                <w:highlight w:val="none"/>
                <w:shd w:val="clear"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2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sz w:val="24"/>
                <w:szCs w:val="24"/>
                <w:highlight w:val="none"/>
                <w:lang w:val="en-US" w:eastAsia="zh-CN"/>
              </w:rPr>
              <w:t>2</w:t>
            </w:r>
          </w:p>
        </w:tc>
        <w:tc>
          <w:tcPr>
            <w:tcW w:w="783"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岗位</w:t>
            </w:r>
          </w:p>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sz w:val="24"/>
                <w:szCs w:val="24"/>
                <w:highlight w:val="none"/>
              </w:rPr>
              <w:t>实习</w:t>
            </w:r>
          </w:p>
        </w:tc>
        <w:tc>
          <w:tcPr>
            <w:tcW w:w="3823"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熟悉家政服务岗位的工作内容、流程与标准，深入了解行业实际运营情况。</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能将专业知识与技能运用到实际岗位工作中，具备独立完成岗位任务、处理常见问题的能力，提升人际沟通、团队协作等职业能力。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培养爱岗敬业、吃苦耐劳的职业素养，增强服务意识与客户至上的理念。</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通过岗位实践，让学生体会家政工作的价值与意义，树立尊重劳动、热爱职业的观念，培养对服务对象的爱心、耐心与责任心。</w:t>
            </w:r>
          </w:p>
        </w:tc>
        <w:tc>
          <w:tcPr>
            <w:tcW w:w="241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家政服务员</w:t>
            </w:r>
            <w:r>
              <w:rPr>
                <w:rFonts w:hint="eastAsia" w:ascii="仿宋_GB2312" w:hAnsi="仿宋_GB2312" w:eastAsia="仿宋_GB2312" w:cs="仿宋_GB2312"/>
                <w:color w:val="auto"/>
                <w:sz w:val="24"/>
                <w:szCs w:val="24"/>
                <w:highlight w:val="none"/>
                <w:lang w:eastAsia="zh-CN"/>
              </w:rPr>
              <w:t>岗位实习</w:t>
            </w:r>
            <w:r>
              <w:rPr>
                <w:rFonts w:hint="eastAsia" w:ascii="仿宋_GB2312" w:hAnsi="仿宋_GB2312" w:eastAsia="仿宋_GB2312" w:cs="仿宋_GB2312"/>
                <w:color w:val="auto"/>
                <w:sz w:val="24"/>
                <w:szCs w:val="24"/>
                <w:highlight w:val="none"/>
              </w:rPr>
              <w:t>、育婴员</w:t>
            </w:r>
            <w:r>
              <w:rPr>
                <w:rFonts w:hint="eastAsia" w:ascii="仿宋_GB2312" w:hAnsi="仿宋_GB2312" w:eastAsia="仿宋_GB2312" w:cs="仿宋_GB2312"/>
                <w:color w:val="auto"/>
                <w:sz w:val="24"/>
                <w:szCs w:val="24"/>
                <w:highlight w:val="none"/>
                <w:lang w:eastAsia="zh-CN"/>
              </w:rPr>
              <w:t>和</w:t>
            </w:r>
            <w:r>
              <w:rPr>
                <w:rFonts w:hint="eastAsia" w:ascii="仿宋_GB2312" w:hAnsi="仿宋_GB2312" w:eastAsia="仿宋_GB2312" w:cs="仿宋_GB2312"/>
                <w:color w:val="auto"/>
                <w:sz w:val="24"/>
                <w:szCs w:val="24"/>
                <w:highlight w:val="none"/>
              </w:rPr>
              <w:t>保育员</w:t>
            </w:r>
            <w:r>
              <w:rPr>
                <w:rFonts w:hint="eastAsia" w:ascii="仿宋_GB2312" w:hAnsi="仿宋_GB2312" w:eastAsia="仿宋_GB2312" w:cs="仿宋_GB2312"/>
                <w:color w:val="auto"/>
                <w:sz w:val="24"/>
                <w:szCs w:val="24"/>
                <w:highlight w:val="none"/>
                <w:lang w:eastAsia="zh-CN"/>
              </w:rPr>
              <w:t>岗位实习</w:t>
            </w:r>
            <w:r>
              <w:rPr>
                <w:rFonts w:hint="eastAsia" w:ascii="仿宋_GB2312" w:hAnsi="仿宋_GB2312" w:eastAsia="仿宋_GB2312" w:cs="仿宋_GB2312"/>
                <w:color w:val="auto"/>
                <w:sz w:val="24"/>
                <w:szCs w:val="24"/>
                <w:highlight w:val="none"/>
              </w:rPr>
              <w:t>、健康管理师</w:t>
            </w:r>
            <w:r>
              <w:rPr>
                <w:rFonts w:hint="eastAsia" w:ascii="仿宋_GB2312" w:hAnsi="仿宋_GB2312" w:eastAsia="仿宋_GB2312" w:cs="仿宋_GB2312"/>
                <w:color w:val="auto"/>
                <w:sz w:val="24"/>
                <w:szCs w:val="24"/>
                <w:highlight w:val="none"/>
                <w:lang w:eastAsia="zh-CN"/>
              </w:rPr>
              <w:t>岗位实习</w:t>
            </w:r>
            <w:r>
              <w:rPr>
                <w:rFonts w:hint="eastAsia" w:ascii="仿宋_GB2312" w:hAnsi="仿宋_GB2312" w:eastAsia="仿宋_GB2312" w:cs="仿宋_GB2312"/>
                <w:color w:val="auto"/>
                <w:sz w:val="24"/>
                <w:szCs w:val="24"/>
                <w:highlight w:val="none"/>
              </w:rPr>
              <w:t>、养老照护员</w:t>
            </w:r>
            <w:r>
              <w:rPr>
                <w:rFonts w:hint="eastAsia" w:ascii="仿宋_GB2312" w:hAnsi="仿宋_GB2312" w:eastAsia="仿宋_GB2312" w:cs="仿宋_GB2312"/>
                <w:color w:val="auto"/>
                <w:sz w:val="24"/>
                <w:szCs w:val="24"/>
                <w:highlight w:val="none"/>
                <w:lang w:eastAsia="zh-CN"/>
              </w:rPr>
              <w:t>岗位实习、家政培训师岗位实习。</w:t>
            </w:r>
          </w:p>
        </w:tc>
        <w:tc>
          <w:tcPr>
            <w:tcW w:w="289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通过校企合作模式、实习导师制、实习日志与报告撰写等教学方法，让学生在真实的工作环境中锻炼技能，积累实践经验。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sz w:val="24"/>
                <w:szCs w:val="24"/>
                <w:highlight w:val="none"/>
                <w:lang w:val="en-US" w:eastAsia="zh-CN"/>
              </w:rPr>
              <w:t>3</w:t>
            </w:r>
          </w:p>
        </w:tc>
        <w:tc>
          <w:tcPr>
            <w:tcW w:w="783"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eastAsia="zh-CN"/>
              </w:rPr>
              <w:t>综合</w:t>
            </w:r>
          </w:p>
          <w:p>
            <w:pPr>
              <w:keepNext w:val="0"/>
              <w:keepLines w:val="0"/>
              <w:pageBreakBefore w:val="0"/>
              <w:widowControl w:val="0"/>
              <w:kinsoku/>
              <w:wordWrap/>
              <w:overflowPunct w:val="0"/>
              <w:topLinePunct w:val="0"/>
              <w:autoSpaceDE/>
              <w:autoSpaceDN/>
              <w:bidi w:val="0"/>
              <w:adjustRightInd w:val="0"/>
              <w:snapToGrid/>
              <w:spacing w:after="0" w:line="360" w:lineRule="exact"/>
              <w:jc w:val="center"/>
              <w:textAlignment w:val="auto"/>
              <w:rPr>
                <w:rFonts w:hint="eastAsia" w:ascii="仿宋_GB2312" w:hAnsi="仿宋_GB2312" w:eastAsia="仿宋_GB2312" w:cs="仿宋_GB2312"/>
                <w:color w:val="auto"/>
                <w:kern w:val="2"/>
                <w:sz w:val="24"/>
                <w:szCs w:val="24"/>
                <w:highlight w:val="none"/>
                <w:vertAlign w:val="baseline"/>
                <w:lang w:val="en-US" w:eastAsia="zh-CN" w:bidi="ar-SA"/>
              </w:rPr>
            </w:pPr>
            <w:r>
              <w:rPr>
                <w:rFonts w:hint="eastAsia" w:ascii="仿宋_GB2312" w:hAnsi="仿宋_GB2312" w:eastAsia="仿宋_GB2312" w:cs="仿宋_GB2312"/>
                <w:color w:val="auto"/>
                <w:sz w:val="24"/>
                <w:szCs w:val="24"/>
                <w:highlight w:val="none"/>
                <w:lang w:eastAsia="zh-CN"/>
              </w:rPr>
              <w:t>实训</w:t>
            </w:r>
          </w:p>
        </w:tc>
        <w:tc>
          <w:tcPr>
            <w:tcW w:w="3823" w:type="dxa"/>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知识目标：</w:t>
            </w:r>
            <w:r>
              <w:rPr>
                <w:rFonts w:hint="eastAsia" w:ascii="仿宋_GB2312" w:hAnsi="仿宋_GB2312" w:eastAsia="仿宋_GB2312" w:cs="仿宋_GB2312"/>
                <w:color w:val="auto"/>
                <w:sz w:val="24"/>
                <w:szCs w:val="24"/>
                <w:highlight w:val="none"/>
              </w:rPr>
              <w:t>全面回顾并巩固现代家政服务与管理专业核心知识，强化对多领域知识的综合运用能力。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能力目标：</w:t>
            </w:r>
            <w:r>
              <w:rPr>
                <w:rFonts w:hint="eastAsia" w:ascii="仿宋_GB2312" w:hAnsi="仿宋_GB2312" w:eastAsia="仿宋_GB2312" w:cs="仿宋_GB2312"/>
                <w:color w:val="auto"/>
                <w:sz w:val="24"/>
                <w:szCs w:val="24"/>
                <w:highlight w:val="none"/>
              </w:rPr>
              <w:t>能综合运用家政服务技能、管理知识等，解决复杂的家政服务与管理问题，提升综合实践能力与应变能力。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素质目标：</w:t>
            </w:r>
            <w:r>
              <w:rPr>
                <w:rFonts w:hint="eastAsia" w:ascii="仿宋_GB2312" w:hAnsi="仿宋_GB2312" w:eastAsia="仿宋_GB2312" w:cs="仿宋_GB2312"/>
                <w:color w:val="auto"/>
                <w:sz w:val="24"/>
                <w:szCs w:val="24"/>
                <w:highlight w:val="none"/>
              </w:rPr>
              <w:t>培养团队合作、创新实践、应急处理等综合素质，增强职业竞争力。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color w:val="auto"/>
                <w:sz w:val="24"/>
                <w:szCs w:val="24"/>
                <w:highlight w:val="none"/>
                <w:lang w:eastAsia="zh-CN"/>
              </w:rPr>
              <w:t>课程思政育人目标：</w:t>
            </w:r>
            <w:r>
              <w:rPr>
                <w:rFonts w:hint="eastAsia" w:ascii="仿宋_GB2312" w:hAnsi="仿宋_GB2312" w:eastAsia="仿宋_GB2312" w:cs="仿宋_GB2312"/>
                <w:color w:val="auto"/>
                <w:sz w:val="24"/>
                <w:szCs w:val="24"/>
                <w:highlight w:val="none"/>
              </w:rPr>
              <w:t>在综合实训中，引导学生树立全局观念与系统思维，培养团结协作、勇于担当的精神，以及应对挑战、解决问题的信心与能力。</w:t>
            </w:r>
          </w:p>
        </w:tc>
        <w:tc>
          <w:tcPr>
            <w:tcW w:w="241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涵盖家庭收纳与整理、家宴策划与组织、家庭成员照护、家政服务人员培训等模块。通过案例分析、情景模拟、实操演练等形式，结合校内外实训基地资源，强化学生的综合服务能力与管理思维，并融入行业标准与安全生产规范。</w:t>
            </w:r>
          </w:p>
        </w:tc>
        <w:tc>
          <w:tcPr>
            <w:tcW w:w="289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通过理论讲授、案例分析和实操演练，使学生掌握家庭收纳、家宴策划、成员照护等核心技能；通过单项技能实训与综合项目实践，使学生具备独立完成家政服务与管理任务的能力。</w:t>
            </w:r>
          </w:p>
        </w:tc>
      </w:tr>
      <w:bookmarkEnd w:id="61"/>
    </w:tbl>
    <w:p>
      <w:pPr>
        <w:keepNext w:val="0"/>
        <w:keepLines w:val="0"/>
        <w:pageBreakBefore w:val="0"/>
        <w:widowControl w:val="0"/>
        <w:kinsoku/>
        <w:wordWrap/>
        <w:topLinePunct w:val="0"/>
        <w:autoSpaceDE/>
        <w:autoSpaceDN/>
        <w:bidi w:val="0"/>
        <w:snapToGrid/>
        <w:spacing w:after="0" w:line="520" w:lineRule="exact"/>
        <w:ind w:firstLine="640" w:firstLineChars="200"/>
        <w:textAlignment w:val="auto"/>
        <w:outlineLvl w:val="1"/>
        <w:rPr>
          <w:rFonts w:hint="eastAsia" w:ascii="楷体" w:hAnsi="楷体" w:eastAsia="楷体" w:cs="楷体"/>
          <w:color w:val="auto"/>
          <w:sz w:val="32"/>
          <w:szCs w:val="32"/>
          <w:highlight w:val="none"/>
        </w:rPr>
      </w:pPr>
      <w:bookmarkStart w:id="62" w:name="_Toc9352"/>
      <w:r>
        <w:rPr>
          <w:rFonts w:hint="eastAsia" w:ascii="楷体" w:hAnsi="楷体" w:eastAsia="楷体" w:cs="楷体"/>
          <w:color w:val="auto"/>
          <w:sz w:val="32"/>
          <w:szCs w:val="32"/>
          <w:highlight w:val="none"/>
        </w:rPr>
        <w:t>（三）第二课堂</w:t>
      </w:r>
      <w:r>
        <w:rPr>
          <w:rFonts w:hint="eastAsia" w:ascii="楷体" w:hAnsi="楷体" w:eastAsia="楷体" w:cs="楷体"/>
          <w:color w:val="auto"/>
          <w:sz w:val="32"/>
          <w:szCs w:val="32"/>
          <w:highlight w:val="none"/>
          <w:lang w:val="en-US" w:eastAsia="zh-CN"/>
        </w:rPr>
        <w:t>素质教育课</w:t>
      </w:r>
      <w:bookmarkEnd w:id="62"/>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highlight w:val="none"/>
        </w:rPr>
      </w:pPr>
      <w:bookmarkStart w:id="63" w:name="_Toc21038"/>
      <w:r>
        <w:rPr>
          <w:rFonts w:hint="eastAsia" w:ascii="仿宋_GB2312" w:hAnsi="仿宋_GB2312" w:eastAsia="仿宋_GB2312" w:cs="仿宋_GB2312"/>
          <w:color w:val="auto"/>
          <w:sz w:val="32"/>
          <w:szCs w:val="32"/>
          <w:highlight w:val="none"/>
        </w:rPr>
        <w:t>第二课堂</w:t>
      </w:r>
      <w:r>
        <w:rPr>
          <w:rFonts w:hint="eastAsia" w:ascii="仿宋_GB2312" w:hAnsi="仿宋_GB2312" w:eastAsia="仿宋_GB2312" w:cs="仿宋_GB2312"/>
          <w:color w:val="auto"/>
          <w:sz w:val="32"/>
          <w:szCs w:val="32"/>
          <w:highlight w:val="none"/>
          <w:lang w:val="en-US" w:eastAsia="zh-CN"/>
        </w:rPr>
        <w:t>素质教育课</w:t>
      </w:r>
      <w:r>
        <w:rPr>
          <w:rFonts w:hint="eastAsia" w:ascii="仿宋_GB2312" w:hAnsi="仿宋_GB2312" w:eastAsia="仿宋_GB2312" w:cs="仿宋_GB2312"/>
          <w:color w:val="auto"/>
          <w:sz w:val="32"/>
          <w:szCs w:val="32"/>
          <w:highlight w:val="none"/>
        </w:rPr>
        <w:t>包括思想成长、</w:t>
      </w:r>
      <w:r>
        <w:rPr>
          <w:rFonts w:hint="eastAsia" w:ascii="仿宋_GB2312" w:hAnsi="仿宋_GB2312" w:eastAsia="仿宋_GB2312" w:cs="仿宋_GB2312"/>
          <w:color w:val="auto"/>
          <w:sz w:val="32"/>
          <w:szCs w:val="32"/>
          <w:highlight w:val="none"/>
          <w:lang w:val="en-US" w:eastAsia="zh-CN"/>
        </w:rPr>
        <w:t>实践实习</w:t>
      </w:r>
      <w:r>
        <w:rPr>
          <w:rFonts w:hint="eastAsia" w:ascii="仿宋_GB2312" w:hAnsi="仿宋_GB2312" w:eastAsia="仿宋_GB2312" w:cs="仿宋_GB2312"/>
          <w:color w:val="auto"/>
          <w:sz w:val="32"/>
          <w:szCs w:val="32"/>
          <w:highlight w:val="none"/>
        </w:rPr>
        <w:t>、创新创业、</w:t>
      </w:r>
      <w:r>
        <w:rPr>
          <w:rFonts w:hint="eastAsia" w:ascii="仿宋_GB2312" w:hAnsi="仿宋_GB2312" w:eastAsia="仿宋_GB2312" w:cs="仿宋_GB2312"/>
          <w:color w:val="auto"/>
          <w:sz w:val="32"/>
          <w:szCs w:val="32"/>
          <w:highlight w:val="none"/>
          <w:lang w:val="en-US" w:eastAsia="zh-CN"/>
        </w:rPr>
        <w:t>志愿公益、</w:t>
      </w:r>
      <w:r>
        <w:rPr>
          <w:rFonts w:hint="eastAsia" w:ascii="仿宋_GB2312" w:hAnsi="仿宋_GB2312" w:eastAsia="仿宋_GB2312" w:cs="仿宋_GB2312"/>
          <w:color w:val="auto"/>
          <w:sz w:val="32"/>
          <w:szCs w:val="32"/>
          <w:highlight w:val="none"/>
        </w:rPr>
        <w:t>文体</w:t>
      </w:r>
      <w:r>
        <w:rPr>
          <w:rFonts w:hint="eastAsia" w:ascii="仿宋_GB2312" w:hAnsi="仿宋_GB2312" w:eastAsia="仿宋_GB2312" w:cs="仿宋_GB2312"/>
          <w:color w:val="auto"/>
          <w:sz w:val="32"/>
          <w:szCs w:val="32"/>
          <w:highlight w:val="none"/>
          <w:lang w:val="en-US" w:eastAsia="zh-CN"/>
        </w:rPr>
        <w:t>活动</w:t>
      </w:r>
      <w:r>
        <w:rPr>
          <w:rFonts w:hint="eastAsia" w:ascii="仿宋_GB2312" w:hAnsi="仿宋_GB2312" w:eastAsia="仿宋_GB2312" w:cs="仿宋_GB2312"/>
          <w:color w:val="auto"/>
          <w:sz w:val="32"/>
          <w:szCs w:val="32"/>
          <w:highlight w:val="none"/>
        </w:rPr>
        <w:t>、工作履历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专业技能特长等其他各类课程及活动。</w:t>
      </w:r>
      <w:bookmarkEnd w:id="63"/>
    </w:p>
    <w:p>
      <w:pPr>
        <w:keepNext w:val="0"/>
        <w:keepLines w:val="0"/>
        <w:pageBreakBefore w:val="0"/>
        <w:widowControl w:val="0"/>
        <w:kinsoku/>
        <w:wordWrap/>
        <w:overflowPunct w:val="0"/>
        <w:topLinePunct w:val="0"/>
        <w:autoSpaceDE/>
        <w:autoSpaceDN/>
        <w:bidi w:val="0"/>
        <w:adjustRightInd w:val="0"/>
        <w:snapToGrid/>
        <w:spacing w:after="0" w:line="520" w:lineRule="exact"/>
        <w:jc w:val="center"/>
        <w:textAlignment w:val="auto"/>
        <w:outlineLvl w:val="9"/>
        <w:rPr>
          <w:rFonts w:hint="eastAsia" w:ascii="仿宋_GB2312" w:hAnsi="仿宋_GB2312" w:eastAsia="仿宋_GB2312" w:cs="仿宋_GB2312"/>
          <w:color w:val="auto"/>
          <w:sz w:val="32"/>
          <w:szCs w:val="32"/>
          <w:highlight w:val="none"/>
          <w:lang w:val="en-US" w:eastAsia="zh-CN"/>
        </w:rPr>
      </w:pPr>
      <w:bookmarkStart w:id="64" w:name="_Toc31741"/>
      <w:r>
        <w:rPr>
          <w:rFonts w:hint="eastAsia" w:ascii="仿宋_GB2312" w:hAnsi="仿宋_GB2312" w:eastAsia="仿宋_GB2312" w:cs="仿宋_GB2312"/>
          <w:color w:val="auto"/>
          <w:sz w:val="32"/>
          <w:szCs w:val="32"/>
          <w:highlight w:val="none"/>
        </w:rPr>
        <w:t>表</w:t>
      </w:r>
      <w:r>
        <w:rPr>
          <w:rFonts w:hint="eastAsia" w:ascii="仿宋_GB2312" w:hAnsi="仿宋_GB2312" w:eastAsia="仿宋_GB2312" w:cs="仿宋_GB2312"/>
          <w:color w:val="auto"/>
          <w:sz w:val="32"/>
          <w:szCs w:val="32"/>
          <w:highlight w:val="none"/>
          <w:lang w:val="en-US" w:eastAsia="zh-CN"/>
        </w:rPr>
        <w:t>7</w:t>
      </w:r>
      <w:r>
        <w:rPr>
          <w:rFonts w:hint="eastAsia" w:ascii="仿宋_GB2312" w:hAnsi="仿宋_GB2312" w:eastAsia="仿宋_GB2312" w:cs="仿宋_GB2312"/>
          <w:color w:val="auto"/>
          <w:sz w:val="32"/>
          <w:szCs w:val="32"/>
          <w:highlight w:val="none"/>
        </w:rPr>
        <w:t xml:space="preserve"> </w:t>
      </w:r>
      <w:r>
        <w:rPr>
          <w:rFonts w:hint="eastAsia" w:ascii="仿宋_GB2312" w:hAnsi="仿宋_GB2312" w:eastAsia="仿宋_GB2312" w:cs="仿宋_GB2312"/>
          <w:color w:val="auto"/>
          <w:sz w:val="32"/>
          <w:szCs w:val="32"/>
          <w:highlight w:val="none"/>
          <w:lang w:val="en-US" w:eastAsia="zh-CN"/>
        </w:rPr>
        <w:t>第二课堂素质教育课安排表</w:t>
      </w:r>
      <w:bookmarkEnd w:id="64"/>
    </w:p>
    <w:tbl>
      <w:tblPr>
        <w:tblStyle w:val="12"/>
        <w:tblW w:w="10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5"/>
        <w:gridCol w:w="3573"/>
        <w:gridCol w:w="880"/>
        <w:gridCol w:w="1013"/>
        <w:gridCol w:w="1040"/>
        <w:gridCol w:w="1236"/>
        <w:gridCol w:w="1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模块</w:t>
            </w:r>
          </w:p>
        </w:tc>
        <w:tc>
          <w:tcPr>
            <w:tcW w:w="3573"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szCs w:val="24"/>
                <w:lang w:val="en-US" w:eastAsia="zh-CN"/>
              </w:rPr>
              <w:t>内容</w:t>
            </w:r>
          </w:p>
        </w:tc>
        <w:tc>
          <w:tcPr>
            <w:tcW w:w="880"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性质</w:t>
            </w:r>
          </w:p>
        </w:tc>
        <w:tc>
          <w:tcPr>
            <w:tcW w:w="1013"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组织</w:t>
            </w:r>
          </w:p>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实施</w:t>
            </w:r>
          </w:p>
        </w:tc>
        <w:tc>
          <w:tcPr>
            <w:tcW w:w="1040"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认定者</w:t>
            </w:r>
          </w:p>
        </w:tc>
        <w:tc>
          <w:tcPr>
            <w:tcW w:w="1236"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计分标准</w:t>
            </w:r>
          </w:p>
        </w:tc>
        <w:tc>
          <w:tcPr>
            <w:tcW w:w="1236"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rPr>
              <w:t>思想成长</w:t>
            </w:r>
          </w:p>
        </w:tc>
        <w:tc>
          <w:tcPr>
            <w:tcW w:w="3573" w:type="dxa"/>
            <w:shd w:val="clear" w:color="auto" w:fill="auto"/>
            <w:vAlign w:val="center"/>
          </w:tcPr>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1.思想政治教育</w:t>
            </w:r>
            <w:r>
              <w:rPr>
                <w:rFonts w:hint="eastAsia" w:ascii="仿宋_GB2312" w:hAnsi="仿宋_GB2312" w:eastAsia="仿宋_GB2312" w:cs="仿宋_GB2312"/>
                <w:b w:val="0"/>
                <w:bCs w:val="0"/>
                <w:color w:val="auto"/>
                <w:sz w:val="24"/>
                <w:szCs w:val="24"/>
              </w:rPr>
              <w:t>主题</w:t>
            </w:r>
            <w:r>
              <w:rPr>
                <w:rFonts w:hint="eastAsia" w:ascii="仿宋_GB2312" w:hAnsi="仿宋_GB2312" w:eastAsia="仿宋_GB2312" w:cs="仿宋_GB2312"/>
                <w:b w:val="0"/>
                <w:bCs w:val="0"/>
                <w:color w:val="auto"/>
                <w:sz w:val="24"/>
                <w:szCs w:val="24"/>
                <w:lang w:val="en-US" w:eastAsia="zh-CN"/>
              </w:rPr>
              <w:t>讲</w:t>
            </w:r>
            <w:r>
              <w:rPr>
                <w:rFonts w:hint="eastAsia" w:ascii="仿宋_GB2312" w:hAnsi="仿宋_GB2312" w:eastAsia="仿宋_GB2312" w:cs="仿宋_GB2312"/>
                <w:b w:val="0"/>
                <w:bCs w:val="0"/>
                <w:color w:val="auto"/>
                <w:sz w:val="24"/>
                <w:szCs w:val="24"/>
              </w:rPr>
              <w:t>座、形势与政策报告会</w:t>
            </w:r>
          </w:p>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2.</w:t>
            </w:r>
            <w:r>
              <w:rPr>
                <w:rFonts w:hint="eastAsia" w:ascii="仿宋_GB2312" w:hAnsi="仿宋_GB2312" w:eastAsia="仿宋_GB2312" w:cs="仿宋_GB2312"/>
                <w:b w:val="0"/>
                <w:bCs w:val="0"/>
                <w:color w:val="auto"/>
                <w:sz w:val="24"/>
                <w:szCs w:val="24"/>
              </w:rPr>
              <w:t>爱国主义教育活动</w:t>
            </w:r>
          </w:p>
          <w:p>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3.</w:t>
            </w:r>
            <w:r>
              <w:rPr>
                <w:rFonts w:hint="eastAsia" w:ascii="仿宋_GB2312" w:hAnsi="仿宋_GB2312" w:eastAsia="仿宋_GB2312" w:cs="仿宋_GB2312"/>
                <w:b w:val="0"/>
                <w:bCs w:val="0"/>
                <w:color w:val="auto"/>
                <w:sz w:val="24"/>
                <w:szCs w:val="24"/>
              </w:rPr>
              <w:t>党团组织生活</w:t>
            </w:r>
          </w:p>
          <w:p>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4.</w:t>
            </w:r>
            <w:r>
              <w:rPr>
                <w:rFonts w:hint="eastAsia" w:ascii="仿宋_GB2312" w:hAnsi="仿宋_GB2312" w:eastAsia="仿宋_GB2312" w:cs="仿宋_GB2312"/>
                <w:b w:val="0"/>
                <w:bCs w:val="0"/>
                <w:color w:val="auto"/>
                <w:sz w:val="24"/>
                <w:szCs w:val="24"/>
              </w:rPr>
              <w:t xml:space="preserve">党团培训 </w:t>
            </w:r>
          </w:p>
          <w:p>
            <w:pPr>
              <w:keepNext w:val="0"/>
              <w:keepLines w:val="0"/>
              <w:pageBreakBefore w:val="0"/>
              <w:widowControl w:val="0"/>
              <w:numPr>
                <w:ilvl w:val="0"/>
                <w:numId w:val="0"/>
              </w:numPr>
              <w:kinsoku/>
              <w:wordWrap/>
              <w:topLinePunct w:val="0"/>
              <w:autoSpaceDE/>
              <w:autoSpaceDN/>
              <w:bidi w:val="0"/>
              <w:snapToGrid/>
              <w:spacing w:after="0" w:line="320" w:lineRule="exact"/>
              <w:ind w:left="0" w:leftChars="0" w:firstLine="0" w:firstLine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val="0"/>
                <w:bCs w:val="0"/>
                <w:color w:val="auto"/>
                <w:sz w:val="24"/>
                <w:szCs w:val="24"/>
                <w:lang w:val="en-US" w:eastAsia="zh-CN"/>
              </w:rPr>
              <w:t>5.</w:t>
            </w:r>
            <w:r>
              <w:rPr>
                <w:rFonts w:hint="eastAsia" w:ascii="仿宋_GB2312" w:hAnsi="仿宋_GB2312" w:eastAsia="仿宋_GB2312" w:cs="仿宋_GB2312"/>
                <w:b w:val="0"/>
                <w:bCs w:val="0"/>
                <w:color w:val="auto"/>
                <w:sz w:val="24"/>
                <w:szCs w:val="24"/>
              </w:rPr>
              <w:t>青年大学习</w:t>
            </w:r>
          </w:p>
        </w:tc>
        <w:tc>
          <w:tcPr>
            <w:tcW w:w="880"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lang w:val="en-US" w:eastAsia="zh-CN"/>
              </w:rPr>
              <w:t>自选</w:t>
            </w:r>
          </w:p>
        </w:tc>
        <w:tc>
          <w:tcPr>
            <w:tcW w:w="1013"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lang w:val="en-US" w:eastAsia="zh-CN"/>
              </w:rPr>
              <w:t>经济管理学院党支部、经济管理学院分团委、经济管理学院</w:t>
            </w:r>
          </w:p>
        </w:tc>
        <w:tc>
          <w:tcPr>
            <w:tcW w:w="1040"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lang w:val="en-US" w:eastAsia="zh-CN"/>
              </w:rPr>
              <w:t>校团委</w:t>
            </w:r>
          </w:p>
        </w:tc>
        <w:tc>
          <w:tcPr>
            <w:tcW w:w="1236"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rPr>
              <w:t>“第二课堂成绩单”活动各模块计分标准</w:t>
            </w:r>
          </w:p>
        </w:tc>
        <w:tc>
          <w:tcPr>
            <w:tcW w:w="1236" w:type="dxa"/>
            <w:vMerge w:val="restart"/>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第二课堂成绩</w:t>
            </w:r>
            <w:r>
              <w:rPr>
                <w:rFonts w:hint="eastAsia" w:ascii="仿宋_GB2312" w:hAnsi="仿宋_GB2312" w:eastAsia="仿宋_GB2312" w:cs="仿宋_GB2312"/>
                <w:b w:val="0"/>
                <w:bCs w:val="0"/>
                <w:color w:val="auto"/>
                <w:sz w:val="24"/>
                <w:szCs w:val="24"/>
                <w:lang w:val="en-US" w:eastAsia="zh-CN"/>
              </w:rPr>
              <w:t>由</w:t>
            </w:r>
            <w:r>
              <w:rPr>
                <w:rFonts w:hint="eastAsia" w:ascii="仿宋_GB2312" w:hAnsi="仿宋_GB2312" w:eastAsia="仿宋_GB2312" w:cs="仿宋_GB2312"/>
                <w:b w:val="0"/>
                <w:bCs w:val="0"/>
                <w:color w:val="auto"/>
                <w:sz w:val="24"/>
                <w:szCs w:val="24"/>
              </w:rPr>
              <w:t xml:space="preserve">网络管理系 统（到梦 空间）实 时记录，学生在大一、 </w:t>
            </w:r>
            <w:r>
              <w:rPr>
                <w:rFonts w:hint="eastAsia" w:ascii="仿宋_GB2312" w:hAnsi="仿宋_GB2312" w:eastAsia="仿宋_GB2312" w:cs="仿宋_GB2312"/>
                <w:b w:val="0"/>
                <w:bCs w:val="0"/>
                <w:color w:val="auto"/>
                <w:sz w:val="24"/>
                <w:szCs w:val="24"/>
                <w:lang w:val="en-US" w:eastAsia="zh-CN"/>
              </w:rPr>
              <w:t>大</w:t>
            </w:r>
            <w:r>
              <w:rPr>
                <w:rFonts w:hint="eastAsia" w:ascii="仿宋_GB2312" w:hAnsi="仿宋_GB2312" w:eastAsia="仿宋_GB2312" w:cs="仿宋_GB2312"/>
                <w:b w:val="0"/>
                <w:bCs w:val="0"/>
                <w:color w:val="auto"/>
                <w:sz w:val="24"/>
                <w:szCs w:val="24"/>
              </w:rPr>
              <w:t>二期间</w:t>
            </w:r>
            <w:r>
              <w:rPr>
                <w:rFonts w:hint="eastAsia" w:ascii="仿宋_GB2312" w:hAnsi="仿宋_GB2312" w:eastAsia="仿宋_GB2312" w:cs="仿宋_GB2312"/>
                <w:b w:val="0"/>
                <w:bCs w:val="0"/>
                <w:color w:val="auto"/>
                <w:sz w:val="24"/>
                <w:szCs w:val="24"/>
                <w:lang w:val="en-US" w:eastAsia="zh-CN"/>
              </w:rPr>
              <w:t>积分达60分及以上，可获4</w:t>
            </w:r>
            <w:r>
              <w:rPr>
                <w:rFonts w:hint="eastAsia" w:ascii="仿宋_GB2312" w:hAnsi="仿宋_GB2312" w:eastAsia="仿宋_GB2312" w:cs="仿宋_GB2312"/>
                <w:b w:val="0"/>
                <w:bCs w:val="0"/>
                <w:color w:val="auto"/>
                <w:sz w:val="24"/>
                <w:szCs w:val="24"/>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8"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实践</w:t>
            </w:r>
            <w:r>
              <w:rPr>
                <w:rFonts w:hint="eastAsia" w:ascii="仿宋_GB2312" w:hAnsi="仿宋_GB2312" w:eastAsia="仿宋_GB2312" w:cs="仿宋_GB2312"/>
                <w:color w:val="auto"/>
                <w:sz w:val="24"/>
                <w:szCs w:val="24"/>
                <w:lang w:val="en-US" w:eastAsia="zh-CN"/>
              </w:rPr>
              <w:t>实习</w:t>
            </w:r>
          </w:p>
        </w:tc>
        <w:tc>
          <w:tcPr>
            <w:tcW w:w="3573" w:type="dxa"/>
            <w:vAlign w:val="center"/>
          </w:tcPr>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1.</w:t>
            </w:r>
            <w:r>
              <w:rPr>
                <w:rFonts w:hint="eastAsia" w:ascii="仿宋_GB2312" w:hAnsi="仿宋_GB2312" w:eastAsia="仿宋_GB2312" w:cs="仿宋_GB2312"/>
                <w:b w:val="0"/>
                <w:bCs w:val="0"/>
                <w:color w:val="auto"/>
                <w:sz w:val="24"/>
                <w:szCs w:val="24"/>
              </w:rPr>
              <w:t xml:space="preserve">暑期“三下乡”社会实践活动 </w:t>
            </w:r>
            <w:r>
              <w:rPr>
                <w:rFonts w:hint="eastAsia" w:ascii="仿宋_GB2312" w:hAnsi="仿宋_GB2312" w:eastAsia="仿宋_GB2312" w:cs="仿宋_GB2312"/>
                <w:b w:val="0"/>
                <w:bCs w:val="0"/>
                <w:color w:val="auto"/>
                <w:sz w:val="24"/>
                <w:szCs w:val="24"/>
                <w:lang w:val="en-US" w:eastAsia="zh-CN"/>
              </w:rPr>
              <w:t>2.</w:t>
            </w:r>
            <w:r>
              <w:rPr>
                <w:rFonts w:hint="eastAsia" w:ascii="仿宋_GB2312" w:hAnsi="仿宋_GB2312" w:eastAsia="仿宋_GB2312" w:cs="仿宋_GB2312"/>
                <w:b w:val="0"/>
                <w:bCs w:val="0"/>
                <w:color w:val="auto"/>
                <w:sz w:val="24"/>
                <w:szCs w:val="24"/>
              </w:rPr>
              <w:t xml:space="preserve">寒暑假“返家乡”实践活动 </w:t>
            </w:r>
          </w:p>
          <w:p>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3.</w:t>
            </w:r>
            <w:r>
              <w:rPr>
                <w:rFonts w:hint="eastAsia" w:ascii="仿宋_GB2312" w:hAnsi="仿宋_GB2312" w:eastAsia="仿宋_GB2312" w:cs="仿宋_GB2312"/>
                <w:b w:val="0"/>
                <w:bCs w:val="0"/>
                <w:color w:val="auto"/>
                <w:sz w:val="24"/>
                <w:szCs w:val="24"/>
              </w:rPr>
              <w:t xml:space="preserve">企业见习实践 </w:t>
            </w:r>
          </w:p>
          <w:p>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4.</w:t>
            </w:r>
            <w:r>
              <w:rPr>
                <w:rFonts w:hint="eastAsia" w:ascii="仿宋_GB2312" w:hAnsi="仿宋_GB2312" w:eastAsia="仿宋_GB2312" w:cs="仿宋_GB2312"/>
                <w:b w:val="0"/>
                <w:bCs w:val="0"/>
                <w:color w:val="auto"/>
                <w:sz w:val="24"/>
                <w:szCs w:val="24"/>
              </w:rPr>
              <w:t xml:space="preserve">上级、校院交予专项工作项目实践活动含兼挂职锻炼 </w:t>
            </w:r>
          </w:p>
          <w:p>
            <w:pPr>
              <w:keepNext w:val="0"/>
              <w:keepLines w:val="0"/>
              <w:pageBreakBefore w:val="0"/>
              <w:widowControl w:val="0"/>
              <w:numPr>
                <w:ilvl w:val="0"/>
                <w:numId w:val="0"/>
              </w:numPr>
              <w:kinsoku/>
              <w:wordWrap/>
              <w:topLinePunct w:val="0"/>
              <w:autoSpaceDE/>
              <w:autoSpaceDN/>
              <w:bidi w:val="0"/>
              <w:snapToGrid/>
              <w:spacing w:after="0" w:line="320" w:lineRule="exact"/>
              <w:ind w:left="0" w:leftChars="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lang w:val="en-US" w:eastAsia="zh-CN"/>
              </w:rPr>
              <w:t>5.</w:t>
            </w:r>
            <w:r>
              <w:rPr>
                <w:rFonts w:hint="eastAsia" w:ascii="仿宋_GB2312" w:hAnsi="仿宋_GB2312" w:eastAsia="仿宋_GB2312" w:cs="仿宋_GB2312"/>
                <w:b w:val="0"/>
                <w:bCs w:val="0"/>
                <w:color w:val="auto"/>
                <w:sz w:val="24"/>
                <w:szCs w:val="24"/>
              </w:rPr>
              <w:t xml:space="preserve">新闻宣传报道被学校、学院采用或转发 </w:t>
            </w:r>
          </w:p>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default"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6.晨读</w:t>
            </w:r>
          </w:p>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lang w:val="en-US" w:eastAsia="zh-CN"/>
              </w:rPr>
              <w:t>7</w:t>
            </w:r>
            <w:r>
              <w:rPr>
                <w:rFonts w:hint="eastAsia" w:ascii="仿宋_GB2312" w:hAnsi="仿宋_GB2312" w:eastAsia="仿宋_GB2312" w:cs="仿宋_GB2312"/>
                <w:b w:val="0"/>
                <w:bCs w:val="0"/>
                <w:color w:val="auto"/>
                <w:sz w:val="24"/>
                <w:szCs w:val="24"/>
              </w:rPr>
              <w:t xml:space="preserve">.劳动精神、劳模精神、工匠精神专题教育 </w:t>
            </w:r>
          </w:p>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lang w:val="en-US" w:eastAsia="zh-CN"/>
              </w:rPr>
              <w:t>8.</w:t>
            </w:r>
            <w:r>
              <w:rPr>
                <w:rFonts w:hint="eastAsia" w:ascii="仿宋_GB2312" w:hAnsi="仿宋_GB2312" w:eastAsia="仿宋_GB2312" w:cs="仿宋_GB2312"/>
                <w:b w:val="0"/>
                <w:bCs w:val="0"/>
                <w:color w:val="auto"/>
                <w:sz w:val="24"/>
                <w:szCs w:val="24"/>
              </w:rPr>
              <w:t>实践活动的相关荣誉</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校团委、经济管理学院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9"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创新创业</w:t>
            </w:r>
          </w:p>
        </w:tc>
        <w:tc>
          <w:tcPr>
            <w:tcW w:w="3573" w:type="dxa"/>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w:t>
            </w:r>
            <w:r>
              <w:rPr>
                <w:rFonts w:hint="eastAsia" w:ascii="仿宋_GB2312" w:hAnsi="仿宋_GB2312" w:eastAsia="仿宋_GB2312" w:cs="仿宋_GB2312"/>
                <w:color w:val="auto"/>
                <w:sz w:val="24"/>
                <w:szCs w:val="24"/>
              </w:rPr>
              <w:t xml:space="preserve">发表文章、出版专著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2.</w:t>
            </w:r>
            <w:r>
              <w:rPr>
                <w:rFonts w:hint="eastAsia" w:ascii="仿宋_GB2312" w:hAnsi="仿宋_GB2312" w:eastAsia="仿宋_GB2312" w:cs="仿宋_GB2312"/>
                <w:color w:val="auto"/>
                <w:sz w:val="24"/>
                <w:szCs w:val="24"/>
              </w:rPr>
              <w:t xml:space="preserve">发明专利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3.</w:t>
            </w:r>
            <w:r>
              <w:rPr>
                <w:rFonts w:hint="eastAsia" w:ascii="仿宋_GB2312" w:hAnsi="仿宋_GB2312" w:eastAsia="仿宋_GB2312" w:cs="仿宋_GB2312"/>
                <w:color w:val="auto"/>
                <w:sz w:val="24"/>
                <w:szCs w:val="24"/>
              </w:rPr>
              <w:t xml:space="preserve">创新创业项目竞赛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4.</w:t>
            </w:r>
            <w:r>
              <w:rPr>
                <w:rFonts w:hint="eastAsia" w:ascii="仿宋_GB2312" w:hAnsi="仿宋_GB2312" w:eastAsia="仿宋_GB2312" w:cs="仿宋_GB2312"/>
                <w:color w:val="auto"/>
                <w:sz w:val="24"/>
                <w:szCs w:val="24"/>
              </w:rPr>
              <w:t xml:space="preserve">创新创业项目培训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5.</w:t>
            </w:r>
            <w:r>
              <w:rPr>
                <w:rFonts w:hint="eastAsia" w:ascii="仿宋_GB2312" w:hAnsi="仿宋_GB2312" w:eastAsia="仿宋_GB2312" w:cs="仿宋_GB2312"/>
                <w:color w:val="auto"/>
                <w:sz w:val="24"/>
                <w:szCs w:val="24"/>
              </w:rPr>
              <w:t xml:space="preserve">创新创业课程、讲座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6.</w:t>
            </w:r>
            <w:r>
              <w:rPr>
                <w:rFonts w:hint="eastAsia" w:ascii="仿宋_GB2312" w:hAnsi="仿宋_GB2312" w:eastAsia="仿宋_GB2312" w:cs="仿宋_GB2312"/>
                <w:color w:val="auto"/>
                <w:sz w:val="24"/>
                <w:szCs w:val="24"/>
              </w:rPr>
              <w:t>自主创业</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招生就业处、经济管理学院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志愿公益</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1.校级、学院、社团、班级等学生组织开展的志愿服务活动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2.无偿献血活动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3.捐献造血干细胞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4.相关公益类宣传讲座、报告会等志愿服务表彰</w:t>
            </w:r>
          </w:p>
          <w:p>
            <w:pPr>
              <w:keepNext w:val="0"/>
              <w:keepLines w:val="0"/>
              <w:pageBreakBefore w:val="0"/>
              <w:widowControl w:val="0"/>
              <w:numPr>
                <w:ilvl w:val="0"/>
                <w:numId w:val="0"/>
              </w:numPr>
              <w:kinsoku/>
              <w:wordWrap/>
              <w:topLinePunct w:val="0"/>
              <w:autoSpaceDE/>
              <w:autoSpaceDN/>
              <w:bidi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5.</w:t>
            </w:r>
            <w:r>
              <w:rPr>
                <w:rFonts w:hint="eastAsia" w:ascii="仿宋_GB2312" w:hAnsi="仿宋_GB2312" w:eastAsia="仿宋_GB2312" w:cs="仿宋_GB2312"/>
                <w:b w:val="0"/>
                <w:bCs w:val="0"/>
                <w:color w:val="auto"/>
                <w:sz w:val="24"/>
                <w:szCs w:val="24"/>
              </w:rPr>
              <w:t xml:space="preserve">公益劳动 </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校团委、经济管理学院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 xml:space="preserve">文体活动 </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1.文艺竞赛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2.体育竞赛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3.文艺演出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4.体育活动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color w:val="auto"/>
                <w:sz w:val="24"/>
                <w:szCs w:val="24"/>
                <w:lang w:val="en-US" w:eastAsia="zh-CN"/>
              </w:rPr>
              <w:t>5.文体讲座</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校团委、经济管理学院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 xml:space="preserve">工作履历 </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1.团学干部任职</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2.团学先进个人</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3.勤工俭学</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4.社会任职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color w:val="auto"/>
                <w:sz w:val="24"/>
                <w:szCs w:val="24"/>
                <w:lang w:val="en-US" w:eastAsia="zh-CN"/>
              </w:rPr>
              <w:t>5.退伍军人</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学生工作处、校团委、经济管理学院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技能特长 </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1.职业资格证书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2.职业技能证书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3.机动车驾驶证</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4.从业人员上岗资格证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5.技能比赛获奖</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继续教育学院、经济管理学院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其他</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1.其他证书（社会职业类证书）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2.校内各单位其他类型活动 </w:t>
            </w:r>
          </w:p>
          <w:p>
            <w:pPr>
              <w:keepNext w:val="0"/>
              <w:keepLines w:val="0"/>
              <w:pageBreakBefore w:val="0"/>
              <w:widowControl w:val="0"/>
              <w:kinsoku/>
              <w:wordWrap/>
              <w:overflowPunct w:val="0"/>
              <w:topLinePunct w:val="0"/>
              <w:autoSpaceDE/>
              <w:autoSpaceDN/>
              <w:bidi w:val="0"/>
              <w:adjustRightInd w:val="0"/>
              <w:snapToGrid/>
              <w:spacing w:after="0" w:line="320" w:lineRule="exact"/>
              <w:ind w:left="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color w:val="auto"/>
                <w:sz w:val="24"/>
                <w:szCs w:val="24"/>
                <w:lang w:val="en-US" w:eastAsia="zh-CN"/>
              </w:rPr>
              <w:t>3.升旗仪式工作人员</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经济管理学院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jc w:val="center"/>
              <w:textAlignment w:val="auto"/>
              <w:rPr>
                <w:rFonts w:hint="eastAsia" w:ascii="仿宋_GB2312" w:hAnsi="仿宋_GB2312" w:eastAsia="仿宋_GB2312" w:cs="仿宋_GB2312"/>
                <w:color w:val="auto"/>
                <w:sz w:val="24"/>
                <w:szCs w:val="24"/>
              </w:rPr>
            </w:pPr>
          </w:p>
        </w:tc>
      </w:tr>
    </w:tbl>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黑体" w:hAnsi="黑体" w:eastAsia="黑体"/>
          <w:color w:val="auto"/>
          <w:sz w:val="32"/>
          <w:szCs w:val="32"/>
          <w:highlight w:val="none"/>
        </w:rPr>
      </w:pPr>
      <w:bookmarkStart w:id="65" w:name="_Toc31262"/>
      <w:bookmarkStart w:id="66" w:name="_Toc683"/>
      <w:bookmarkStart w:id="67" w:name="_Toc31400"/>
      <w:r>
        <w:rPr>
          <w:rFonts w:hint="eastAsia" w:ascii="黑体" w:hAnsi="黑体" w:eastAsia="黑体"/>
          <w:color w:val="auto"/>
          <w:sz w:val="32"/>
          <w:szCs w:val="32"/>
          <w:highlight w:val="none"/>
          <w:lang w:val="en-US" w:eastAsia="zh-CN"/>
        </w:rPr>
        <w:t>八</w:t>
      </w:r>
      <w:r>
        <w:rPr>
          <w:rFonts w:ascii="黑体" w:hAnsi="黑体" w:eastAsia="黑体"/>
          <w:color w:val="auto"/>
          <w:sz w:val="32"/>
          <w:szCs w:val="32"/>
          <w:highlight w:val="none"/>
        </w:rPr>
        <w:t>、教学进程总体安排</w:t>
      </w:r>
      <w:bookmarkEnd w:id="65"/>
      <w:bookmarkEnd w:id="66"/>
      <w:bookmarkEnd w:id="67"/>
    </w:p>
    <w:p>
      <w:pPr>
        <w:keepNext w:val="0"/>
        <w:keepLines w:val="0"/>
        <w:pageBreakBefore w:val="0"/>
        <w:widowControl w:val="0"/>
        <w:kinsoku/>
        <w:wordWrap/>
        <w:topLinePunct w:val="0"/>
        <w:autoSpaceDE/>
        <w:autoSpaceDN/>
        <w:bidi w:val="0"/>
        <w:snapToGrid/>
        <w:spacing w:after="0" w:line="520" w:lineRule="exact"/>
        <w:ind w:firstLine="640" w:firstLineChars="200"/>
        <w:textAlignment w:val="auto"/>
        <w:outlineLvl w:val="1"/>
        <w:rPr>
          <w:rFonts w:hint="eastAsia" w:ascii="楷体" w:hAnsi="楷体" w:eastAsia="楷体" w:cs="楷体"/>
          <w:color w:val="auto"/>
          <w:sz w:val="32"/>
          <w:szCs w:val="32"/>
          <w:highlight w:val="none"/>
        </w:rPr>
      </w:pPr>
      <w:bookmarkStart w:id="68" w:name="_Toc23452"/>
      <w:r>
        <w:rPr>
          <w:rFonts w:hint="eastAsia" w:ascii="楷体" w:hAnsi="楷体" w:eastAsia="楷体" w:cs="楷体"/>
          <w:color w:val="auto"/>
          <w:sz w:val="32"/>
          <w:szCs w:val="32"/>
          <w:highlight w:val="none"/>
        </w:rPr>
        <w:t>（一）教学环节分配表</w:t>
      </w:r>
      <w:bookmarkEnd w:id="68"/>
      <w:r>
        <w:rPr>
          <w:rFonts w:hint="eastAsia" w:ascii="楷体" w:hAnsi="楷体" w:eastAsia="楷体" w:cs="楷体"/>
          <w:color w:val="auto"/>
          <w:sz w:val="32"/>
          <w:szCs w:val="32"/>
          <w:highlight w:val="none"/>
        </w:rPr>
        <w:t xml:space="preserve"> </w:t>
      </w:r>
    </w:p>
    <w:p>
      <w:pPr>
        <w:keepNext w:val="0"/>
        <w:keepLines w:val="0"/>
        <w:pageBreakBefore w:val="0"/>
        <w:widowControl w:val="0"/>
        <w:kinsoku/>
        <w:wordWrap/>
        <w:topLinePunct w:val="0"/>
        <w:autoSpaceDE/>
        <w:autoSpaceDN/>
        <w:bidi w:val="0"/>
        <w:snapToGrid/>
        <w:spacing w:after="0" w:line="520" w:lineRule="exact"/>
        <w:ind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教学周数分配表每学期总周数合计应为</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rPr>
        <w:t>周，各学期教学周数应与教学计划进程表一致，军训、入学教育、考试环节、实习开展、毕业设计</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社会实践及毕业教育</w:t>
      </w:r>
      <w:r>
        <w:rPr>
          <w:rFonts w:hint="eastAsia" w:ascii="仿宋_GB2312" w:hAnsi="仿宋_GB2312" w:eastAsia="仿宋_GB2312" w:cs="仿宋_GB2312"/>
          <w:color w:val="auto"/>
          <w:sz w:val="32"/>
          <w:szCs w:val="32"/>
          <w:highlight w:val="none"/>
        </w:rPr>
        <w:t>等</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学期合计周数</w:t>
      </w:r>
      <w:r>
        <w:rPr>
          <w:rFonts w:hint="eastAsia" w:ascii="仿宋_GB2312" w:hAnsi="仿宋_GB2312" w:eastAsia="仿宋_GB2312" w:cs="仿宋_GB2312"/>
          <w:color w:val="auto"/>
          <w:sz w:val="32"/>
          <w:szCs w:val="32"/>
          <w:highlight w:val="none"/>
          <w:lang w:val="en-US" w:eastAsia="zh-CN"/>
        </w:rPr>
        <w:t>为</w:t>
      </w:r>
      <w:r>
        <w:rPr>
          <w:rFonts w:hint="eastAsia" w:ascii="仿宋_GB2312" w:hAnsi="仿宋_GB2312" w:eastAsia="仿宋_GB2312" w:cs="仿宋_GB2312"/>
          <w:color w:val="auto"/>
          <w:sz w:val="32"/>
          <w:szCs w:val="32"/>
          <w:highlight w:val="none"/>
        </w:rPr>
        <w:t>20周。</w:t>
      </w:r>
    </w:p>
    <w:p>
      <w:pPr>
        <w:keepNext w:val="0"/>
        <w:keepLines w:val="0"/>
        <w:pageBreakBefore w:val="0"/>
        <w:widowControl w:val="0"/>
        <w:kinsoku/>
        <w:wordWrap/>
        <w:topLinePunct w:val="0"/>
        <w:autoSpaceDE/>
        <w:autoSpaceDN/>
        <w:bidi w:val="0"/>
        <w:snapToGrid/>
        <w:spacing w:after="0" w:line="520" w:lineRule="exact"/>
        <w:ind w:firstLine="640" w:firstLineChars="200"/>
        <w:jc w:val="center"/>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表</w:t>
      </w:r>
      <w:r>
        <w:rPr>
          <w:rFonts w:hint="eastAsia" w:ascii="仿宋_GB2312" w:hAnsi="仿宋_GB2312" w:eastAsia="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rPr>
        <w:t xml:space="preserve"> 教育活动时间分配表（单位：周）</w:t>
      </w:r>
    </w:p>
    <w:tbl>
      <w:tblPr>
        <w:tblStyle w:val="12"/>
        <w:tblW w:w="5117" w:type="pct"/>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1230"/>
        <w:gridCol w:w="1108"/>
        <w:gridCol w:w="1108"/>
        <w:gridCol w:w="1108"/>
        <w:gridCol w:w="1108"/>
        <w:gridCol w:w="1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437" w:type="pct"/>
            <w:vMerge w:val="restart"/>
            <mc:AlternateContent>
              <mc:Choice Requires="wpsCustomData">
                <wpsCustomData:diagonals>
                  <wpsCustomData:diagonal from="30000" to="13800">
                    <wpsCustomData:border w:val="single" w:color="auto" w:sz="4" w:space="0"/>
                  </wpsCustomData:diagonal>
                  <wpsCustomData:diagonal from="30000" to="6000">
                    <wpsCustomData:border w:val="single" w:color="auto" w:sz="4" w:space="0"/>
                  </wpsCustomData:diagonal>
                </wpsCustomData:diagonals>
              </mc:Choice>
            </mc:AlternateContent>
          </w:tcPr>
          <w:p>
            <w:pPr>
              <w:spacing w:after="0" w:line="240" w:lineRule="auto"/>
              <w:rPr>
                <w:rFonts w:hint="eastAsia" w:ascii="仿宋_GB2312" w:hAnsi="仿宋_GB2312" w:eastAsia="仿宋_GB2312" w:cs="仿宋_GB2312"/>
                <w:color w:val="auto"/>
                <w:sz w:val="24"/>
                <w:szCs w:val="24"/>
                <w:highlight w:val="none"/>
              </w:rPr>
            </w:pPr>
          </w:p>
          <w:p>
            <w:pPr>
              <w:spacing w:after="0" w:line="240" w:lineRule="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项目</w:t>
            </w:r>
          </w:p>
          <w:p>
            <w:pPr>
              <w:spacing w:after="0" w:line="24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周数</w:t>
            </w:r>
          </w:p>
          <w:p>
            <w:pPr>
              <w:spacing w:after="0" w:line="240" w:lineRule="auto"/>
              <mc:AlternateContent>
                <mc:Choice Requires="wpsCustomData">
                  <wpsCustomData:diagonalParaType/>
                </mc:Choice>
              </mc:AlternateConten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内容</w:t>
            </w:r>
          </w:p>
          <w:p>
            <w:pPr>
              <w:spacing w:after="0" w:line="240" w:lineRule="auto"/>
              <w:rPr>
                <w:rFonts w:hint="eastAsia" w:ascii="仿宋_GB2312" w:hAnsi="仿宋_GB2312" w:eastAsia="仿宋_GB2312" w:cs="仿宋_GB2312"/>
                <w:color w:val="auto"/>
                <w:sz w:val="24"/>
                <w:szCs w:val="24"/>
                <w:highlight w:val="none"/>
                <w:lang w:val="en-US" w:eastAsia="zh-CN"/>
              </w:rPr>
            </w:pPr>
          </w:p>
          <w:p>
            <w:pPr>
              <w:spacing w:after="0" w:line="240" w:lineRule="auto"/>
              <mc:AlternateContent>
                <mc:Choice Requires="wpsCustomData">
                  <wpsCustomData:diagonalParaType/>
                </mc:Choice>
              </mc:AlternateContent>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周数</w:t>
            </w:r>
          </w:p>
          <w:p>
            <w:pPr>
              <w:spacing w:after="0" w:line="240" w:lineRule="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学年</w:t>
            </w:r>
          </w:p>
        </w:tc>
        <w:tc>
          <w:tcPr>
            <w:tcW w:w="1229" w:type="pct"/>
            <w:gridSpan w:val="2"/>
            <w:vAlign w:val="center"/>
          </w:tcPr>
          <w:p>
            <w:pPr>
              <w:spacing w:after="0" w:line="240" w:lineRule="auto"/>
              <w:jc w:val="center"/>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一</w:t>
            </w:r>
          </w:p>
        </w:tc>
        <w:tc>
          <w:tcPr>
            <w:tcW w:w="1165" w:type="pct"/>
            <w:gridSpan w:val="2"/>
            <w:vAlign w:val="center"/>
          </w:tcPr>
          <w:p>
            <w:pPr>
              <w:spacing w:after="0" w:line="240" w:lineRule="auto"/>
              <w:jc w:val="center"/>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二</w:t>
            </w:r>
          </w:p>
        </w:tc>
        <w:tc>
          <w:tcPr>
            <w:tcW w:w="1167" w:type="pct"/>
            <w:gridSpan w:val="2"/>
            <w:vAlign w:val="center"/>
          </w:tcPr>
          <w:p>
            <w:pPr>
              <w:spacing w:after="0" w:line="240" w:lineRule="auto"/>
              <w:jc w:val="center"/>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437" w:type="pct"/>
            <w:vMerge w:val="continue"/>
          </w:tcPr>
          <w:p>
            <w:pPr>
              <w:spacing w:after="0" w:line="240" w:lineRule="auto"/>
              <w:rPr>
                <w:rFonts w:hint="eastAsia" w:ascii="仿宋_GB2312" w:hAnsi="仿宋_GB2312" w:eastAsia="仿宋_GB2312" w:cs="仿宋_GB2312"/>
                <w:sz w:val="24"/>
                <w:szCs w:val="24"/>
                <w:highlight w:val="none"/>
              </w:rPr>
            </w:pPr>
          </w:p>
        </w:tc>
        <w:tc>
          <w:tcPr>
            <w:tcW w:w="646"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w:t>
            </w: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w:t>
            </w: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w:t>
            </w: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w:t>
            </w: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w:t>
            </w:r>
          </w:p>
        </w:tc>
        <w:tc>
          <w:tcPr>
            <w:tcW w:w="584"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437" w:type="pct"/>
            <w:vAlign w:val="center"/>
          </w:tcPr>
          <w:p>
            <w:pPr>
              <w:spacing w:after="0" w:line="24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b w:val="0"/>
                <w:bCs w:val="0"/>
                <w:color w:val="000000"/>
                <w:sz w:val="24"/>
                <w:szCs w:val="24"/>
                <w:highlight w:val="none"/>
              </w:rPr>
              <w:t>课堂教学</w:t>
            </w:r>
          </w:p>
        </w:tc>
        <w:tc>
          <w:tcPr>
            <w:tcW w:w="646" w:type="pct"/>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1-18</w:t>
            </w: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sz w:val="24"/>
                <w:szCs w:val="24"/>
                <w:highlight w:val="none"/>
                <w:lang w:val="en-US" w:eastAsia="zh-CN"/>
              </w:rPr>
              <w:t>1-18</w:t>
            </w: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sz w:val="24"/>
                <w:szCs w:val="24"/>
                <w:highlight w:val="none"/>
                <w:lang w:val="en-US" w:eastAsia="zh-CN"/>
              </w:rPr>
              <w:t>1-18</w:t>
            </w: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sz w:val="24"/>
                <w:szCs w:val="24"/>
                <w:highlight w:val="none"/>
                <w:lang w:val="en-US" w:eastAsia="zh-CN"/>
              </w:rPr>
              <w:t>1-18</w:t>
            </w: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sz w:val="24"/>
                <w:szCs w:val="24"/>
                <w:highlight w:val="none"/>
                <w:lang w:val="en-US" w:eastAsia="zh-CN"/>
              </w:rPr>
              <w:t>1-18</w:t>
            </w:r>
          </w:p>
        </w:tc>
        <w:tc>
          <w:tcPr>
            <w:tcW w:w="584"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sz w:val="24"/>
                <w:szCs w:val="24"/>
                <w:highlight w:val="none"/>
                <w:lang w:val="en-US" w:eastAsia="zh-CN"/>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spacing w:after="0" w:line="24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b w:val="0"/>
                <w:bCs w:val="0"/>
                <w:color w:val="000000"/>
                <w:sz w:val="24"/>
                <w:szCs w:val="24"/>
                <w:highlight w:val="none"/>
              </w:rPr>
              <w:t>考试</w:t>
            </w:r>
          </w:p>
        </w:tc>
        <w:tc>
          <w:tcPr>
            <w:tcW w:w="646" w:type="pct"/>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19-20</w:t>
            </w: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sz w:val="24"/>
                <w:szCs w:val="24"/>
                <w:highlight w:val="none"/>
                <w:lang w:val="en-US" w:eastAsia="zh-CN"/>
              </w:rPr>
              <w:t>19-20</w:t>
            </w: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sz w:val="24"/>
                <w:szCs w:val="24"/>
                <w:highlight w:val="none"/>
                <w:lang w:val="en-US" w:eastAsia="zh-CN"/>
              </w:rPr>
              <w:t>19-20</w:t>
            </w: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sz w:val="24"/>
                <w:szCs w:val="24"/>
                <w:highlight w:val="none"/>
                <w:lang w:val="en-US" w:eastAsia="zh-CN"/>
              </w:rPr>
              <w:t>19-20</w:t>
            </w: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sz w:val="24"/>
                <w:szCs w:val="24"/>
                <w:highlight w:val="none"/>
                <w:lang w:val="en-US" w:eastAsia="zh-CN"/>
              </w:rPr>
              <w:t>19-20</w:t>
            </w:r>
          </w:p>
        </w:tc>
        <w:tc>
          <w:tcPr>
            <w:tcW w:w="584"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sz w:val="24"/>
                <w:szCs w:val="24"/>
                <w:highlight w:val="none"/>
                <w:lang w:val="en-US" w:eastAsia="zh-CN"/>
              </w:rPr>
              <w:t>19-20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spacing w:after="0" w:line="24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b w:val="0"/>
                <w:bCs w:val="0"/>
                <w:color w:val="000000"/>
                <w:sz w:val="24"/>
                <w:szCs w:val="24"/>
                <w:highlight w:val="none"/>
              </w:rPr>
              <w:t>军训</w:t>
            </w:r>
          </w:p>
        </w:tc>
        <w:tc>
          <w:tcPr>
            <w:tcW w:w="646" w:type="pct"/>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1-2</w:t>
            </w: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84"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spacing w:after="0" w:line="240" w:lineRule="auto"/>
              <w:jc w:val="center"/>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val="0"/>
                <w:bCs w:val="0"/>
                <w:color w:val="000000"/>
                <w:sz w:val="24"/>
                <w:szCs w:val="24"/>
                <w:highlight w:val="none"/>
              </w:rPr>
              <w:t>入学教育</w:t>
            </w:r>
          </w:p>
        </w:tc>
        <w:tc>
          <w:tcPr>
            <w:tcW w:w="646" w:type="pct"/>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3-8</w:t>
            </w: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84"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spacing w:after="0" w:line="240" w:lineRule="auto"/>
              <w:jc w:val="center"/>
              <w:rPr>
                <w:rFonts w:hint="eastAsia" w:ascii="仿宋_GB2312" w:hAnsi="仿宋_GB2312" w:eastAsia="仿宋_GB2312" w:cs="仿宋_GB2312"/>
                <w:b w:val="0"/>
                <w:bCs w:val="0"/>
                <w:color w:val="000000"/>
                <w:sz w:val="24"/>
                <w:szCs w:val="24"/>
                <w:highlight w:val="none"/>
              </w:rPr>
            </w:pPr>
            <w:r>
              <w:rPr>
                <w:rFonts w:hint="eastAsia" w:ascii="仿宋_GB2312" w:hAnsi="仿宋_GB2312" w:eastAsia="仿宋_GB2312" w:cs="仿宋_GB2312"/>
                <w:b w:val="0"/>
                <w:bCs w:val="0"/>
                <w:color w:val="000000"/>
                <w:sz w:val="24"/>
                <w:szCs w:val="24"/>
                <w:highlight w:val="none"/>
              </w:rPr>
              <w:t>毕业设计</w:t>
            </w:r>
          </w:p>
        </w:tc>
        <w:tc>
          <w:tcPr>
            <w:tcW w:w="646" w:type="pct"/>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1-18</w:t>
            </w:r>
          </w:p>
        </w:tc>
        <w:tc>
          <w:tcPr>
            <w:tcW w:w="584"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spacing w:after="0" w:line="24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b w:val="0"/>
                <w:bCs w:val="0"/>
                <w:color w:val="000000"/>
                <w:sz w:val="24"/>
                <w:szCs w:val="24"/>
                <w:highlight w:val="none"/>
              </w:rPr>
              <w:t>岗位实习</w:t>
            </w:r>
          </w:p>
        </w:tc>
        <w:tc>
          <w:tcPr>
            <w:tcW w:w="646" w:type="pct"/>
            <w:vAlign w:val="center"/>
          </w:tcPr>
          <w:p>
            <w:pPr>
              <w:spacing w:after="0" w:line="240" w:lineRule="auto"/>
              <w:jc w:val="center"/>
              <w:rPr>
                <w:rFonts w:hint="eastAsia" w:ascii="仿宋_GB2312" w:hAnsi="仿宋_GB2312" w:eastAsia="仿宋_GB2312" w:cs="仿宋_GB2312"/>
                <w:sz w:val="24"/>
                <w:szCs w:val="24"/>
                <w:highlight w:val="none"/>
              </w:rPr>
            </w:pP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1-20</w:t>
            </w:r>
          </w:p>
        </w:tc>
        <w:tc>
          <w:tcPr>
            <w:tcW w:w="584"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spacing w:after="0" w:line="240" w:lineRule="auto"/>
              <w:jc w:val="center"/>
              <w:rPr>
                <w:rFonts w:hint="eastAsia" w:ascii="仿宋_GB2312" w:hAnsi="仿宋_GB2312" w:eastAsia="仿宋_GB2312" w:cs="仿宋_GB2312"/>
                <w:b w:val="0"/>
                <w:bCs w:val="0"/>
                <w:color w:val="000000"/>
                <w:sz w:val="24"/>
                <w:szCs w:val="24"/>
                <w:highlight w:val="none"/>
                <w:lang w:val="en-US" w:eastAsia="zh-CN"/>
              </w:rPr>
            </w:pPr>
            <w:r>
              <w:rPr>
                <w:rFonts w:hint="eastAsia" w:ascii="仿宋_GB2312" w:hAnsi="仿宋_GB2312" w:eastAsia="仿宋_GB2312" w:cs="仿宋_GB2312"/>
                <w:b w:val="0"/>
                <w:bCs w:val="0"/>
                <w:color w:val="000000"/>
                <w:sz w:val="24"/>
                <w:szCs w:val="24"/>
                <w:highlight w:val="none"/>
                <w:lang w:val="en-US" w:eastAsia="zh-CN"/>
              </w:rPr>
              <w:t>社会实践</w:t>
            </w:r>
          </w:p>
        </w:tc>
        <w:tc>
          <w:tcPr>
            <w:tcW w:w="646" w:type="pct"/>
            <w:vAlign w:val="center"/>
          </w:tcPr>
          <w:p>
            <w:pPr>
              <w:spacing w:after="0" w:line="24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color w:val="auto"/>
                <w:sz w:val="24"/>
                <w:szCs w:val="24"/>
                <w:highlight w:val="none"/>
                <w:lang w:val="en-US" w:eastAsia="zh-CN"/>
              </w:rPr>
              <w:t>1-20</w:t>
            </w: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1-20</w:t>
            </w: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1-20</w:t>
            </w: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1-20</w:t>
            </w: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1-20</w:t>
            </w:r>
          </w:p>
        </w:tc>
        <w:tc>
          <w:tcPr>
            <w:tcW w:w="584"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spacing w:after="0" w:line="240" w:lineRule="auto"/>
              <w:jc w:val="center"/>
              <w:rPr>
                <w:rFonts w:hint="eastAsia" w:ascii="仿宋_GB2312" w:hAnsi="仿宋_GB2312" w:eastAsia="仿宋_GB2312" w:cs="仿宋_GB2312"/>
                <w:b w:val="0"/>
                <w:bCs w:val="0"/>
                <w:color w:val="000000"/>
                <w:sz w:val="24"/>
                <w:szCs w:val="24"/>
                <w:highlight w:val="none"/>
                <w:lang w:val="en-US" w:eastAsia="zh-CN"/>
              </w:rPr>
            </w:pPr>
            <w:r>
              <w:rPr>
                <w:rFonts w:hint="eastAsia" w:ascii="仿宋_GB2312" w:hAnsi="仿宋_GB2312" w:eastAsia="仿宋_GB2312" w:cs="仿宋_GB2312"/>
                <w:b w:val="0"/>
                <w:bCs w:val="0"/>
                <w:color w:val="000000"/>
                <w:sz w:val="24"/>
                <w:szCs w:val="24"/>
                <w:highlight w:val="none"/>
                <w:lang w:val="en-US" w:eastAsia="zh-CN"/>
              </w:rPr>
              <w:t>毕业教育</w:t>
            </w:r>
          </w:p>
        </w:tc>
        <w:tc>
          <w:tcPr>
            <w:tcW w:w="646" w:type="pct"/>
            <w:vAlign w:val="center"/>
          </w:tcPr>
          <w:p>
            <w:pPr>
              <w:spacing w:after="0" w:line="240" w:lineRule="auto"/>
              <w:jc w:val="center"/>
              <w:rPr>
                <w:rFonts w:hint="eastAsia" w:ascii="仿宋_GB2312" w:hAnsi="仿宋_GB2312" w:eastAsia="仿宋_GB2312" w:cs="仿宋_GB2312"/>
                <w:sz w:val="24"/>
                <w:szCs w:val="24"/>
                <w:highlight w:val="none"/>
              </w:rPr>
            </w:pP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rPr>
            </w:pP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p>
        </w:tc>
        <w:tc>
          <w:tcPr>
            <w:tcW w:w="584"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18-19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spacing w:after="0" w:line="240" w:lineRule="auto"/>
              <w:jc w:val="center"/>
              <w:rPr>
                <w:rFonts w:hint="eastAsia" w:ascii="仿宋_GB2312" w:hAnsi="仿宋_GB2312" w:eastAsia="仿宋_GB2312" w:cs="仿宋_GB2312"/>
                <w:sz w:val="24"/>
                <w:szCs w:val="24"/>
                <w:highlight w:val="none"/>
              </w:rPr>
            </w:pPr>
            <w:r>
              <w:rPr>
                <w:rFonts w:hint="eastAsia" w:ascii="仿宋_GB2312" w:hAnsi="仿宋_GB2312" w:eastAsia="仿宋_GB2312" w:cs="仿宋_GB2312"/>
                <w:b w:val="0"/>
                <w:bCs w:val="0"/>
                <w:color w:val="000000"/>
                <w:sz w:val="24"/>
                <w:szCs w:val="24"/>
                <w:highlight w:val="none"/>
              </w:rPr>
              <w:t>学期教学总周数</w:t>
            </w:r>
          </w:p>
        </w:tc>
        <w:tc>
          <w:tcPr>
            <w:tcW w:w="646" w:type="pct"/>
            <w:vAlign w:val="center"/>
          </w:tcPr>
          <w:p>
            <w:pPr>
              <w:spacing w:after="0" w:line="240" w:lineRule="auto"/>
              <w:jc w:val="center"/>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20周</w:t>
            </w: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sz w:val="24"/>
                <w:szCs w:val="24"/>
                <w:highlight w:val="none"/>
                <w:lang w:val="en-US" w:eastAsia="zh-CN"/>
              </w:rPr>
              <w:t>20周</w:t>
            </w: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sz w:val="24"/>
                <w:szCs w:val="24"/>
                <w:highlight w:val="none"/>
                <w:lang w:val="en-US" w:eastAsia="zh-CN"/>
              </w:rPr>
              <w:t>20周</w:t>
            </w: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sz w:val="24"/>
                <w:szCs w:val="24"/>
                <w:highlight w:val="none"/>
                <w:lang w:val="en-US" w:eastAsia="zh-CN"/>
              </w:rPr>
              <w:t>20周</w:t>
            </w:r>
          </w:p>
        </w:tc>
        <w:tc>
          <w:tcPr>
            <w:tcW w:w="582"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sz w:val="24"/>
                <w:szCs w:val="24"/>
                <w:highlight w:val="none"/>
                <w:lang w:val="en-US" w:eastAsia="zh-CN"/>
              </w:rPr>
              <w:t>20周</w:t>
            </w:r>
          </w:p>
        </w:tc>
        <w:tc>
          <w:tcPr>
            <w:tcW w:w="584" w:type="pct"/>
            <w:vAlign w:val="center"/>
          </w:tcPr>
          <w:p>
            <w:pPr>
              <w:spacing w:after="0" w:line="240" w:lineRule="auto"/>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sz w:val="24"/>
                <w:szCs w:val="24"/>
                <w:highlight w:val="none"/>
                <w:lang w:val="en-US" w:eastAsia="zh-CN"/>
              </w:rPr>
              <w:t>20周</w:t>
            </w:r>
          </w:p>
        </w:tc>
      </w:tr>
    </w:tbl>
    <w:p>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outlineLvl w:val="1"/>
        <w:rPr>
          <w:rFonts w:hint="eastAsia" w:ascii="楷体" w:hAnsi="楷体" w:eastAsia="楷体" w:cs="楷体"/>
          <w:bCs/>
          <w:color w:val="auto"/>
          <w:sz w:val="32"/>
          <w:szCs w:val="32"/>
          <w:highlight w:val="none"/>
        </w:rPr>
      </w:pPr>
      <w:bookmarkStart w:id="69" w:name="_Toc12881"/>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lang w:val="en-US" w:eastAsia="zh-CN"/>
        </w:rPr>
        <w:t>二</w:t>
      </w:r>
      <w:r>
        <w:rPr>
          <w:rFonts w:hint="eastAsia" w:ascii="楷体" w:hAnsi="楷体" w:eastAsia="楷体" w:cs="楷体"/>
          <w:color w:val="auto"/>
          <w:sz w:val="32"/>
          <w:szCs w:val="32"/>
          <w:highlight w:val="none"/>
          <w:lang w:eastAsia="zh-CN"/>
        </w:rPr>
        <w:t>）</w:t>
      </w:r>
      <w:r>
        <w:rPr>
          <w:rFonts w:hint="eastAsia" w:ascii="楷体" w:hAnsi="楷体" w:eastAsia="楷体" w:cs="楷体"/>
          <w:bCs/>
          <w:color w:val="auto"/>
          <w:sz w:val="32"/>
          <w:szCs w:val="32"/>
          <w:highlight w:val="none"/>
        </w:rPr>
        <w:t>课程结构与学时、学分分配</w:t>
      </w:r>
      <w:bookmarkEnd w:id="69"/>
    </w:p>
    <w:p>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Cs/>
          <w:sz w:val="32"/>
          <w:szCs w:val="32"/>
        </w:rPr>
        <w:t>本专业教学总学时为</w:t>
      </w:r>
      <w:r>
        <w:rPr>
          <w:rFonts w:hint="eastAsia" w:ascii="仿宋_GB2312" w:hAnsi="仿宋_GB2312" w:eastAsia="仿宋_GB2312" w:cs="仿宋_GB2312"/>
          <w:spacing w:val="-2"/>
          <w:sz w:val="32"/>
          <w:szCs w:val="32"/>
          <w:lang w:val="en-US" w:eastAsia="zh-CN"/>
        </w:rPr>
        <w:t>2734</w:t>
      </w:r>
      <w:r>
        <w:rPr>
          <w:rFonts w:hint="eastAsia" w:ascii="仿宋_GB2312" w:hAnsi="仿宋_GB2312" w:eastAsia="仿宋_GB2312" w:cs="仿宋_GB2312"/>
          <w:bCs/>
          <w:sz w:val="32"/>
          <w:szCs w:val="32"/>
        </w:rPr>
        <w:t>学时。其中理论教学</w:t>
      </w:r>
      <w:r>
        <w:rPr>
          <w:rFonts w:hint="eastAsia" w:ascii="仿宋_GB2312" w:hAnsi="仿宋_GB2312" w:eastAsia="仿宋_GB2312" w:cs="仿宋_GB2312"/>
          <w:bCs/>
          <w:sz w:val="32"/>
          <w:szCs w:val="32"/>
          <w:lang w:val="en-US" w:eastAsia="zh-CN"/>
        </w:rPr>
        <w:t>1238</w:t>
      </w:r>
      <w:r>
        <w:rPr>
          <w:rFonts w:hint="eastAsia" w:ascii="仿宋_GB2312" w:hAnsi="仿宋_GB2312" w:eastAsia="仿宋_GB2312" w:cs="仿宋_GB2312"/>
          <w:bCs/>
          <w:sz w:val="32"/>
          <w:szCs w:val="32"/>
        </w:rPr>
        <w:t>学时，占</w:t>
      </w:r>
      <w:r>
        <w:rPr>
          <w:rFonts w:hint="eastAsia" w:ascii="仿宋_GB2312" w:hAnsi="仿宋_GB2312" w:eastAsia="仿宋_GB2312" w:cs="仿宋_GB2312"/>
          <w:spacing w:val="-2"/>
          <w:sz w:val="32"/>
          <w:szCs w:val="32"/>
          <w:lang w:val="en-US" w:eastAsia="zh-CN"/>
        </w:rPr>
        <w:t>45.28</w:t>
      </w:r>
      <w:r>
        <w:rPr>
          <w:rFonts w:hint="eastAsia" w:ascii="仿宋_GB2312" w:hAnsi="仿宋_GB2312" w:eastAsia="仿宋_GB2312" w:cs="仿宋_GB2312"/>
          <w:bCs/>
          <w:sz w:val="32"/>
          <w:szCs w:val="32"/>
        </w:rPr>
        <w:t>%；实践教学</w:t>
      </w:r>
      <w:r>
        <w:rPr>
          <w:rFonts w:hint="eastAsia" w:ascii="仿宋_GB2312" w:hAnsi="仿宋_GB2312" w:eastAsia="仿宋_GB2312" w:cs="仿宋_GB2312"/>
          <w:spacing w:val="-2"/>
          <w:sz w:val="32"/>
          <w:szCs w:val="32"/>
        </w:rPr>
        <w:t>14</w:t>
      </w:r>
      <w:r>
        <w:rPr>
          <w:rFonts w:hint="eastAsia" w:ascii="仿宋_GB2312" w:hAnsi="仿宋_GB2312" w:eastAsia="仿宋_GB2312" w:cs="仿宋_GB2312"/>
          <w:spacing w:val="-2"/>
          <w:sz w:val="32"/>
          <w:szCs w:val="32"/>
          <w:lang w:val="en-US" w:eastAsia="zh-CN"/>
        </w:rPr>
        <w:t>96</w:t>
      </w:r>
      <w:r>
        <w:rPr>
          <w:rFonts w:hint="eastAsia" w:ascii="仿宋_GB2312" w:hAnsi="仿宋_GB2312" w:eastAsia="仿宋_GB2312" w:cs="仿宋_GB2312"/>
          <w:bCs/>
          <w:sz w:val="32"/>
          <w:szCs w:val="32"/>
        </w:rPr>
        <w:t>学时，占</w:t>
      </w:r>
      <w:r>
        <w:rPr>
          <w:rFonts w:hint="eastAsia" w:ascii="仿宋_GB2312" w:hAnsi="仿宋_GB2312" w:eastAsia="仿宋_GB2312" w:cs="仿宋_GB2312"/>
          <w:bCs/>
          <w:sz w:val="32"/>
          <w:szCs w:val="32"/>
          <w:lang w:val="en-US" w:eastAsia="zh-CN"/>
        </w:rPr>
        <w:t>54.72</w:t>
      </w:r>
      <w:r>
        <w:rPr>
          <w:rFonts w:hint="eastAsia" w:ascii="仿宋_GB2312" w:hAnsi="仿宋_GB2312" w:eastAsia="仿宋_GB2312" w:cs="仿宋_GB2312"/>
          <w:spacing w:val="-2"/>
          <w:sz w:val="32"/>
          <w:szCs w:val="32"/>
        </w:rPr>
        <w:t xml:space="preserve"> </w:t>
      </w:r>
      <w:r>
        <w:rPr>
          <w:rFonts w:hint="eastAsia" w:ascii="仿宋_GB2312" w:hAnsi="仿宋_GB2312" w:eastAsia="仿宋_GB2312" w:cs="仿宋_GB2312"/>
          <w:bCs/>
          <w:sz w:val="32"/>
          <w:szCs w:val="32"/>
        </w:rPr>
        <w:t>%，其中岗位</w:t>
      </w:r>
      <w:r>
        <w:rPr>
          <w:rFonts w:hint="eastAsia" w:ascii="仿宋_GB2312" w:hAnsi="仿宋_GB2312" w:eastAsia="仿宋_GB2312" w:cs="仿宋_GB2312"/>
          <w:spacing w:val="-2"/>
          <w:sz w:val="32"/>
          <w:szCs w:val="32"/>
        </w:rPr>
        <w:t>实习时间累计一般为6个月。</w:t>
      </w:r>
      <w:r>
        <w:rPr>
          <w:rFonts w:hint="eastAsia" w:ascii="仿宋_GB2312" w:hAnsi="仿宋_GB2312" w:eastAsia="仿宋_GB2312" w:cs="仿宋_GB2312"/>
          <w:bCs/>
          <w:sz w:val="32"/>
          <w:szCs w:val="32"/>
        </w:rPr>
        <w:t>公共基础课</w:t>
      </w:r>
      <w:r>
        <w:rPr>
          <w:rFonts w:hint="eastAsia" w:ascii="仿宋_GB2312" w:hAnsi="仿宋_GB2312" w:eastAsia="仿宋_GB2312" w:cs="仿宋_GB2312"/>
          <w:spacing w:val="-2"/>
          <w:sz w:val="32"/>
          <w:szCs w:val="32"/>
        </w:rPr>
        <w:t>8</w:t>
      </w:r>
      <w:r>
        <w:rPr>
          <w:rFonts w:hint="eastAsia" w:ascii="仿宋_GB2312" w:hAnsi="仿宋_GB2312" w:eastAsia="仿宋_GB2312" w:cs="仿宋_GB2312"/>
          <w:spacing w:val="-2"/>
          <w:sz w:val="32"/>
          <w:szCs w:val="32"/>
          <w:lang w:val="en-US" w:eastAsia="zh-CN"/>
        </w:rPr>
        <w:t>90</w:t>
      </w:r>
      <w:r>
        <w:rPr>
          <w:rFonts w:hint="eastAsia" w:ascii="仿宋_GB2312" w:hAnsi="仿宋_GB2312" w:eastAsia="仿宋_GB2312" w:cs="仿宋_GB2312"/>
          <w:bCs/>
          <w:sz w:val="32"/>
          <w:szCs w:val="32"/>
        </w:rPr>
        <w:t>学时，占</w:t>
      </w:r>
      <w:r>
        <w:rPr>
          <w:rFonts w:hint="eastAsia" w:ascii="仿宋_GB2312" w:hAnsi="仿宋_GB2312" w:eastAsia="仿宋_GB2312" w:cs="仿宋_GB2312"/>
          <w:spacing w:val="-2"/>
          <w:sz w:val="32"/>
          <w:szCs w:val="32"/>
          <w:lang w:val="en-US" w:eastAsia="zh-CN"/>
        </w:rPr>
        <w:t>32.55</w:t>
      </w:r>
      <w:r>
        <w:rPr>
          <w:rFonts w:hint="eastAsia" w:ascii="仿宋_GB2312" w:hAnsi="仿宋_GB2312" w:eastAsia="仿宋_GB2312" w:cs="仿宋_GB2312"/>
          <w:bCs/>
          <w:sz w:val="32"/>
          <w:szCs w:val="32"/>
        </w:rPr>
        <w:t>%；选修课</w:t>
      </w:r>
      <w:r>
        <w:rPr>
          <w:rFonts w:hint="eastAsia" w:ascii="仿宋_GB2312" w:hAnsi="仿宋_GB2312" w:eastAsia="仿宋_GB2312" w:cs="仿宋_GB2312"/>
          <w:spacing w:val="-2"/>
          <w:sz w:val="32"/>
          <w:szCs w:val="32"/>
          <w:lang w:val="en-US" w:eastAsia="zh-CN"/>
        </w:rPr>
        <w:t>308</w:t>
      </w:r>
      <w:r>
        <w:rPr>
          <w:rFonts w:hint="eastAsia" w:ascii="仿宋_GB2312" w:hAnsi="仿宋_GB2312" w:eastAsia="仿宋_GB2312" w:cs="仿宋_GB2312"/>
          <w:bCs/>
          <w:sz w:val="32"/>
          <w:szCs w:val="32"/>
        </w:rPr>
        <w:t>学时，占</w:t>
      </w:r>
      <w:r>
        <w:rPr>
          <w:rFonts w:hint="eastAsia" w:ascii="仿宋_GB2312" w:hAnsi="仿宋_GB2312" w:eastAsia="仿宋_GB2312" w:cs="仿宋_GB2312"/>
          <w:spacing w:val="-2"/>
          <w:sz w:val="32"/>
          <w:szCs w:val="32"/>
          <w:lang w:val="en-US" w:eastAsia="zh-CN"/>
        </w:rPr>
        <w:t>11.27</w:t>
      </w:r>
      <w:r>
        <w:rPr>
          <w:rFonts w:hint="eastAsia" w:ascii="仿宋_GB2312" w:hAnsi="仿宋_GB2312" w:eastAsia="仿宋_GB2312" w:cs="仿宋_GB2312"/>
          <w:bCs/>
          <w:sz w:val="32"/>
          <w:szCs w:val="32"/>
        </w:rPr>
        <w:t>%</w:t>
      </w:r>
      <w:r>
        <w:rPr>
          <w:rFonts w:hint="eastAsia" w:ascii="仿宋_GB2312" w:hAnsi="仿宋_GB2312" w:eastAsia="仿宋_GB2312" w:cs="仿宋_GB2312"/>
          <w:bCs/>
          <w:color w:val="auto"/>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z w:val="32"/>
          <w:szCs w:val="32"/>
          <w:highlight w:val="none"/>
        </w:rPr>
        <w:t>表</w:t>
      </w:r>
      <w:r>
        <w:rPr>
          <w:rFonts w:hint="eastAsia" w:ascii="仿宋_GB2312" w:hAnsi="仿宋_GB2312" w:eastAsia="仿宋_GB2312" w:cs="仿宋_GB2312"/>
          <w:color w:val="auto"/>
          <w:sz w:val="32"/>
          <w:szCs w:val="32"/>
          <w:highlight w:val="none"/>
          <w:lang w:val="en-US" w:eastAsia="zh-CN"/>
        </w:rPr>
        <w:t>9</w:t>
      </w:r>
      <w:r>
        <w:rPr>
          <w:rFonts w:hint="eastAsia" w:ascii="仿宋_GB2312" w:hAnsi="仿宋_GB2312" w:eastAsia="仿宋_GB2312" w:cs="仿宋_GB2312"/>
          <w:color w:val="auto"/>
          <w:spacing w:val="-2"/>
          <w:sz w:val="32"/>
          <w:szCs w:val="32"/>
          <w:highlight w:val="none"/>
        </w:rPr>
        <w:t>课程学时、学分分配表</w:t>
      </w:r>
    </w:p>
    <w:tbl>
      <w:tblPr>
        <w:tblStyle w:val="11"/>
        <w:tblW w:w="1059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50"/>
        <w:gridCol w:w="1624"/>
        <w:gridCol w:w="1276"/>
        <w:gridCol w:w="716"/>
        <w:gridCol w:w="1115"/>
        <w:gridCol w:w="893"/>
        <w:gridCol w:w="757"/>
        <w:gridCol w:w="1257"/>
        <w:gridCol w:w="748"/>
        <w:gridCol w:w="12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40" w:hRule="atLeast"/>
          <w:jc w:val="center"/>
        </w:trPr>
        <w:tc>
          <w:tcPr>
            <w:tcW w:w="257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课程类别</w:t>
            </w:r>
          </w:p>
        </w:tc>
        <w:tc>
          <w:tcPr>
            <w:tcW w:w="12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课程性质</w:t>
            </w:r>
          </w:p>
        </w:tc>
        <w:tc>
          <w:tcPr>
            <w:tcW w:w="71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学分</w:t>
            </w:r>
          </w:p>
        </w:tc>
        <w:tc>
          <w:tcPr>
            <w:tcW w:w="11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占专业总学分比例</w:t>
            </w:r>
          </w:p>
        </w:tc>
        <w:tc>
          <w:tcPr>
            <w:tcW w:w="4917"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学时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57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000000"/>
                <w:sz w:val="24"/>
                <w:szCs w:val="24"/>
                <w:highlight w:val="none"/>
                <w:u w:val="none"/>
              </w:rPr>
            </w:pPr>
          </w:p>
        </w:tc>
        <w:tc>
          <w:tcPr>
            <w:tcW w:w="12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000000"/>
                <w:sz w:val="24"/>
                <w:szCs w:val="24"/>
                <w:highlight w:val="none"/>
                <w:u w:val="none"/>
              </w:rPr>
            </w:pPr>
          </w:p>
        </w:tc>
        <w:tc>
          <w:tcPr>
            <w:tcW w:w="7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000000"/>
                <w:sz w:val="24"/>
                <w:szCs w:val="24"/>
                <w:highlight w:val="none"/>
                <w:u w:val="none"/>
              </w:rPr>
            </w:pPr>
          </w:p>
        </w:tc>
        <w:tc>
          <w:tcPr>
            <w:tcW w:w="11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000000"/>
                <w:sz w:val="24"/>
                <w:szCs w:val="24"/>
                <w:highlight w:val="none"/>
                <w:u w:val="none"/>
              </w:rPr>
            </w:pPr>
          </w:p>
        </w:tc>
        <w:tc>
          <w:tcPr>
            <w:tcW w:w="89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合计</w:t>
            </w:r>
          </w:p>
        </w:tc>
        <w:tc>
          <w:tcPr>
            <w:tcW w:w="201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理论教学</w:t>
            </w:r>
          </w:p>
        </w:tc>
        <w:tc>
          <w:tcPr>
            <w:tcW w:w="201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实践教学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0" w:hRule="atLeast"/>
          <w:jc w:val="center"/>
        </w:trPr>
        <w:tc>
          <w:tcPr>
            <w:tcW w:w="257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000000"/>
                <w:sz w:val="24"/>
                <w:szCs w:val="24"/>
                <w:highlight w:val="none"/>
                <w:u w:val="none"/>
              </w:rPr>
            </w:pPr>
          </w:p>
        </w:tc>
        <w:tc>
          <w:tcPr>
            <w:tcW w:w="12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000000"/>
                <w:sz w:val="24"/>
                <w:szCs w:val="24"/>
                <w:highlight w:val="none"/>
                <w:u w:val="none"/>
              </w:rPr>
            </w:pPr>
          </w:p>
        </w:tc>
        <w:tc>
          <w:tcPr>
            <w:tcW w:w="7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000000"/>
                <w:sz w:val="24"/>
                <w:szCs w:val="24"/>
                <w:highlight w:val="none"/>
                <w:u w:val="none"/>
              </w:rPr>
            </w:pPr>
          </w:p>
        </w:tc>
        <w:tc>
          <w:tcPr>
            <w:tcW w:w="11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000000"/>
                <w:sz w:val="24"/>
                <w:szCs w:val="24"/>
                <w:highlight w:val="none"/>
                <w:u w:val="none"/>
              </w:rPr>
            </w:pPr>
          </w:p>
        </w:tc>
        <w:tc>
          <w:tcPr>
            <w:tcW w:w="89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80" w:lineRule="exact"/>
              <w:jc w:val="center"/>
              <w:rPr>
                <w:rFonts w:hint="eastAsia" w:ascii="仿宋_GB2312" w:hAnsi="仿宋_GB2312" w:eastAsia="仿宋_GB2312" w:cs="仿宋_GB2312"/>
                <w:i w:val="0"/>
                <w:iCs w:val="0"/>
                <w:color w:val="000000"/>
                <w:sz w:val="24"/>
                <w:szCs w:val="24"/>
                <w:highlight w:val="none"/>
                <w:u w:val="none"/>
              </w:rPr>
            </w:pP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学时</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占专业总学时比例（%）</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学时</w:t>
            </w:r>
          </w:p>
        </w:tc>
        <w:tc>
          <w:tcPr>
            <w:tcW w:w="12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80" w:lineRule="exact"/>
              <w:jc w:val="center"/>
              <w:textAlignment w:val="center"/>
              <w:rPr>
                <w:rFonts w:hint="eastAsia" w:ascii="仿宋_GB2312" w:hAnsi="仿宋_GB2312" w:eastAsia="仿宋_GB2312" w:cs="仿宋_GB2312"/>
                <w:i w:val="0"/>
                <w:iCs w:val="0"/>
                <w:color w:val="000000"/>
                <w:sz w:val="24"/>
                <w:szCs w:val="24"/>
                <w:highlight w:val="none"/>
                <w:u w:val="none"/>
              </w:rPr>
            </w:pPr>
            <w:r>
              <w:rPr>
                <w:rFonts w:hint="eastAsia" w:ascii="仿宋_GB2312" w:hAnsi="仿宋_GB2312" w:eastAsia="仿宋_GB2312" w:cs="仿宋_GB2312"/>
                <w:i w:val="0"/>
                <w:iCs w:val="0"/>
                <w:color w:val="000000"/>
                <w:kern w:val="0"/>
                <w:sz w:val="24"/>
                <w:szCs w:val="24"/>
                <w:highlight w:val="none"/>
                <w:u w:val="none"/>
                <w:lang w:val="en-US" w:eastAsia="zh-CN" w:bidi="ar"/>
              </w:rPr>
              <w:t>占专业总学时比例（%）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57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kern w:val="0"/>
                <w:sz w:val="24"/>
                <w:szCs w:val="24"/>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公共基础课</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kern w:val="0"/>
                <w:sz w:val="24"/>
                <w:szCs w:val="24"/>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必修</w:t>
            </w:r>
          </w:p>
        </w:tc>
        <w:tc>
          <w:tcPr>
            <w:tcW w:w="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40</w:t>
            </w:r>
          </w:p>
        </w:tc>
        <w:tc>
          <w:tcPr>
            <w:tcW w:w="11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27.59%</w:t>
            </w:r>
          </w:p>
        </w:tc>
        <w:tc>
          <w:tcPr>
            <w:tcW w:w="8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 xml:space="preserve">762 </w:t>
            </w: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 xml:space="preserve">382 </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13.97%</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380</w:t>
            </w:r>
          </w:p>
        </w:tc>
        <w:tc>
          <w:tcPr>
            <w:tcW w:w="12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13.90%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57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000000"/>
                <w:kern w:val="0"/>
                <w:sz w:val="24"/>
                <w:szCs w:val="24"/>
                <w:highlight w:val="none"/>
                <w:u w:val="none"/>
                <w:lang w:val="en-US" w:eastAsia="zh-CN" w:bidi="ar"/>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kern w:val="0"/>
                <w:sz w:val="24"/>
                <w:szCs w:val="24"/>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选修</w:t>
            </w:r>
          </w:p>
        </w:tc>
        <w:tc>
          <w:tcPr>
            <w:tcW w:w="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8</w:t>
            </w:r>
          </w:p>
        </w:tc>
        <w:tc>
          <w:tcPr>
            <w:tcW w:w="11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5.52%</w:t>
            </w:r>
          </w:p>
        </w:tc>
        <w:tc>
          <w:tcPr>
            <w:tcW w:w="8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 xml:space="preserve">128 </w:t>
            </w: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 xml:space="preserve">80 </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2.93%</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48</w:t>
            </w:r>
          </w:p>
        </w:tc>
        <w:tc>
          <w:tcPr>
            <w:tcW w:w="12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57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000000"/>
                <w:kern w:val="0"/>
                <w:sz w:val="24"/>
                <w:szCs w:val="24"/>
                <w:highlight w:val="none"/>
                <w:u w:val="none"/>
                <w:lang w:val="en-US" w:eastAsia="zh-CN" w:bidi="ar"/>
              </w:rPr>
            </w:pP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kern w:val="0"/>
                <w:sz w:val="24"/>
                <w:szCs w:val="24"/>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小计</w:t>
            </w:r>
          </w:p>
        </w:tc>
        <w:tc>
          <w:tcPr>
            <w:tcW w:w="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48</w:t>
            </w:r>
          </w:p>
        </w:tc>
        <w:tc>
          <w:tcPr>
            <w:tcW w:w="11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33.10%</w:t>
            </w:r>
          </w:p>
        </w:tc>
        <w:tc>
          <w:tcPr>
            <w:tcW w:w="8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 xml:space="preserve">890 </w:t>
            </w: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 xml:space="preserve">462 </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16.90%</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428</w:t>
            </w:r>
          </w:p>
        </w:tc>
        <w:tc>
          <w:tcPr>
            <w:tcW w:w="12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15.65%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9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kern w:val="0"/>
                <w:sz w:val="24"/>
                <w:szCs w:val="24"/>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专业课</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kern w:val="0"/>
                <w:sz w:val="24"/>
                <w:szCs w:val="24"/>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专业基础课</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kern w:val="0"/>
                <w:sz w:val="24"/>
                <w:szCs w:val="24"/>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必修</w:t>
            </w:r>
          </w:p>
        </w:tc>
        <w:tc>
          <w:tcPr>
            <w:tcW w:w="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40</w:t>
            </w:r>
          </w:p>
        </w:tc>
        <w:tc>
          <w:tcPr>
            <w:tcW w:w="11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27.59%</w:t>
            </w:r>
          </w:p>
        </w:tc>
        <w:tc>
          <w:tcPr>
            <w:tcW w:w="8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 xml:space="preserve">720 </w:t>
            </w: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 xml:space="preserve">498 </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18.22%</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222</w:t>
            </w:r>
          </w:p>
        </w:tc>
        <w:tc>
          <w:tcPr>
            <w:tcW w:w="12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8.12%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9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000000"/>
                <w:kern w:val="0"/>
                <w:sz w:val="24"/>
                <w:szCs w:val="24"/>
                <w:highlight w:val="none"/>
                <w:u w:val="none"/>
                <w:lang w:val="en-US" w:eastAsia="zh-CN" w:bidi="ar"/>
              </w:rPr>
            </w:pP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kern w:val="0"/>
                <w:sz w:val="24"/>
                <w:szCs w:val="24"/>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专业核心课</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kern w:val="0"/>
                <w:sz w:val="24"/>
                <w:szCs w:val="24"/>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必修</w:t>
            </w:r>
          </w:p>
        </w:tc>
        <w:tc>
          <w:tcPr>
            <w:tcW w:w="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24</w:t>
            </w:r>
          </w:p>
        </w:tc>
        <w:tc>
          <w:tcPr>
            <w:tcW w:w="11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16.55%</w:t>
            </w:r>
          </w:p>
        </w:tc>
        <w:tc>
          <w:tcPr>
            <w:tcW w:w="8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 xml:space="preserve">432 </w:t>
            </w: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 xml:space="preserve">168 </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6.14%</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264</w:t>
            </w:r>
          </w:p>
        </w:tc>
        <w:tc>
          <w:tcPr>
            <w:tcW w:w="12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9.66%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9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320" w:lineRule="exact"/>
              <w:jc w:val="center"/>
              <w:rPr>
                <w:rFonts w:hint="eastAsia" w:ascii="仿宋_GB2312" w:hAnsi="仿宋_GB2312" w:eastAsia="仿宋_GB2312" w:cs="仿宋_GB2312"/>
                <w:i w:val="0"/>
                <w:iCs w:val="0"/>
                <w:color w:val="000000"/>
                <w:kern w:val="0"/>
                <w:sz w:val="24"/>
                <w:szCs w:val="24"/>
                <w:highlight w:val="none"/>
                <w:u w:val="none"/>
                <w:lang w:val="en-US" w:eastAsia="zh-CN" w:bidi="ar"/>
              </w:rPr>
            </w:pP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kern w:val="0"/>
                <w:sz w:val="24"/>
                <w:szCs w:val="24"/>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专业拓展课</w:t>
            </w:r>
          </w:p>
        </w:tc>
        <w:tc>
          <w:tcPr>
            <w:tcW w:w="12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kern w:val="0"/>
                <w:sz w:val="24"/>
                <w:szCs w:val="24"/>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选修</w:t>
            </w:r>
          </w:p>
        </w:tc>
        <w:tc>
          <w:tcPr>
            <w:tcW w:w="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10</w:t>
            </w:r>
          </w:p>
        </w:tc>
        <w:tc>
          <w:tcPr>
            <w:tcW w:w="11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6.90%</w:t>
            </w:r>
          </w:p>
        </w:tc>
        <w:tc>
          <w:tcPr>
            <w:tcW w:w="8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 xml:space="preserve">180 </w:t>
            </w: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 xml:space="preserve">90 </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3.29%</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90</w:t>
            </w:r>
          </w:p>
        </w:tc>
        <w:tc>
          <w:tcPr>
            <w:tcW w:w="12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9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kern w:val="0"/>
                <w:sz w:val="24"/>
                <w:szCs w:val="24"/>
                <w:highlight w:val="none"/>
                <w:u w:val="none"/>
                <w:lang w:val="en-US" w:eastAsia="zh-CN" w:bidi="ar"/>
              </w:rPr>
            </w:pP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highlight w:val="none"/>
              </w:rPr>
            </w:pPr>
            <w:r>
              <w:rPr>
                <w:rFonts w:hint="eastAsia" w:ascii="仿宋_GB2312" w:hAnsi="仿宋_GB2312" w:eastAsia="仿宋_GB2312" w:cs="仿宋_GB2312"/>
                <w:i w:val="0"/>
                <w:iCs w:val="0"/>
                <w:color w:val="000000"/>
                <w:sz w:val="20"/>
                <w:szCs w:val="20"/>
                <w:highlight w:val="none"/>
                <w:u w:val="none"/>
              </w:rPr>
              <w:t>实践</w:t>
            </w:r>
            <w:r>
              <w:rPr>
                <w:rFonts w:hint="eastAsia" w:ascii="仿宋_GB2312" w:hAnsi="仿宋_GB2312" w:eastAsia="仿宋_GB2312" w:cs="仿宋_GB2312"/>
                <w:i w:val="0"/>
                <w:iCs w:val="0"/>
                <w:color w:val="000000"/>
                <w:sz w:val="20"/>
                <w:szCs w:val="20"/>
                <w:highlight w:val="none"/>
                <w:u w:val="none"/>
                <w:lang w:val="en-US" w:eastAsia="zh-CN"/>
              </w:rPr>
              <w:t>性</w:t>
            </w:r>
            <w:r>
              <w:rPr>
                <w:rFonts w:hint="eastAsia" w:ascii="仿宋_GB2312" w:hAnsi="仿宋_GB2312" w:eastAsia="仿宋_GB2312" w:cs="仿宋_GB2312"/>
                <w:i w:val="0"/>
                <w:iCs w:val="0"/>
                <w:color w:val="000000"/>
                <w:sz w:val="20"/>
                <w:szCs w:val="20"/>
                <w:highlight w:val="none"/>
                <w:u w:val="none"/>
              </w:rPr>
              <w:t>教学环节</w:t>
            </w:r>
          </w:p>
        </w:tc>
        <w:tc>
          <w:tcPr>
            <w:tcW w:w="12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kern w:val="0"/>
                <w:sz w:val="24"/>
                <w:szCs w:val="24"/>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必修</w:t>
            </w:r>
          </w:p>
        </w:tc>
        <w:tc>
          <w:tcPr>
            <w:tcW w:w="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23</w:t>
            </w:r>
          </w:p>
        </w:tc>
        <w:tc>
          <w:tcPr>
            <w:tcW w:w="11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15.86%</w:t>
            </w:r>
          </w:p>
        </w:tc>
        <w:tc>
          <w:tcPr>
            <w:tcW w:w="8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 xml:space="preserve">512 </w:t>
            </w: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 xml:space="preserve">20 </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0.73%</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492</w:t>
            </w:r>
          </w:p>
        </w:tc>
        <w:tc>
          <w:tcPr>
            <w:tcW w:w="12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9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kern w:val="0"/>
                <w:sz w:val="24"/>
                <w:szCs w:val="24"/>
                <w:highlight w:val="none"/>
                <w:u w:val="none"/>
                <w:lang w:val="en-US" w:eastAsia="zh-CN" w:bidi="ar"/>
              </w:rPr>
            </w:pPr>
          </w:p>
        </w:tc>
        <w:tc>
          <w:tcPr>
            <w:tcW w:w="29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highlight w:val="none"/>
              </w:rPr>
            </w:pPr>
            <w:r>
              <w:rPr>
                <w:rFonts w:hint="eastAsia" w:ascii="仿宋_GB2312" w:hAnsi="仿宋_GB2312" w:eastAsia="仿宋_GB2312" w:cs="仿宋_GB2312"/>
                <w:i w:val="0"/>
                <w:color w:val="000000"/>
                <w:kern w:val="0"/>
                <w:sz w:val="20"/>
                <w:szCs w:val="20"/>
                <w:highlight w:val="none"/>
                <w:u w:val="none"/>
                <w:lang w:val="en-US" w:eastAsia="zh-CN" w:bidi="ar"/>
              </w:rPr>
              <w:t>小计</w:t>
            </w:r>
          </w:p>
        </w:tc>
        <w:tc>
          <w:tcPr>
            <w:tcW w:w="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97</w:t>
            </w:r>
          </w:p>
        </w:tc>
        <w:tc>
          <w:tcPr>
            <w:tcW w:w="11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66.90%</w:t>
            </w:r>
          </w:p>
        </w:tc>
        <w:tc>
          <w:tcPr>
            <w:tcW w:w="8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 xml:space="preserve">1844 </w:t>
            </w: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 xml:space="preserve">776 </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28.38%</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 xml:space="preserve">1068 </w:t>
            </w:r>
          </w:p>
        </w:tc>
        <w:tc>
          <w:tcPr>
            <w:tcW w:w="12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39.06%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85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iCs w:val="0"/>
                <w:color w:val="000000"/>
                <w:kern w:val="0"/>
                <w:sz w:val="24"/>
                <w:szCs w:val="24"/>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合计</w:t>
            </w:r>
          </w:p>
        </w:tc>
        <w:tc>
          <w:tcPr>
            <w:tcW w:w="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145</w:t>
            </w:r>
          </w:p>
        </w:tc>
        <w:tc>
          <w:tcPr>
            <w:tcW w:w="11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100.00%</w:t>
            </w:r>
          </w:p>
        </w:tc>
        <w:tc>
          <w:tcPr>
            <w:tcW w:w="8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 xml:space="preserve">2734 </w:t>
            </w:r>
          </w:p>
        </w:tc>
        <w:tc>
          <w:tcPr>
            <w:tcW w:w="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 xml:space="preserve">1238 </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45.28%</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1496</w:t>
            </w:r>
          </w:p>
        </w:tc>
        <w:tc>
          <w:tcPr>
            <w:tcW w:w="12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20" w:lineRule="exact"/>
              <w:jc w:val="center"/>
              <w:textAlignment w:val="center"/>
              <w:rPr>
                <w:rFonts w:hint="eastAsia" w:ascii="仿宋_GB2312" w:hAnsi="仿宋_GB2312" w:eastAsia="仿宋_GB2312" w:cs="仿宋_GB2312"/>
                <w:i w:val="0"/>
                <w:color w:val="000000"/>
                <w:kern w:val="0"/>
                <w:sz w:val="20"/>
                <w:szCs w:val="20"/>
                <w:highlight w:val="none"/>
                <w:u w:val="none"/>
                <w:lang w:val="en-US" w:eastAsia="zh-CN" w:bidi="ar"/>
              </w:rPr>
            </w:pPr>
            <w:r>
              <w:rPr>
                <w:rFonts w:hint="eastAsia" w:ascii="仿宋_GB2312" w:hAnsi="仿宋_GB2312" w:eastAsia="仿宋_GB2312" w:cs="仿宋_GB2312"/>
                <w:i w:val="0"/>
                <w:color w:val="000000"/>
                <w:kern w:val="0"/>
                <w:sz w:val="20"/>
                <w:szCs w:val="20"/>
                <w:highlight w:val="none"/>
                <w:u w:val="none"/>
                <w:lang w:val="en-US" w:eastAsia="zh-CN" w:bidi="ar"/>
              </w:rPr>
              <w:t>54.72%</w:t>
            </w:r>
          </w:p>
        </w:tc>
      </w:tr>
    </w:tbl>
    <w:p>
      <w:pPr>
        <w:keepNext w:val="0"/>
        <w:keepLines w:val="0"/>
        <w:pageBreakBefore w:val="0"/>
        <w:widowControl w:val="0"/>
        <w:numPr>
          <w:ilvl w:val="0"/>
          <w:numId w:val="1"/>
        </w:numPr>
        <w:kinsoku/>
        <w:wordWrap/>
        <w:overflowPunct/>
        <w:topLinePunct w:val="0"/>
        <w:autoSpaceDE/>
        <w:autoSpaceDN/>
        <w:bidi w:val="0"/>
        <w:adjustRightInd/>
        <w:snapToGrid/>
        <w:spacing w:after="0" w:line="520" w:lineRule="exact"/>
        <w:ind w:firstLine="640" w:firstLineChars="200"/>
        <w:textAlignment w:val="auto"/>
        <w:outlineLvl w:val="1"/>
        <w:rPr>
          <w:rFonts w:hint="eastAsia" w:ascii="楷体" w:hAnsi="楷体" w:eastAsia="楷体" w:cs="楷体"/>
          <w:color w:val="auto"/>
          <w:sz w:val="32"/>
          <w:szCs w:val="32"/>
          <w:highlight w:val="none"/>
        </w:rPr>
      </w:pPr>
      <w:bookmarkStart w:id="70" w:name="_Toc5840"/>
      <w:r>
        <w:rPr>
          <w:rFonts w:hint="eastAsia" w:ascii="楷体" w:hAnsi="楷体" w:eastAsia="楷体" w:cs="楷体"/>
          <w:color w:val="auto"/>
          <w:sz w:val="32"/>
          <w:szCs w:val="32"/>
          <w:highlight w:val="none"/>
        </w:rPr>
        <w:t>教学计划进程</w:t>
      </w:r>
      <w:bookmarkEnd w:id="70"/>
    </w:p>
    <w:p>
      <w:pPr>
        <w:pStyle w:val="10"/>
        <w:keepNext w:val="0"/>
        <w:keepLines w:val="0"/>
        <w:pageBreakBefore w:val="0"/>
        <w:shd w:val="clear" w:color="auto" w:fill="FFFFFF"/>
        <w:kinsoku/>
        <w:wordWrap/>
        <w:topLinePunct w:val="0"/>
        <w:autoSpaceDE/>
        <w:autoSpaceDN/>
        <w:bidi w:val="0"/>
        <w:snapToGrid/>
        <w:spacing w:before="0" w:beforeAutospacing="0" w:afterAutospacing="0" w:line="520" w:lineRule="exact"/>
        <w:jc w:val="center"/>
        <w:textAlignment w:val="auto"/>
        <w:rPr>
          <w:rFonts w:hint="eastAsia" w:ascii="仿宋_GB2312" w:hAnsi="仿宋_GB2312" w:eastAsia="仿宋_GB2312" w:cs="仿宋_GB2312"/>
          <w:color w:val="auto"/>
          <w:sz w:val="32"/>
          <w:szCs w:val="32"/>
          <w:highlight w:val="none"/>
          <w:shd w:val="clear" w:color="auto" w:fill="FFFFFF"/>
          <w:lang w:bidi="ar"/>
        </w:rPr>
      </w:pPr>
      <w:r>
        <w:rPr>
          <w:rFonts w:hint="eastAsia" w:ascii="仿宋_GB2312" w:hAnsi="仿宋_GB2312" w:eastAsia="仿宋_GB2312" w:cs="仿宋_GB2312"/>
          <w:color w:val="auto"/>
          <w:sz w:val="32"/>
          <w:szCs w:val="32"/>
          <w:highlight w:val="none"/>
        </w:rPr>
        <w:t>表</w:t>
      </w:r>
      <w:r>
        <w:rPr>
          <w:rFonts w:hint="eastAsia" w:ascii="仿宋_GB2312" w:hAnsi="仿宋_GB2312" w:eastAsia="仿宋_GB2312" w:cs="仿宋_GB2312"/>
          <w:color w:val="auto"/>
          <w:sz w:val="32"/>
          <w:szCs w:val="32"/>
          <w:highlight w:val="none"/>
          <w:lang w:val="en-US" w:eastAsia="zh-CN"/>
        </w:rPr>
        <w:t xml:space="preserve">10 </w:t>
      </w:r>
      <w:r>
        <w:rPr>
          <w:rFonts w:hint="eastAsia" w:ascii="仿宋_GB2312" w:hAnsi="仿宋_GB2312" w:eastAsia="仿宋_GB2312" w:cs="仿宋_GB2312"/>
          <w:color w:val="auto"/>
          <w:sz w:val="32"/>
          <w:szCs w:val="32"/>
          <w:highlight w:val="none"/>
          <w:shd w:val="clear" w:color="auto" w:fill="FFFFFF"/>
          <w:lang w:bidi="ar"/>
        </w:rPr>
        <w:t>教学计划进程安排表</w:t>
      </w:r>
    </w:p>
    <w:tbl>
      <w:tblPr>
        <w:tblStyle w:val="11"/>
        <w:tblW w:w="575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37"/>
        <w:gridCol w:w="382"/>
        <w:gridCol w:w="430"/>
        <w:gridCol w:w="462"/>
        <w:gridCol w:w="1231"/>
        <w:gridCol w:w="1731"/>
        <w:gridCol w:w="715"/>
        <w:gridCol w:w="739"/>
        <w:gridCol w:w="657"/>
        <w:gridCol w:w="748"/>
        <w:gridCol w:w="393"/>
        <w:gridCol w:w="423"/>
        <w:gridCol w:w="363"/>
        <w:gridCol w:w="393"/>
        <w:gridCol w:w="426"/>
        <w:gridCol w:w="448"/>
        <w:gridCol w:w="7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583"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课程类型</w:t>
            </w:r>
          </w:p>
        </w:tc>
        <w:tc>
          <w:tcPr>
            <w:tcW w:w="21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序号</w:t>
            </w:r>
          </w:p>
        </w:tc>
        <w:tc>
          <w:tcPr>
            <w:tcW w:w="57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课程代码</w:t>
            </w:r>
          </w:p>
        </w:tc>
        <w:tc>
          <w:tcPr>
            <w:tcW w:w="8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课程名称</w:t>
            </w:r>
          </w:p>
        </w:tc>
        <w:tc>
          <w:tcPr>
            <w:tcW w:w="33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学分</w:t>
            </w:r>
          </w:p>
        </w:tc>
        <w:tc>
          <w:tcPr>
            <w:tcW w:w="1002"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教学学时数</w:t>
            </w:r>
          </w:p>
        </w:tc>
        <w:tc>
          <w:tcPr>
            <w:tcW w:w="1143" w:type="pct"/>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开课学期和周学时</w:t>
            </w:r>
          </w:p>
        </w:tc>
        <w:tc>
          <w:tcPr>
            <w:tcW w:w="33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考核类型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5" w:hRule="atLeast"/>
          <w:jc w:val="center"/>
        </w:trPr>
        <w:tc>
          <w:tcPr>
            <w:tcW w:w="583"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5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8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002"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143"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4" w:hRule="atLeast"/>
          <w:jc w:val="center"/>
        </w:trPr>
        <w:tc>
          <w:tcPr>
            <w:tcW w:w="583"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1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57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8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合计</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理论</w:t>
            </w:r>
          </w:p>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学时</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实践学时</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一</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二</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三</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四</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五</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六</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7" w:hRule="atLeast"/>
          <w:jc w:val="center"/>
        </w:trPr>
        <w:tc>
          <w:tcPr>
            <w:tcW w:w="382"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公共基础课</w:t>
            </w:r>
          </w:p>
        </w:tc>
        <w:tc>
          <w:tcPr>
            <w:tcW w:w="201" w:type="pct"/>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必修</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5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1B410101101</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思想道德与法治</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48</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36</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12</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6" w:hRule="atLeast"/>
          <w:jc w:val="center"/>
        </w:trPr>
        <w:tc>
          <w:tcPr>
            <w:tcW w:w="38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1" w:type="pct"/>
            <w:vMerge w:val="continue"/>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5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1A410101102</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形势与政策</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32</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32</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0</w:t>
            </w:r>
          </w:p>
        </w:tc>
        <w:tc>
          <w:tcPr>
            <w:tcW w:w="114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1到4学期开课，每学期8学时。</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7" w:hRule="atLeast"/>
          <w:jc w:val="center"/>
        </w:trPr>
        <w:tc>
          <w:tcPr>
            <w:tcW w:w="38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1" w:type="pct"/>
            <w:vMerge w:val="continue"/>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w:t>
            </w:r>
          </w:p>
        </w:tc>
        <w:tc>
          <w:tcPr>
            <w:tcW w:w="5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1A410101103</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国家安全教育</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16</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16</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0</w:t>
            </w:r>
          </w:p>
        </w:tc>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7" w:hRule="atLeast"/>
          <w:jc w:val="center"/>
        </w:trPr>
        <w:tc>
          <w:tcPr>
            <w:tcW w:w="38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1" w:type="pct"/>
            <w:vMerge w:val="continue"/>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w:t>
            </w:r>
          </w:p>
        </w:tc>
        <w:tc>
          <w:tcPr>
            <w:tcW w:w="5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1A410101104</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军事理论</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36</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36</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0</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6" w:hRule="atLeast"/>
          <w:jc w:val="center"/>
        </w:trPr>
        <w:tc>
          <w:tcPr>
            <w:tcW w:w="38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1" w:type="pct"/>
            <w:vMerge w:val="continue"/>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5</w:t>
            </w:r>
          </w:p>
        </w:tc>
        <w:tc>
          <w:tcPr>
            <w:tcW w:w="5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1C410101105</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军训</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112</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112</w:t>
            </w:r>
          </w:p>
        </w:tc>
        <w:tc>
          <w:tcPr>
            <w:tcW w:w="114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第1学期，实际训练时间不少于14天</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7" w:hRule="atLeast"/>
          <w:jc w:val="center"/>
        </w:trPr>
        <w:tc>
          <w:tcPr>
            <w:tcW w:w="38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1" w:type="pct"/>
            <w:vMerge w:val="continue"/>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6</w:t>
            </w:r>
          </w:p>
        </w:tc>
        <w:tc>
          <w:tcPr>
            <w:tcW w:w="5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1B410101106</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计算机基础</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64</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32</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32</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7" w:hRule="atLeast"/>
          <w:jc w:val="center"/>
        </w:trPr>
        <w:tc>
          <w:tcPr>
            <w:tcW w:w="38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1" w:type="pct"/>
            <w:vMerge w:val="continue"/>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7</w:t>
            </w:r>
          </w:p>
        </w:tc>
        <w:tc>
          <w:tcPr>
            <w:tcW w:w="5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1B410101108</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大学英语</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8</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128</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104</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24</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jc w:val="center"/>
        </w:trPr>
        <w:tc>
          <w:tcPr>
            <w:tcW w:w="38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1" w:type="pct"/>
            <w:vMerge w:val="continue"/>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8</w:t>
            </w:r>
          </w:p>
        </w:tc>
        <w:tc>
          <w:tcPr>
            <w:tcW w:w="5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1C410101109</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大学体育</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8</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default"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144</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default"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144</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default"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6" w:hRule="atLeast"/>
          <w:jc w:val="center"/>
        </w:trPr>
        <w:tc>
          <w:tcPr>
            <w:tcW w:w="38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1" w:type="pct"/>
            <w:vMerge w:val="continue"/>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9</w:t>
            </w:r>
          </w:p>
        </w:tc>
        <w:tc>
          <w:tcPr>
            <w:tcW w:w="5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1B410101110</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大学生职业发展与就业指导</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38</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26</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12</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6" w:hRule="atLeast"/>
          <w:jc w:val="center"/>
        </w:trPr>
        <w:tc>
          <w:tcPr>
            <w:tcW w:w="38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1" w:type="pct"/>
            <w:vMerge w:val="continue"/>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10</w:t>
            </w:r>
          </w:p>
        </w:tc>
        <w:tc>
          <w:tcPr>
            <w:tcW w:w="5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1B410101111</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大学生心理健康教育</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32</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12</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7" w:hRule="atLeast"/>
          <w:jc w:val="center"/>
        </w:trPr>
        <w:tc>
          <w:tcPr>
            <w:tcW w:w="38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1" w:type="pct"/>
            <w:vMerge w:val="continue"/>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11</w:t>
            </w:r>
          </w:p>
        </w:tc>
        <w:tc>
          <w:tcPr>
            <w:tcW w:w="5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1C410101112</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劳动教育</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16</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16</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5" w:hRule="atLeast"/>
          <w:jc w:val="center"/>
        </w:trPr>
        <w:tc>
          <w:tcPr>
            <w:tcW w:w="38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1" w:type="pct"/>
            <w:vMerge w:val="continue"/>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12</w:t>
            </w:r>
          </w:p>
        </w:tc>
        <w:tc>
          <w:tcPr>
            <w:tcW w:w="5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1B410101113</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毛泽东思想和中国特色社会主义理论体系概论</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32</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28</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7" w:hRule="atLeast"/>
          <w:jc w:val="center"/>
        </w:trPr>
        <w:tc>
          <w:tcPr>
            <w:tcW w:w="38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1" w:type="pct"/>
            <w:vMerge w:val="continue"/>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13</w:t>
            </w:r>
          </w:p>
        </w:tc>
        <w:tc>
          <w:tcPr>
            <w:tcW w:w="5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1B410101114</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创新创业教育</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16</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12</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5" w:hRule="atLeast"/>
          <w:jc w:val="center"/>
        </w:trPr>
        <w:tc>
          <w:tcPr>
            <w:tcW w:w="38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1" w:type="pct"/>
            <w:vMerge w:val="continue"/>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14</w:t>
            </w:r>
          </w:p>
        </w:tc>
        <w:tc>
          <w:tcPr>
            <w:tcW w:w="5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1B410101115</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习近平新时代中国特色社会主义思想概论</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48</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8</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w:t>
            </w: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38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1" w:type="pct"/>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选修</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5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1B410101201</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0"/>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w w:val="100"/>
                <w:kern w:val="0"/>
                <w:sz w:val="20"/>
                <w:szCs w:val="20"/>
                <w:highlight w:val="none"/>
                <w:u w:val="none"/>
                <w:lang w:val="en-US" w:eastAsia="zh-CN" w:bidi="ar"/>
              </w:rPr>
              <w:t>中国民俗剪纸技法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32</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8</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24</w:t>
            </w:r>
          </w:p>
        </w:tc>
        <w:tc>
          <w:tcPr>
            <w:tcW w:w="1143" w:type="pct"/>
            <w:gridSpan w:val="6"/>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公共选修课最低学分要求为8学分，其中要求2个学分为思政选修课学分。</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7" w:hRule="atLeast"/>
          <w:jc w:val="center"/>
        </w:trPr>
        <w:tc>
          <w:tcPr>
            <w:tcW w:w="38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1" w:type="pct"/>
            <w:vMerge w:val="continue"/>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5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1B410101202</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影视与鉴赏</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32</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8</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24</w:t>
            </w:r>
          </w:p>
        </w:tc>
        <w:tc>
          <w:tcPr>
            <w:tcW w:w="1143"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38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1" w:type="pct"/>
            <w:vMerge w:val="continue"/>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w:t>
            </w:r>
          </w:p>
        </w:tc>
        <w:tc>
          <w:tcPr>
            <w:tcW w:w="5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1A410101203</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spacing w:val="-17"/>
                <w:w w:val="100"/>
                <w:kern w:val="0"/>
                <w:sz w:val="20"/>
                <w:szCs w:val="20"/>
                <w:highlight w:val="none"/>
                <w:u w:val="none"/>
                <w:lang w:val="en-US" w:eastAsia="zh-CN" w:bidi="ar"/>
              </w:rPr>
              <w:t>中华优秀传统文化</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32</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32</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0</w:t>
            </w:r>
          </w:p>
        </w:tc>
        <w:tc>
          <w:tcPr>
            <w:tcW w:w="1143"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5" w:hRule="atLeast"/>
          <w:jc w:val="center"/>
        </w:trPr>
        <w:tc>
          <w:tcPr>
            <w:tcW w:w="38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1" w:type="pct"/>
            <w:vMerge w:val="continue"/>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w:t>
            </w:r>
          </w:p>
        </w:tc>
        <w:tc>
          <w:tcPr>
            <w:tcW w:w="5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1A410101204</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中国共产党简史</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32</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32</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0</w:t>
            </w:r>
          </w:p>
        </w:tc>
        <w:tc>
          <w:tcPr>
            <w:tcW w:w="1143"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7" w:hRule="atLeast"/>
          <w:jc w:val="center"/>
        </w:trPr>
        <w:tc>
          <w:tcPr>
            <w:tcW w:w="38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1" w:type="pct"/>
            <w:vMerge w:val="continue"/>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5</w:t>
            </w:r>
          </w:p>
        </w:tc>
        <w:tc>
          <w:tcPr>
            <w:tcW w:w="5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1A410101205</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改革开放简史</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32</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32</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0</w:t>
            </w:r>
          </w:p>
        </w:tc>
        <w:tc>
          <w:tcPr>
            <w:tcW w:w="1143"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6" w:hRule="atLeast"/>
          <w:jc w:val="center"/>
        </w:trPr>
        <w:tc>
          <w:tcPr>
            <w:tcW w:w="38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1" w:type="pct"/>
            <w:vMerge w:val="continue"/>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6</w:t>
            </w:r>
          </w:p>
        </w:tc>
        <w:tc>
          <w:tcPr>
            <w:tcW w:w="5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1A410101206</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中华人民共和国简史</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32</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32</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0</w:t>
            </w:r>
          </w:p>
        </w:tc>
        <w:tc>
          <w:tcPr>
            <w:tcW w:w="1143"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6" w:hRule="atLeast"/>
          <w:jc w:val="center"/>
        </w:trPr>
        <w:tc>
          <w:tcPr>
            <w:tcW w:w="38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1" w:type="pct"/>
            <w:vMerge w:val="continue"/>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7</w:t>
            </w:r>
          </w:p>
        </w:tc>
        <w:tc>
          <w:tcPr>
            <w:tcW w:w="5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1A410101207</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w w:val="100"/>
                <w:kern w:val="0"/>
                <w:sz w:val="20"/>
                <w:szCs w:val="20"/>
                <w:highlight w:val="none"/>
                <w:u w:val="none"/>
                <w:lang w:val="en-US" w:eastAsia="zh-CN" w:bidi="ar"/>
              </w:rPr>
              <w:t>社会主义发展简史</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32</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32</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0</w:t>
            </w:r>
          </w:p>
        </w:tc>
        <w:tc>
          <w:tcPr>
            <w:tcW w:w="1143"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6" w:hRule="atLeast"/>
          <w:jc w:val="center"/>
        </w:trPr>
        <w:tc>
          <w:tcPr>
            <w:tcW w:w="38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1" w:type="pct"/>
            <w:vMerge w:val="continue"/>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8</w:t>
            </w:r>
          </w:p>
        </w:tc>
        <w:tc>
          <w:tcPr>
            <w:tcW w:w="5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1A410101208</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中华民族共同体概论</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32</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32</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0</w:t>
            </w:r>
          </w:p>
        </w:tc>
        <w:tc>
          <w:tcPr>
            <w:tcW w:w="1143"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7" w:hRule="atLeast"/>
          <w:jc w:val="center"/>
        </w:trPr>
        <w:tc>
          <w:tcPr>
            <w:tcW w:w="38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1" w:type="pct"/>
            <w:vMerge w:val="continue"/>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9</w:t>
            </w:r>
          </w:p>
        </w:tc>
        <w:tc>
          <w:tcPr>
            <w:tcW w:w="5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1A410101209</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高等数学</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32</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32</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0</w:t>
            </w:r>
          </w:p>
        </w:tc>
        <w:tc>
          <w:tcPr>
            <w:tcW w:w="1143"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7" w:hRule="atLeast"/>
          <w:jc w:val="center"/>
        </w:trPr>
        <w:tc>
          <w:tcPr>
            <w:tcW w:w="38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1" w:type="pct"/>
            <w:vMerge w:val="continue"/>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10</w:t>
            </w:r>
          </w:p>
        </w:tc>
        <w:tc>
          <w:tcPr>
            <w:tcW w:w="5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1A410101210</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语文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32</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32</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0</w:t>
            </w:r>
          </w:p>
        </w:tc>
        <w:tc>
          <w:tcPr>
            <w:tcW w:w="1143"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7" w:hRule="atLeast"/>
          <w:jc w:val="center"/>
        </w:trPr>
        <w:tc>
          <w:tcPr>
            <w:tcW w:w="38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1" w:type="pct"/>
            <w:vMerge w:val="continue"/>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11</w:t>
            </w:r>
          </w:p>
        </w:tc>
        <w:tc>
          <w:tcPr>
            <w:tcW w:w="5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1A410101219</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物理</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32</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32</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0</w:t>
            </w:r>
          </w:p>
        </w:tc>
        <w:tc>
          <w:tcPr>
            <w:tcW w:w="1143"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7" w:hRule="atLeast"/>
          <w:jc w:val="center"/>
        </w:trPr>
        <w:tc>
          <w:tcPr>
            <w:tcW w:w="38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1" w:type="pct"/>
            <w:vMerge w:val="continue"/>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12</w:t>
            </w:r>
          </w:p>
        </w:tc>
        <w:tc>
          <w:tcPr>
            <w:tcW w:w="5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1A410101220</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化学</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32</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32</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0</w:t>
            </w:r>
          </w:p>
        </w:tc>
        <w:tc>
          <w:tcPr>
            <w:tcW w:w="1143"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7" w:hRule="atLeast"/>
          <w:jc w:val="center"/>
        </w:trPr>
        <w:tc>
          <w:tcPr>
            <w:tcW w:w="38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1" w:type="pct"/>
            <w:vMerge w:val="continue"/>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13</w:t>
            </w:r>
          </w:p>
        </w:tc>
        <w:tc>
          <w:tcPr>
            <w:tcW w:w="5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1A410101101</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职业人文基础</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40</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762</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382</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380</w:t>
            </w:r>
          </w:p>
        </w:tc>
        <w:tc>
          <w:tcPr>
            <w:tcW w:w="1143" w:type="pct"/>
            <w:gridSpan w:val="6"/>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2" w:hRule="atLeast"/>
          <w:jc w:val="center"/>
        </w:trPr>
        <w:tc>
          <w:tcPr>
            <w:tcW w:w="38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80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公共必修课程学分、学时小计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2</w:t>
            </w:r>
            <w:r>
              <w:rPr>
                <w:rFonts w:hint="eastAsia" w:ascii="仿宋_GB2312" w:hAnsi="仿宋_GB2312" w:eastAsia="仿宋_GB2312" w:cs="仿宋_GB2312"/>
                <w:i w:val="0"/>
                <w:iCs w:val="0"/>
                <w:color w:val="000000"/>
                <w:spacing w:val="-23"/>
                <w:kern w:val="0"/>
                <w:sz w:val="20"/>
                <w:szCs w:val="20"/>
                <w:highlight w:val="none"/>
                <w:u w:val="none"/>
                <w:lang w:val="en-US" w:eastAsia="zh-CN" w:bidi="ar"/>
              </w:rPr>
              <w:t>7.59%</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3"/>
                <w:kern w:val="0"/>
                <w:sz w:val="20"/>
                <w:szCs w:val="20"/>
                <w:highlight w:val="none"/>
                <w:u w:val="none"/>
                <w:lang w:val="en-US" w:eastAsia="zh-CN" w:bidi="ar"/>
              </w:rPr>
            </w:pPr>
            <w:r>
              <w:rPr>
                <w:rFonts w:hint="eastAsia" w:ascii="仿宋_GB2312" w:hAnsi="仿宋_GB2312" w:eastAsia="仿宋_GB2312" w:cs="仿宋_GB2312"/>
                <w:i w:val="0"/>
                <w:iCs w:val="0"/>
                <w:color w:val="000000"/>
                <w:spacing w:val="-23"/>
                <w:kern w:val="0"/>
                <w:sz w:val="20"/>
                <w:szCs w:val="20"/>
                <w:highlight w:val="none"/>
                <w:u w:val="none"/>
                <w:lang w:val="en-US" w:eastAsia="zh-CN" w:bidi="ar"/>
              </w:rPr>
              <w:t>27.87%</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3"/>
                <w:kern w:val="0"/>
                <w:sz w:val="20"/>
                <w:szCs w:val="20"/>
                <w:highlight w:val="none"/>
                <w:u w:val="none"/>
                <w:lang w:val="en-US" w:eastAsia="zh-CN" w:bidi="ar"/>
              </w:rPr>
            </w:pPr>
            <w:r>
              <w:rPr>
                <w:rFonts w:hint="eastAsia" w:ascii="仿宋_GB2312" w:hAnsi="仿宋_GB2312" w:eastAsia="仿宋_GB2312" w:cs="仿宋_GB2312"/>
                <w:i w:val="0"/>
                <w:iCs w:val="0"/>
                <w:color w:val="000000"/>
                <w:spacing w:val="-34"/>
                <w:kern w:val="0"/>
                <w:sz w:val="20"/>
                <w:szCs w:val="20"/>
                <w:highlight w:val="none"/>
                <w:u w:val="none"/>
                <w:lang w:val="en-US" w:eastAsia="zh-CN" w:bidi="ar"/>
              </w:rPr>
              <w:t>13.97%</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23"/>
                <w:kern w:val="0"/>
                <w:sz w:val="20"/>
                <w:szCs w:val="20"/>
                <w:highlight w:val="none"/>
                <w:u w:val="none"/>
                <w:lang w:val="en-US" w:eastAsia="zh-CN" w:bidi="ar"/>
              </w:rPr>
              <w:t>13.90%</w:t>
            </w:r>
          </w:p>
        </w:tc>
        <w:tc>
          <w:tcPr>
            <w:tcW w:w="18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7"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6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83"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9"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1" w:hRule="atLeast"/>
          <w:jc w:val="center"/>
        </w:trPr>
        <w:tc>
          <w:tcPr>
            <w:tcW w:w="38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801"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公共必修课程学分、学时占比</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8</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128</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80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48</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7" w:hRule="atLeast"/>
          <w:jc w:val="center"/>
        </w:trPr>
        <w:tc>
          <w:tcPr>
            <w:tcW w:w="38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801"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公共选修课程学分、学时小计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5.52%</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4.68%</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2.93%</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1.76%</w:t>
            </w:r>
          </w:p>
        </w:tc>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jc w:val="center"/>
        </w:trPr>
        <w:tc>
          <w:tcPr>
            <w:tcW w:w="38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801"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公共选修课程学分、学时占比</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48</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36</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12</w:t>
            </w:r>
          </w:p>
        </w:tc>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7" w:hRule="atLeast"/>
          <w:jc w:val="center"/>
        </w:trPr>
        <w:tc>
          <w:tcPr>
            <w:tcW w:w="204"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专业课</w:t>
            </w:r>
          </w:p>
        </w:tc>
        <w:tc>
          <w:tcPr>
            <w:tcW w:w="178"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专业基础课</w:t>
            </w:r>
          </w:p>
        </w:tc>
        <w:tc>
          <w:tcPr>
            <w:tcW w:w="201" w:type="pct"/>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必修</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5A590301303</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现代家政导论</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72</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72</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0</w:t>
            </w:r>
          </w:p>
        </w:tc>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w:t>
            </w:r>
          </w:p>
        </w:tc>
        <w:tc>
          <w:tcPr>
            <w:tcW w:w="1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7" w:hRule="atLeast"/>
          <w:jc w:val="center"/>
        </w:trPr>
        <w:tc>
          <w:tcPr>
            <w:tcW w:w="204"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78"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1" w:type="pct"/>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5A530701303</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管理学基础</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72</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72</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0</w:t>
            </w:r>
          </w:p>
        </w:tc>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w:t>
            </w:r>
          </w:p>
        </w:tc>
        <w:tc>
          <w:tcPr>
            <w:tcW w:w="1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7" w:hRule="atLeast"/>
          <w:jc w:val="center"/>
        </w:trPr>
        <w:tc>
          <w:tcPr>
            <w:tcW w:w="204"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78"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1" w:type="pct"/>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5B590301302</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社会学概论</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72</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54</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18</w:t>
            </w:r>
          </w:p>
        </w:tc>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w:t>
            </w:r>
          </w:p>
        </w:tc>
        <w:tc>
          <w:tcPr>
            <w:tcW w:w="1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6" w:hRule="atLeast"/>
          <w:jc w:val="center"/>
        </w:trPr>
        <w:tc>
          <w:tcPr>
            <w:tcW w:w="204"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78"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1" w:type="pct"/>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5B590301304</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家政服务沟通与礼仪</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72</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36</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36</w:t>
            </w:r>
          </w:p>
        </w:tc>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w:t>
            </w:r>
          </w:p>
        </w:tc>
        <w:tc>
          <w:tcPr>
            <w:tcW w:w="1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7" w:hRule="atLeast"/>
          <w:jc w:val="center"/>
        </w:trPr>
        <w:tc>
          <w:tcPr>
            <w:tcW w:w="204"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78"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1" w:type="pct"/>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5</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5B590301306</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人体结构与功能</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72</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60</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12</w:t>
            </w:r>
          </w:p>
        </w:tc>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w:t>
            </w:r>
          </w:p>
        </w:tc>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7" w:hRule="atLeast"/>
          <w:jc w:val="center"/>
        </w:trPr>
        <w:tc>
          <w:tcPr>
            <w:tcW w:w="204"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78"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1" w:type="pct"/>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6</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5B590301307</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婴幼儿心理发展</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72</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48</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24</w:t>
            </w:r>
          </w:p>
        </w:tc>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w:t>
            </w:r>
          </w:p>
        </w:tc>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6" w:hRule="atLeast"/>
          <w:jc w:val="center"/>
        </w:trPr>
        <w:tc>
          <w:tcPr>
            <w:tcW w:w="204"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78"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1" w:type="pct"/>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7</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5B590301308</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家政职业道德与法律法规</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72</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60</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12</w:t>
            </w:r>
          </w:p>
        </w:tc>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w:t>
            </w:r>
          </w:p>
        </w:tc>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7" w:hRule="atLeast"/>
          <w:jc w:val="center"/>
        </w:trPr>
        <w:tc>
          <w:tcPr>
            <w:tcW w:w="204"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78"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1" w:type="pct"/>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8</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5B590302305</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人力资源管理</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72</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48</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24</w:t>
            </w:r>
          </w:p>
        </w:tc>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w:t>
            </w:r>
          </w:p>
        </w:tc>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7" w:hRule="atLeast"/>
          <w:jc w:val="center"/>
        </w:trPr>
        <w:tc>
          <w:tcPr>
            <w:tcW w:w="204"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78"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1" w:type="pct"/>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9</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5B590301309</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家庭保健基础</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72</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12</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60</w:t>
            </w:r>
          </w:p>
        </w:tc>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w:t>
            </w:r>
          </w:p>
        </w:tc>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204"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78" w:type="pct"/>
            <w:vMerge w:val="continue"/>
            <w:tcBorders>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1" w:type="pct"/>
            <w:vMerge w:val="continue"/>
            <w:tcBorders>
              <w:left w:val="single" w:color="000000" w:sz="4" w:space="0"/>
              <w:bottom w:val="nil"/>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10</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5B590301310</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医疗急救</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72</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36</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36</w:t>
            </w:r>
          </w:p>
        </w:tc>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w:t>
            </w:r>
          </w:p>
        </w:tc>
        <w:tc>
          <w:tcPr>
            <w:tcW w:w="1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7" w:hRule="atLeast"/>
          <w:jc w:val="center"/>
        </w:trPr>
        <w:tc>
          <w:tcPr>
            <w:tcW w:w="204"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78"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专业核心课</w:t>
            </w:r>
          </w:p>
        </w:tc>
        <w:tc>
          <w:tcPr>
            <w:tcW w:w="201" w:type="pct"/>
            <w:vMerge w:val="restar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必修</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5B590301401</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家庭整理与收纳</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72</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24</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48</w:t>
            </w:r>
          </w:p>
        </w:tc>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w:t>
            </w:r>
          </w:p>
        </w:tc>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6" w:hRule="atLeast"/>
          <w:jc w:val="center"/>
        </w:trPr>
        <w:tc>
          <w:tcPr>
            <w:tcW w:w="204"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78" w:type="pct"/>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1" w:type="pct"/>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5B590301402</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婴幼儿早期发展指导</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72</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36</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36</w:t>
            </w:r>
          </w:p>
        </w:tc>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w:t>
            </w:r>
          </w:p>
        </w:tc>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7" w:hRule="atLeast"/>
          <w:jc w:val="center"/>
        </w:trPr>
        <w:tc>
          <w:tcPr>
            <w:tcW w:w="204"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78" w:type="pct"/>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1" w:type="pct"/>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5B590301403</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家政新媒体营销</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72</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36</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36</w:t>
            </w:r>
          </w:p>
        </w:tc>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w:t>
            </w:r>
          </w:p>
        </w:tc>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6" w:hRule="atLeast"/>
          <w:jc w:val="center"/>
        </w:trPr>
        <w:tc>
          <w:tcPr>
            <w:tcW w:w="204"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78" w:type="pct"/>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1" w:type="pct"/>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5B590301404</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家庭营养与膳食指导</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72</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24</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48</w:t>
            </w:r>
          </w:p>
        </w:tc>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w:t>
            </w:r>
          </w:p>
        </w:tc>
        <w:tc>
          <w:tcPr>
            <w:tcW w:w="1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6" w:hRule="atLeast"/>
          <w:jc w:val="center"/>
        </w:trPr>
        <w:tc>
          <w:tcPr>
            <w:tcW w:w="204"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78" w:type="pct"/>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1" w:type="pct"/>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5</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5B590301405</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家庭成员照护技术</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72</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24</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48</w:t>
            </w:r>
          </w:p>
        </w:tc>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w:t>
            </w:r>
          </w:p>
        </w:tc>
        <w:tc>
          <w:tcPr>
            <w:tcW w:w="1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7" w:hRule="atLeast"/>
          <w:jc w:val="center"/>
        </w:trPr>
        <w:tc>
          <w:tcPr>
            <w:tcW w:w="204"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78" w:type="pct"/>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1" w:type="pct"/>
            <w:vMerge w:val="continue"/>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6</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5B590301406</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家政培训实务</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72</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24</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48</w:t>
            </w:r>
          </w:p>
        </w:tc>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w:t>
            </w:r>
          </w:p>
        </w:tc>
        <w:tc>
          <w:tcPr>
            <w:tcW w:w="1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7" w:hRule="atLeast"/>
          <w:jc w:val="center"/>
        </w:trPr>
        <w:tc>
          <w:tcPr>
            <w:tcW w:w="204"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78"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专业拓展课</w:t>
            </w:r>
          </w:p>
        </w:tc>
        <w:tc>
          <w:tcPr>
            <w:tcW w:w="201" w:type="pct"/>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选修</w:t>
            </w: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5B590301501</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家宴策划与组织</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36</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18</w:t>
            </w:r>
          </w:p>
        </w:tc>
        <w:tc>
          <w:tcPr>
            <w:tcW w:w="349"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18</w:t>
            </w:r>
          </w:p>
        </w:tc>
        <w:tc>
          <w:tcPr>
            <w:tcW w:w="1143" w:type="pct"/>
            <w:gridSpan w:val="6"/>
            <w:vMerge w:val="restart"/>
            <w:tcBorders>
              <w:top w:val="single" w:color="000000" w:sz="4" w:space="0"/>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专业拓展课最低学分要求为10学分。</w:t>
            </w:r>
          </w:p>
        </w:tc>
        <w:tc>
          <w:tcPr>
            <w:tcW w:w="3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7" w:hRule="atLeast"/>
          <w:jc w:val="center"/>
        </w:trPr>
        <w:tc>
          <w:tcPr>
            <w:tcW w:w="204"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78"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1"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5B590301502</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家居空间规划</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36</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18</w:t>
            </w:r>
          </w:p>
        </w:tc>
        <w:tc>
          <w:tcPr>
            <w:tcW w:w="349"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18</w:t>
            </w:r>
          </w:p>
        </w:tc>
        <w:tc>
          <w:tcPr>
            <w:tcW w:w="1143" w:type="pct"/>
            <w:gridSpan w:val="6"/>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7" w:hRule="atLeast"/>
          <w:jc w:val="center"/>
        </w:trPr>
        <w:tc>
          <w:tcPr>
            <w:tcW w:w="204"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78"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1"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5B590301503</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家庭环境与美化</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36</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18</w:t>
            </w:r>
          </w:p>
        </w:tc>
        <w:tc>
          <w:tcPr>
            <w:tcW w:w="349"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18</w:t>
            </w:r>
          </w:p>
        </w:tc>
        <w:tc>
          <w:tcPr>
            <w:tcW w:w="1143" w:type="pct"/>
            <w:gridSpan w:val="6"/>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7" w:hRule="atLeast"/>
          <w:jc w:val="center"/>
        </w:trPr>
        <w:tc>
          <w:tcPr>
            <w:tcW w:w="204"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78"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1"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5B590301504</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插花与茶艺</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36</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18</w:t>
            </w:r>
          </w:p>
        </w:tc>
        <w:tc>
          <w:tcPr>
            <w:tcW w:w="349"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18</w:t>
            </w:r>
          </w:p>
        </w:tc>
        <w:tc>
          <w:tcPr>
            <w:tcW w:w="1143" w:type="pct"/>
            <w:gridSpan w:val="6"/>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7" w:hRule="atLeast"/>
          <w:jc w:val="center"/>
        </w:trPr>
        <w:tc>
          <w:tcPr>
            <w:tcW w:w="204"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78"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1"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5</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5B590301505</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产后恢复</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36</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18</w:t>
            </w:r>
          </w:p>
        </w:tc>
        <w:tc>
          <w:tcPr>
            <w:tcW w:w="349"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18</w:t>
            </w:r>
          </w:p>
        </w:tc>
        <w:tc>
          <w:tcPr>
            <w:tcW w:w="1143" w:type="pct"/>
            <w:gridSpan w:val="6"/>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7" w:hRule="atLeast"/>
          <w:jc w:val="center"/>
        </w:trPr>
        <w:tc>
          <w:tcPr>
            <w:tcW w:w="204"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78"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1"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6</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5B590301506</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亲子教育</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36</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18</w:t>
            </w:r>
          </w:p>
        </w:tc>
        <w:tc>
          <w:tcPr>
            <w:tcW w:w="349"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18</w:t>
            </w:r>
          </w:p>
        </w:tc>
        <w:tc>
          <w:tcPr>
            <w:tcW w:w="1143" w:type="pct"/>
            <w:gridSpan w:val="6"/>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6" w:hRule="atLeast"/>
          <w:jc w:val="center"/>
        </w:trPr>
        <w:tc>
          <w:tcPr>
            <w:tcW w:w="204"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78"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1"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7</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5B590301507</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婴幼儿玩教具与游戏</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36</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18</w:t>
            </w:r>
          </w:p>
        </w:tc>
        <w:tc>
          <w:tcPr>
            <w:tcW w:w="349"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18</w:t>
            </w:r>
          </w:p>
        </w:tc>
        <w:tc>
          <w:tcPr>
            <w:tcW w:w="1143" w:type="pct"/>
            <w:gridSpan w:val="6"/>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7" w:hRule="atLeast"/>
          <w:jc w:val="center"/>
        </w:trPr>
        <w:tc>
          <w:tcPr>
            <w:tcW w:w="204"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78"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1"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8</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5B590301508</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现代教育技术</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36</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18</w:t>
            </w:r>
          </w:p>
        </w:tc>
        <w:tc>
          <w:tcPr>
            <w:tcW w:w="349"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18</w:t>
            </w:r>
          </w:p>
        </w:tc>
        <w:tc>
          <w:tcPr>
            <w:tcW w:w="1143" w:type="pct"/>
            <w:gridSpan w:val="6"/>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7" w:hRule="atLeast"/>
          <w:jc w:val="center"/>
        </w:trPr>
        <w:tc>
          <w:tcPr>
            <w:tcW w:w="204"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78"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1"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9</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5B590301509</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家政资讯管理</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36</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18</w:t>
            </w:r>
          </w:p>
        </w:tc>
        <w:tc>
          <w:tcPr>
            <w:tcW w:w="349"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18</w:t>
            </w:r>
          </w:p>
        </w:tc>
        <w:tc>
          <w:tcPr>
            <w:tcW w:w="1143" w:type="pct"/>
            <w:gridSpan w:val="6"/>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6" w:hRule="atLeast"/>
          <w:jc w:val="center"/>
        </w:trPr>
        <w:tc>
          <w:tcPr>
            <w:tcW w:w="204"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78"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1"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10</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5B590301510</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家政电子商务实务</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36</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18</w:t>
            </w:r>
          </w:p>
        </w:tc>
        <w:tc>
          <w:tcPr>
            <w:tcW w:w="349"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18</w:t>
            </w:r>
          </w:p>
        </w:tc>
        <w:tc>
          <w:tcPr>
            <w:tcW w:w="1143" w:type="pct"/>
            <w:gridSpan w:val="6"/>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6" w:hRule="atLeast"/>
          <w:jc w:val="center"/>
        </w:trPr>
        <w:tc>
          <w:tcPr>
            <w:tcW w:w="204"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78"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1"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11</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5B590301511</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家政企业经营与管理</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36</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18</w:t>
            </w:r>
          </w:p>
        </w:tc>
        <w:tc>
          <w:tcPr>
            <w:tcW w:w="349"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18</w:t>
            </w:r>
          </w:p>
        </w:tc>
        <w:tc>
          <w:tcPr>
            <w:tcW w:w="1143" w:type="pct"/>
            <w:gridSpan w:val="6"/>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7" w:hRule="atLeast"/>
          <w:jc w:val="center"/>
        </w:trPr>
        <w:tc>
          <w:tcPr>
            <w:tcW w:w="204"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78"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1"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12</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5B590301512</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家庭服务营销</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2</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36</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18</w:t>
            </w:r>
          </w:p>
        </w:tc>
        <w:tc>
          <w:tcPr>
            <w:tcW w:w="349"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18</w:t>
            </w:r>
          </w:p>
        </w:tc>
        <w:tc>
          <w:tcPr>
            <w:tcW w:w="1143" w:type="pct"/>
            <w:gridSpan w:val="6"/>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7" w:hRule="atLeast"/>
          <w:jc w:val="center"/>
        </w:trPr>
        <w:tc>
          <w:tcPr>
            <w:tcW w:w="204"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78"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1"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13</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7B520802523</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婴幼儿艺术启蒙</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2</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36</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default"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20</w:t>
            </w:r>
          </w:p>
        </w:tc>
        <w:tc>
          <w:tcPr>
            <w:tcW w:w="349"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16</w:t>
            </w:r>
          </w:p>
        </w:tc>
        <w:tc>
          <w:tcPr>
            <w:tcW w:w="1143" w:type="pct"/>
            <w:gridSpan w:val="6"/>
            <w:vMerge w:val="continue"/>
            <w:tcBorders>
              <w:left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7" w:hRule="atLeast"/>
          <w:jc w:val="center"/>
        </w:trPr>
        <w:tc>
          <w:tcPr>
            <w:tcW w:w="204"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78"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1"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default"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14</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5B590302512</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习近平经济思想概论</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2</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36</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18</w:t>
            </w:r>
          </w:p>
        </w:tc>
        <w:tc>
          <w:tcPr>
            <w:tcW w:w="349"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18</w:t>
            </w:r>
          </w:p>
        </w:tc>
        <w:tc>
          <w:tcPr>
            <w:tcW w:w="1143" w:type="pct"/>
            <w:gridSpan w:val="6"/>
            <w:vMerge w:val="continue"/>
            <w:tcBorders>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default"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79" w:hRule="atLeast"/>
          <w:jc w:val="center"/>
        </w:trPr>
        <w:tc>
          <w:tcPr>
            <w:tcW w:w="204" w:type="pct"/>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7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实践性教学环节</w:t>
            </w:r>
          </w:p>
        </w:tc>
        <w:tc>
          <w:tcPr>
            <w:tcW w:w="2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必修</w:t>
            </w:r>
          </w:p>
        </w:tc>
        <w:tc>
          <w:tcPr>
            <w:tcW w:w="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1B410101601</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毕业设计</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5</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80</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20</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60</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20</w:t>
            </w:r>
          </w:p>
        </w:tc>
        <w:tc>
          <w:tcPr>
            <w:tcW w:w="2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6" w:hRule="atLeast"/>
          <w:jc w:val="center"/>
        </w:trPr>
        <w:tc>
          <w:tcPr>
            <w:tcW w:w="204" w:type="pct"/>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11"/>
                <w:kern w:val="0"/>
                <w:sz w:val="20"/>
                <w:szCs w:val="20"/>
                <w:highlight w:val="none"/>
                <w:u w:val="none"/>
                <w:lang w:val="en-US" w:eastAsia="zh-CN" w:bidi="ar"/>
              </w:rPr>
            </w:pPr>
            <w:r>
              <w:rPr>
                <w:rFonts w:hint="eastAsia" w:ascii="仿宋_GB2312" w:hAnsi="仿宋_GB2312" w:eastAsia="仿宋_GB2312" w:cs="仿宋_GB2312"/>
                <w:i w:val="0"/>
                <w:iCs w:val="0"/>
                <w:color w:val="000000"/>
                <w:spacing w:val="-11"/>
                <w:kern w:val="0"/>
                <w:sz w:val="20"/>
                <w:szCs w:val="20"/>
                <w:highlight w:val="none"/>
                <w:u w:val="none"/>
                <w:lang w:val="en-US" w:eastAsia="zh-CN" w:bidi="ar"/>
              </w:rPr>
              <w:t>1C410101602</w:t>
            </w:r>
          </w:p>
        </w:tc>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岗位实习</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18</w:t>
            </w: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432</w:t>
            </w:r>
          </w:p>
        </w:tc>
        <w:tc>
          <w:tcPr>
            <w:tcW w:w="3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0</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432</w:t>
            </w:r>
          </w:p>
        </w:tc>
        <w:tc>
          <w:tcPr>
            <w:tcW w:w="183"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69"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83"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9"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9"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18</w:t>
            </w:r>
          </w:p>
        </w:tc>
        <w:tc>
          <w:tcPr>
            <w:tcW w:w="3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5" w:hRule="atLeast"/>
          <w:jc w:val="center"/>
        </w:trPr>
        <w:tc>
          <w:tcPr>
            <w:tcW w:w="218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专业必修课程学分、学时小计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87</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1664</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686</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978</w:t>
            </w:r>
          </w:p>
        </w:tc>
        <w:tc>
          <w:tcPr>
            <w:tcW w:w="1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6" w:hRule="atLeast"/>
          <w:jc w:val="center"/>
        </w:trPr>
        <w:tc>
          <w:tcPr>
            <w:tcW w:w="218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专业必修课程学分、学时占比</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0"/>
                <w:kern w:val="0"/>
                <w:sz w:val="20"/>
                <w:szCs w:val="20"/>
                <w:highlight w:val="none"/>
                <w:u w:val="none"/>
                <w:lang w:val="en-US" w:eastAsia="zh-CN" w:bidi="ar"/>
              </w:rPr>
            </w:pPr>
            <w:r>
              <w:rPr>
                <w:rFonts w:hint="eastAsia" w:ascii="仿宋_GB2312" w:hAnsi="仿宋_GB2312" w:eastAsia="仿宋_GB2312" w:cs="仿宋_GB2312"/>
                <w:i w:val="0"/>
                <w:iCs w:val="0"/>
                <w:color w:val="000000"/>
                <w:spacing w:val="-20"/>
                <w:kern w:val="0"/>
                <w:sz w:val="20"/>
                <w:szCs w:val="20"/>
                <w:highlight w:val="none"/>
                <w:u w:val="none"/>
                <w:lang w:val="en-US" w:eastAsia="zh-CN" w:bidi="ar"/>
              </w:rPr>
              <w:t>60.00%</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0"/>
                <w:kern w:val="0"/>
                <w:sz w:val="20"/>
                <w:szCs w:val="20"/>
                <w:highlight w:val="none"/>
                <w:u w:val="none"/>
                <w:lang w:val="en-US" w:eastAsia="zh-CN" w:bidi="ar"/>
              </w:rPr>
            </w:pPr>
            <w:r>
              <w:rPr>
                <w:rFonts w:hint="eastAsia" w:ascii="仿宋_GB2312" w:hAnsi="仿宋_GB2312" w:eastAsia="仿宋_GB2312" w:cs="仿宋_GB2312"/>
                <w:i w:val="0"/>
                <w:iCs w:val="0"/>
                <w:color w:val="000000"/>
                <w:spacing w:val="-20"/>
                <w:kern w:val="0"/>
                <w:sz w:val="20"/>
                <w:szCs w:val="20"/>
                <w:highlight w:val="none"/>
                <w:u w:val="none"/>
                <w:lang w:val="en-US" w:eastAsia="zh-CN" w:bidi="ar"/>
              </w:rPr>
              <w:t>60.86%</w:t>
            </w:r>
          </w:p>
        </w:tc>
        <w:tc>
          <w:tcPr>
            <w:tcW w:w="6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0"/>
                <w:kern w:val="0"/>
                <w:sz w:val="20"/>
                <w:szCs w:val="20"/>
                <w:highlight w:val="none"/>
                <w:u w:val="none"/>
                <w:lang w:val="en-US" w:eastAsia="zh-CN" w:bidi="ar"/>
              </w:rPr>
            </w:pPr>
            <w:r>
              <w:rPr>
                <w:rFonts w:hint="eastAsia" w:ascii="仿宋_GB2312" w:hAnsi="仿宋_GB2312" w:eastAsia="仿宋_GB2312" w:cs="仿宋_GB2312"/>
                <w:i w:val="0"/>
                <w:iCs w:val="0"/>
                <w:color w:val="000000"/>
                <w:spacing w:val="-34"/>
                <w:kern w:val="0"/>
                <w:sz w:val="20"/>
                <w:szCs w:val="20"/>
                <w:highlight w:val="none"/>
                <w:u w:val="none"/>
                <w:lang w:val="en-US" w:eastAsia="zh-CN" w:bidi="ar"/>
              </w:rPr>
              <w:t>25.09%</w:t>
            </w:r>
          </w:p>
        </w:tc>
        <w:tc>
          <w:tcPr>
            <w:tcW w:w="748"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0"/>
                <w:kern w:val="0"/>
                <w:sz w:val="20"/>
                <w:szCs w:val="20"/>
                <w:highlight w:val="none"/>
                <w:u w:val="none"/>
                <w:lang w:val="en-US" w:eastAsia="zh-CN" w:bidi="ar"/>
              </w:rPr>
            </w:pPr>
            <w:r>
              <w:rPr>
                <w:rFonts w:hint="eastAsia" w:ascii="仿宋_GB2312" w:hAnsi="仿宋_GB2312" w:eastAsia="仿宋_GB2312" w:cs="仿宋_GB2312"/>
                <w:i w:val="0"/>
                <w:iCs w:val="0"/>
                <w:color w:val="000000"/>
                <w:spacing w:val="-20"/>
                <w:kern w:val="0"/>
                <w:sz w:val="20"/>
                <w:szCs w:val="20"/>
                <w:highlight w:val="none"/>
                <w:u w:val="none"/>
                <w:lang w:val="en-US" w:eastAsia="zh-CN" w:bidi="ar"/>
              </w:rPr>
              <w:t>35.77%</w:t>
            </w:r>
          </w:p>
        </w:tc>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7" w:hRule="atLeast"/>
          <w:jc w:val="center"/>
        </w:trPr>
        <w:tc>
          <w:tcPr>
            <w:tcW w:w="218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专业拓展课程学分、学时小计</w:t>
            </w:r>
          </w:p>
        </w:tc>
        <w:tc>
          <w:tcPr>
            <w:tcW w:w="7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10</w:t>
            </w:r>
          </w:p>
        </w:tc>
        <w:tc>
          <w:tcPr>
            <w:tcW w:w="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180</w:t>
            </w:r>
          </w:p>
        </w:tc>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90</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90</w:t>
            </w:r>
          </w:p>
        </w:tc>
        <w:tc>
          <w:tcPr>
            <w:tcW w:w="18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6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8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6" w:hRule="atLeast"/>
          <w:jc w:val="center"/>
        </w:trPr>
        <w:tc>
          <w:tcPr>
            <w:tcW w:w="218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专业拓展课程学分、学时占比</w:t>
            </w:r>
          </w:p>
        </w:tc>
        <w:tc>
          <w:tcPr>
            <w:tcW w:w="7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0"/>
                <w:kern w:val="0"/>
                <w:sz w:val="20"/>
                <w:szCs w:val="20"/>
                <w:highlight w:val="none"/>
                <w:u w:val="none"/>
                <w:lang w:val="en-US" w:eastAsia="zh-CN" w:bidi="ar"/>
              </w:rPr>
            </w:pPr>
            <w:r>
              <w:rPr>
                <w:rFonts w:hint="eastAsia" w:ascii="仿宋_GB2312" w:hAnsi="仿宋_GB2312" w:eastAsia="仿宋_GB2312" w:cs="仿宋_GB2312"/>
                <w:i w:val="0"/>
                <w:iCs w:val="0"/>
                <w:color w:val="000000"/>
                <w:spacing w:val="-20"/>
                <w:kern w:val="0"/>
                <w:sz w:val="20"/>
                <w:szCs w:val="20"/>
                <w:highlight w:val="none"/>
                <w:u w:val="none"/>
                <w:lang w:val="en-US" w:eastAsia="zh-CN" w:bidi="ar"/>
              </w:rPr>
              <w:t>6.90%</w:t>
            </w:r>
          </w:p>
        </w:tc>
        <w:tc>
          <w:tcPr>
            <w:tcW w:w="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0"/>
                <w:kern w:val="0"/>
                <w:sz w:val="20"/>
                <w:szCs w:val="20"/>
                <w:highlight w:val="none"/>
                <w:u w:val="none"/>
                <w:lang w:val="en-US" w:eastAsia="zh-CN" w:bidi="ar"/>
              </w:rPr>
            </w:pPr>
            <w:r>
              <w:rPr>
                <w:rFonts w:hint="eastAsia" w:ascii="仿宋_GB2312" w:hAnsi="仿宋_GB2312" w:eastAsia="仿宋_GB2312" w:cs="仿宋_GB2312"/>
                <w:i w:val="0"/>
                <w:iCs w:val="0"/>
                <w:color w:val="000000"/>
                <w:spacing w:val="-20"/>
                <w:kern w:val="0"/>
                <w:sz w:val="20"/>
                <w:szCs w:val="20"/>
                <w:highlight w:val="none"/>
                <w:u w:val="none"/>
                <w:lang w:val="en-US" w:eastAsia="zh-CN" w:bidi="ar"/>
              </w:rPr>
              <w:t>6.58%</w:t>
            </w:r>
          </w:p>
        </w:tc>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0"/>
                <w:kern w:val="0"/>
                <w:sz w:val="20"/>
                <w:szCs w:val="20"/>
                <w:highlight w:val="none"/>
                <w:u w:val="none"/>
                <w:lang w:val="en-US" w:eastAsia="zh-CN" w:bidi="ar"/>
              </w:rPr>
            </w:pPr>
            <w:r>
              <w:rPr>
                <w:rFonts w:hint="eastAsia" w:ascii="仿宋_GB2312" w:hAnsi="仿宋_GB2312" w:eastAsia="仿宋_GB2312" w:cs="仿宋_GB2312"/>
                <w:i w:val="0"/>
                <w:iCs w:val="0"/>
                <w:color w:val="000000"/>
                <w:spacing w:val="-20"/>
                <w:kern w:val="0"/>
                <w:sz w:val="20"/>
                <w:szCs w:val="20"/>
                <w:highlight w:val="none"/>
                <w:u w:val="none"/>
                <w:lang w:val="en-US" w:eastAsia="zh-CN" w:bidi="ar"/>
              </w:rPr>
              <w:t>3.29%</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spacing w:val="-20"/>
                <w:kern w:val="0"/>
                <w:sz w:val="20"/>
                <w:szCs w:val="20"/>
                <w:highlight w:val="none"/>
                <w:u w:val="none"/>
                <w:lang w:val="en-US" w:eastAsia="zh-CN" w:bidi="ar"/>
              </w:rPr>
            </w:pPr>
            <w:r>
              <w:rPr>
                <w:rFonts w:hint="eastAsia" w:ascii="仿宋_GB2312" w:hAnsi="仿宋_GB2312" w:eastAsia="仿宋_GB2312" w:cs="仿宋_GB2312"/>
                <w:i w:val="0"/>
                <w:iCs w:val="0"/>
                <w:color w:val="000000"/>
                <w:spacing w:val="-20"/>
                <w:kern w:val="0"/>
                <w:sz w:val="20"/>
                <w:szCs w:val="20"/>
                <w:highlight w:val="none"/>
                <w:u w:val="none"/>
                <w:lang w:val="en-US" w:eastAsia="zh-CN" w:bidi="ar"/>
              </w:rPr>
              <w:t>3.29%</w:t>
            </w:r>
          </w:p>
        </w:tc>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4" w:hRule="atLeast"/>
          <w:jc w:val="center"/>
        </w:trPr>
        <w:tc>
          <w:tcPr>
            <w:tcW w:w="218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总学分、学时合计</w:t>
            </w:r>
          </w:p>
        </w:tc>
        <w:tc>
          <w:tcPr>
            <w:tcW w:w="7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145</w:t>
            </w:r>
          </w:p>
        </w:tc>
        <w:tc>
          <w:tcPr>
            <w:tcW w:w="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2734</w:t>
            </w:r>
          </w:p>
        </w:tc>
        <w:tc>
          <w:tcPr>
            <w:tcW w:w="6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1238</w:t>
            </w:r>
          </w:p>
        </w:tc>
        <w:tc>
          <w:tcPr>
            <w:tcW w:w="7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r>
              <w:rPr>
                <w:rFonts w:hint="eastAsia" w:ascii="仿宋_GB2312" w:hAnsi="仿宋_GB2312" w:eastAsia="仿宋_GB2312" w:cs="仿宋_GB2312"/>
                <w:i w:val="0"/>
                <w:iCs w:val="0"/>
                <w:color w:val="000000"/>
                <w:kern w:val="0"/>
                <w:sz w:val="20"/>
                <w:szCs w:val="20"/>
                <w:highlight w:val="none"/>
                <w:u w:val="none"/>
                <w:lang w:val="en-US" w:eastAsia="zh-CN" w:bidi="ar"/>
              </w:rPr>
              <w:t>1496</w:t>
            </w:r>
          </w:p>
        </w:tc>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1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2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iCs w:val="0"/>
                <w:color w:val="000000"/>
                <w:kern w:val="0"/>
                <w:sz w:val="20"/>
                <w:szCs w:val="20"/>
                <w:highlight w:val="none"/>
                <w:u w:val="none"/>
                <w:lang w:val="en-US" w:eastAsia="zh-CN" w:bidi="ar"/>
              </w:rPr>
            </w:pPr>
          </w:p>
        </w:tc>
      </w:tr>
    </w:tbl>
    <w:p>
      <w:pPr>
        <w:keepNext w:val="0"/>
        <w:keepLines w:val="0"/>
        <w:pageBreakBefore w:val="0"/>
        <w:widowControl w:val="0"/>
        <w:kinsoku/>
        <w:wordWrap/>
        <w:overflowPunct w:val="0"/>
        <w:topLinePunct w:val="0"/>
        <w:autoSpaceDE/>
        <w:autoSpaceDN/>
        <w:bidi w:val="0"/>
        <w:adjustRightInd w:val="0"/>
        <w:snapToGrid/>
        <w:spacing w:after="0" w:line="520" w:lineRule="exact"/>
        <w:ind w:leftChars="0" w:firstLine="640" w:firstLineChars="200"/>
        <w:textAlignment w:val="auto"/>
        <w:outlineLvl w:val="0"/>
        <w:rPr>
          <w:rFonts w:hint="default" w:ascii="黑体" w:hAnsi="黑体" w:eastAsia="黑体" w:cs="黑体"/>
          <w:color w:val="auto"/>
          <w:sz w:val="32"/>
          <w:szCs w:val="32"/>
          <w:highlight w:val="none"/>
          <w:lang w:val="en-US" w:eastAsia="zh-CN"/>
        </w:rPr>
      </w:pPr>
      <w:bookmarkStart w:id="71" w:name="_Toc24426"/>
      <w:bookmarkStart w:id="72" w:name="_Toc18309"/>
      <w:bookmarkStart w:id="73" w:name="_Toc20413"/>
      <w:r>
        <w:rPr>
          <w:rFonts w:hint="eastAsia" w:ascii="黑体" w:hAnsi="黑体" w:eastAsia="黑体" w:cs="黑体"/>
          <w:color w:val="auto"/>
          <w:sz w:val="32"/>
          <w:szCs w:val="32"/>
          <w:highlight w:val="none"/>
          <w:lang w:val="en-US" w:eastAsia="zh-CN"/>
        </w:rPr>
        <w:t>九</w:t>
      </w:r>
      <w:r>
        <w:rPr>
          <w:rFonts w:hint="eastAsia" w:ascii="黑体" w:hAnsi="黑体" w:eastAsia="黑体" w:cs="黑体"/>
          <w:color w:val="auto"/>
          <w:sz w:val="32"/>
          <w:szCs w:val="32"/>
          <w:highlight w:val="none"/>
        </w:rPr>
        <w:t>、</w:t>
      </w:r>
      <w:r>
        <w:rPr>
          <w:rFonts w:hint="eastAsia" w:ascii="黑体" w:hAnsi="黑体" w:eastAsia="黑体" w:cs="黑体"/>
          <w:color w:val="auto"/>
          <w:sz w:val="32"/>
          <w:szCs w:val="32"/>
          <w:highlight w:val="none"/>
          <w:lang w:val="en-US" w:eastAsia="zh-CN"/>
        </w:rPr>
        <w:t>师资队伍</w:t>
      </w:r>
      <w:bookmarkEnd w:id="71"/>
      <w:bookmarkEnd w:id="72"/>
      <w:bookmarkEnd w:id="73"/>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Chars="0" w:firstLine="640" w:firstLineChars="200"/>
        <w:textAlignment w:val="auto"/>
        <w:rPr>
          <w:rFonts w:hint="eastAsia" w:ascii="楷体" w:hAnsi="楷体" w:eastAsia="楷体" w:cs="楷体"/>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sz w:val="32"/>
          <w:szCs w:val="32"/>
          <w:highlight w:val="none"/>
          <w:lang w:val="en-US" w:eastAsia="zh-CN"/>
        </w:rPr>
        <w:t>按照“四有好老师”“四个相统一”“四个引路人”的要求建设专业教师队伍，将师德师风作为教师队伍建设的第一标准。</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Chars="0" w:firstLine="640" w:firstLineChars="200"/>
        <w:textAlignment w:val="auto"/>
        <w:outlineLvl w:val="1"/>
        <w:rPr>
          <w:rFonts w:hint="default" w:ascii="楷体" w:hAnsi="楷体" w:eastAsia="楷体" w:cs="楷体"/>
          <w:b w:val="0"/>
          <w:bCs w:val="0"/>
          <w:color w:val="auto"/>
          <w:sz w:val="32"/>
          <w:szCs w:val="32"/>
          <w:highlight w:val="none"/>
          <w:lang w:val="en-US" w:eastAsia="zh-CN"/>
        </w:rPr>
      </w:pPr>
      <w:bookmarkStart w:id="74" w:name="_Toc488"/>
      <w:r>
        <w:rPr>
          <w:rFonts w:hint="eastAsia" w:ascii="楷体" w:hAnsi="楷体" w:eastAsia="楷体" w:cs="楷体"/>
          <w:b w:val="0"/>
          <w:bCs w:val="0"/>
          <w:color w:val="auto"/>
          <w:kern w:val="2"/>
          <w:sz w:val="32"/>
          <w:szCs w:val="32"/>
          <w:highlight w:val="none"/>
          <w:lang w:val="en-US" w:eastAsia="zh-CN" w:bidi="ar-SA"/>
        </w:rPr>
        <w:t>（一）</w:t>
      </w:r>
      <w:r>
        <w:rPr>
          <w:rFonts w:hint="eastAsia" w:ascii="楷体" w:hAnsi="楷体" w:eastAsia="楷体" w:cs="楷体"/>
          <w:b w:val="0"/>
          <w:bCs w:val="0"/>
          <w:color w:val="auto"/>
          <w:sz w:val="32"/>
          <w:szCs w:val="32"/>
          <w:highlight w:val="none"/>
          <w:lang w:val="en-US" w:eastAsia="zh-CN"/>
        </w:rPr>
        <w:t>队伍结构</w:t>
      </w:r>
      <w:bookmarkEnd w:id="74"/>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Chars="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学生数与本专业专任教师数比例不高于25∶1，“双师型”教师占专业课教师数比例一般不低于60%，高级职称专任教师的比例不低于20%，专任教师队伍要考虑职称、年龄、工作经验，形成合理的梯队结构。</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Chars="0" w:firstLine="640" w:firstLineChars="200"/>
        <w:textAlignment w:val="auto"/>
        <w:rPr>
          <w:rFonts w:hint="default" w:ascii="楷体" w:hAnsi="楷体" w:eastAsia="楷体" w:cs="楷体"/>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能够整合校内外优质人才资源，选聘企业高级技术人员担任行业导师，组建校企合作、专兼结合的教师团队，建立定期开展专业（学科）教研机制。</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楷体" w:hAnsi="楷体" w:eastAsia="楷体" w:cs="楷体"/>
          <w:color w:val="auto"/>
          <w:sz w:val="32"/>
          <w:szCs w:val="32"/>
          <w:highlight w:val="none"/>
        </w:rPr>
      </w:pPr>
      <w:bookmarkStart w:id="75" w:name="_Toc4445"/>
      <w:r>
        <w:rPr>
          <w:rFonts w:hint="eastAsia" w:ascii="楷体" w:hAnsi="楷体" w:eastAsia="楷体" w:cs="楷体"/>
          <w:color w:val="auto"/>
          <w:kern w:val="2"/>
          <w:sz w:val="32"/>
          <w:szCs w:val="32"/>
          <w:highlight w:val="none"/>
          <w:lang w:val="en-US" w:eastAsia="zh-CN" w:bidi="ar-SA"/>
        </w:rPr>
        <w:t>（二）</w:t>
      </w:r>
      <w:r>
        <w:rPr>
          <w:rFonts w:hint="eastAsia" w:ascii="楷体" w:hAnsi="楷体" w:eastAsia="楷体" w:cs="楷体"/>
          <w:color w:val="auto"/>
          <w:sz w:val="32"/>
          <w:szCs w:val="32"/>
          <w:highlight w:val="none"/>
        </w:rPr>
        <w:t>专业带头人</w:t>
      </w:r>
      <w:bookmarkEnd w:id="75"/>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Chars="0"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专业带头人原则上应具有本专业及相关专业副高及以上职称和较强的实践能力，能够较好地把握国内外家政服务行业、专业发展，能广泛联系行业企业，了解行业企业对本专业人才的需求实际，主持专业建设、开展教育教学改革、教科研工作和社会服务能力强，在本专业改革发展中起到引领作用。</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Chars="0" w:firstLine="640" w:firstLineChars="200"/>
        <w:textAlignment w:val="auto"/>
        <w:outlineLvl w:val="1"/>
        <w:rPr>
          <w:rFonts w:hint="eastAsia" w:ascii="楷体" w:hAnsi="楷体" w:eastAsia="楷体" w:cs="楷体"/>
          <w:color w:val="auto"/>
          <w:sz w:val="32"/>
          <w:szCs w:val="32"/>
          <w:highlight w:val="none"/>
          <w:lang w:val="en-US" w:eastAsia="zh-CN"/>
        </w:rPr>
      </w:pPr>
      <w:bookmarkStart w:id="76" w:name="_Toc19346"/>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lang w:val="en-US" w:eastAsia="zh-CN"/>
        </w:rPr>
        <w:t>三</w:t>
      </w: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lang w:val="en-US" w:eastAsia="zh-CN"/>
        </w:rPr>
        <w:t>专任教师</w:t>
      </w:r>
      <w:bookmarkEnd w:id="76"/>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Chars="0" w:firstLine="640" w:firstLineChars="200"/>
        <w:textAlignment w:val="auto"/>
        <w:outlineLvl w:val="9"/>
        <w:rPr>
          <w:rFonts w:hint="eastAsia" w:ascii="楷体" w:hAnsi="楷体" w:eastAsia="楷体" w:cs="楷体"/>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专任教师具有高校教师资格；原则上具有家政学、社会工作、社会学、管理学、教育学、心理学、医学、护理学、康复学等相关专业本科及以上学历；具有一定年限的相应工作经历或者实践经验，达到相应的技术技能水平；具有本专业理论和实践能力；能够落实课程思政要求，挖掘专业课程中的思政教育元素和资源；能够运用信息技术开展混合式教学等教法改革；能够跟踪新经济、新技术发展前沿，开展技术研发与社会服务；专业教师每年至少1个月在企业或生产性实训基地锻炼，每5年累计不少于6个月的企业实践经历。</w:t>
      </w:r>
      <w:r>
        <w:rPr>
          <w:rFonts w:hint="eastAsia" w:ascii="楷体" w:hAnsi="楷体" w:eastAsia="楷体" w:cs="楷体"/>
          <w:color w:val="auto"/>
          <w:sz w:val="32"/>
          <w:szCs w:val="32"/>
          <w:highlight w:val="none"/>
        </w:rPr>
        <w:br w:type="textWrapping"/>
      </w:r>
      <w:r>
        <w:rPr>
          <w:rFonts w:hint="eastAsia" w:ascii="楷体" w:hAnsi="楷体" w:eastAsia="楷体" w:cs="楷体"/>
          <w:color w:val="auto"/>
          <w:sz w:val="32"/>
          <w:szCs w:val="32"/>
          <w:highlight w:val="none"/>
        </w:rPr>
        <w:t xml:space="preserve">  </w:t>
      </w:r>
      <w:r>
        <w:rPr>
          <w:rFonts w:hint="eastAsia" w:ascii="楷体" w:hAnsi="楷体" w:eastAsia="楷体" w:cs="楷体"/>
          <w:color w:val="auto"/>
          <w:sz w:val="32"/>
          <w:szCs w:val="32"/>
          <w:highlight w:val="none"/>
          <w:lang w:val="en-US" w:eastAsia="zh-CN"/>
        </w:rPr>
        <w:t xml:space="preserve"> </w:t>
      </w: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lang w:val="en-US" w:eastAsia="zh-CN"/>
        </w:rPr>
        <w:t>四</w:t>
      </w:r>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rPr>
        <w:t>兼职教师</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Chars="0" w:firstLine="640" w:firstLineChars="200"/>
        <w:textAlignment w:val="auto"/>
        <w:rPr>
          <w:rFonts w:hint="eastAsia" w:ascii="楷体" w:hAnsi="楷体" w:eastAsia="楷体" w:cs="楷体"/>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兼职教师主要从本专业相关行业企业的高技能人才中聘任，应具有扎实的专业知识和丰富的实际工作经验，一般应具有中级及以上专业技术职务（职称）或高级工及以上职业技能等级，了解教育教学规律，能承担专业课程教学、实习实训指导和学生职业发展规划指导等教学任务。根据需要聘请技能大师、劳动模范、能工巧匠等高技能人才，根据国家有关要求制定针对兼职教师聘任与管理的具体实施办法。</w:t>
      </w:r>
    </w:p>
    <w:p>
      <w:pPr>
        <w:keepNext w:val="0"/>
        <w:keepLines w:val="0"/>
        <w:pageBreakBefore w:val="0"/>
        <w:widowControl w:val="0"/>
        <w:kinsoku/>
        <w:wordWrap/>
        <w:overflowPunct w:val="0"/>
        <w:topLinePunct w:val="0"/>
        <w:autoSpaceDE/>
        <w:autoSpaceDN/>
        <w:bidi w:val="0"/>
        <w:adjustRightInd w:val="0"/>
        <w:snapToGrid/>
        <w:spacing w:after="0" w:line="520" w:lineRule="exact"/>
        <w:ind w:leftChars="0" w:firstLine="640" w:firstLineChars="200"/>
        <w:textAlignment w:val="auto"/>
        <w:outlineLvl w:val="0"/>
        <w:rPr>
          <w:rFonts w:hint="eastAsia" w:ascii="楷体" w:hAnsi="楷体" w:eastAsia="楷体" w:cs="楷体"/>
          <w:color w:val="auto"/>
          <w:sz w:val="32"/>
          <w:szCs w:val="32"/>
          <w:highlight w:val="none"/>
        </w:rPr>
      </w:pPr>
      <w:bookmarkStart w:id="77" w:name="_Toc8065"/>
      <w:bookmarkStart w:id="78" w:name="_Toc15592"/>
      <w:bookmarkStart w:id="79" w:name="_Toc13797"/>
      <w:r>
        <w:rPr>
          <w:rFonts w:hint="eastAsia" w:ascii="黑体" w:hAnsi="黑体" w:eastAsia="黑体" w:cs="黑体"/>
          <w:color w:val="auto"/>
          <w:sz w:val="32"/>
          <w:szCs w:val="32"/>
          <w:highlight w:val="none"/>
          <w:lang w:val="en-US" w:eastAsia="zh-CN"/>
        </w:rPr>
        <w:t>十、教学条件</w:t>
      </w:r>
      <w:bookmarkEnd w:id="77"/>
      <w:bookmarkEnd w:id="78"/>
      <w:bookmarkEnd w:id="79"/>
    </w:p>
    <w:p>
      <w:pPr>
        <w:keepNext w:val="0"/>
        <w:keepLines w:val="0"/>
        <w:pageBreakBefore w:val="0"/>
        <w:widowControl w:val="0"/>
        <w:kinsoku/>
        <w:wordWrap/>
        <w:overflowPunct w:val="0"/>
        <w:topLinePunct w:val="0"/>
        <w:autoSpaceDE/>
        <w:autoSpaceDN/>
        <w:bidi w:val="0"/>
        <w:adjustRightInd w:val="0"/>
        <w:snapToGrid/>
        <w:spacing w:after="0" w:line="520" w:lineRule="exact"/>
        <w:ind w:leftChars="0" w:firstLine="640" w:firstLineChars="200"/>
        <w:textAlignment w:val="auto"/>
        <w:outlineLvl w:val="1"/>
        <w:rPr>
          <w:rFonts w:hint="eastAsia" w:ascii="楷体" w:hAnsi="楷体" w:eastAsia="楷体" w:cs="楷体"/>
          <w:color w:val="auto"/>
          <w:sz w:val="32"/>
          <w:szCs w:val="32"/>
          <w:highlight w:val="none"/>
        </w:rPr>
      </w:pPr>
      <w:bookmarkStart w:id="80" w:name="_Toc29704"/>
      <w:r>
        <w:rPr>
          <w:rFonts w:hint="eastAsia" w:ascii="楷体" w:hAnsi="楷体" w:eastAsia="楷体" w:cs="楷体"/>
          <w:color w:val="auto"/>
          <w:sz w:val="32"/>
          <w:szCs w:val="32"/>
          <w:highlight w:val="none"/>
        </w:rPr>
        <w:t>（</w:t>
      </w:r>
      <w:r>
        <w:rPr>
          <w:rFonts w:hint="eastAsia" w:ascii="楷体" w:hAnsi="楷体" w:eastAsia="楷体" w:cs="楷体"/>
          <w:color w:val="auto"/>
          <w:sz w:val="32"/>
          <w:szCs w:val="32"/>
          <w:highlight w:val="none"/>
          <w:lang w:val="en-US" w:eastAsia="zh-CN"/>
        </w:rPr>
        <w:t>一</w:t>
      </w:r>
      <w:r>
        <w:rPr>
          <w:rFonts w:hint="eastAsia" w:ascii="楷体" w:hAnsi="楷体" w:eastAsia="楷体" w:cs="楷体"/>
          <w:color w:val="auto"/>
          <w:sz w:val="32"/>
          <w:szCs w:val="32"/>
          <w:highlight w:val="none"/>
        </w:rPr>
        <w:t>）教学设施</w:t>
      </w:r>
      <w:bookmarkEnd w:id="80"/>
    </w:p>
    <w:p>
      <w:pPr>
        <w:keepNext w:val="0"/>
        <w:keepLines w:val="0"/>
        <w:pageBreakBefore w:val="0"/>
        <w:widowControl w:val="0"/>
        <w:kinsoku/>
        <w:wordWrap/>
        <w:overflowPunct w:val="0"/>
        <w:topLinePunct w:val="0"/>
        <w:autoSpaceDE/>
        <w:autoSpaceDN/>
        <w:bidi w:val="0"/>
        <w:adjustRightInd w:val="0"/>
        <w:snapToGrid/>
        <w:spacing w:after="0" w:line="520" w:lineRule="exact"/>
        <w:ind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教学设施主要包括能够满足正常的课程教学、实习实训所需的专业教室、校内实训室和校外实训基地等。</w:t>
      </w:r>
    </w:p>
    <w:p>
      <w:pPr>
        <w:keepNext w:val="0"/>
        <w:keepLines w:val="0"/>
        <w:pageBreakBefore w:val="0"/>
        <w:widowControl w:val="0"/>
        <w:kinsoku/>
        <w:wordWrap/>
        <w:overflowPunct w:val="0"/>
        <w:topLinePunct w:val="0"/>
        <w:autoSpaceDE/>
        <w:autoSpaceDN/>
        <w:bidi w:val="0"/>
        <w:adjustRightInd w:val="0"/>
        <w:snapToGrid/>
        <w:spacing w:after="0" w:line="520" w:lineRule="exact"/>
        <w:ind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1.专业教室要求</w:t>
      </w:r>
    </w:p>
    <w:p>
      <w:pPr>
        <w:keepNext w:val="0"/>
        <w:keepLines w:val="0"/>
        <w:pageBreakBefore w:val="0"/>
        <w:widowControl w:val="0"/>
        <w:kinsoku/>
        <w:wordWrap/>
        <w:overflowPunct w:val="0"/>
        <w:topLinePunct w:val="0"/>
        <w:autoSpaceDE/>
        <w:autoSpaceDN/>
        <w:bidi w:val="0"/>
        <w:adjustRightInd w:val="0"/>
        <w:snapToGrid/>
        <w:spacing w:after="0" w:line="520" w:lineRule="exact"/>
        <w:ind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学校为该专业配备公共教室（配备有多媒体设施）、多媒体教室等，满足理论教学要求。</w:t>
      </w:r>
    </w:p>
    <w:p>
      <w:pPr>
        <w:keepNext w:val="0"/>
        <w:keepLines w:val="0"/>
        <w:pageBreakBefore w:val="0"/>
        <w:widowControl w:val="0"/>
        <w:kinsoku/>
        <w:wordWrap/>
        <w:overflowPunct w:val="0"/>
        <w:topLinePunct w:val="0"/>
        <w:autoSpaceDE/>
        <w:autoSpaceDN/>
        <w:bidi w:val="0"/>
        <w:adjustRightInd w:val="0"/>
        <w:snapToGrid/>
        <w:spacing w:after="0" w:line="520" w:lineRule="exact"/>
        <w:ind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配有黑板、多媒体计算机、投影设备、音响设备，安装应急照明装置并保持良好状态，符合紧急疏散要求，标志明显，逃生通道畅通无阻。</w:t>
      </w:r>
    </w:p>
    <w:p>
      <w:pPr>
        <w:keepNext w:val="0"/>
        <w:keepLines w:val="0"/>
        <w:pageBreakBefore w:val="0"/>
        <w:widowControl w:val="0"/>
        <w:kinsoku/>
        <w:wordWrap/>
        <w:overflowPunct w:val="0"/>
        <w:topLinePunct w:val="0"/>
        <w:autoSpaceDE/>
        <w:autoSpaceDN/>
        <w:bidi w:val="0"/>
        <w:adjustRightInd w:val="0"/>
        <w:snapToGrid/>
        <w:spacing w:after="0" w:line="520" w:lineRule="exact"/>
        <w:ind w:leftChars="0" w:firstLine="640" w:firstLineChars="20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sz w:val="32"/>
          <w:szCs w:val="32"/>
          <w:highlight w:val="none"/>
        </w:rPr>
        <w:t>2.校内实训资源</w:t>
      </w:r>
    </w:p>
    <w:p>
      <w:pPr>
        <w:keepNext w:val="0"/>
        <w:keepLines w:val="0"/>
        <w:pageBreakBefore w:val="0"/>
        <w:widowControl w:val="0"/>
        <w:kinsoku/>
        <w:wordWrap/>
        <w:overflowPunct w:val="0"/>
        <w:topLinePunct w:val="0"/>
        <w:autoSpaceDE/>
        <w:autoSpaceDN/>
        <w:bidi w:val="0"/>
        <w:adjustRightInd w:val="0"/>
        <w:snapToGrid/>
        <w:spacing w:after="0" w:line="520" w:lineRule="exact"/>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t>表1</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 xml:space="preserve"> </w:t>
      </w:r>
      <w:r>
        <w:rPr>
          <w:rFonts w:hint="eastAsia" w:ascii="仿宋_GB2312" w:hAnsi="仿宋_GB2312" w:eastAsia="仿宋_GB2312" w:cs="仿宋_GB2312"/>
          <w:color w:val="auto"/>
          <w:kern w:val="0"/>
          <w:sz w:val="32"/>
          <w:szCs w:val="32"/>
          <w:highlight w:val="none"/>
        </w:rPr>
        <w:t>校内实训资源列表</w:t>
      </w:r>
    </w:p>
    <w:tbl>
      <w:tblPr>
        <w:tblStyle w:val="12"/>
        <w:tblW w:w="0" w:type="auto"/>
        <w:tblInd w:w="-6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7"/>
        <w:gridCol w:w="1179"/>
        <w:gridCol w:w="2592"/>
        <w:gridCol w:w="2015"/>
        <w:gridCol w:w="2571"/>
        <w:gridCol w:w="8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70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序号</w:t>
            </w:r>
          </w:p>
        </w:tc>
        <w:tc>
          <w:tcPr>
            <w:tcW w:w="117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实验实训室名称</w:t>
            </w:r>
          </w:p>
        </w:tc>
        <w:tc>
          <w:tcPr>
            <w:tcW w:w="259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实训适用</w:t>
            </w:r>
          </w:p>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课程</w:t>
            </w:r>
          </w:p>
        </w:tc>
        <w:tc>
          <w:tcPr>
            <w:tcW w:w="201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实训</w:t>
            </w:r>
          </w:p>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项目</w:t>
            </w:r>
          </w:p>
        </w:tc>
        <w:tc>
          <w:tcPr>
            <w:tcW w:w="2571" w:type="dxa"/>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主要设备名称</w:t>
            </w:r>
          </w:p>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及配置数量</w:t>
            </w:r>
          </w:p>
        </w:tc>
        <w:tc>
          <w:tcPr>
            <w:tcW w:w="898" w:type="dxa"/>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工位数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707"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1</w:t>
            </w:r>
          </w:p>
        </w:tc>
        <w:tc>
          <w:tcPr>
            <w:tcW w:w="1179"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家务服务实训室</w:t>
            </w:r>
          </w:p>
        </w:tc>
        <w:tc>
          <w:tcPr>
            <w:tcW w:w="2592" w:type="dxa"/>
            <w:shd w:val="clear" w:color="auto" w:fill="auto"/>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家庭整理与收纳、家庭营养与膳食指导、家政培训实务、家宴策划与组织、家居空间规划、家庭环境与美化、插花与茶艺</w:t>
            </w:r>
          </w:p>
        </w:tc>
        <w:tc>
          <w:tcPr>
            <w:tcW w:w="2015" w:type="dxa"/>
            <w:shd w:val="clear" w:color="auto" w:fill="auto"/>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收纳整理、常用家居用品养护、家庭营养与膳食、茶道艺术、家庭插花装饰等实训教学</w:t>
            </w:r>
          </w:p>
        </w:tc>
        <w:tc>
          <w:tcPr>
            <w:tcW w:w="2571" w:type="dxa"/>
            <w:shd w:val="clear" w:color="auto" w:fill="auto"/>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家居常用设备设施、常用家电设备、常用清洁和收纳整理工具、家庭休闲常用茶桌及茶具、插花操作台和展示台20套。</w:t>
            </w:r>
          </w:p>
        </w:tc>
        <w:tc>
          <w:tcPr>
            <w:tcW w:w="898"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70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w:t>
            </w:r>
          </w:p>
        </w:tc>
        <w:tc>
          <w:tcPr>
            <w:tcW w:w="117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家庭成员照护实训室</w:t>
            </w:r>
          </w:p>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tc>
        <w:tc>
          <w:tcPr>
            <w:tcW w:w="259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家庭成员照护技术、产后恢复</w:t>
            </w:r>
          </w:p>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tc>
        <w:tc>
          <w:tcPr>
            <w:tcW w:w="201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孕产妇照护、婴幼儿照护、老年照护等实训教学</w:t>
            </w:r>
          </w:p>
        </w:tc>
        <w:tc>
          <w:tcPr>
            <w:tcW w:w="2571"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产后康复全能仪器、盆底肌治疗仪和训练仪、发汗排毒能量舱、高级全功能护理训练模拟人、高级着装式孕妇模型、婴儿智能 SPA 水疗池、鼻饲管及气管护理模型、口腔护理教学模型、轮椅20套。</w:t>
            </w:r>
          </w:p>
        </w:tc>
        <w:tc>
          <w:tcPr>
            <w:tcW w:w="898"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70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w:t>
            </w:r>
          </w:p>
        </w:tc>
        <w:tc>
          <w:tcPr>
            <w:tcW w:w="117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家庭教育实训室</w:t>
            </w:r>
          </w:p>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tc>
        <w:tc>
          <w:tcPr>
            <w:tcW w:w="2592"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婴幼儿早期发展指导、亲子教育、婴幼儿玩教具与游戏、现代教育技术、婴幼儿艺术启蒙</w:t>
            </w:r>
          </w:p>
        </w:tc>
        <w:tc>
          <w:tcPr>
            <w:tcW w:w="2015"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婴幼儿早期发展活动设计、亲子活动、玩教具与游戏等实训教学</w:t>
            </w:r>
          </w:p>
        </w:tc>
        <w:tc>
          <w:tcPr>
            <w:tcW w:w="2571"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钢琴、婴幼儿玩教具、手工操作台、幼儿感统训练工具20套。</w:t>
            </w:r>
          </w:p>
        </w:tc>
        <w:tc>
          <w:tcPr>
            <w:tcW w:w="898" w:type="dxa"/>
            <w:vAlign w:val="center"/>
          </w:tcPr>
          <w:p>
            <w:pPr>
              <w:keepNext w:val="0"/>
              <w:keepLines w:val="0"/>
              <w:pageBreakBefore w:val="0"/>
              <w:widowControl w:val="0"/>
              <w:kinsoku/>
              <w:wordWrap/>
              <w:overflowPunct w:val="0"/>
              <w:topLinePunct w:val="0"/>
              <w:autoSpaceDE/>
              <w:autoSpaceDN/>
              <w:bidi w:val="0"/>
              <w:adjustRightInd w:val="0"/>
              <w:snapToGrid/>
              <w:spacing w:line="300" w:lineRule="exact"/>
              <w:jc w:val="center"/>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vertAlign w:val="baseline"/>
                <w:lang w:val="en-US" w:eastAsia="zh-CN"/>
              </w:rPr>
              <w:t>3</w:t>
            </w:r>
            <w:r>
              <w:rPr>
                <w:rFonts w:hint="eastAsia" w:ascii="仿宋_GB2312" w:hAnsi="仿宋_GB2312" w:eastAsia="仿宋_GB2312" w:cs="仿宋_GB2312"/>
                <w:color w:val="auto"/>
                <w:sz w:val="24"/>
                <w:szCs w:val="24"/>
                <w:highlight w:val="none"/>
                <w:lang w:val="en-US" w:eastAsia="zh-CN"/>
              </w:rPr>
              <w:t>0</w:t>
            </w:r>
          </w:p>
        </w:tc>
      </w:tr>
    </w:tbl>
    <w:p>
      <w:pPr>
        <w:pageBreakBefore w:val="0"/>
        <w:widowControl/>
        <w:kinsoku/>
        <w:wordWrap/>
        <w:topLinePunct w:val="0"/>
        <w:autoSpaceDE/>
        <w:autoSpaceDN/>
        <w:bidi w:val="0"/>
        <w:snapToGrid/>
        <w:spacing w:before="0" w:after="0" w:line="520" w:lineRule="exact"/>
        <w:ind w:firstLine="640" w:firstLineChars="200"/>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3.校外实训资源</w:t>
      </w:r>
    </w:p>
    <w:p>
      <w:pPr>
        <w:pageBreakBefore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（1）校外实训基地基本要求</w:t>
      </w:r>
    </w:p>
    <w:p>
      <w:pPr>
        <w:pageBreakBefore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具有稳定的校外实训基地2个以上</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能够开展家务服务实训室、家庭成员照护实训室、家庭教育实训室等实训活动</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实训设施齐备，实训岗位、实训指导教师确定，实训管理及实施规章制度齐全。</w:t>
      </w:r>
    </w:p>
    <w:p>
      <w:pPr>
        <w:pageBreakBefore w:val="0"/>
        <w:numPr>
          <w:ilvl w:val="0"/>
          <w:numId w:val="2"/>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学生实习基地基本要求</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具有稳定的校外实习基地2个以上</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能提供母婴护理、养老护理、庭院养护等相关实习岗位，能涵盖当前相关产业的主流技术，可接纳一定规模的学生实习</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能够配备相应数量的指导教师对学生实习进行指导和管理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有保证实习生日常工作、学习、生活的规章制度，有安全、保险保障。</w:t>
      </w:r>
    </w:p>
    <w:p>
      <w:pPr>
        <w:pageBreakBefore w:val="0"/>
        <w:kinsoku/>
        <w:wordWrap/>
        <w:overflowPunct w:val="0"/>
        <w:topLinePunct w:val="0"/>
        <w:autoSpaceDE/>
        <w:autoSpaceDN/>
        <w:bidi w:val="0"/>
        <w:adjustRightInd w:val="0"/>
        <w:snapToGrid/>
        <w:spacing w:after="0" w:line="520" w:lineRule="exact"/>
        <w:jc w:val="center"/>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表1</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 xml:space="preserve"> 校外实习基地一览表</w:t>
      </w:r>
    </w:p>
    <w:tbl>
      <w:tblPr>
        <w:tblStyle w:val="12"/>
        <w:tblW w:w="10106" w:type="dxa"/>
        <w:tblInd w:w="-4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6"/>
        <w:gridCol w:w="2854"/>
        <w:gridCol w:w="1842"/>
        <w:gridCol w:w="3158"/>
        <w:gridCol w:w="1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序号</w:t>
            </w:r>
          </w:p>
        </w:tc>
        <w:tc>
          <w:tcPr>
            <w:tcW w:w="2854"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校外实习基地名称</w:t>
            </w:r>
          </w:p>
        </w:tc>
        <w:tc>
          <w:tcPr>
            <w:tcW w:w="1842"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合作企业名称</w:t>
            </w:r>
          </w:p>
        </w:tc>
        <w:tc>
          <w:tcPr>
            <w:tcW w:w="3158"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default"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合作内容</w:t>
            </w:r>
          </w:p>
        </w:tc>
        <w:tc>
          <w:tcPr>
            <w:tcW w:w="154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接纳学生实习人次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1</w:t>
            </w:r>
          </w:p>
        </w:tc>
        <w:tc>
          <w:tcPr>
            <w:tcW w:w="2854"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eastAsia="zh-CN"/>
              </w:rPr>
              <w:t>广西工程职业学院</w:t>
            </w:r>
            <w:r>
              <w:rPr>
                <w:rFonts w:hint="eastAsia" w:ascii="仿宋_GB2312" w:hAnsi="仿宋_GB2312" w:eastAsia="仿宋_GB2312" w:cs="仿宋_GB2312"/>
                <w:color w:val="auto"/>
                <w:sz w:val="24"/>
                <w:highlight w:val="none"/>
              </w:rPr>
              <w:t>现代家政服务与管理</w:t>
            </w:r>
            <w:r>
              <w:rPr>
                <w:rFonts w:hint="eastAsia" w:ascii="仿宋_GB2312" w:hAnsi="仿宋_GB2312" w:eastAsia="仿宋_GB2312" w:cs="仿宋_GB2312"/>
                <w:color w:val="auto"/>
                <w:sz w:val="24"/>
                <w:highlight w:val="none"/>
                <w:lang w:val="en-US" w:eastAsia="zh-CN"/>
              </w:rPr>
              <w:t>专业校外实习基地</w:t>
            </w:r>
          </w:p>
        </w:tc>
        <w:tc>
          <w:tcPr>
            <w:tcW w:w="1842"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rPr>
              <w:t>平果市中医医院</w:t>
            </w:r>
          </w:p>
        </w:tc>
        <w:tc>
          <w:tcPr>
            <w:tcW w:w="3158"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rPr>
              <w:t>共同研究专业设置、共同研究人才培养方案、共同研究人才评价标准、共同组建教学团队、共同建设实训实习平台、共同开发课程、共同开发教材</w:t>
            </w:r>
          </w:p>
        </w:tc>
        <w:tc>
          <w:tcPr>
            <w:tcW w:w="1546"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2</w:t>
            </w:r>
          </w:p>
        </w:tc>
        <w:tc>
          <w:tcPr>
            <w:tcW w:w="2854"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eastAsia="zh-CN"/>
              </w:rPr>
              <w:t>广西工程职业学院</w:t>
            </w:r>
            <w:r>
              <w:rPr>
                <w:rFonts w:hint="eastAsia" w:ascii="仿宋_GB2312" w:hAnsi="仿宋_GB2312" w:eastAsia="仿宋_GB2312" w:cs="仿宋_GB2312"/>
                <w:color w:val="auto"/>
                <w:sz w:val="24"/>
                <w:highlight w:val="none"/>
              </w:rPr>
              <w:t>现代家政服务与管理</w:t>
            </w:r>
            <w:r>
              <w:rPr>
                <w:rFonts w:hint="eastAsia" w:ascii="仿宋_GB2312" w:hAnsi="仿宋_GB2312" w:eastAsia="仿宋_GB2312" w:cs="仿宋_GB2312"/>
                <w:color w:val="auto"/>
                <w:sz w:val="24"/>
                <w:highlight w:val="none"/>
                <w:lang w:val="en-US" w:eastAsia="zh-CN"/>
              </w:rPr>
              <w:t>专业校外实习基地</w:t>
            </w:r>
          </w:p>
        </w:tc>
        <w:tc>
          <w:tcPr>
            <w:tcW w:w="1842"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rPr>
              <w:t>广西平果市亿安康养老服务中心</w:t>
            </w:r>
          </w:p>
        </w:tc>
        <w:tc>
          <w:tcPr>
            <w:tcW w:w="3158"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rPr>
              <w:t>共同研究专业设置、共同研究人才培养方案、共同研究人才评价标准、共同组建教学团队、共同建设实训实习平台、共同开发课程、共同开发教材</w:t>
            </w:r>
          </w:p>
        </w:tc>
        <w:tc>
          <w:tcPr>
            <w:tcW w:w="1546"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3</w:t>
            </w:r>
          </w:p>
        </w:tc>
        <w:tc>
          <w:tcPr>
            <w:tcW w:w="2854"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eastAsia="zh-CN"/>
              </w:rPr>
              <w:t>广西工程职业学院</w:t>
            </w:r>
            <w:r>
              <w:rPr>
                <w:rFonts w:hint="eastAsia" w:ascii="仿宋_GB2312" w:hAnsi="仿宋_GB2312" w:eastAsia="仿宋_GB2312" w:cs="仿宋_GB2312"/>
                <w:color w:val="auto"/>
                <w:sz w:val="24"/>
                <w:highlight w:val="none"/>
              </w:rPr>
              <w:t>现代家政服务与管理</w:t>
            </w:r>
            <w:r>
              <w:rPr>
                <w:rFonts w:hint="eastAsia" w:ascii="仿宋_GB2312" w:hAnsi="仿宋_GB2312" w:eastAsia="仿宋_GB2312" w:cs="仿宋_GB2312"/>
                <w:color w:val="auto"/>
                <w:sz w:val="24"/>
                <w:highlight w:val="none"/>
                <w:lang w:val="en-US" w:eastAsia="zh-CN"/>
              </w:rPr>
              <w:t>专业校外实习基地</w:t>
            </w:r>
          </w:p>
        </w:tc>
        <w:tc>
          <w:tcPr>
            <w:tcW w:w="1842"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平果市人民</w:t>
            </w:r>
          </w:p>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rPr>
              <w:t>医院</w:t>
            </w:r>
          </w:p>
        </w:tc>
        <w:tc>
          <w:tcPr>
            <w:tcW w:w="3158"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rPr>
              <w:t>共同研究专业设置、共同研究人才培养方案、共同研究人才评价标准、共同组建教学团队、共同建设实训实习平台、共同开发课程、共同开发教材</w:t>
            </w:r>
          </w:p>
        </w:tc>
        <w:tc>
          <w:tcPr>
            <w:tcW w:w="1546"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6"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4</w:t>
            </w:r>
          </w:p>
        </w:tc>
        <w:tc>
          <w:tcPr>
            <w:tcW w:w="2854"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eastAsia="zh-CN"/>
              </w:rPr>
              <w:t>广西工程职业学院</w:t>
            </w:r>
            <w:r>
              <w:rPr>
                <w:rFonts w:hint="eastAsia" w:ascii="仿宋_GB2312" w:hAnsi="仿宋_GB2312" w:eastAsia="仿宋_GB2312" w:cs="仿宋_GB2312"/>
                <w:color w:val="auto"/>
                <w:sz w:val="24"/>
                <w:highlight w:val="none"/>
              </w:rPr>
              <w:t>现代家政服务与管理</w:t>
            </w:r>
            <w:r>
              <w:rPr>
                <w:rFonts w:hint="eastAsia" w:ascii="仿宋_GB2312" w:hAnsi="仿宋_GB2312" w:eastAsia="仿宋_GB2312" w:cs="仿宋_GB2312"/>
                <w:color w:val="auto"/>
                <w:sz w:val="24"/>
                <w:highlight w:val="none"/>
                <w:lang w:val="en-US" w:eastAsia="zh-CN"/>
              </w:rPr>
              <w:t>专业校外实习基地</w:t>
            </w:r>
          </w:p>
        </w:tc>
        <w:tc>
          <w:tcPr>
            <w:tcW w:w="1842"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eastAsia="zh-CN"/>
              </w:rPr>
              <w:t>平果市新安镇卫生院</w:t>
            </w:r>
          </w:p>
        </w:tc>
        <w:tc>
          <w:tcPr>
            <w:tcW w:w="3158"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highlight w:val="none"/>
                <w:lang w:val="en-US" w:eastAsia="zh-CN"/>
              </w:rPr>
            </w:pPr>
            <w:r>
              <w:rPr>
                <w:rFonts w:hint="eastAsia"/>
              </w:rPr>
              <w:t>共</w:t>
            </w:r>
            <w:r>
              <w:rPr>
                <w:rFonts w:hint="eastAsia" w:ascii="仿宋_GB2312" w:hAnsi="仿宋_GB2312" w:eastAsia="仿宋_GB2312" w:cs="仿宋_GB2312"/>
                <w:color w:val="auto"/>
                <w:sz w:val="24"/>
                <w:highlight w:val="none"/>
              </w:rPr>
              <w:t>同研究专业设置、共同研究人才培养方案、共同研究人才评价标准、共同组建教学团队、共同建设实训实习平台、共同开发课程、共同开发教材</w:t>
            </w:r>
          </w:p>
        </w:tc>
        <w:tc>
          <w:tcPr>
            <w:tcW w:w="1546"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after="0" w:line="240" w:lineRule="auto"/>
              <w:jc w:val="center"/>
              <w:textAlignment w:val="auto"/>
              <w:rPr>
                <w:rFonts w:hint="eastAsia" w:ascii="仿宋_GB2312" w:hAnsi="仿宋_GB2312" w:eastAsia="仿宋_GB2312" w:cs="仿宋_GB2312"/>
                <w:color w:val="auto"/>
                <w:sz w:val="24"/>
                <w:highlight w:val="none"/>
                <w:lang w:val="en-US" w:eastAsia="zh-CN"/>
              </w:rPr>
            </w:pPr>
            <w:r>
              <w:rPr>
                <w:rFonts w:hint="eastAsia" w:ascii="仿宋_GB2312" w:hAnsi="仿宋_GB2312" w:eastAsia="仿宋_GB2312" w:cs="仿宋_GB2312"/>
                <w:color w:val="auto"/>
                <w:sz w:val="24"/>
                <w:highlight w:val="none"/>
                <w:lang w:val="en-US" w:eastAsia="zh-CN"/>
              </w:rPr>
              <w:t>30</w:t>
            </w:r>
          </w:p>
        </w:tc>
      </w:tr>
    </w:tbl>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1"/>
        <w:rPr>
          <w:rFonts w:hint="eastAsia" w:ascii="楷体" w:hAnsi="楷体" w:eastAsia="楷体" w:cs="楷体"/>
          <w:color w:val="auto"/>
          <w:sz w:val="32"/>
          <w:szCs w:val="32"/>
          <w:highlight w:val="none"/>
        </w:rPr>
      </w:pPr>
      <w:bookmarkStart w:id="81" w:name="_Toc10874"/>
      <w:r>
        <w:rPr>
          <w:rFonts w:hint="eastAsia" w:ascii="楷体" w:hAnsi="楷体" w:eastAsia="楷体" w:cs="楷体"/>
          <w:color w:val="auto"/>
          <w:sz w:val="32"/>
          <w:szCs w:val="32"/>
          <w:highlight w:val="none"/>
        </w:rPr>
        <w:t>（</w:t>
      </w:r>
      <w:r>
        <w:rPr>
          <w:rFonts w:hint="eastAsia" w:ascii="楷体" w:hAnsi="楷体" w:eastAsia="楷体" w:cs="楷体"/>
          <w:color w:val="auto"/>
          <w:sz w:val="32"/>
          <w:szCs w:val="32"/>
          <w:highlight w:val="none"/>
          <w:lang w:val="en-US" w:eastAsia="zh-CN"/>
        </w:rPr>
        <w:t>二</w:t>
      </w:r>
      <w:r>
        <w:rPr>
          <w:rFonts w:hint="eastAsia" w:ascii="楷体" w:hAnsi="楷体" w:eastAsia="楷体" w:cs="楷体"/>
          <w:color w:val="auto"/>
          <w:sz w:val="32"/>
          <w:szCs w:val="32"/>
          <w:highlight w:val="none"/>
        </w:rPr>
        <w:t>）教学资源</w:t>
      </w:r>
      <w:bookmarkEnd w:id="81"/>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教学资源主要包括能满足学生专业学习、教师专业教学研究和教学实施所需的教材、图书文献及数字教学资源等。</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1.教材选用基本要求</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eastAsia" w:ascii="仿宋_GB2312" w:hAnsi="仿宋_GB2312" w:eastAsia="仿宋_GB2312" w:cs="仿宋_GB2312"/>
          <w:i w:val="0"/>
          <w:iCs w:val="0"/>
          <w:caps w:val="0"/>
          <w:color w:val="auto"/>
          <w:spacing w:val="0"/>
          <w:sz w:val="32"/>
          <w:szCs w:val="32"/>
          <w:lang w:val="en-US" w:eastAsia="zh-CN"/>
        </w:rPr>
      </w:pPr>
      <w:r>
        <w:rPr>
          <w:rFonts w:hint="eastAsia" w:ascii="仿宋_GB2312" w:hAnsi="仿宋_GB2312" w:eastAsia="仿宋_GB2312" w:cs="仿宋_GB2312"/>
          <w:color w:val="auto"/>
          <w:sz w:val="32"/>
          <w:szCs w:val="32"/>
        </w:rPr>
        <w:t>按照国家规定，优先选用国家规划教材</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国家优秀教材</w:t>
      </w:r>
      <w:r>
        <w:rPr>
          <w:rFonts w:hint="eastAsia" w:ascii="仿宋_GB2312" w:hAnsi="仿宋_GB2312" w:eastAsia="仿宋_GB2312" w:cs="仿宋_GB2312"/>
          <w:i w:val="0"/>
          <w:iCs w:val="0"/>
          <w:caps w:val="0"/>
          <w:color w:val="auto"/>
          <w:spacing w:val="0"/>
          <w:sz w:val="32"/>
          <w:szCs w:val="32"/>
          <w:lang w:val="en-US" w:eastAsia="zh-CN"/>
        </w:rPr>
        <w:t>及近三年最新版规范教材，确保教材内容与人才培养方案、教学大纲匹配，注重实践性与时效性；</w:t>
      </w:r>
      <w:r>
        <w:rPr>
          <w:rFonts w:hint="eastAsia" w:ascii="仿宋_GB2312" w:hAnsi="仿宋_GB2312" w:eastAsia="仿宋_GB2312" w:cs="仿宋_GB2312"/>
          <w:color w:val="auto"/>
          <w:sz w:val="32"/>
          <w:szCs w:val="32"/>
        </w:rPr>
        <w:t>专业课程教材</w:t>
      </w:r>
      <w:r>
        <w:rPr>
          <w:rFonts w:hint="eastAsia" w:ascii="仿宋_GB2312" w:hAnsi="仿宋_GB2312" w:eastAsia="仿宋_GB2312" w:cs="仿宋_GB2312"/>
          <w:color w:val="auto"/>
          <w:sz w:val="32"/>
          <w:szCs w:val="32"/>
          <w:lang w:val="en-US" w:eastAsia="zh-CN"/>
        </w:rPr>
        <w:t>应</w:t>
      </w:r>
      <w:r>
        <w:rPr>
          <w:rFonts w:hint="eastAsia" w:ascii="仿宋_GB2312" w:hAnsi="仿宋_GB2312" w:eastAsia="仿宋_GB2312" w:cs="仿宋_GB2312"/>
          <w:color w:val="auto"/>
          <w:sz w:val="32"/>
          <w:szCs w:val="32"/>
        </w:rPr>
        <w:t>体现本行业新技术、新规范、新标准、新形态，并通过数字教材、活页式教材等多种方式进行动态更新</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i w:val="0"/>
          <w:iCs w:val="0"/>
          <w:caps w:val="0"/>
          <w:color w:val="auto"/>
          <w:spacing w:val="0"/>
          <w:sz w:val="32"/>
          <w:szCs w:val="32"/>
          <w:lang w:val="en-US" w:eastAsia="zh-CN"/>
        </w:rPr>
        <w:t>强化意识形态审查，杜绝政治导向问题或内容陈旧、拼凑的教材。</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材应充分反映本专业职业活动特点，结合职业技能等级证书考取需要，增加实践实操内容，强调理论在实践过程中的应用。教材内容应体现先进性、通用性、实用性，要将本专业新职业标准、新工作规范、新知识技能及时纳入教材，使教材更贴近本专业的发展和实际需要。</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kern w:val="2"/>
          <w:sz w:val="32"/>
          <w:szCs w:val="32"/>
          <w:highlight w:val="none"/>
          <w:lang w:val="en-US" w:eastAsia="zh-CN" w:bidi="ar-SA"/>
        </w:rPr>
        <w:t>2.</w:t>
      </w:r>
      <w:r>
        <w:rPr>
          <w:rFonts w:hint="eastAsia" w:ascii="仿宋_GB2312" w:hAnsi="仿宋_GB2312" w:eastAsia="仿宋_GB2312" w:cs="仿宋_GB2312"/>
          <w:color w:val="auto"/>
          <w:sz w:val="32"/>
          <w:szCs w:val="32"/>
          <w:highlight w:val="none"/>
        </w:rPr>
        <w:t>图书文献配备基本要求</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书文献配备能满足人才培养、专业建设、教科研等工作的需要，方便师生查询、借阅。专业类文献主要包括：家政相关行业政策法规、行业标准、技术规范以及家政电商、互联网+家政等行业新业态相关专业类图书和实务案例类图书。专业图书资料（含电子图书）不低于500册，5种以上家政服务与管理类专业学术期刊，并能保持每年更新。</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kern w:val="2"/>
          <w:sz w:val="32"/>
          <w:szCs w:val="32"/>
          <w:highlight w:val="none"/>
          <w:lang w:val="en-US" w:eastAsia="zh-CN" w:bidi="ar-SA"/>
        </w:rPr>
        <w:t>3.</w:t>
      </w:r>
      <w:r>
        <w:rPr>
          <w:rFonts w:hint="eastAsia" w:ascii="仿宋_GB2312" w:hAnsi="仿宋_GB2312" w:eastAsia="仿宋_GB2312" w:cs="仿宋_GB2312"/>
          <w:color w:val="auto"/>
          <w:sz w:val="32"/>
          <w:szCs w:val="32"/>
          <w:highlight w:val="none"/>
        </w:rPr>
        <w:t>数字教学资源配置基本要求</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建设、配备与专业相关的音视频素材、教学课件、数字化教学案例库、虚拟仿真软件、数字教材等专业教学资源库，应种类丰富、形式多样、使用便捷、动态更新，能满足教学要求。</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楷体" w:hAnsi="楷体" w:eastAsia="楷体" w:cs="楷体"/>
          <w:color w:val="auto"/>
          <w:sz w:val="32"/>
          <w:szCs w:val="32"/>
          <w:highlight w:val="none"/>
        </w:rPr>
      </w:pPr>
      <w:bookmarkStart w:id="82" w:name="_Toc15362"/>
      <w:r>
        <w:rPr>
          <w:rFonts w:hint="eastAsia" w:ascii="楷体" w:hAnsi="楷体" w:eastAsia="楷体" w:cs="楷体"/>
          <w:color w:val="auto"/>
          <w:kern w:val="2"/>
          <w:sz w:val="32"/>
          <w:szCs w:val="32"/>
          <w:highlight w:val="none"/>
          <w:lang w:val="en-US" w:eastAsia="zh-CN" w:bidi="ar-SA"/>
        </w:rPr>
        <w:t>（三）</w:t>
      </w:r>
      <w:r>
        <w:rPr>
          <w:rFonts w:hint="eastAsia" w:ascii="楷体" w:hAnsi="楷体" w:eastAsia="楷体" w:cs="楷体"/>
          <w:color w:val="auto"/>
          <w:sz w:val="32"/>
          <w:szCs w:val="32"/>
          <w:highlight w:val="none"/>
        </w:rPr>
        <w:t>教学方法</w:t>
      </w:r>
      <w:bookmarkEnd w:id="82"/>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不同课程的性质特点，在保留传统讲授法、演示法、讨论法、问答法、案例分析法等的基础上，应充分利用信息化教学资源，尽量将项目驱动法、探究式教学、翻转课堂等新型教学模式及方法引入课堂，遵循“学生为主体，教师为主导”的原则，积极探索多种教学方法。</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outlineLvl w:val="1"/>
        <w:rPr>
          <w:rFonts w:hint="eastAsia" w:ascii="楷体" w:hAnsi="楷体" w:eastAsia="楷体" w:cs="楷体"/>
          <w:color w:val="auto"/>
          <w:sz w:val="32"/>
          <w:szCs w:val="32"/>
          <w:highlight w:val="none"/>
        </w:rPr>
      </w:pPr>
      <w:bookmarkStart w:id="83" w:name="_Toc4736"/>
      <w:r>
        <w:rPr>
          <w:rFonts w:hint="eastAsia" w:ascii="楷体" w:hAnsi="楷体" w:eastAsia="楷体" w:cs="楷体"/>
          <w:color w:val="auto"/>
          <w:sz w:val="32"/>
          <w:szCs w:val="32"/>
          <w:highlight w:val="none"/>
        </w:rPr>
        <w:t>（</w:t>
      </w:r>
      <w:r>
        <w:rPr>
          <w:rFonts w:hint="eastAsia" w:ascii="楷体" w:hAnsi="楷体" w:eastAsia="楷体" w:cs="楷体"/>
          <w:color w:val="auto"/>
          <w:sz w:val="32"/>
          <w:szCs w:val="32"/>
          <w:highlight w:val="none"/>
          <w:lang w:val="en-US" w:eastAsia="zh-CN"/>
        </w:rPr>
        <w:t>四</w:t>
      </w:r>
      <w:r>
        <w:rPr>
          <w:rFonts w:hint="eastAsia" w:ascii="楷体" w:hAnsi="楷体" w:eastAsia="楷体" w:cs="楷体"/>
          <w:color w:val="auto"/>
          <w:sz w:val="32"/>
          <w:szCs w:val="32"/>
          <w:highlight w:val="none"/>
        </w:rPr>
        <w:t>）学习评价</w:t>
      </w:r>
      <w:bookmarkEnd w:id="83"/>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1.课程考核方法</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课程的考核一般分为考试评价、考查评价、鉴定评价、评语评价和答辩评价五种形式。考核评价须根据国家有关规定、课程标准及教学特点确定相应形式，可采取笔试、技能测试、机考、口试、面试等中的一种或多种方式进行。</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课程成绩评定根据学生参与度、作业质量、实训效果与期末考核等项目确定不同比例进行综合评定，评定标准如下：</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）A类课程成绩构成（纯理论）</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课程总成绩=期末卷面考试成绩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+平时成绩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）B类课程成绩构成（理论+实践）</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课程总成绩=期末卷面考试成</w:t>
      </w:r>
      <w:r>
        <w:rPr>
          <w:rFonts w:hint="eastAsia" w:ascii="仿宋_GB2312" w:hAnsi="仿宋_GB2312" w:eastAsia="仿宋_GB2312" w:cs="仿宋_GB2312"/>
          <w:color w:val="auto"/>
          <w:sz w:val="32"/>
          <w:szCs w:val="32"/>
          <w:lang w:val="en-US" w:eastAsia="zh-CN"/>
        </w:rPr>
        <w:t>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40%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+技能成绩（30%）+平时成绩（30%）</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）C类课程成绩构成</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纯实践）</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rPr>
        <w:t>课程总成绩=技能成绩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+平时成绩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2.教学评价方式</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黑体" w:hAnsi="黑体" w:eastAsia="黑体" w:cs="黑体"/>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rPr>
        <w:t>教学评价采用校内评价与校外评价相结合的方式，校内评价注重过程考核，校外评价以企业评价为主，由企业人员根据企业的岗位工作考核标准，制定对应的核心课程的评价标准，并组织企业人员对学生考核，把评价标准的着眼点和落脚点从目前</w:t>
      </w:r>
      <w:r>
        <w:rPr>
          <w:rFonts w:hint="eastAsia" w:ascii="仿宋_GB2312" w:hAnsi="仿宋_GB2312" w:eastAsia="仿宋_GB2312" w:cs="仿宋_GB2312"/>
          <w:color w:val="auto"/>
          <w:sz w:val="32"/>
          <w:szCs w:val="32"/>
          <w:highlight w:val="none"/>
          <w:lang w:eastAsia="zh-CN"/>
        </w:rPr>
        <w:t>以</w:t>
      </w:r>
      <w:r>
        <w:rPr>
          <w:rFonts w:hint="eastAsia" w:ascii="仿宋_GB2312" w:hAnsi="仿宋_GB2312" w:eastAsia="仿宋_GB2312" w:cs="仿宋_GB2312"/>
          <w:color w:val="auto"/>
          <w:sz w:val="32"/>
          <w:szCs w:val="32"/>
          <w:highlight w:val="none"/>
        </w:rPr>
        <w:t>学科成绩为核心，改变到以岗位能力为核心的轨道上来。本着为行业企业服务的原则，努力缩小或消除学校评价与企业评价之间的差异</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s="黑体"/>
          <w:b w:val="0"/>
          <w:bCs w:val="0"/>
          <w:color w:val="auto"/>
          <w:sz w:val="32"/>
          <w:szCs w:val="32"/>
          <w:highlight w:val="none"/>
          <w:lang w:val="en-US" w:eastAsia="zh-CN"/>
        </w:rPr>
      </w:pPr>
      <w:bookmarkStart w:id="84" w:name="_Toc12474"/>
      <w:bookmarkStart w:id="85" w:name="_Toc20788"/>
      <w:bookmarkStart w:id="86" w:name="_Toc19154"/>
      <w:r>
        <w:rPr>
          <w:rFonts w:hint="eastAsia" w:ascii="黑体" w:hAnsi="黑体" w:eastAsia="黑体" w:cs="黑体"/>
          <w:b w:val="0"/>
          <w:bCs w:val="0"/>
          <w:color w:val="auto"/>
          <w:sz w:val="32"/>
          <w:szCs w:val="32"/>
          <w:highlight w:val="none"/>
          <w:lang w:val="en-US" w:eastAsia="zh-CN"/>
        </w:rPr>
        <w:t>十一、</w:t>
      </w:r>
      <w:r>
        <w:rPr>
          <w:rFonts w:hint="eastAsia" w:ascii="黑体" w:hAnsi="黑体" w:eastAsia="黑体" w:cs="黑体"/>
          <w:b w:val="0"/>
          <w:bCs w:val="0"/>
          <w:color w:val="auto"/>
          <w:sz w:val="32"/>
          <w:szCs w:val="32"/>
          <w:highlight w:val="none"/>
        </w:rPr>
        <w:t>质量</w:t>
      </w:r>
      <w:r>
        <w:rPr>
          <w:rFonts w:hint="eastAsia" w:ascii="黑体" w:hAnsi="黑体" w:eastAsia="黑体" w:cs="黑体"/>
          <w:b w:val="0"/>
          <w:bCs w:val="0"/>
          <w:color w:val="auto"/>
          <w:sz w:val="32"/>
          <w:szCs w:val="32"/>
          <w:highlight w:val="none"/>
          <w:lang w:val="en-US" w:eastAsia="zh-CN"/>
        </w:rPr>
        <w:t>保障</w:t>
      </w:r>
      <w:bookmarkEnd w:id="84"/>
      <w:bookmarkEnd w:id="85"/>
      <w:bookmarkEnd w:id="86"/>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bookmarkStart w:id="87" w:name="_Toc8717"/>
      <w:bookmarkStart w:id="88" w:name="_Toc13853"/>
      <w:r>
        <w:rPr>
          <w:rFonts w:hint="eastAsia" w:ascii="仿宋_GB2312" w:hAnsi="仿宋_GB2312" w:eastAsia="仿宋_GB2312" w:cs="仿宋_GB2312"/>
          <w:color w:val="auto"/>
          <w:sz w:val="32"/>
          <w:szCs w:val="32"/>
        </w:rPr>
        <w:t>1.建立专业建设和教学质量诊断与改进机制，健全专业教学质量监控管理制度，完善课堂教学、教学评价、实习实训、专业调研、人才培养方案更新及资源建设等方面质量标准建设，通过教学实施、过程监控、质量评价和持续改进，达成人才培养规格。</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完善教学管理机制，加强日常教学组织运行与管理，定期开展课程建设水平和教学质量诊断与改进，建立健全教学检查、领导听课、期末教学质量评价等制度，建立与企业联动的实习实践教学环节督导制度，严明教学纪律，强化教学组织功能，定期开展公开课、示范课等教研活动。</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3.专业教研</w:t>
      </w:r>
      <w:r>
        <w:rPr>
          <w:rFonts w:hint="eastAsia" w:ascii="仿宋_GB2312" w:hAnsi="仿宋_GB2312" w:eastAsia="仿宋_GB2312" w:cs="仿宋_GB2312"/>
          <w:color w:val="auto"/>
          <w:sz w:val="32"/>
          <w:szCs w:val="32"/>
          <w:lang w:val="en-US" w:eastAsia="zh-CN"/>
        </w:rPr>
        <w:t>室</w:t>
      </w:r>
      <w:r>
        <w:rPr>
          <w:rFonts w:hint="eastAsia" w:ascii="仿宋_GB2312" w:hAnsi="仿宋_GB2312" w:eastAsia="仿宋_GB2312" w:cs="仿宋_GB2312"/>
          <w:color w:val="auto"/>
          <w:sz w:val="32"/>
          <w:szCs w:val="32"/>
        </w:rPr>
        <w:t>建立线上线下相结合的集中备课制度，定期召开教学研讨会议，利用评价分析结果有效改进专业教学，持续提高人才培养质量。</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.建立毕业生跟踪反馈机制及社会评价机制，并对生源情况、在校生学业水平、毕业生就业情况等进行分析，定期评价人才培养质量和培养目标达成情况。</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.充分利用评价分析结果有效改进专业教学，持续提高人才培养质量。</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s="黑体"/>
          <w:b w:val="0"/>
          <w:bCs w:val="0"/>
          <w:color w:val="1D41D5"/>
          <w:sz w:val="32"/>
          <w:szCs w:val="32"/>
          <w:highlight w:val="none"/>
          <w:lang w:eastAsia="zh-CN"/>
        </w:rPr>
      </w:pPr>
      <w:bookmarkStart w:id="89" w:name="_Toc26655"/>
      <w:r>
        <w:rPr>
          <w:rFonts w:hint="eastAsia" w:ascii="黑体" w:hAnsi="黑体" w:eastAsia="黑体" w:cs="黑体"/>
          <w:b w:val="0"/>
          <w:bCs w:val="0"/>
          <w:color w:val="auto"/>
          <w:sz w:val="32"/>
          <w:szCs w:val="32"/>
          <w:highlight w:val="none"/>
          <w:lang w:val="en-US" w:eastAsia="zh-CN"/>
        </w:rPr>
        <w:t>十二、</w:t>
      </w:r>
      <w:r>
        <w:rPr>
          <w:rFonts w:hint="eastAsia" w:ascii="黑体" w:hAnsi="黑体" w:eastAsia="黑体" w:cs="黑体"/>
          <w:b w:val="0"/>
          <w:bCs w:val="0"/>
          <w:color w:val="auto"/>
          <w:sz w:val="32"/>
          <w:szCs w:val="32"/>
          <w:highlight w:val="none"/>
        </w:rPr>
        <w:t>毕业要求</w:t>
      </w:r>
      <w:bookmarkEnd w:id="87"/>
      <w:bookmarkEnd w:id="88"/>
      <w:bookmarkEnd w:id="89"/>
    </w:p>
    <w:p>
      <w:pPr>
        <w:keepNext w:val="0"/>
        <w:keepLines w:val="0"/>
        <w:pageBreakBefore w:val="0"/>
        <w:widowControl w:val="0"/>
        <w:numPr>
          <w:ilvl w:val="0"/>
          <w:numId w:val="3"/>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楷体" w:hAnsi="楷体" w:eastAsia="楷体" w:cs="楷体"/>
          <w:color w:val="auto"/>
          <w:kern w:val="2"/>
          <w:sz w:val="32"/>
          <w:szCs w:val="32"/>
          <w:highlight w:val="none"/>
          <w:lang w:val="en-US" w:eastAsia="zh-CN" w:bidi="ar-SA"/>
        </w:rPr>
      </w:pPr>
      <w:bookmarkStart w:id="90" w:name="_Toc26149"/>
      <w:bookmarkStart w:id="91" w:name="_Toc17001"/>
      <w:r>
        <w:rPr>
          <w:rFonts w:hint="eastAsia" w:ascii="楷体" w:hAnsi="楷体" w:eastAsia="楷体" w:cs="楷体"/>
          <w:color w:val="auto"/>
          <w:kern w:val="2"/>
          <w:sz w:val="32"/>
          <w:szCs w:val="32"/>
          <w:highlight w:val="none"/>
          <w:lang w:val="en-US" w:eastAsia="zh-CN" w:bidi="ar-SA"/>
        </w:rPr>
        <w:t>学分要求</w:t>
      </w:r>
      <w:bookmarkEnd w:id="90"/>
      <w:bookmarkEnd w:id="91"/>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9"/>
        <w:rPr>
          <w:rFonts w:hint="eastAsia" w:ascii="仿宋_GB2312" w:hAnsi="仿宋_GB2312" w:eastAsia="仿宋_GB2312" w:cs="仿宋_GB2312"/>
          <w:color w:val="auto"/>
          <w:kern w:val="2"/>
          <w:sz w:val="32"/>
          <w:szCs w:val="32"/>
          <w:highlight w:val="none"/>
          <w:lang w:val="en-US" w:eastAsia="zh-CN" w:bidi="ar-SA"/>
        </w:rPr>
      </w:pPr>
      <w:bookmarkStart w:id="92" w:name="_Toc19230"/>
      <w:r>
        <w:rPr>
          <w:rFonts w:hint="eastAsia" w:ascii="仿宋_GB2312" w:hAnsi="仿宋_GB2312" w:eastAsia="仿宋_GB2312" w:cs="仿宋_GB2312"/>
          <w:color w:val="auto"/>
          <w:kern w:val="2"/>
          <w:sz w:val="32"/>
          <w:szCs w:val="32"/>
          <w:highlight w:val="none"/>
          <w:lang w:val="en-US" w:eastAsia="zh-CN" w:bidi="ar-SA"/>
        </w:rPr>
        <w:t>本专业要求学生根据人才培养方案确定的目标和培养规格，完成规定的实习实训，</w:t>
      </w:r>
      <w:r>
        <w:rPr>
          <w:rFonts w:hint="eastAsia" w:ascii="仿宋_GB2312" w:hAnsi="仿宋_GB2312" w:eastAsia="仿宋_GB2312" w:cs="仿宋_GB2312"/>
          <w:sz w:val="32"/>
          <w:szCs w:val="32"/>
        </w:rPr>
        <w:t>全部课程考核合格且修满至少</w:t>
      </w:r>
      <w:r>
        <w:rPr>
          <w:rFonts w:hint="eastAsia" w:ascii="仿宋_GB2312" w:hAnsi="仿宋_GB2312" w:eastAsia="仿宋_GB2312" w:cs="仿宋_GB2312"/>
          <w:sz w:val="32"/>
          <w:szCs w:val="32"/>
          <w:lang w:val="en-US" w:eastAsia="zh-CN"/>
        </w:rPr>
        <w:t>145</w:t>
      </w:r>
      <w:r>
        <w:rPr>
          <w:rFonts w:hint="eastAsia" w:ascii="仿宋_GB2312" w:hAnsi="仿宋_GB2312" w:eastAsia="仿宋_GB2312" w:cs="仿宋_GB2312"/>
          <w:sz w:val="32"/>
          <w:szCs w:val="32"/>
        </w:rPr>
        <w:t>学分。其</w:t>
      </w:r>
      <w:r>
        <w:rPr>
          <w:rFonts w:hint="eastAsia" w:ascii="仿宋_GB2312" w:hAnsi="仿宋_GB2312" w:eastAsia="仿宋_GB2312" w:cs="仿宋_GB2312"/>
          <w:color w:val="auto"/>
          <w:sz w:val="32"/>
          <w:szCs w:val="32"/>
        </w:rPr>
        <w:t xml:space="preserve">中，必修课 </w:t>
      </w:r>
      <w:r>
        <w:rPr>
          <w:rFonts w:hint="eastAsia" w:ascii="仿宋_GB2312" w:hAnsi="仿宋_GB2312" w:eastAsia="仿宋_GB2312" w:cs="仿宋_GB2312"/>
          <w:color w:val="auto"/>
          <w:sz w:val="32"/>
          <w:szCs w:val="32"/>
          <w:lang w:val="en-US" w:eastAsia="zh-CN"/>
        </w:rPr>
        <w:t>127</w:t>
      </w:r>
      <w:r>
        <w:rPr>
          <w:rFonts w:hint="eastAsia" w:ascii="仿宋_GB2312" w:hAnsi="仿宋_GB2312" w:eastAsia="仿宋_GB2312" w:cs="仿宋_GB2312"/>
          <w:color w:val="auto"/>
          <w:sz w:val="32"/>
          <w:szCs w:val="32"/>
        </w:rPr>
        <w:t xml:space="preserve">学分，选修课 </w:t>
      </w:r>
      <w:r>
        <w:rPr>
          <w:rFonts w:hint="eastAsia" w:ascii="仿宋_GB2312" w:hAnsi="仿宋_GB2312" w:eastAsia="仿宋_GB2312" w:cs="仿宋_GB2312"/>
          <w:color w:val="auto"/>
          <w:sz w:val="32"/>
          <w:szCs w:val="32"/>
          <w:lang w:val="en-US" w:eastAsia="zh-CN"/>
        </w:rPr>
        <w:t>18</w:t>
      </w:r>
      <w:r>
        <w:rPr>
          <w:rFonts w:hint="eastAsia" w:ascii="仿宋_GB2312" w:hAnsi="仿宋_GB2312" w:eastAsia="仿宋_GB2312" w:cs="仿宋_GB2312"/>
          <w:color w:val="auto"/>
          <w:sz w:val="32"/>
          <w:szCs w:val="32"/>
        </w:rPr>
        <w:t>学分。公共必修课</w:t>
      </w:r>
      <w:r>
        <w:rPr>
          <w:rFonts w:hint="eastAsia" w:ascii="仿宋_GB2312" w:hAnsi="仿宋_GB2312" w:eastAsia="仿宋_GB2312" w:cs="仿宋_GB2312"/>
          <w:color w:val="auto"/>
          <w:sz w:val="32"/>
          <w:szCs w:val="32"/>
          <w:lang w:val="en-US" w:eastAsia="zh-CN"/>
        </w:rPr>
        <w:t>40</w:t>
      </w:r>
      <w:r>
        <w:rPr>
          <w:rFonts w:hint="eastAsia" w:ascii="仿宋_GB2312" w:hAnsi="仿宋_GB2312" w:eastAsia="仿宋_GB2312" w:cs="仿宋_GB2312"/>
          <w:color w:val="auto"/>
          <w:sz w:val="32"/>
          <w:szCs w:val="32"/>
        </w:rPr>
        <w:t>学分，公共选修课8学分。专业必修课</w:t>
      </w:r>
      <w:r>
        <w:rPr>
          <w:rFonts w:hint="eastAsia" w:ascii="仿宋_GB2312" w:hAnsi="仿宋_GB2312" w:eastAsia="仿宋_GB2312" w:cs="仿宋_GB2312"/>
          <w:color w:val="auto"/>
          <w:sz w:val="32"/>
          <w:szCs w:val="32"/>
          <w:lang w:val="en-US" w:eastAsia="zh-CN"/>
        </w:rPr>
        <w:t>87</w:t>
      </w:r>
      <w:r>
        <w:rPr>
          <w:rFonts w:hint="eastAsia" w:ascii="仿宋_GB2312" w:hAnsi="仿宋_GB2312" w:eastAsia="仿宋_GB2312" w:cs="仿宋_GB2312"/>
          <w:color w:val="auto"/>
          <w:sz w:val="32"/>
          <w:szCs w:val="32"/>
        </w:rPr>
        <w:t>学分，专业选修课</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rPr>
        <w:t>学分</w:t>
      </w:r>
      <w:r>
        <w:rPr>
          <w:rFonts w:hint="eastAsia" w:ascii="仿宋_GB2312" w:hAnsi="仿宋_GB2312" w:eastAsia="仿宋_GB2312" w:cs="仿宋_GB2312"/>
          <w:color w:val="auto"/>
          <w:kern w:val="2"/>
          <w:sz w:val="32"/>
          <w:szCs w:val="32"/>
          <w:highlight w:val="none"/>
          <w:lang w:val="en-US" w:eastAsia="zh-CN" w:bidi="ar-SA"/>
        </w:rPr>
        <w:t>。</w:t>
      </w:r>
      <w:bookmarkEnd w:id="92"/>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outlineLvl w:val="1"/>
        <w:rPr>
          <w:rFonts w:hint="eastAsia" w:ascii="仿宋_GB2312" w:hAnsi="仿宋_GB2312" w:eastAsia="仿宋_GB2312" w:cs="仿宋_GB2312"/>
          <w:color w:val="auto"/>
          <w:sz w:val="32"/>
          <w:szCs w:val="32"/>
          <w:lang w:eastAsia="zh-CN"/>
        </w:rPr>
      </w:pPr>
      <w:bookmarkStart w:id="93" w:name="_Toc12325"/>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）职业类证书要求</w:t>
      </w:r>
      <w:bookmarkEnd w:id="93"/>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将</w:t>
      </w:r>
      <w:r>
        <w:rPr>
          <w:rFonts w:hint="eastAsia" w:ascii="仿宋_GB2312" w:hAnsi="仿宋_GB2312" w:eastAsia="仿宋_GB2312" w:cs="仿宋_GB2312"/>
          <w:color w:val="auto"/>
          <w:sz w:val="32"/>
          <w:szCs w:val="32"/>
          <w:lang w:val="en-US" w:eastAsia="zh-CN"/>
        </w:rPr>
        <w:t>养老护理员、保育员</w:t>
      </w:r>
      <w:r>
        <w:rPr>
          <w:rFonts w:hint="eastAsia" w:ascii="仿宋_GB2312" w:hAnsi="仿宋_GB2312" w:eastAsia="仿宋_GB2312" w:cs="仿宋_GB2312"/>
          <w:color w:val="auto"/>
          <w:sz w:val="32"/>
          <w:szCs w:val="32"/>
          <w:lang w:eastAsia="zh-CN"/>
        </w:rPr>
        <w:t>等职业证书纳入培养要求，鼓励学生考取相关证书。通过职业证书的考取，提高学生的专业技能和就业竞争力，使学生更好地适应社会和企业的需求。</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学生接受职业培训取得的职业技能等级证书、培训证书等学习成果，经学校认定，可以转化为相应的学历教育学分，以支撑学生未来在就业、创业、学业等方面持续发展。</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1280" w:firstLineChars="4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表13   现代家政服务与管理专业职业证书一览表</w:t>
      </w:r>
    </w:p>
    <w:tbl>
      <w:tblPr>
        <w:tblStyle w:val="12"/>
        <w:tblW w:w="85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5"/>
        <w:gridCol w:w="3261"/>
        <w:gridCol w:w="3007"/>
        <w:gridCol w:w="1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885" w:type="dxa"/>
            <w:vAlign w:val="top"/>
          </w:tcPr>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序号</w:t>
            </w:r>
          </w:p>
        </w:tc>
        <w:tc>
          <w:tcPr>
            <w:tcW w:w="3261" w:type="dxa"/>
            <w:vAlign w:val="center"/>
          </w:tcPr>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证书名称</w:t>
            </w:r>
          </w:p>
        </w:tc>
        <w:tc>
          <w:tcPr>
            <w:tcW w:w="3007" w:type="dxa"/>
            <w:vAlign w:val="center"/>
          </w:tcPr>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发证机构</w:t>
            </w:r>
          </w:p>
        </w:tc>
        <w:tc>
          <w:tcPr>
            <w:tcW w:w="1400" w:type="dxa"/>
            <w:vAlign w:val="center"/>
          </w:tcPr>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w:t>
            </w:r>
          </w:p>
        </w:tc>
        <w:tc>
          <w:tcPr>
            <w:tcW w:w="3261"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高职学历证书</w:t>
            </w:r>
          </w:p>
        </w:tc>
        <w:tc>
          <w:tcPr>
            <w:tcW w:w="3007"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广西工程职业学院</w:t>
            </w:r>
          </w:p>
        </w:tc>
        <w:tc>
          <w:tcPr>
            <w:tcW w:w="1400"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必备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w:t>
            </w:r>
          </w:p>
        </w:tc>
        <w:tc>
          <w:tcPr>
            <w:tcW w:w="3261"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大学英语B级证书</w:t>
            </w:r>
          </w:p>
        </w:tc>
        <w:tc>
          <w:tcPr>
            <w:tcW w:w="3007"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国家教育部、高等学校英语应用能力考试委员会</w:t>
            </w:r>
          </w:p>
        </w:tc>
        <w:tc>
          <w:tcPr>
            <w:tcW w:w="1400"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3</w:t>
            </w:r>
          </w:p>
        </w:tc>
        <w:tc>
          <w:tcPr>
            <w:tcW w:w="3261"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eastAsia="zh-CN"/>
              </w:rPr>
              <w:t>“</w:t>
            </w:r>
            <w:r>
              <w:rPr>
                <w:rFonts w:hint="eastAsia" w:ascii="仿宋_GB2312" w:hAnsi="仿宋_GB2312" w:eastAsia="仿宋_GB2312" w:cs="仿宋_GB2312"/>
                <w:color w:val="auto"/>
                <w:sz w:val="24"/>
                <w:szCs w:val="24"/>
                <w:vertAlign w:val="baseline"/>
                <w:lang w:val="en-US" w:eastAsia="zh-CN"/>
              </w:rPr>
              <w:t>1+X</w:t>
            </w:r>
            <w:r>
              <w:rPr>
                <w:rFonts w:hint="eastAsia" w:ascii="仿宋_GB2312" w:hAnsi="仿宋_GB2312" w:eastAsia="仿宋_GB2312" w:cs="仿宋_GB2312"/>
                <w:color w:val="auto"/>
                <w:sz w:val="24"/>
                <w:szCs w:val="24"/>
                <w:vertAlign w:val="baseline"/>
                <w:lang w:eastAsia="zh-CN"/>
              </w:rPr>
              <w:t>”</w:t>
            </w:r>
            <w:r>
              <w:rPr>
                <w:rFonts w:hint="eastAsia" w:ascii="仿宋_GB2312" w:hAnsi="仿宋_GB2312" w:eastAsia="仿宋_GB2312" w:cs="仿宋_GB2312"/>
                <w:color w:val="auto"/>
                <w:sz w:val="24"/>
                <w:szCs w:val="24"/>
                <w:vertAlign w:val="baseline"/>
                <w:lang w:val="en-US" w:eastAsia="zh-CN"/>
              </w:rPr>
              <w:t>职业技能等级证书</w:t>
            </w:r>
          </w:p>
        </w:tc>
        <w:tc>
          <w:tcPr>
            <w:tcW w:w="3007"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国家教育部</w:t>
            </w:r>
          </w:p>
        </w:tc>
        <w:tc>
          <w:tcPr>
            <w:tcW w:w="1400"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4</w:t>
            </w:r>
          </w:p>
        </w:tc>
        <w:tc>
          <w:tcPr>
            <w:tcW w:w="3261" w:type="dxa"/>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全国计算机等级考试（一级）证书</w:t>
            </w:r>
          </w:p>
        </w:tc>
        <w:tc>
          <w:tcPr>
            <w:tcW w:w="3007" w:type="dxa"/>
            <w:shd w:val="clear" w:color="auto" w:fill="auto"/>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国家教育部</w:t>
            </w:r>
          </w:p>
        </w:tc>
        <w:tc>
          <w:tcPr>
            <w:tcW w:w="1400" w:type="dxa"/>
            <w:shd w:val="clear" w:color="auto" w:fill="auto"/>
            <w:vAlign w:val="center"/>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kern w:val="0"/>
                <w:sz w:val="24"/>
                <w:szCs w:val="24"/>
                <w:vertAlign w:val="baseline"/>
                <w:lang w:val="en-US" w:eastAsia="zh-CN" w:bidi="ar-SA"/>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5</w:t>
            </w:r>
          </w:p>
        </w:tc>
        <w:tc>
          <w:tcPr>
            <w:tcW w:w="3261" w:type="dxa"/>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养老护理员</w:t>
            </w:r>
          </w:p>
        </w:tc>
        <w:tc>
          <w:tcPr>
            <w:tcW w:w="3007" w:type="dxa"/>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百色市职业技能鉴定中心</w:t>
            </w:r>
          </w:p>
        </w:tc>
        <w:tc>
          <w:tcPr>
            <w:tcW w:w="1400" w:type="dxa"/>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6</w:t>
            </w:r>
          </w:p>
        </w:tc>
        <w:tc>
          <w:tcPr>
            <w:tcW w:w="3261" w:type="dxa"/>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保育员</w:t>
            </w:r>
          </w:p>
        </w:tc>
        <w:tc>
          <w:tcPr>
            <w:tcW w:w="3007" w:type="dxa"/>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百色市职业技能鉴定中心</w:t>
            </w:r>
          </w:p>
        </w:tc>
        <w:tc>
          <w:tcPr>
            <w:tcW w:w="1400" w:type="dxa"/>
            <w:vAlign w:val="top"/>
          </w:tcPr>
          <w:p>
            <w:pPr>
              <w:pStyle w:val="1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bl>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仿宋_GB2312" w:hAnsi="仿宋_GB2312" w:eastAsia="仿宋_GB2312" w:cs="仿宋_GB2312"/>
          <w:color w:val="auto"/>
          <w:kern w:val="2"/>
          <w:sz w:val="32"/>
          <w:szCs w:val="32"/>
          <w:highlight w:val="none"/>
          <w:lang w:val="en-US" w:eastAsia="zh-CN" w:bidi="ar-SA"/>
        </w:rPr>
      </w:pPr>
      <w:bookmarkStart w:id="94" w:name="_Toc19494"/>
      <w:bookmarkStart w:id="95" w:name="_Toc13275"/>
      <w:r>
        <w:rPr>
          <w:rFonts w:hint="eastAsia" w:ascii="楷体" w:hAnsi="楷体" w:eastAsia="楷体" w:cs="楷体"/>
          <w:color w:val="auto"/>
          <w:kern w:val="2"/>
          <w:sz w:val="32"/>
          <w:szCs w:val="32"/>
          <w:highlight w:val="none"/>
          <w:lang w:val="en-US" w:eastAsia="zh-CN" w:bidi="ar-SA"/>
        </w:rPr>
        <w:t>（三）综合素质要求</w:t>
      </w:r>
      <w:bookmarkEnd w:id="94"/>
      <w:bookmarkEnd w:id="95"/>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9"/>
        <w:rPr>
          <w:color w:val="auto"/>
        </w:rPr>
      </w:pPr>
      <w:bookmarkStart w:id="96" w:name="_Toc19400"/>
      <w:r>
        <w:rPr>
          <w:rFonts w:hint="eastAsia" w:ascii="仿宋_GB2312" w:hAnsi="仿宋_GB2312" w:eastAsia="仿宋_GB2312" w:cs="仿宋_GB2312"/>
          <w:color w:val="auto"/>
          <w:kern w:val="2"/>
          <w:sz w:val="32"/>
          <w:szCs w:val="32"/>
          <w:highlight w:val="none"/>
          <w:lang w:val="en-US" w:eastAsia="zh-CN" w:bidi="ar-SA"/>
        </w:rPr>
        <w:t>经鉴定思想品德符合要求，熟练掌握母婴护理、老年照护、家庭保洁等核心技能，积极参与家政实践。具备沟通协调、应急处理能力，能应对突发状况，会用数字化家政工具，满足现代家庭需求，积极参加社会实践活动，具备职业</w:t>
      </w:r>
      <w:r>
        <w:rPr>
          <w:rFonts w:hint="eastAsia" w:ascii="仿宋_GB2312" w:hAnsi="仿宋_GB2312" w:eastAsia="仿宋_GB2312" w:cs="仿宋_GB2312"/>
          <w:color w:val="auto"/>
          <w:kern w:val="2"/>
          <w:sz w:val="32"/>
          <w:szCs w:val="32"/>
          <w:lang w:val="en-US" w:eastAsia="zh-CN" w:bidi="ar-SA"/>
        </w:rPr>
        <w:t>综合素质和行动能力。</w:t>
      </w:r>
      <w:bookmarkEnd w:id="96"/>
    </w:p>
    <w:sectPr>
      <w:footerReference r:id="rId4" w:type="default"/>
      <w:pgSz w:w="11906" w:h="16838"/>
      <w:pgMar w:top="1417" w:right="1417" w:bottom="1417" w:left="141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1CD5FDF-F4AD-4A0C-8A38-AFF9B1F82CD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6F296205-B952-42FE-B676-8348C44AE33B}"/>
  </w:font>
  <w:font w:name="华文新魏">
    <w:panose1 w:val="02010800040101010101"/>
    <w:charset w:val="86"/>
    <w:family w:val="auto"/>
    <w:pitch w:val="default"/>
    <w:sig w:usb0="00000001" w:usb1="080F0000" w:usb2="00000000" w:usb3="00000000" w:csb0="00040000" w:csb1="00000000"/>
    <w:embedRegular r:id="rId3" w:fontKey="{33DB8664-F120-4FDF-B089-0CBF37FA4B5E}"/>
  </w:font>
  <w:font w:name="方正小标宋简体">
    <w:panose1 w:val="02010601030101010101"/>
    <w:charset w:val="86"/>
    <w:family w:val="script"/>
    <w:pitch w:val="default"/>
    <w:sig w:usb0="00000001" w:usb1="080E0000" w:usb2="00000000" w:usb3="00000000" w:csb0="00040000" w:csb1="00000000"/>
    <w:embedRegular r:id="rId4" w:fontKey="{4C6D1B37-0BD4-46A8-BEF4-1AA27D574434}"/>
  </w:font>
  <w:font w:name="仿宋_GB2312">
    <w:panose1 w:val="02010609030101010101"/>
    <w:charset w:val="86"/>
    <w:family w:val="modern"/>
    <w:pitch w:val="default"/>
    <w:sig w:usb0="00000001" w:usb1="080E0000" w:usb2="00000000" w:usb3="00000000" w:csb0="00040000" w:csb1="00000000"/>
    <w:embedRegular r:id="rId5" w:fontKey="{16299961-1568-4D78-B891-956CB5E581C1}"/>
  </w:font>
  <w:font w:name="楷体">
    <w:panose1 w:val="02010609060101010101"/>
    <w:charset w:val="86"/>
    <w:family w:val="modern"/>
    <w:pitch w:val="default"/>
    <w:sig w:usb0="800002BF" w:usb1="38CF7CFA" w:usb2="00000016" w:usb3="00000000" w:csb0="00040001" w:csb1="00000000"/>
    <w:embedRegular r:id="rId6" w:fontKey="{1E928DE3-9011-469E-981E-1CF12108F82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CC16CD"/>
    <w:multiLevelType w:val="singleLevel"/>
    <w:tmpl w:val="8BCC16CD"/>
    <w:lvl w:ilvl="0" w:tentative="0">
      <w:start w:val="2"/>
      <w:numFmt w:val="decimal"/>
      <w:suff w:val="nothing"/>
      <w:lvlText w:val="（%1）"/>
      <w:lvlJc w:val="left"/>
    </w:lvl>
  </w:abstractNum>
  <w:abstractNum w:abstractNumId="1">
    <w:nsid w:val="3BB7EB0D"/>
    <w:multiLevelType w:val="singleLevel"/>
    <w:tmpl w:val="3BB7EB0D"/>
    <w:lvl w:ilvl="0" w:tentative="0">
      <w:start w:val="3"/>
      <w:numFmt w:val="chineseCounting"/>
      <w:suff w:val="nothing"/>
      <w:lvlText w:val="（%1）"/>
      <w:lvlJc w:val="left"/>
      <w:rPr>
        <w:rFonts w:hint="eastAsia"/>
      </w:rPr>
    </w:lvl>
  </w:abstractNum>
  <w:abstractNum w:abstractNumId="2">
    <w:nsid w:val="4005274C"/>
    <w:multiLevelType w:val="singleLevel"/>
    <w:tmpl w:val="4005274C"/>
    <w:lvl w:ilvl="0" w:tentative="0">
      <w:start w:val="1"/>
      <w:numFmt w:val="chineseCounting"/>
      <w:suff w:val="nothing"/>
      <w:lvlText w:val="（%1）"/>
      <w:lvlJc w:val="left"/>
      <w:pPr>
        <w:ind w:left="640" w:firstLine="0"/>
      </w:pPr>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lODNhNmM0OTAwZDVjMTAyN2Q2MmIyMTg0YmNmNzQifQ=="/>
  </w:docVars>
  <w:rsids>
    <w:rsidRoot w:val="00FA77F6"/>
    <w:rsid w:val="00090E00"/>
    <w:rsid w:val="000A7541"/>
    <w:rsid w:val="0015300C"/>
    <w:rsid w:val="001673E5"/>
    <w:rsid w:val="001A7FBE"/>
    <w:rsid w:val="00283E45"/>
    <w:rsid w:val="002D15C0"/>
    <w:rsid w:val="003531B3"/>
    <w:rsid w:val="003D3CE4"/>
    <w:rsid w:val="005645D8"/>
    <w:rsid w:val="005A2BBB"/>
    <w:rsid w:val="006A1AE0"/>
    <w:rsid w:val="0071110E"/>
    <w:rsid w:val="00A12741"/>
    <w:rsid w:val="00A165B0"/>
    <w:rsid w:val="00A23811"/>
    <w:rsid w:val="00AB71CC"/>
    <w:rsid w:val="00B14C0C"/>
    <w:rsid w:val="00B46AB6"/>
    <w:rsid w:val="00B91791"/>
    <w:rsid w:val="00C3446C"/>
    <w:rsid w:val="00C4271B"/>
    <w:rsid w:val="00D03D56"/>
    <w:rsid w:val="00E2700A"/>
    <w:rsid w:val="00ED3BD8"/>
    <w:rsid w:val="00F52A8D"/>
    <w:rsid w:val="00F63617"/>
    <w:rsid w:val="00F82685"/>
    <w:rsid w:val="00FA77F6"/>
    <w:rsid w:val="00FB052B"/>
    <w:rsid w:val="01514167"/>
    <w:rsid w:val="01786F4B"/>
    <w:rsid w:val="01AA3877"/>
    <w:rsid w:val="01D35837"/>
    <w:rsid w:val="02661E94"/>
    <w:rsid w:val="02CD5374"/>
    <w:rsid w:val="03304250"/>
    <w:rsid w:val="03867F0B"/>
    <w:rsid w:val="03A07894"/>
    <w:rsid w:val="048C3708"/>
    <w:rsid w:val="04AB0032"/>
    <w:rsid w:val="04BC3FEE"/>
    <w:rsid w:val="051223C4"/>
    <w:rsid w:val="062E0F1B"/>
    <w:rsid w:val="06471FDD"/>
    <w:rsid w:val="06910616"/>
    <w:rsid w:val="06C90C44"/>
    <w:rsid w:val="070954E4"/>
    <w:rsid w:val="07322345"/>
    <w:rsid w:val="082F2519"/>
    <w:rsid w:val="084C7436"/>
    <w:rsid w:val="08DA7138"/>
    <w:rsid w:val="08F70DAF"/>
    <w:rsid w:val="09075A53"/>
    <w:rsid w:val="094D790A"/>
    <w:rsid w:val="095347F5"/>
    <w:rsid w:val="09CB082F"/>
    <w:rsid w:val="09D45935"/>
    <w:rsid w:val="0A1E4E03"/>
    <w:rsid w:val="0A634F0B"/>
    <w:rsid w:val="0AC91212"/>
    <w:rsid w:val="0AFF69E2"/>
    <w:rsid w:val="0B630B12"/>
    <w:rsid w:val="0B64718D"/>
    <w:rsid w:val="0B9E269F"/>
    <w:rsid w:val="0BB93035"/>
    <w:rsid w:val="0C0A3BA0"/>
    <w:rsid w:val="0C8C7FCD"/>
    <w:rsid w:val="0CE642FD"/>
    <w:rsid w:val="0D3000CB"/>
    <w:rsid w:val="0DE924A0"/>
    <w:rsid w:val="0E2350DD"/>
    <w:rsid w:val="0E5E6115"/>
    <w:rsid w:val="0E691A1C"/>
    <w:rsid w:val="0ED4462A"/>
    <w:rsid w:val="0F386966"/>
    <w:rsid w:val="0FA47B58"/>
    <w:rsid w:val="0FA67D74"/>
    <w:rsid w:val="0FD20B69"/>
    <w:rsid w:val="0FE4089C"/>
    <w:rsid w:val="10093E5F"/>
    <w:rsid w:val="10152804"/>
    <w:rsid w:val="10234F21"/>
    <w:rsid w:val="10914580"/>
    <w:rsid w:val="10EE36A0"/>
    <w:rsid w:val="11524902"/>
    <w:rsid w:val="116752E1"/>
    <w:rsid w:val="12485112"/>
    <w:rsid w:val="127F665A"/>
    <w:rsid w:val="12DC3AAD"/>
    <w:rsid w:val="12F708E7"/>
    <w:rsid w:val="13136B1A"/>
    <w:rsid w:val="13203999"/>
    <w:rsid w:val="135C5E82"/>
    <w:rsid w:val="139B5716"/>
    <w:rsid w:val="13C77F07"/>
    <w:rsid w:val="13F454F6"/>
    <w:rsid w:val="14A800EA"/>
    <w:rsid w:val="15001CD4"/>
    <w:rsid w:val="150317C5"/>
    <w:rsid w:val="15202377"/>
    <w:rsid w:val="15542020"/>
    <w:rsid w:val="165F0C7D"/>
    <w:rsid w:val="1699418F"/>
    <w:rsid w:val="16995FBA"/>
    <w:rsid w:val="16A42B33"/>
    <w:rsid w:val="16DC051F"/>
    <w:rsid w:val="170B4961"/>
    <w:rsid w:val="1740285C"/>
    <w:rsid w:val="1749510D"/>
    <w:rsid w:val="17897CBC"/>
    <w:rsid w:val="1796247C"/>
    <w:rsid w:val="18CB084B"/>
    <w:rsid w:val="19481E9C"/>
    <w:rsid w:val="19AF3CC9"/>
    <w:rsid w:val="1A262FB5"/>
    <w:rsid w:val="1AE45BF4"/>
    <w:rsid w:val="1BAE7956"/>
    <w:rsid w:val="1BCC19A4"/>
    <w:rsid w:val="1BF93A5C"/>
    <w:rsid w:val="1C27223D"/>
    <w:rsid w:val="1C6F14EE"/>
    <w:rsid w:val="1CB25FAA"/>
    <w:rsid w:val="1D0377EB"/>
    <w:rsid w:val="1D24677C"/>
    <w:rsid w:val="1DD51824"/>
    <w:rsid w:val="1E4B3DFE"/>
    <w:rsid w:val="1E6006AB"/>
    <w:rsid w:val="1E91399D"/>
    <w:rsid w:val="1EA77665"/>
    <w:rsid w:val="1ECC6B87"/>
    <w:rsid w:val="1F3A7811"/>
    <w:rsid w:val="1F5350F7"/>
    <w:rsid w:val="1FB17C46"/>
    <w:rsid w:val="1FB21E1D"/>
    <w:rsid w:val="1FBC2C9C"/>
    <w:rsid w:val="207417C9"/>
    <w:rsid w:val="20AA343C"/>
    <w:rsid w:val="20AD7038"/>
    <w:rsid w:val="20BE4D41"/>
    <w:rsid w:val="20E56222"/>
    <w:rsid w:val="210E0F0E"/>
    <w:rsid w:val="2170143C"/>
    <w:rsid w:val="21EB3D26"/>
    <w:rsid w:val="22123047"/>
    <w:rsid w:val="223461B5"/>
    <w:rsid w:val="224430E9"/>
    <w:rsid w:val="22967FAA"/>
    <w:rsid w:val="22A00653"/>
    <w:rsid w:val="2338088B"/>
    <w:rsid w:val="236773C3"/>
    <w:rsid w:val="237D0994"/>
    <w:rsid w:val="23954DD6"/>
    <w:rsid w:val="23D42CAA"/>
    <w:rsid w:val="23F33CEC"/>
    <w:rsid w:val="249D12EE"/>
    <w:rsid w:val="24E76143"/>
    <w:rsid w:val="24F353B2"/>
    <w:rsid w:val="267A11BB"/>
    <w:rsid w:val="27075144"/>
    <w:rsid w:val="27441EF5"/>
    <w:rsid w:val="27AE3812"/>
    <w:rsid w:val="27F5401D"/>
    <w:rsid w:val="28557849"/>
    <w:rsid w:val="285A12A4"/>
    <w:rsid w:val="289A5B44"/>
    <w:rsid w:val="28BD30CD"/>
    <w:rsid w:val="296E1A2F"/>
    <w:rsid w:val="29B449E4"/>
    <w:rsid w:val="29C72B81"/>
    <w:rsid w:val="29F55728"/>
    <w:rsid w:val="2B0F281A"/>
    <w:rsid w:val="2B8D373E"/>
    <w:rsid w:val="2BF11F1F"/>
    <w:rsid w:val="2C802418"/>
    <w:rsid w:val="2CB341C7"/>
    <w:rsid w:val="2CBC0900"/>
    <w:rsid w:val="2CC66F08"/>
    <w:rsid w:val="2CEB2E12"/>
    <w:rsid w:val="2D2A6F0A"/>
    <w:rsid w:val="2D5704A8"/>
    <w:rsid w:val="2D8165B1"/>
    <w:rsid w:val="2D964B2C"/>
    <w:rsid w:val="2DAC4350"/>
    <w:rsid w:val="2DE47F8D"/>
    <w:rsid w:val="2F083808"/>
    <w:rsid w:val="2F34284F"/>
    <w:rsid w:val="2F436F36"/>
    <w:rsid w:val="2F7A2E0A"/>
    <w:rsid w:val="2F8D1F5F"/>
    <w:rsid w:val="2FA96B3D"/>
    <w:rsid w:val="2FCE4565"/>
    <w:rsid w:val="2FD933F6"/>
    <w:rsid w:val="3001305A"/>
    <w:rsid w:val="302D5C2E"/>
    <w:rsid w:val="30A6152A"/>
    <w:rsid w:val="30A77050"/>
    <w:rsid w:val="30DC27D6"/>
    <w:rsid w:val="3115220C"/>
    <w:rsid w:val="31342FDA"/>
    <w:rsid w:val="318A49A8"/>
    <w:rsid w:val="31A83FF1"/>
    <w:rsid w:val="31AA329C"/>
    <w:rsid w:val="31D2634F"/>
    <w:rsid w:val="321D581C"/>
    <w:rsid w:val="32F32A21"/>
    <w:rsid w:val="32F92E4C"/>
    <w:rsid w:val="32FA3DAF"/>
    <w:rsid w:val="33260700"/>
    <w:rsid w:val="33266952"/>
    <w:rsid w:val="33AE06F6"/>
    <w:rsid w:val="33B93C14"/>
    <w:rsid w:val="3422010A"/>
    <w:rsid w:val="348B3F97"/>
    <w:rsid w:val="34B65AB4"/>
    <w:rsid w:val="34C46423"/>
    <w:rsid w:val="34EA50C0"/>
    <w:rsid w:val="357449D1"/>
    <w:rsid w:val="358A4FCA"/>
    <w:rsid w:val="358B5AD8"/>
    <w:rsid w:val="35E868D3"/>
    <w:rsid w:val="35E93C67"/>
    <w:rsid w:val="364315C9"/>
    <w:rsid w:val="36657792"/>
    <w:rsid w:val="36E7449A"/>
    <w:rsid w:val="370E7E29"/>
    <w:rsid w:val="376B0DD8"/>
    <w:rsid w:val="3770165B"/>
    <w:rsid w:val="37960DB8"/>
    <w:rsid w:val="37AD2573"/>
    <w:rsid w:val="37DE04CB"/>
    <w:rsid w:val="381153F4"/>
    <w:rsid w:val="38481119"/>
    <w:rsid w:val="38877EE4"/>
    <w:rsid w:val="38C22C79"/>
    <w:rsid w:val="39372651"/>
    <w:rsid w:val="39A700C1"/>
    <w:rsid w:val="3A451367"/>
    <w:rsid w:val="3A60099C"/>
    <w:rsid w:val="3A7A7584"/>
    <w:rsid w:val="3AEA4709"/>
    <w:rsid w:val="3B4007CD"/>
    <w:rsid w:val="3B580038"/>
    <w:rsid w:val="3C17152E"/>
    <w:rsid w:val="3CA77C70"/>
    <w:rsid w:val="3D0047E4"/>
    <w:rsid w:val="3D766728"/>
    <w:rsid w:val="3D9F7A2D"/>
    <w:rsid w:val="3E4D7489"/>
    <w:rsid w:val="3E725142"/>
    <w:rsid w:val="3EB92D70"/>
    <w:rsid w:val="3EFD11AB"/>
    <w:rsid w:val="3F6A4DBB"/>
    <w:rsid w:val="3F785DC7"/>
    <w:rsid w:val="3FD71A5B"/>
    <w:rsid w:val="3FF86C17"/>
    <w:rsid w:val="3FFC1167"/>
    <w:rsid w:val="40077B0C"/>
    <w:rsid w:val="404B5C4A"/>
    <w:rsid w:val="40664832"/>
    <w:rsid w:val="4084115C"/>
    <w:rsid w:val="4099592E"/>
    <w:rsid w:val="40B53BBC"/>
    <w:rsid w:val="40B557B9"/>
    <w:rsid w:val="40C8470D"/>
    <w:rsid w:val="413D6362"/>
    <w:rsid w:val="41540B2E"/>
    <w:rsid w:val="415648A7"/>
    <w:rsid w:val="41727207"/>
    <w:rsid w:val="418F3A3B"/>
    <w:rsid w:val="41A42FA1"/>
    <w:rsid w:val="41BB6E00"/>
    <w:rsid w:val="41CF62FB"/>
    <w:rsid w:val="41DE5079"/>
    <w:rsid w:val="422A57D8"/>
    <w:rsid w:val="42817701"/>
    <w:rsid w:val="428611BC"/>
    <w:rsid w:val="42B86E9B"/>
    <w:rsid w:val="43105F3B"/>
    <w:rsid w:val="432E5693"/>
    <w:rsid w:val="436463B1"/>
    <w:rsid w:val="43713C1A"/>
    <w:rsid w:val="43792ACE"/>
    <w:rsid w:val="43A538C3"/>
    <w:rsid w:val="43C755E8"/>
    <w:rsid w:val="4423753C"/>
    <w:rsid w:val="44380293"/>
    <w:rsid w:val="447D65EE"/>
    <w:rsid w:val="44A43B7B"/>
    <w:rsid w:val="44B71B00"/>
    <w:rsid w:val="44B862E9"/>
    <w:rsid w:val="455530C7"/>
    <w:rsid w:val="457F2864"/>
    <w:rsid w:val="4602706C"/>
    <w:rsid w:val="46733805"/>
    <w:rsid w:val="46B856BC"/>
    <w:rsid w:val="46EE10DD"/>
    <w:rsid w:val="46F661E4"/>
    <w:rsid w:val="47103740"/>
    <w:rsid w:val="471C3E9C"/>
    <w:rsid w:val="47B94807"/>
    <w:rsid w:val="4803505C"/>
    <w:rsid w:val="480A0199"/>
    <w:rsid w:val="487D6EF5"/>
    <w:rsid w:val="48A57EC2"/>
    <w:rsid w:val="48A708F9"/>
    <w:rsid w:val="48AE4FC8"/>
    <w:rsid w:val="48BA396D"/>
    <w:rsid w:val="48BD16AF"/>
    <w:rsid w:val="48DF1625"/>
    <w:rsid w:val="48E56510"/>
    <w:rsid w:val="4934750F"/>
    <w:rsid w:val="49395702"/>
    <w:rsid w:val="49843F7B"/>
    <w:rsid w:val="498D3F3D"/>
    <w:rsid w:val="49A63EF1"/>
    <w:rsid w:val="49B70F7E"/>
    <w:rsid w:val="4A3C6604"/>
    <w:rsid w:val="4A517257"/>
    <w:rsid w:val="4AA20B5D"/>
    <w:rsid w:val="4AD8632C"/>
    <w:rsid w:val="4AF15640"/>
    <w:rsid w:val="4AFA62A3"/>
    <w:rsid w:val="4B726781"/>
    <w:rsid w:val="4C0272E2"/>
    <w:rsid w:val="4C0C0983"/>
    <w:rsid w:val="4C1149B8"/>
    <w:rsid w:val="4C675BBA"/>
    <w:rsid w:val="4D135D42"/>
    <w:rsid w:val="4D1473C4"/>
    <w:rsid w:val="4E514358"/>
    <w:rsid w:val="4E5C7274"/>
    <w:rsid w:val="4F585C8E"/>
    <w:rsid w:val="4F6B3C13"/>
    <w:rsid w:val="4F7D56F4"/>
    <w:rsid w:val="506D671B"/>
    <w:rsid w:val="509C4C8B"/>
    <w:rsid w:val="5135219E"/>
    <w:rsid w:val="51C30881"/>
    <w:rsid w:val="51D535C6"/>
    <w:rsid w:val="51FE1E87"/>
    <w:rsid w:val="522105B9"/>
    <w:rsid w:val="52255331"/>
    <w:rsid w:val="5259656B"/>
    <w:rsid w:val="53221317"/>
    <w:rsid w:val="535B634F"/>
    <w:rsid w:val="53807561"/>
    <w:rsid w:val="53C71634"/>
    <w:rsid w:val="542919A7"/>
    <w:rsid w:val="552074CF"/>
    <w:rsid w:val="55681DA1"/>
    <w:rsid w:val="558F07B2"/>
    <w:rsid w:val="55D87B28"/>
    <w:rsid w:val="56397652"/>
    <w:rsid w:val="565C2507"/>
    <w:rsid w:val="566118CC"/>
    <w:rsid w:val="56A23A63"/>
    <w:rsid w:val="56F95FA8"/>
    <w:rsid w:val="572D5C52"/>
    <w:rsid w:val="57C53D08"/>
    <w:rsid w:val="57D24CBB"/>
    <w:rsid w:val="58337298"/>
    <w:rsid w:val="58680DC2"/>
    <w:rsid w:val="588673C8"/>
    <w:rsid w:val="58E02A3F"/>
    <w:rsid w:val="5900361E"/>
    <w:rsid w:val="592F7A5F"/>
    <w:rsid w:val="59345076"/>
    <w:rsid w:val="59575208"/>
    <w:rsid w:val="595C12A3"/>
    <w:rsid w:val="5996188C"/>
    <w:rsid w:val="59C77C98"/>
    <w:rsid w:val="59DE1485"/>
    <w:rsid w:val="5A9F0C15"/>
    <w:rsid w:val="5AD36B10"/>
    <w:rsid w:val="5AE64A95"/>
    <w:rsid w:val="5B137EF8"/>
    <w:rsid w:val="5B1F1DFE"/>
    <w:rsid w:val="5B322D65"/>
    <w:rsid w:val="5BBC75A4"/>
    <w:rsid w:val="5BCC4E68"/>
    <w:rsid w:val="5C0E6052"/>
    <w:rsid w:val="5C38700F"/>
    <w:rsid w:val="5C4E644E"/>
    <w:rsid w:val="5C606182"/>
    <w:rsid w:val="5C8C341B"/>
    <w:rsid w:val="5C9B365E"/>
    <w:rsid w:val="5CD1707F"/>
    <w:rsid w:val="5D01298C"/>
    <w:rsid w:val="5D206DB4"/>
    <w:rsid w:val="5D292A17"/>
    <w:rsid w:val="5E043D85"/>
    <w:rsid w:val="5E376BD3"/>
    <w:rsid w:val="5E510503"/>
    <w:rsid w:val="5E7540E3"/>
    <w:rsid w:val="5E8B1BDC"/>
    <w:rsid w:val="5E93321A"/>
    <w:rsid w:val="5E9B7945"/>
    <w:rsid w:val="5EBD5B0D"/>
    <w:rsid w:val="5F07293D"/>
    <w:rsid w:val="5F1B4F3C"/>
    <w:rsid w:val="5F2B6F1B"/>
    <w:rsid w:val="5F335DCF"/>
    <w:rsid w:val="5F475456"/>
    <w:rsid w:val="5F4C0C3F"/>
    <w:rsid w:val="5FC058B5"/>
    <w:rsid w:val="5FE1582B"/>
    <w:rsid w:val="5FF23595"/>
    <w:rsid w:val="5FF437B1"/>
    <w:rsid w:val="601C4AB5"/>
    <w:rsid w:val="608D150F"/>
    <w:rsid w:val="60C87FA0"/>
    <w:rsid w:val="611D2893"/>
    <w:rsid w:val="612D5D3E"/>
    <w:rsid w:val="613D1187"/>
    <w:rsid w:val="614442C4"/>
    <w:rsid w:val="61750921"/>
    <w:rsid w:val="617A5F38"/>
    <w:rsid w:val="61926DDD"/>
    <w:rsid w:val="62386256"/>
    <w:rsid w:val="62D11B87"/>
    <w:rsid w:val="62E80EC0"/>
    <w:rsid w:val="631D301E"/>
    <w:rsid w:val="631F49AF"/>
    <w:rsid w:val="632717A7"/>
    <w:rsid w:val="6384309D"/>
    <w:rsid w:val="638D0589"/>
    <w:rsid w:val="63CE39A4"/>
    <w:rsid w:val="63D27965"/>
    <w:rsid w:val="64025D70"/>
    <w:rsid w:val="643017E4"/>
    <w:rsid w:val="644840CB"/>
    <w:rsid w:val="64966BE4"/>
    <w:rsid w:val="65165F77"/>
    <w:rsid w:val="65FE0EE5"/>
    <w:rsid w:val="662A7D28"/>
    <w:rsid w:val="663F14FE"/>
    <w:rsid w:val="66707909"/>
    <w:rsid w:val="66B141AA"/>
    <w:rsid w:val="67470A9D"/>
    <w:rsid w:val="675115EE"/>
    <w:rsid w:val="6773145F"/>
    <w:rsid w:val="67B90B06"/>
    <w:rsid w:val="67FA56DC"/>
    <w:rsid w:val="681A3FD0"/>
    <w:rsid w:val="6888718C"/>
    <w:rsid w:val="68B25FB7"/>
    <w:rsid w:val="69164798"/>
    <w:rsid w:val="69D837FB"/>
    <w:rsid w:val="6A246A40"/>
    <w:rsid w:val="6A9C6F1F"/>
    <w:rsid w:val="6ABA1153"/>
    <w:rsid w:val="6AF44665"/>
    <w:rsid w:val="6BDB75D3"/>
    <w:rsid w:val="6BF80185"/>
    <w:rsid w:val="6C2B055A"/>
    <w:rsid w:val="6C423AF6"/>
    <w:rsid w:val="6C8A72E3"/>
    <w:rsid w:val="6C923EBF"/>
    <w:rsid w:val="6D1D49F8"/>
    <w:rsid w:val="6D8F2D6B"/>
    <w:rsid w:val="6E0C43BB"/>
    <w:rsid w:val="6ECE2A1D"/>
    <w:rsid w:val="6EF07839"/>
    <w:rsid w:val="6F2F65B3"/>
    <w:rsid w:val="6FC4358D"/>
    <w:rsid w:val="6FF128C8"/>
    <w:rsid w:val="6FF60E7F"/>
    <w:rsid w:val="713C6D66"/>
    <w:rsid w:val="71DD2CB4"/>
    <w:rsid w:val="72011973"/>
    <w:rsid w:val="72563E57"/>
    <w:rsid w:val="72DA6836"/>
    <w:rsid w:val="72F21DD2"/>
    <w:rsid w:val="72FF629D"/>
    <w:rsid w:val="730022F6"/>
    <w:rsid w:val="732301DD"/>
    <w:rsid w:val="732950C8"/>
    <w:rsid w:val="735E76C4"/>
    <w:rsid w:val="73C60B68"/>
    <w:rsid w:val="73FD2CDB"/>
    <w:rsid w:val="74024296"/>
    <w:rsid w:val="74185868"/>
    <w:rsid w:val="742510D0"/>
    <w:rsid w:val="74257F85"/>
    <w:rsid w:val="744F0B5E"/>
    <w:rsid w:val="749A44CF"/>
    <w:rsid w:val="74F55BA9"/>
    <w:rsid w:val="74F6722B"/>
    <w:rsid w:val="751A53DD"/>
    <w:rsid w:val="75504B8E"/>
    <w:rsid w:val="76191423"/>
    <w:rsid w:val="76326989"/>
    <w:rsid w:val="76562678"/>
    <w:rsid w:val="76A335DF"/>
    <w:rsid w:val="76C11384"/>
    <w:rsid w:val="7718792D"/>
    <w:rsid w:val="77D965A0"/>
    <w:rsid w:val="77FC484A"/>
    <w:rsid w:val="782C5979"/>
    <w:rsid w:val="783C1577"/>
    <w:rsid w:val="7847671C"/>
    <w:rsid w:val="785A355B"/>
    <w:rsid w:val="789254BD"/>
    <w:rsid w:val="79002D6F"/>
    <w:rsid w:val="791660EE"/>
    <w:rsid w:val="79751DE3"/>
    <w:rsid w:val="7A1E674C"/>
    <w:rsid w:val="7B821819"/>
    <w:rsid w:val="7BAC4AE8"/>
    <w:rsid w:val="7C9C690A"/>
    <w:rsid w:val="7D1172F8"/>
    <w:rsid w:val="7D7B6E68"/>
    <w:rsid w:val="7DAC0DCF"/>
    <w:rsid w:val="7E372159"/>
    <w:rsid w:val="7EAF501B"/>
    <w:rsid w:val="7EE948F5"/>
    <w:rsid w:val="7F080287"/>
    <w:rsid w:val="7F1255AA"/>
    <w:rsid w:val="7F2822E6"/>
    <w:rsid w:val="7F491DA9"/>
    <w:rsid w:val="7FA56DF7"/>
    <w:rsid w:val="7FB623D9"/>
    <w:rsid w:val="7FE707E4"/>
    <w:rsid w:val="FF2F2D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3">
    <w:name w:val="heading 3"/>
    <w:basedOn w:val="1"/>
    <w:next w:val="1"/>
    <w:qFormat/>
    <w:uiPriority w:val="9"/>
    <w:pPr>
      <w:keepNext/>
      <w:keepLines/>
      <w:spacing w:before="40"/>
      <w:outlineLvl w:val="2"/>
    </w:pPr>
    <w:rPr>
      <w:rFonts w:ascii="Calibri Light" w:hAnsi="Calibri Light"/>
      <w:color w:val="0D0D0D"/>
      <w:sz w:val="24"/>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Body Text"/>
    <w:basedOn w:val="1"/>
    <w:semiHidden/>
    <w:qFormat/>
    <w:uiPriority w:val="0"/>
    <w:rPr>
      <w:rFonts w:ascii="宋体" w:hAnsi="宋体" w:cs="宋体"/>
      <w:szCs w:val="21"/>
      <w:lang w:eastAsia="en-US"/>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paragraph" w:styleId="10">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paragraph" w:customStyle="1" w:styleId="15">
    <w:name w:val="Table Text"/>
    <w:basedOn w:val="1"/>
    <w:semiHidden/>
    <w:qFormat/>
    <w:uiPriority w:val="0"/>
    <w:rPr>
      <w:rFonts w:ascii="宋体" w:hAnsi="宋体" w:cs="宋体"/>
      <w:sz w:val="18"/>
      <w:szCs w:val="18"/>
      <w:lang w:eastAsia="en-US"/>
    </w:rPr>
  </w:style>
  <w:style w:type="table" w:customStyle="1" w:styleId="1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e02fa2bf-05aa-4d02-936d-036caf887a6d</errorID>
      <errorWord>适于</errorWord>
      <group>L1_AI</group>
      <groupName>深度校对</groupName>
      <ability>L2_AI_Word</ability>
      <abilityName>字词纠错</abilityName>
      <candidateList>
        <item>适用于</item>
      </candidateList>
      <explain/>
      <paraID>7F153B69</paraID>
      <start>9</start>
      <end>11</end>
      <status>unmodified</status>
      <modifiedWord/>
      <trackRevisions>false</trackRevisions>
    </reviewItem>
    <reviewItem>
      <errorID>2b2409fb-0490-48de-8ec3-6c467aca4460</errorID>
      <errorWord>制订</errorWord>
      <group>L1_AI</group>
      <groupName>深度校对</groupName>
      <ability>L2_AI_Word</ability>
      <abilityName>字词纠错</abilityName>
      <candidateList>
        <item>制定</item>
      </candidateList>
      <explain/>
      <paraID>7F153B69</paraID>
      <start>62</start>
      <end>64</end>
      <status>unmodified</status>
      <modifiedWord/>
      <trackRevisions>false</trackRevisions>
    </reviewItem>
    <reviewItem>
      <errorID>c20079df-7478-49f9-94fb-0e71ae26935d</errorID>
      <errorWord>，</errorWord>
      <group>L1_AI</group>
      <groupName>深度校对</groupName>
      <ability>L2_AI_Punc</ability>
      <abilityName>标点纠错</abilityName>
      <candidateList>
        <item>、</item>
      </candidateList>
      <explain/>
      <paraID>7F153B69</paraID>
      <start>92</start>
      <end>93</end>
      <status>unmodified</status>
      <modifiedWord/>
      <trackRevisions>false</trackRevisions>
    </reviewItem>
    <reviewItem>
      <errorID>12a2a2b2-affa-4c46-8632-28efbc6fd0c0</errorID>
      <errorWord>同等学力</errorWord>
      <group>L1_Word</group>
      <groupName>字词问题</groupName>
      <ability>L2_Typo</ability>
      <abilityName>字词错误</abilityName>
      <candidateList>
        <item>同等学历</item>
      </candidateList>
      <explain/>
      <paraID>1E1E0D45</paraID>
      <start>20</start>
      <end>24</end>
      <status>modified</status>
      <modifiedWord>同等学历</modifiedWord>
      <trackRevisions>false</trackRevisions>
    </reviewItem>
    <reviewItem>
      <errorID>683b6a0d-e8b6-42ea-8214-00a45b33b574</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5F71AC73</paraID>
      <start>22</start>
      <end>23</end>
      <status>unmodified</status>
      <modifiedWord/>
      <trackRevisions>false</trackRevisions>
    </reviewItem>
    <reviewItem>
      <errorID>786fefb4-fd5a-4f63-a7e4-f2db1362f6e0</errorID>
      <errorWord>、</errorWord>
      <group>L1_AI</group>
      <groupName>深度校对</groupName>
      <ability>L2_AI_Punc</ability>
      <abilityName>标点纠错</abilityName>
      <candidateList>
        <item>，</item>
      </candidateList>
      <explain/>
      <paraID> 8798CA2</paraID>
      <start>40</start>
      <end>41</end>
      <status>unmodified</status>
      <modifiedWord/>
      <trackRevisions>false</trackRevisions>
    </reviewItem>
    <reviewItem>
      <errorID>0bb79439-b34e-463b-9d1f-9d2432d7aef3</errorID>
      <errorWord>学校</errorWord>
      <group>L1_AI</group>
      <groupName>深度校对</groupName>
      <ability>L2_AI_Word</ability>
      <abilityName>字词纠错</abilityName>
      <candidateList>
        <item>以学校</item>
      </candidateList>
      <explain/>
      <paraID> 8798CA2</paraID>
      <start>158</start>
      <end>160</end>
      <status>unmodified</status>
      <modifiedWord/>
      <trackRevisions>false</trackRevisions>
    </reviewItem>
    <reviewItem>
      <errorID>f1218767-e516-4999-b7ab-a0ba925faebe</errorID>
      <errorWord>发展的</errorWord>
      <group>L1_Word</group>
      <groupName>字词问题</groupName>
      <ability>L2_Typo</ability>
      <abilityName>字词错误</abilityName>
      <candidateList>
        <item>发展</item>
      </candidateList>
      <explain>〈动〉❶事物由小到大、由简单到复杂、由低级到高级的变化：事态还在～｜社会～规律。❷扩大（组织、规模等）：～新会员｜～轻纺工业。</explain>
      <paraID> 8798CA2</paraID>
      <start>223</start>
      <end>226</end>
      <status>unmodified</status>
      <modifiedWord/>
      <trackRevisions>false</trackRevisions>
    </reviewItem>
    <reviewItem>
      <errorID>4cc128b8-fe27-491c-9800-73301c426fbe</errorID>
      <errorWord>通过</errorWord>
      <group>L1_AI</group>
      <groupName>深度校对</groupName>
      <ability>L2_AI_Word</ability>
      <abilityName>字词纠错</abilityName>
      <candidateList>
        <item>以</item>
      </candidateList>
      <explain/>
      <paraID> 8798CA2</paraID>
      <start>312</start>
      <end>314</end>
      <status>unmodified</status>
      <modifiedWord/>
      <trackRevisions>false</trackRevisions>
    </reviewItem>
    <reviewItem>
      <errorID>25c574cc-78f0-43fd-8362-c660ed340125</errorID>
      <errorWord>、</errorWord>
      <group>L1_AI</group>
      <groupName>深度校对</groupName>
      <ability>L2_AI_Punc</ability>
      <abilityName>标点纠错</abilityName>
      <candidateList>
        <item>，</item>
      </candidateList>
      <explain/>
      <paraID>4934E19F</paraID>
      <start>32</start>
      <end>33</end>
      <status>unmodified</status>
      <modifiedWord/>
      <trackRevisions>false</trackRevisions>
    </reviewItem>
    <reviewItem>
      <errorID>3416625f-793a-45ed-8f56-931842d6a535</errorID>
      <errorWord>、</errorWord>
      <group>L1_AI</group>
      <groupName>深度校对</groupName>
      <ability>L2_AI_Punc</ability>
      <abilityName>标点纠错</abilityName>
      <candidateList>
        <item>，</item>
      </candidateList>
      <explain/>
      <paraID>4934E19F</paraID>
      <start>49</start>
      <end>50</end>
      <status>unmodified</status>
      <modifiedWord/>
      <trackRevisions>false</trackRevisions>
    </reviewItem>
    <reviewItem>
      <errorID>f2747cae-a90f-40bf-9c74-4c8a6b55cfd0</errorID>
      <errorWord>和</errorWord>
      <group>L1_AI</group>
      <groupName>深度校对</groupName>
      <ability>L2_AI_Word</ability>
      <abilityName>字词纠错</abilityName>
      <candidateList>
        <item>以及</item>
      </candidateList>
      <explain/>
      <paraID>65020F7D</paraID>
      <start>37</start>
      <end>38</end>
      <status>unmodified</status>
      <modifiedWord/>
      <trackRevisions>false</trackRevisions>
    </reviewItem>
    <reviewItem>
      <errorID>5f5ab602-feae-449a-bc62-9f930adc1f82</errorID>
      <errorWord>和</errorWord>
      <group>L1_AI</group>
      <groupName>深度校对</groupName>
      <ability>L2_AI_Word</ability>
      <abilityName>字词纠错</abilityName>
      <candidateList>
        <item>以及</item>
      </candidateList>
      <explain/>
      <paraID>65020F7D</paraID>
      <start>72</start>
      <end>73</end>
      <status>unmodified</status>
      <modifiedWord/>
      <trackRevisions>false</trackRevisions>
    </reviewItem>
    <reviewItem>
      <errorID>f0dc7a9d-3203-42c3-b72a-645db83282a2</errorID>
      <errorWord>等基础知识</errorWord>
      <group>L1_AI</group>
      <groupName>深度校对</groupName>
      <ability>L2_AI_Grammar</ability>
      <abilityName>语法纠错</abilityName>
      <candidateList>
        <item>等</item>
      </candidateList>
      <explain/>
      <paraID>561659BF</paraID>
      <start>77</start>
      <end>82</end>
      <status>unmodified</status>
      <modifiedWord/>
      <trackRevisions>false</trackRevisions>
    </reviewItem>
    <reviewItem>
      <errorID>e4a49497-e623-4e42-9aae-634b10efe7e1</errorID>
      <errorWord>和热点、</errorWord>
      <group>L1_AI</group>
      <groupName>深度校对</groupName>
      <ability>L2_AI_Word</ability>
      <abilityName>字词纠错</abilityName>
      <candidateList>
        <item>、热点和</item>
      </candidateList>
      <explain/>
      <paraID>561659BF</paraID>
      <start>92</start>
      <end>96</end>
      <status>unmodified</status>
      <modifiedWord/>
      <trackRevisions>false</trackRevisions>
    </reviewItem>
    <reviewItem>
      <errorID>986ee346-285a-4c34-ac6a-98cbe43d6a04</errorID>
      <errorWord>判断上</errorWord>
      <group>L1_Word</group>
      <groupName>字词问题</groupName>
      <ability>L2_Typo</ability>
      <abilityName>字词错误</abilityName>
      <candidateList>
        <item>判断</item>
      </candidateList>
      <explain/>
      <paraID>1437ADFF</paraID>
      <start>47</start>
      <end>50</end>
      <status>unmodified</status>
      <modifiedWord/>
      <trackRevisions>false</trackRevisions>
    </reviewItem>
    <reviewItem>
      <errorID>fddee397-3db8-473d-9f12-5c693da182eb</errorID>
      <errorWord>提高政治辨别力</errorWord>
      <group>L1_Political</group>
      <groupName>政治性问题</groupName>
      <ability>L2_Keyword</ability>
      <abilityName>固定表述</abilityName>
      <candidateList>
        <item>提高政治能力</item>
      </candidateList>
      <explain>词汇“提高政治能力”在特定场景下为固定表述形式，请确认此处的“提高政治辨别力”是否存在不当。</explain>
      <paraID>2643D568</paraID>
      <start>94</start>
      <end>101</end>
      <status>unmodified</status>
      <modifiedWord/>
      <trackRevisions>false</trackRevisions>
    </reviewItem>
    <reviewItem>
      <errorID>af34e720-0990-44c5-b1ee-edf97f71348f</errorID>
      <errorWord>围绕在</errorWord>
      <group>L1_Word</group>
      <groupName>字词问题</groupName>
      <ability>L2_Typo</ability>
      <abilityName>字词错误</abilityName>
      <candidateList>
        <item>围绕</item>
      </candidateList>
      <explain/>
      <paraID>2643D568</paraID>
      <start>104</start>
      <end>107</end>
      <status>unmodified</status>
      <modifiedWord/>
      <trackRevisions>false</trackRevisions>
    </reviewItem>
    <reviewItem>
      <errorID>58e8dc09-f5b2-4982-a773-da122f178ff8</errorID>
      <errorWord>国家安全法</errorWord>
      <group>L1_Knowledge</group>
      <groupName>知识性问题</groupName>
      <ability>L2_Knowledge</ability>
      <abilityName>其他知识</abilityName>
      <candidateList>
        <item>中华人民共和国国家安全法</item>
      </candidateList>
      <explain>当前法律法规名称使用简称，请注意是否应当使用全称。</explain>
      <paraID>18CD4386</paraID>
      <start>133</start>
      <end>138</end>
      <status>unmodified</status>
      <modifiedWord/>
      <trackRevisions>false</trackRevisions>
    </reviewItem>
    <reviewItem>
      <errorID>bac7be4e-8ef4-4ff0-82ca-8f5f00b97bb2</errorID>
      <errorWord>情景教学法</errorWord>
      <group>L1_Knowledge</group>
      <groupName>知识性问题</groupName>
      <ability>L2_Term</ability>
      <abilityName>专业术语</abilityName>
      <candidateList>
        <item>情境教学法</item>
      </candidateList>
      <explain/>
      <paraID>4360ED6D</paraID>
      <start>9</start>
      <end>14</end>
      <status>unmodified</status>
      <modifiedWord/>
      <trackRevisions>false</trackRevisions>
    </reviewItem>
    <reviewItem>
      <errorID>0b587e88-99b7-4af9-8d76-f73d76ba7256</errorID>
      <errorWord>；</errorWord>
      <group>L1_Word</group>
      <groupName>字词问题</groupName>
      <ability>L2_Typo</ability>
      <abilityName>字词错误</abilityName>
      <candidateList>
        <item>；在</item>
      </candidateList>
      <explain/>
      <paraID> 9A6FDF2</paraID>
      <start>18</start>
      <end>19</end>
      <status>unmodified</status>
      <modifiedWord/>
      <trackRevisions>false</trackRevisions>
    </reviewItem>
    <reviewItem>
      <errorID>a17d5db8-dedf-4b62-94c9-f3136e8ffa30</errorID>
      <errorWord>时代化的</errorWord>
      <group>L1_Word</group>
      <groupName>字词问题</groupName>
      <ability>L2_Typo</ability>
      <abilityName>字词错误</abilityName>
      <candidateList>
        <item>时代化</item>
      </candidateList>
      <explain/>
      <paraID>1CB5FBCA</paraID>
      <start>113</start>
      <end>117</end>
      <status>unmodified</status>
      <modifiedWord/>
      <trackRevisions>false</trackRevisions>
    </reviewItem>
    <reviewItem>
      <errorID>31d9bf44-979b-4d83-8740-a2d49fd35d50</errorID>
      <errorWord>扩大</errorWord>
      <group>L1_Word</group>
      <groupName>字词问题</groupName>
      <ability>L2_Typo</ability>
      <abilityName>字词错误</abilityName>
      <candidateList>
        <item>扩宽</item>
      </candidateList>
      <explain/>
      <paraID>5546672C</paraID>
      <start>119</start>
      <end>121</end>
      <status>unmodified</status>
      <modifiedWord/>
      <trackRevisions>false</trackRevisions>
    </reviewItem>
    <reviewItem>
      <errorID>49284d8b-07d5-4fc4-aa0b-99b9f23b0435</errorID>
      <errorWord>坚持和加强党的领导</errorWord>
      <group>L1_Word</group>
      <groupName>字词问题</groupName>
      <ability>L2_Typo</ability>
      <abilityName>字词错误</abilityName>
      <candidateList>
        <item>坚持和加强党的全面领导</item>
      </candidateList>
      <explain/>
      <paraID>6524F043</paraID>
      <start>101</start>
      <end>110</end>
      <status>unmodified</status>
      <modifiedWord/>
      <trackRevisions>false</trackRevisions>
    </reviewItem>
    <reviewItem>
      <errorID>17ba7571-e188-45d3-b939-35d3b36c0324</errorID>
      <errorWord>，</errorWord>
      <group>L1_Word</group>
      <groupName>字词问题</groupName>
      <ability>L2_Typo</ability>
      <abilityName>字词错误</abilityName>
      <candidateList>
        <item>，及</item>
      </candidateList>
      <explain/>
      <paraID> D64CB35</paraID>
      <start>35</start>
      <end>36</end>
      <status>unmodified</status>
      <modifiedWord/>
      <trackRevisions>false</trackRevisions>
    </reviewItem>
    <reviewItem>
      <errorID>2759628b-c431-41b5-a15e-147502b391e8</errorID>
      <errorWord>的</errorWord>
      <group>L1_Word</group>
      <groupName>字词问题</groupName>
      <ability>L2_Typo</ability>
      <abilityName>字词错误</abilityName>
      <candidateList>
        <item>的国</item>
      </candidateList>
      <explain/>
      <paraID> D64CB35</paraID>
      <start>154</start>
      <end>155</end>
      <status>unmodified</status>
      <modifiedWord/>
      <trackRevisions>false</trackRevisions>
    </reviewItem>
    <reviewItem>
      <errorID>bfba5e18-6cd8-4fc1-8bab-c774d6fe952a</errorID>
      <errorWord>全面建设小康社会</errorWord>
      <group>L1_Word</group>
      <groupName>字词问题</groupName>
      <ability>L2_Typo</ability>
      <abilityName>字词错误</abilityName>
      <candidateList>
        <item>全面建成小康社会</item>
      </candidateList>
      <explain/>
      <paraID>7A280633</paraID>
      <start>90</start>
      <end>98</end>
      <status>unmodified</status>
      <modifiedWord/>
      <trackRevisions>false</trackRevisions>
    </reviewItem>
    <reviewItem>
      <errorID>1f686428-76fc-4e30-8732-917b0e0e1883</errorID>
      <errorWord>中国特色社会主义的伟大实践</errorWord>
      <group>L1_Political</group>
      <groupName>政治性问题</groupName>
      <ability>L2_Keyword</ability>
      <abilityName>固定表述</abilityName>
      <candidateList>
        <item>中国特色社会主义伟大实践</item>
      </candidateList>
      <explain>词汇“中国特色社会主义伟大实践”在特定场景下为固定表述形式，请确认此处的“中国特色社会主义的伟大实践”是否存在不当。</explain>
      <paraID> 9E1F5ED</paraID>
      <start>116</start>
      <end>129</end>
      <status>unmodified</status>
      <modifiedWord/>
      <trackRevisions>false</trackRevisions>
    </reviewItem>
    <reviewItem>
      <errorID>4d667744-d1c3-426d-9483-8309c9ecfa52</errorID>
      <errorWord>社会主义发展简史</errorWord>
      <group>L1_Political</group>
      <groupName>政治性问题</groupName>
      <ability>L2_Keyword</ability>
      <abilityName>固定表述</abilityName>
      <candidateList>
        <item>社会主义发展史</item>
      </candidateList>
      <explain>词汇“社会主义发展史”在特定场景下为固定表述形式，请确认此处的“社会主义发展简史”是否存在不当。</explain>
      <paraID>4034A187</paraID>
      <start>0</start>
      <end>8</end>
      <status>unmodified</status>
      <modifiedWord/>
      <trackRevisions>false</trackRevisions>
    </reviewItem>
    <reviewItem>
      <errorID>91769d45-7bc0-416d-b1f1-ae3061dce6d4</errorID>
      <errorWord>增强</errorWord>
      <group>L1_Grammar</group>
      <groupName>语法问题</groupName>
      <ability>L2_Grammar</ability>
      <abilityName>语法错误</abilityName>
      <candidateList>
        <item>加深</item>
      </candidateList>
      <explain>“增强～认识”搭配不当，建议修改为“加深～认识”。</explain>
      <paraID>64F4BA2A</paraID>
      <start>92</start>
      <end>94</end>
      <status>unmodified</status>
      <modifiedWord/>
      <trackRevisions>false</trackRevisions>
    </reviewItem>
    <reviewItem>
      <errorID>a19a05b3-fb6b-4808-aa47-ae13148ffe62</errorID>
      <errorWord>界线</errorWord>
      <group>L1_Word</group>
      <groupName>字词问题</groupName>
      <ability>L2_Typo</ability>
      <abilityName>字词错误</abilityName>
      <candidateList>
        <item>界限</item>
      </candidateList>
      <explain/>
      <paraID> E2FF705</paraID>
      <start>161</start>
      <end>163</end>
      <status>unmodified</status>
      <modifiedWord/>
      <trackRevisions>false</trackRevisions>
    </reviewItem>
    <reviewItem>
      <errorID>ac0d31e1-3782-40a9-9c23-2320545214e4</errorID>
      <errorWord>了解了</errorWord>
      <group>L1_Word</group>
      <groupName>字词问题</groupName>
      <ability>L2_Typo</ability>
      <abilityName>字词错误</abilityName>
      <candidateList>
        <item>了解</item>
      </candidateList>
      <explain/>
      <paraID>160ED2C5</paraID>
      <start>34</start>
      <end>37</end>
      <status>unmodified</status>
      <modifiedWord/>
      <trackRevisions>false</trackRevisions>
    </reviewItem>
    <reviewItem>
      <errorID>b526a002-0d6a-490b-89bf-1eec20863c09</errorID>
      <errorWord>推动中华民族共同体建设</errorWord>
      <group>L1_Political</group>
      <groupName>政治性问题</groupName>
      <ability>L2_Keyword</ability>
      <abilityName>固定表述</abilityName>
      <candidateList>
        <item>推进中华民族共同体建设</item>
      </candidateList>
      <explain>词汇“推进中华民族共同体建设”在特定场景下为固定表述形式，请确认此处的“推动中华民族共同体建设”是否存在不当。</explain>
      <paraID>15AC04EC</paraID>
      <start>163</start>
      <end>174</end>
      <status>unmodified</status>
      <modifiedWord/>
      <trackRevisions>false</trackRevisions>
    </reviewItem>
    <reviewItem>
      <errorID>be1581ec-9d65-4166-879a-fe8b384c1b4b</errorID>
      <errorWord>晰</errorWord>
      <group>L1_Word</group>
      <groupName>字词问题</groupName>
      <ability>L2_Typo</ability>
      <abilityName>字词错误</abilityName>
      <candidateList>
        <item>晰地</item>
      </candidateList>
      <explain/>
      <paraID>73EF3E10</paraID>
      <start>53</start>
      <end>54</end>
      <status>unmodified</status>
      <modifiedWord/>
      <trackRevisions>false</trackRevisions>
    </reviewItem>
    <reviewItem>
      <errorID>da466f3b-26dd-4b5c-959e-bd132052f0e2</errorID>
      <errorWord>学</errorWord>
      <group>L1_Word</group>
      <groupName>字词问题</groupName>
      <ability>L2_Typo</ability>
      <abilityName>字词错误</abilityName>
      <candidateList>
        <item>学等</item>
      </candidateList>
      <explain/>
      <paraID>18E1ABD8</paraID>
      <start>57</start>
      <end>58</end>
      <status>unmodified</status>
      <modifiedWord/>
      <trackRevisions>false</trackRevisions>
    </reviewItem>
    <reviewItem>
      <errorID>94dbe838-bb8b-478b-9201-bd2269f9f3ce</errorID>
      <errorWord>言行举止</errorWord>
      <group>L1_Word</group>
      <groupName>字词问题</groupName>
      <ability>L2_Typo</ability>
      <abilityName>字词错误</abilityName>
      <candidateList>
        <item>言谈举止</item>
      </candidateList>
      <explain>人的言语、举动、行为。</explain>
      <paraID>294407AD</paraID>
      <start>40</start>
      <end>44</end>
      <status>modified</status>
      <modifiedWord>言谈举止</modifiedWord>
      <trackRevisions>false</trackRevisions>
    </reviewItem>
    <reviewItem>
      <errorID>840253c7-b1c2-49f5-b068-009d0a97a148</errorID>
      <errorWord>能</errorWord>
      <group>L1_Word</group>
      <groupName>字词问题</groupName>
      <ability>L2_Typo</ability>
      <abilityName>字词错误</abilityName>
      <candidateList>
        <item>能够</item>
      </candidateList>
      <explain/>
      <paraID>769D9BF4</paraID>
      <start>70</start>
      <end>72</end>
      <status>modified</status>
      <modifiedWord>能够</modifiedWord>
      <trackRevisions>false</trackRevisions>
    </reviewItem>
    <reviewItem>
      <errorID>b9b155c1-efee-4d90-a7e2-8ff66d92869c</errorID>
      <errorWord>能</errorWord>
      <group>L1_Word</group>
      <groupName>字词问题</groupName>
      <ability>L2_Typo</ability>
      <abilityName>字词错误</abilityName>
      <candidateList>
        <item>能够</item>
      </candidateList>
      <explain/>
      <paraID>1F18152B</paraID>
      <start>68</start>
      <end>70</end>
      <status>modified</status>
      <modifiedWord>能够</modifiedWord>
      <trackRevisions>false</trackRevisions>
    </reviewItem>
    <reviewItem>
      <errorID>0944f446-b3c5-4c0a-8c7b-b422a90f9ba2</errorID>
      <errorWord>《民法典》</errorWord>
      <group>L1_Word</group>
      <groupName>字词问题</groupName>
      <ability>L2_Typo</ability>
      <abilityName>字词错误</abilityName>
      <candidateList>
        <item>《中华人民共和国民法典》</item>
      </candidateList>
      <explain/>
      <paraID> 3502E66</paraID>
      <start>37</start>
      <end>49</end>
      <status>modified</status>
      <modifiedWord>《中华人民共和国民法典》</modifiedWord>
      <trackRevisions>false</trackRevisions>
    </reviewItem>
    <reviewItem>
      <errorID>01906908-1398-4ccd-9fa1-825dfd859056</errorID>
      <errorWord>拟定</errorWord>
      <group>L1_Word</group>
      <groupName>字词问题</groupName>
      <ability>L2_Typo</ability>
      <abilityName>字词错误</abilityName>
      <candidateList>
        <item>拟订</item>
      </candidateList>
      <explain>〈动〉草拟：～计划｜～方案。</explain>
      <paraID>3AC8D78A</paraID>
      <start>88</start>
      <end>90</end>
      <status>modified</status>
      <modifiedWord>拟订</modifiedWord>
      <trackRevisions>false</trackRevisions>
    </reviewItem>
    <reviewItem>
      <errorID>5c6bd8ac-d445-4208-bd59-afe949c3d356</errorID>
      <errorWord>课</errorWord>
      <group>L1_Word</group>
      <groupName>字词问题</groupName>
      <ability>L2_Typo</ability>
      <abilityName>字词错误</abilityName>
      <candidateList>
        <item>课程</item>
      </candidateList>
      <explain/>
      <paraID>2F904D4B</paraID>
      <start>4</start>
      <end>6</end>
      <status>modified</status>
      <modifiedWord>课程</modifiedWord>
      <trackRevisions>false</trackRevisions>
    </reviewItem>
    <reviewItem>
      <errorID>39ecb6e5-a5e8-4d3e-91f5-6980fe8229b0</errorID>
      <errorWord>方法等</errorWord>
      <group>L1_Word</group>
      <groupName>字词问题</groupName>
      <ability>L2_Typo</ability>
      <abilityName>字词错误</abilityName>
      <candidateList>
        <item>方法</item>
      </candidateList>
      <explain/>
      <paraID> EE95E12</paraID>
      <start>52</start>
      <end>55</end>
      <status>unmodified</status>
      <modifiedWord/>
      <trackRevisions>false</trackRevisions>
    </reviewItem>
    <reviewItem>
      <errorID>7c4ba6a5-8f92-4219-bc41-1d753dfb75b2</errorID>
      <errorWord>，</errorWord>
      <group>L1_Word</group>
      <groupName>字词问题</groupName>
      <ability>L2_Typo</ability>
      <abilityName>字词错误</abilityName>
      <candidateList>
        <item>，让</item>
      </candidateList>
      <explain/>
      <paraID>249AD5C9</paraID>
      <start>268</start>
      <end>269</end>
      <status>unmodified</status>
      <modifiedWord/>
      <trackRevisions>false</trackRevisions>
    </reviewItem>
    <reviewItem>
      <errorID>005488cc-22fc-4bb8-ac55-401ba3409f3f</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19E56F81</paraID>
      <start>47</start>
      <end>48</end>
      <status>modified</status>
      <modifiedWord>地</modifiedWord>
      <trackRevisions>false</trackRevisions>
    </reviewItem>
    <reviewItem>
      <errorID>0216c4aa-2160-4a3a-93e6-a2b3ae7b2610</errorID>
      <errorWord>提高</errorWord>
      <group>L1_Word</group>
      <groupName>字词问题</groupName>
      <ability>L2_Typo</ability>
      <abilityName>字词错误</abilityName>
      <candidateList>
        <item>增强</item>
      </candidateList>
      <explain>〈动〉增进；加强：～体质｜～信心｜实力大大～。</explain>
      <paraID> CEB4ECA</paraID>
      <start>35</start>
      <end>37</end>
      <status>modified</status>
      <modifiedWord>增强</modifiedWord>
      <trackRevisions>false</trackRevisions>
    </reviewItem>
    <reviewItem>
      <errorID>d325aab3-c993-4a93-b749-4356cfc54836</errorID>
      <errorWord>认识到</errorWord>
      <group>L1_Word</group>
      <groupName>字词问题</groupName>
      <ability>L2_Typo</ability>
      <abilityName>字词错误</abilityName>
      <candidateList>
        <item>认识</item>
      </candidateList>
      <explain/>
      <paraID>5489D9B1</paraID>
      <start>13</start>
      <end>16</end>
      <status>unmodified</status>
      <modifiedWord/>
      <trackRevisions>false</trackRevisions>
    </reviewItem>
    <reviewItem>
      <errorID>140485af-3903-4ae2-9203-2fe6216a5b0e</errorID>
      <errorWord>泄漏</errorWord>
      <group>L1_Word</group>
      <groupName>字词问题</groupName>
      <ability>L2_Typo</ability>
      <abilityName>字词错误</abilityName>
      <candidateList>
        <item>泄露</item>
      </candidateList>
      <explain/>
      <paraID>748A9F36</paraID>
      <start>138</start>
      <end>140</end>
      <status>modified</status>
      <modifiedWord>泄露</modifiedWord>
      <trackRevisions>false</trackRevisions>
    </reviewItem>
    <reviewItem>
      <errorID>586b13fc-04a6-44b6-a355-9ea5230739ab</errorID>
      <errorWord>新发展理念、高质量发展</errorWord>
      <group>L1_Political</group>
      <groupName>政治性问题</groupName>
      <ability>L2_Keyword</ability>
      <abilityName>固定表述</abilityName>
      <candidateList>
        <item>新发展理念引领高质量发展</item>
      </candidateList>
      <explain>词汇“新发展理念引领高质量发展”在特定场景下为固定表述形式，请确认此处的“新发展理念、高质量发展”是否存在不当。</explain>
      <paraID> 4D84D20</paraID>
      <start>37</start>
      <end>48</end>
      <status>unmodified</status>
      <modifiedWord/>
      <trackRevisions>false</trackRevisions>
    </reviewItem>
    <reviewItem>
      <errorID>88ef0a8b-86a6-4c19-847b-74264aa6698e</errorID>
      <errorWord>社会主义发展简史</errorWord>
      <group>L1_Political</group>
      <groupName>政治性问题</groupName>
      <ability>L2_Keyword</ability>
      <abilityName>固定表述</abilityName>
      <candidateList>
        <item>社会主义发展史</item>
      </candidateList>
      <explain>词汇“社会主义发展史”在特定场景下为固定表述形式，请确认此处的“社会主义发展简史”是否存在不当。</explain>
      <paraID>4F31C85F</paraID>
      <start>0</start>
      <end>8</end>
      <status>unmodified</status>
      <modifiedWord/>
      <trackRevisions>false</trackRevisions>
    </reviewItem>
    <reviewItem>
      <errorID>4be30d21-d386-45c3-aef1-158e58a5eb9f</errorID>
      <errorWord>起</errorWord>
      <group>L1_Word</group>
      <groupName>字词问题</groupName>
      <ability>L2_Typo</ability>
      <abilityName>字词错误</abilityName>
      <candidateList>
        <item>起到</item>
      </candidateList>
      <explain/>
      <paraID>59A05100</paraID>
      <start>124</start>
      <end>126</end>
      <status>modified</status>
      <modifiedWord>起到</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686ccf-2d2f-4b48-bbc9-876c97fd4e57}">
  <ds:schemaRefs/>
</ds:datastoreItem>
</file>

<file path=docProps/app.xml><?xml version="1.0" encoding="utf-8"?>
<Properties xmlns="http://schemas.openxmlformats.org/officeDocument/2006/extended-properties" xmlns:vt="http://schemas.openxmlformats.org/officeDocument/2006/docPropsVTypes">
  <Template>Normal</Template>
  <Pages>56</Pages>
  <Words>21462</Words>
  <Characters>21573</Characters>
  <Lines>1850</Lines>
  <Paragraphs>1270</Paragraphs>
  <TotalTime>4</TotalTime>
  <ScaleCrop>false</ScaleCrop>
  <LinksUpToDate>false</LinksUpToDate>
  <CharactersWithSpaces>21800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2024-09-18T16:36:00Z</dcterms:created>
  <dc:creator>Administrator.WIN-GUF7F9D61L7</dc:creator>
  <cp:lastModifiedBy>何莹苑</cp:lastModifiedBy>
  <cp:lastPrinted>2026-03-24T13:46:42Z</cp:lastPrinted>
  <dcterms:modified xsi:type="dcterms:W3CDTF">2026-03-24T14:08:16Z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8980FBCE26C0474A9E30577A03981D2F_13</vt:lpwstr>
  </property>
  <property fmtid="{D5CDD505-2E9C-101B-9397-08002B2CF9AE}" pid="4" name="KSOTemplateDocerSaveRecord">
    <vt:lpwstr>eyJoZGlkIjoiOTlkYjc2ZWYyMDRiNWJjZTRkYjI2Yzk5M2I2MDljMjYiLCJ1c2VySWQiOiIyOTg5OTU1NTEifQ==</vt:lpwstr>
  </property>
</Properties>
</file>