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rPr>
          <w:rFonts w:hint="eastAsia" w:ascii="仿宋" w:hAnsi="仿宋" w:eastAsia="仿宋"/>
          <w:szCs w:val="32"/>
        </w:rPr>
      </w:pPr>
      <w:r>
        <w:rPr>
          <w:rFonts w:ascii="宋体" w:hAnsi="宋体" w:cs="宋体"/>
          <w:sz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szCs w:val="32"/>
        </w:rPr>
      </w:pPr>
    </w:p>
    <w:p>
      <w:pPr>
        <w:overflowPunct w:val="0"/>
        <w:adjustRightInd w:val="0"/>
        <w:snapToGrid w:val="0"/>
        <w:jc w:val="center"/>
        <w:rPr>
          <w:rFonts w:hint="eastAsia" w:ascii="仿宋" w:hAnsi="仿宋" w:eastAsia="仿宋"/>
          <w:szCs w:val="32"/>
        </w:rPr>
      </w:pPr>
    </w:p>
    <w:p>
      <w:pPr>
        <w:overflowPunct w:val="0"/>
        <w:adjustRightInd w:val="0"/>
        <w:snapToGrid w:val="0"/>
        <w:jc w:val="center"/>
        <w:rPr>
          <w:rFonts w:hint="eastAsia" w:ascii="仿宋" w:hAnsi="仿宋" w:eastAsia="仿宋"/>
          <w:szCs w:val="32"/>
        </w:rPr>
      </w:pPr>
    </w:p>
    <w:p>
      <w:pPr>
        <w:overflowPunct w:val="0"/>
        <w:adjustRightInd w:val="0"/>
        <w:snapToGrid w:val="0"/>
        <w:jc w:val="center"/>
        <w:rPr>
          <w:rFonts w:hint="eastAsia" w:ascii="仿宋" w:hAnsi="仿宋" w:eastAsia="仿宋"/>
          <w:szCs w:val="32"/>
        </w:rPr>
      </w:pPr>
    </w:p>
    <w:p>
      <w:pPr>
        <w:overflowPunct w:val="0"/>
        <w:adjustRightInd w:val="0"/>
        <w:snapToGrid w:val="0"/>
        <w:jc w:val="center"/>
        <w:rPr>
          <w:rFonts w:hint="eastAsia" w:ascii="仿宋" w:hAnsi="仿宋" w:eastAsia="仿宋"/>
          <w:szCs w:val="32"/>
        </w:rPr>
      </w:pPr>
    </w:p>
    <w:p>
      <w:pPr>
        <w:overflowPunct w:val="0"/>
        <w:adjustRightInd w:val="0"/>
        <w:snapToGrid w:val="0"/>
        <w:jc w:val="center"/>
        <w:rPr>
          <w:rFonts w:hint="eastAsia" w:ascii="仿宋" w:hAnsi="仿宋" w:eastAsia="仿宋"/>
          <w:szCs w:val="32"/>
        </w:rPr>
      </w:pPr>
    </w:p>
    <w:p>
      <w:pPr>
        <w:overflowPunct w:val="0"/>
        <w:adjustRightInd w:val="0"/>
        <w:snapToGrid w:val="0"/>
        <w:rPr>
          <w:rFonts w:hint="eastAsia" w:ascii="华文新魏" w:hAnsi="仿宋" w:eastAsia="华文新魏"/>
          <w:b/>
          <w:sz w:val="100"/>
          <w:szCs w:val="100"/>
        </w:rPr>
      </w:pPr>
    </w:p>
    <w:p>
      <w:pPr>
        <w:overflowPunct w:val="0"/>
        <w:adjustRightInd w:val="0"/>
        <w:snapToGrid w:val="0"/>
        <w:spacing w:after="0" w:line="900" w:lineRule="exact"/>
        <w:jc w:val="center"/>
        <w:rPr>
          <w:rFonts w:hint="eastAsia" w:ascii="黑体" w:hAnsi="黑体" w:eastAsia="黑体" w:cs="黑体"/>
          <w:bCs/>
          <w:sz w:val="72"/>
          <w:szCs w:val="72"/>
        </w:rPr>
      </w:pPr>
      <w:r>
        <w:rPr>
          <w:rFonts w:hint="eastAsia" w:ascii="方正小标宋简体" w:hAnsi="方正小标宋简体" w:eastAsia="方正小标宋简体" w:cs="方正小标宋简体"/>
          <w:bCs/>
          <w:sz w:val="72"/>
          <w:szCs w:val="72"/>
        </w:rPr>
        <w:t>2025级专业人才培养方案</w:t>
      </w:r>
    </w:p>
    <w:p>
      <w:pPr>
        <w:widowControl/>
        <w:spacing w:before="100" w:beforeAutospacing="1" w:line="500" w:lineRule="exact"/>
        <w:ind w:firstLine="1600" w:firstLineChars="500"/>
        <w:jc w:val="left"/>
        <w:rPr>
          <w:rFonts w:hint="eastAsia" w:ascii="仿宋_GB2312" w:hAnsi="仿宋_GB2312" w:eastAsia="仿宋_GB2312" w:cs="仿宋_GB2312"/>
          <w:kern w:val="0"/>
          <w:sz w:val="32"/>
          <w:szCs w:val="32"/>
          <w:shd w:val="clear" w:color="auto" w:fill="FFFFFF"/>
        </w:rPr>
      </w:pPr>
    </w:p>
    <w:p>
      <w:pPr>
        <w:widowControl/>
        <w:spacing w:before="100" w:beforeAutospacing="1" w:line="500" w:lineRule="exact"/>
        <w:ind w:left="210" w:leftChars="100" w:right="420" w:right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shd w:val="clear" w:color="auto" w:fill="FFFFFF"/>
        </w:rPr>
        <w:t>专  业  名  称：</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u w:val="single"/>
        </w:rPr>
        <w:t xml:space="preserve"> 现代家政服务与管理（照护方向）</w:t>
      </w:r>
      <w:r>
        <w:rPr>
          <w:rFonts w:hint="eastAsia" w:ascii="仿宋_GB2312" w:hAnsi="仿宋_GB2312" w:eastAsia="仿宋_GB2312" w:cs="仿宋_GB2312"/>
          <w:kern w:val="0"/>
          <w:sz w:val="32"/>
          <w:szCs w:val="32"/>
        </w:rPr>
        <w:t xml:space="preserve">                </w:t>
      </w:r>
    </w:p>
    <w:p>
      <w:pPr>
        <w:widowControl/>
        <w:spacing w:before="100" w:beforeAutospacing="1" w:line="500" w:lineRule="exact"/>
        <w:ind w:right="420" w:rightChars="200" w:firstLine="320" w:firstLineChars="1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shd w:val="clear" w:color="auto" w:fill="FFFFFF"/>
        </w:rPr>
        <w:t>专  业  代  码：</w:t>
      </w:r>
      <w:r>
        <w:rPr>
          <w:rFonts w:hint="eastAsia" w:ascii="仿宋_GB2312" w:hAnsi="仿宋_GB2312" w:eastAsia="仿宋_GB2312" w:cs="仿宋_GB2312"/>
          <w:kern w:val="0"/>
          <w:sz w:val="32"/>
          <w:szCs w:val="32"/>
          <w:u w:val="single"/>
        </w:rPr>
        <w:t xml:space="preserve">             590301            </w:t>
      </w:r>
      <w:r>
        <w:rPr>
          <w:rFonts w:hint="eastAsia" w:ascii="仿宋_GB2312" w:hAnsi="仿宋_GB2312" w:eastAsia="仿宋_GB2312" w:cs="仿宋_GB2312"/>
          <w:kern w:val="0"/>
          <w:sz w:val="32"/>
          <w:szCs w:val="32"/>
          <w:u w:val="single"/>
          <w:lang w:val="en-US" w:eastAsia="zh-CN"/>
        </w:rPr>
        <w:tab/>
      </w:r>
      <w:r>
        <w:rPr>
          <w:rFonts w:hint="eastAsia" w:ascii="仿宋_GB2312" w:hAnsi="仿宋_GB2312" w:eastAsia="仿宋_GB2312" w:cs="仿宋_GB2312"/>
          <w:kern w:val="0"/>
          <w:sz w:val="32"/>
          <w:szCs w:val="32"/>
        </w:rPr>
        <w:t xml:space="preserve">      </w:t>
      </w:r>
    </w:p>
    <w:p>
      <w:pPr>
        <w:widowControl/>
        <w:spacing w:before="100" w:beforeAutospacing="1" w:line="500" w:lineRule="exact"/>
        <w:ind w:right="420" w:rightChars="200" w:firstLine="320" w:firstLineChars="1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shd w:val="clear" w:color="auto" w:fill="FFFFFF"/>
        </w:rPr>
        <w:t>专  业  学  制：</w:t>
      </w:r>
      <w:r>
        <w:rPr>
          <w:rFonts w:hint="eastAsia" w:ascii="仿宋_GB2312" w:hAnsi="仿宋_GB2312" w:eastAsia="仿宋_GB2312" w:cs="仿宋_GB2312"/>
          <w:kern w:val="0"/>
          <w:sz w:val="32"/>
          <w:szCs w:val="32"/>
          <w:u w:val="single"/>
        </w:rPr>
        <w:t xml:space="preserve">            三年</w:t>
      </w:r>
      <w:r>
        <w:rPr>
          <w:rFonts w:hint="eastAsia" w:ascii="仿宋_GB2312" w:hAnsi="仿宋_GB2312" w:eastAsia="仿宋_GB2312" w:cs="仿宋_GB2312"/>
          <w:kern w:val="0"/>
          <w:sz w:val="32"/>
          <w:szCs w:val="32"/>
          <w:u w:val="single"/>
          <w:lang w:val="en-US" w:eastAsia="zh-CN"/>
        </w:rPr>
        <w:t>制</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ab/>
      </w:r>
      <w:r>
        <w:rPr>
          <w:rFonts w:hint="eastAsia" w:ascii="仿宋_GB2312" w:hAnsi="仿宋_GB2312" w:eastAsia="仿宋_GB2312" w:cs="仿宋_GB2312"/>
          <w:kern w:val="0"/>
          <w:sz w:val="32"/>
          <w:szCs w:val="32"/>
        </w:rPr>
        <w:t xml:space="preserve">                                </w:t>
      </w:r>
    </w:p>
    <w:p>
      <w:pPr>
        <w:widowControl/>
        <w:spacing w:before="100" w:beforeAutospacing="1" w:line="500" w:lineRule="exact"/>
        <w:ind w:right="420" w:rightChars="200" w:firstLine="320" w:firstLineChars="1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shd w:val="clear" w:color="auto" w:fill="FFFFFF"/>
        </w:rPr>
        <w:t>制  定  时  间：</w:t>
      </w:r>
      <w:r>
        <w:rPr>
          <w:rFonts w:hint="eastAsia" w:ascii="仿宋_GB2312" w:hAnsi="仿宋_GB2312" w:eastAsia="仿宋_GB2312" w:cs="仿宋_GB2312"/>
          <w:kern w:val="0"/>
          <w:sz w:val="32"/>
          <w:szCs w:val="32"/>
          <w:u w:val="single"/>
          <w:shd w:val="clear" w:color="auto" w:fill="FFFFFF"/>
        </w:rPr>
        <w:t xml:space="preserve">  </w:t>
      </w:r>
      <w:r>
        <w:rPr>
          <w:rFonts w:hint="eastAsia" w:ascii="仿宋_GB2312" w:hAnsi="仿宋_GB2312" w:eastAsia="仿宋_GB2312" w:cs="仿宋_GB2312"/>
          <w:kern w:val="0"/>
          <w:sz w:val="32"/>
          <w:szCs w:val="32"/>
          <w:u w:val="single"/>
        </w:rPr>
        <w:t xml:space="preserve">        2025年</w:t>
      </w:r>
      <w:r>
        <w:rPr>
          <w:rFonts w:hint="eastAsia" w:ascii="仿宋_GB2312" w:hAnsi="仿宋_GB2312" w:eastAsia="仿宋_GB2312" w:cs="仿宋_GB2312"/>
          <w:kern w:val="0"/>
          <w:sz w:val="32"/>
          <w:szCs w:val="32"/>
          <w:u w:val="single"/>
          <w:lang w:val="en-US" w:eastAsia="zh-CN"/>
        </w:rPr>
        <w:t>4</w:t>
      </w:r>
      <w:r>
        <w:rPr>
          <w:rFonts w:hint="eastAsia" w:ascii="仿宋_GB2312" w:hAnsi="仿宋_GB2312" w:eastAsia="仿宋_GB2312" w:cs="仿宋_GB2312"/>
          <w:kern w:val="0"/>
          <w:sz w:val="32"/>
          <w:szCs w:val="32"/>
          <w:u w:val="single"/>
        </w:rPr>
        <w:t xml:space="preserve">月         </w:t>
      </w:r>
      <w:r>
        <w:rPr>
          <w:rFonts w:hint="eastAsia" w:ascii="仿宋_GB2312" w:hAnsi="仿宋_GB2312" w:eastAsia="仿宋_GB2312" w:cs="仿宋_GB2312"/>
          <w:kern w:val="0"/>
          <w:sz w:val="32"/>
          <w:szCs w:val="32"/>
          <w:u w:val="single"/>
          <w:lang w:val="en-US" w:eastAsia="zh-CN"/>
        </w:rPr>
        <w:tab/>
      </w:r>
    </w:p>
    <w:p>
      <w:pPr>
        <w:widowControl/>
        <w:spacing w:before="100" w:beforeAutospacing="1" w:line="500" w:lineRule="exact"/>
        <w:ind w:right="420" w:rightChars="200" w:firstLine="320" w:firstLineChars="100"/>
        <w:jc w:val="left"/>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所  属  学  院：</w:t>
      </w:r>
      <w:r>
        <w:rPr>
          <w:rFonts w:hint="eastAsia" w:ascii="仿宋_GB2312" w:hAnsi="仿宋_GB2312" w:eastAsia="仿宋_GB2312" w:cs="仿宋_GB2312"/>
          <w:kern w:val="0"/>
          <w:sz w:val="32"/>
          <w:szCs w:val="32"/>
          <w:u w:val="single"/>
        </w:rPr>
        <w:t xml:space="preserve">         经济管理学院           </w:t>
      </w:r>
    </w:p>
    <w:p>
      <w:pPr>
        <w:rPr>
          <w:rFonts w:hint="eastAsia" w:ascii="仿宋_GB2312" w:hAnsi="仿宋_GB2312" w:eastAsia="仿宋_GB2312" w:cs="仿宋_GB2312"/>
          <w:kern w:val="0"/>
          <w:sz w:val="32"/>
          <w:szCs w:val="32"/>
          <w:shd w:val="clear" w:color="auto" w:fill="FFFFFF"/>
        </w:rPr>
      </w:pPr>
    </w:p>
    <w:p>
      <w:pPr>
        <w:rPr>
          <w:rFonts w:hint="eastAsia" w:ascii="仿宋_GB2312" w:hAnsi="仿宋_GB2312" w:eastAsia="仿宋_GB2312" w:cs="仿宋_GB2312"/>
          <w:kern w:val="0"/>
          <w:sz w:val="32"/>
          <w:szCs w:val="32"/>
          <w:shd w:val="clear" w:color="auto" w:fill="FFFFFF"/>
        </w:rPr>
      </w:pPr>
    </w:p>
    <w:p>
      <w:pPr>
        <w:spacing w:after="40" w:line="520" w:lineRule="exact"/>
        <w:jc w:val="center"/>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广西工程职业学院  制</w:t>
      </w:r>
    </w:p>
    <w:p>
      <w:pPr>
        <w:widowControl/>
        <w:overflowPunct w:val="0"/>
        <w:adjustRightInd w:val="0"/>
        <w:snapToGrid w:val="0"/>
        <w:jc w:val="center"/>
        <w:rPr>
          <w:rFonts w:hint="eastAsia" w:ascii="仿宋_GB2312" w:hAnsi="仿宋_GB2312" w:eastAsia="仿宋_GB2312" w:cs="仿宋_GB2312"/>
          <w:kern w:val="0"/>
          <w:sz w:val="32"/>
          <w:szCs w:val="32"/>
          <w:shd w:val="clear" w:color="auto" w:fill="FFFFFF"/>
        </w:rPr>
        <w:sectPr>
          <w:headerReference r:id="rId3" w:type="default"/>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kern w:val="0"/>
          <w:sz w:val="32"/>
          <w:szCs w:val="32"/>
          <w:shd w:val="clear" w:color="auto" w:fill="FFFFFF"/>
        </w:rPr>
        <w:t>2025年</w:t>
      </w:r>
      <w:r>
        <w:rPr>
          <w:rFonts w:hint="eastAsia" w:ascii="仿宋_GB2312" w:hAnsi="仿宋_GB2312" w:eastAsia="仿宋_GB2312" w:cs="仿宋_GB2312"/>
          <w:kern w:val="0"/>
          <w:sz w:val="32"/>
          <w:szCs w:val="32"/>
          <w:shd w:val="clear" w:color="auto" w:fill="FFFFFF"/>
          <w:lang w:val="en-US" w:eastAsia="zh-CN"/>
        </w:rPr>
        <w:t>4</w:t>
      </w:r>
      <w:r>
        <w:rPr>
          <w:rFonts w:hint="eastAsia" w:ascii="仿宋_GB2312" w:hAnsi="仿宋_GB2312" w:eastAsia="仿宋_GB2312" w:cs="仿宋_GB2312"/>
          <w:kern w:val="0"/>
          <w:sz w:val="32"/>
          <w:szCs w:val="32"/>
          <w:shd w:val="clear" w:color="auto" w:fill="FFFFFF"/>
        </w:rPr>
        <w:t>月</w:t>
      </w:r>
    </w:p>
    <w:p>
      <w:pPr>
        <w:widowControl/>
        <w:overflowPunct w:val="0"/>
        <w:adjustRightInd w:val="0"/>
        <w:snapToGrid w:val="0"/>
        <w:jc w:val="center"/>
        <w:rPr>
          <w:rFonts w:hint="eastAsia" w:ascii="仿宋_GB2312" w:hAnsi="仿宋_GB2312" w:eastAsia="仿宋_GB2312" w:cs="仿宋_GB2312"/>
          <w:kern w:val="0"/>
          <w:sz w:val="32"/>
          <w:szCs w:val="32"/>
          <w:shd w:val="clear" w:color="auto" w:fill="FFFFFF"/>
        </w:rPr>
        <w:sectPr>
          <w:pgSz w:w="11906" w:h="16838"/>
          <w:pgMar w:top="1417" w:right="1417" w:bottom="1417" w:left="1984" w:header="851" w:footer="992" w:gutter="0"/>
          <w:pgNumType w:start="1"/>
          <w:cols w:space="425" w:num="1"/>
          <w:docGrid w:type="lines" w:linePitch="312" w:charSpace="0"/>
        </w:sectPr>
      </w:pPr>
    </w:p>
    <w:p>
      <w:pPr>
        <w:jc w:val="center"/>
        <w:rPr>
          <w:rFonts w:hint="eastAsia" w:ascii="黑体" w:hAnsi="黑体" w:eastAsia="黑体" w:cs="黑体"/>
          <w:bCs/>
          <w:sz w:val="44"/>
          <w:szCs w:val="44"/>
        </w:rPr>
      </w:pPr>
      <w:r>
        <w:rPr>
          <w:rFonts w:hint="eastAsia" w:ascii="黑体" w:hAnsi="黑体" w:eastAsia="黑体" w:cs="黑体"/>
          <w:bCs/>
          <w:sz w:val="44"/>
          <w:szCs w:val="44"/>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Cs/>
          <w:sz w:val="44"/>
          <w:szCs w:val="44"/>
        </w:rPr>
      </w:pP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本专业人才培养方案适于我校三年全日制高职专科，由广西工程职业学院现代家政服务与管理（照护方向）专业团队与南宁银象房地产开发有限公司</w:t>
      </w:r>
      <w:bookmarkStart w:id="72" w:name="_GoBack"/>
      <w:bookmarkEnd w:id="72"/>
      <w:r>
        <w:rPr>
          <w:rFonts w:hint="eastAsia" w:ascii="仿宋_GB2312" w:hAnsi="仿宋_GB2312" w:eastAsia="仿宋_GB2312" w:cs="仿宋_GB2312"/>
          <w:bCs/>
          <w:sz w:val="32"/>
          <w:szCs w:val="32"/>
        </w:rPr>
        <w:t>等共同制订，并经二级学院党政联席会审定、学校专业建设指导委员会论证，校长办公会审议、学校党委会审定，批准实施。</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主要编制人：</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185"/>
        <w:gridCol w:w="3065"/>
        <w:gridCol w:w="1613"/>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序号</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姓名</w:t>
            </w:r>
          </w:p>
        </w:tc>
        <w:tc>
          <w:tcPr>
            <w:tcW w:w="306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单位名称</w:t>
            </w:r>
          </w:p>
        </w:tc>
        <w:tc>
          <w:tcPr>
            <w:tcW w:w="1613"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职务</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颜培彬</w:t>
            </w:r>
          </w:p>
        </w:tc>
        <w:tc>
          <w:tcPr>
            <w:tcW w:w="3065" w:type="dxa"/>
            <w:vAlign w:val="center"/>
          </w:tcPr>
          <w:p>
            <w:pPr>
              <w:spacing w:after="0"/>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南宁银象房地产开发有限公司</w:t>
            </w:r>
          </w:p>
        </w:tc>
        <w:tc>
          <w:tcPr>
            <w:tcW w:w="1613" w:type="dxa"/>
            <w:vAlign w:val="center"/>
          </w:tcPr>
          <w:p>
            <w:pPr>
              <w:jc w:val="center"/>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项目经理</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陈婕玕</w:t>
            </w:r>
          </w:p>
        </w:tc>
        <w:tc>
          <w:tcPr>
            <w:tcW w:w="306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广西汉和建筑设计有限</w:t>
            </w:r>
            <w:r>
              <w:rPr>
                <w:rFonts w:hint="eastAsia" w:ascii="仿宋_GB2312" w:hAnsi="仿宋_GB2312" w:eastAsia="仿宋_GB2312" w:cs="仿宋_GB2312"/>
                <w:bCs/>
                <w:sz w:val="32"/>
                <w:szCs w:val="32"/>
                <w:lang w:val="en-US" w:eastAsia="zh-CN"/>
              </w:rPr>
              <w:t>公司</w:t>
            </w:r>
          </w:p>
        </w:tc>
        <w:tc>
          <w:tcPr>
            <w:tcW w:w="1613" w:type="dxa"/>
            <w:vAlign w:val="center"/>
          </w:tcPr>
          <w:p>
            <w:pPr>
              <w:jc w:val="center"/>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项目经理</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中级工程师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黄力</w:t>
            </w:r>
          </w:p>
        </w:tc>
        <w:tc>
          <w:tcPr>
            <w:tcW w:w="3065" w:type="dxa"/>
            <w:vAlign w:val="center"/>
          </w:tcPr>
          <w:p>
            <w:pPr>
              <w:jc w:val="center"/>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广西锦华建设工程有限公司</w:t>
            </w:r>
          </w:p>
        </w:tc>
        <w:tc>
          <w:tcPr>
            <w:tcW w:w="1613"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项目经理</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中级工程师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刘忠略</w:t>
            </w:r>
          </w:p>
        </w:tc>
        <w:tc>
          <w:tcPr>
            <w:tcW w:w="306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广西工程职业学院</w:t>
            </w:r>
          </w:p>
        </w:tc>
        <w:tc>
          <w:tcPr>
            <w:tcW w:w="1613"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专任教师</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w:t>
            </w:r>
          </w:p>
        </w:tc>
        <w:tc>
          <w:tcPr>
            <w:tcW w:w="118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黄雯</w:t>
            </w:r>
          </w:p>
        </w:tc>
        <w:tc>
          <w:tcPr>
            <w:tcW w:w="3065"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广西工程职业学院</w:t>
            </w:r>
          </w:p>
        </w:tc>
        <w:tc>
          <w:tcPr>
            <w:tcW w:w="1613"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专任教师</w:t>
            </w:r>
          </w:p>
        </w:tc>
        <w:tc>
          <w:tcPr>
            <w:tcW w:w="1947" w:type="dxa"/>
            <w:vAlign w:val="center"/>
          </w:tcPr>
          <w:p>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护师</w:t>
            </w:r>
          </w:p>
        </w:tc>
      </w:tr>
    </w:tbl>
    <w:p>
      <w:pPr>
        <w:rPr>
          <w:rFonts w:hint="eastAsia" w:ascii="黑体" w:hAnsi="黑体" w:eastAsia="黑体" w:cs="黑体"/>
          <w:bCs/>
          <w:sz w:val="44"/>
          <w:szCs w:val="44"/>
        </w:rPr>
        <w:sectPr>
          <w:pgSz w:w="11906" w:h="16838"/>
          <w:pgMar w:top="1417" w:right="1417" w:bottom="1417" w:left="1984" w:header="851" w:footer="992" w:gutter="0"/>
          <w:pgNumType w:start="1"/>
          <w:cols w:space="425" w:num="1"/>
          <w:docGrid w:type="lines" w:linePitch="312" w:charSpace="0"/>
        </w:sectPr>
      </w:pPr>
      <w:r>
        <w:rPr>
          <w:rFonts w:hint="eastAsia" w:ascii="黑体" w:hAnsi="黑体" w:eastAsia="黑体" w:cs="黑体"/>
          <w:bCs/>
          <w:sz w:val="44"/>
          <w:szCs w:val="44"/>
        </w:rPr>
        <w:br w:type="page"/>
      </w:r>
    </w:p>
    <w:p>
      <w:pPr>
        <w:rPr>
          <w:rFonts w:hint="eastAsia" w:ascii="黑体" w:hAnsi="黑体" w:eastAsia="黑体" w:cs="黑体"/>
          <w:bCs/>
          <w:sz w:val="44"/>
          <w:szCs w:val="44"/>
        </w:rPr>
      </w:pPr>
    </w:p>
    <w:p>
      <w:pPr>
        <w:widowControl/>
        <w:overflowPunct w:val="0"/>
        <w:adjustRightInd w:val="0"/>
        <w:snapToGrid w:val="0"/>
        <w:jc w:val="center"/>
        <w:rPr>
          <w:rFonts w:hint="eastAsia" w:ascii="黑体" w:hAnsi="黑体" w:eastAsia="黑体" w:cs="黑体"/>
          <w:b/>
          <w:bCs/>
          <w:kern w:val="0"/>
          <w:sz w:val="52"/>
          <w:szCs w:val="52"/>
        </w:rPr>
        <w:sectPr>
          <w:pgSz w:w="11906" w:h="16838"/>
          <w:pgMar w:top="1417" w:right="1417" w:bottom="1417" w:left="1984" w:header="851" w:footer="992" w:gutter="0"/>
          <w:pgNumType w:start="1"/>
          <w:cols w:space="425" w:num="1"/>
          <w:docGrid w:type="lines" w:linePitch="312" w:charSpace="0"/>
        </w:sectPr>
      </w:pPr>
    </w:p>
    <w:p>
      <w:pPr>
        <w:pStyle w:val="10"/>
        <w:tabs>
          <w:tab w:val="right" w:leader="dot" w:pos="9062"/>
        </w:tabs>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目</w:t>
      </w:r>
      <w:r>
        <w:rPr>
          <w:rFonts w:hint="eastAsia" w:ascii="方正小标宋简体" w:hAnsi="方正小标宋简体" w:eastAsia="方正小标宋简体" w:cs="方正小标宋简体"/>
          <w:bCs/>
          <w:sz w:val="44"/>
          <w:szCs w:val="44"/>
          <w:lang w:val="en-US" w:eastAsia="zh-CN"/>
        </w:rPr>
        <w:t xml:space="preserve">  </w:t>
      </w:r>
      <w:r>
        <w:rPr>
          <w:rFonts w:hint="eastAsia" w:ascii="方正小标宋简体" w:hAnsi="方正小标宋简体" w:eastAsia="方正小标宋简体" w:cs="方正小标宋简体"/>
          <w:bCs/>
          <w:sz w:val="44"/>
          <w:szCs w:val="44"/>
        </w:rPr>
        <w:t>录</w:t>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after="0"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黑体" w:hAnsi="黑体" w:eastAsia="黑体" w:cs="方正小标宋简体"/>
          <w:bCs/>
          <w:sz w:val="32"/>
          <w:szCs w:val="32"/>
        </w:rPr>
        <w:fldChar w:fldCharType="begin"/>
      </w:r>
      <w:r>
        <w:rPr>
          <w:rFonts w:hint="eastAsia" w:ascii="黑体" w:hAnsi="黑体" w:eastAsia="黑体" w:cs="方正小标宋简体"/>
          <w:bCs/>
          <w:sz w:val="32"/>
          <w:szCs w:val="32"/>
        </w:rPr>
        <w:instrText xml:space="preserve"> TOC \o "1-2" \h \z \u </w:instrText>
      </w:r>
      <w:r>
        <w:rPr>
          <w:rFonts w:hint="eastAsia" w:ascii="黑体" w:hAnsi="黑体" w:eastAsia="黑体" w:cs="方正小标宋简体"/>
          <w:bCs/>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"_Toc219812193"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"_Toc219812194"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"_Toc219812195"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三、基本修业年限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"_Toc219812196"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"_Toc219812197"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"_Toc219812198"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（一）知识目标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"_Toc219812199"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（二）能力目标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_Toc219812199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"_Toc219812200"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（三）素质目标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"_Toc219812201"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七、课程设置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"_Toc219812203"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"_Toc219812208"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（二）专业（技能）课程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"_Toc219812209"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（三）第二课堂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"_Toc219812212"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八、教学进程总体安排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"_Toc219812213"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"_Toc219812214"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"_Toc219812215"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"_Toc219812216"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九、师资队伍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"_Toc219812217"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"_Toc219812218"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"_Toc219812219"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highlight w:val="lightGray"/>
        </w:rPr>
        <w:t>（三）</w:t>
      </w:r>
      <w:r>
        <w:rPr>
          <w:rStyle w:val="19"/>
          <w:rFonts w:hint="eastAsia" w:ascii="仿宋_GB2312" w:hAnsi="仿宋_GB2312" w:eastAsia="仿宋_GB2312" w:cs="仿宋_GB2312"/>
          <w:color w:val="auto"/>
          <w:sz w:val="32"/>
          <w:szCs w:val="32"/>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after="0"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"_Toc219812220"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highlight w:val="lightGray"/>
        </w:rPr>
        <w:t>（四）</w:t>
      </w:r>
      <w:r>
        <w:rPr>
          <w:rStyle w:val="19"/>
          <w:rFonts w:hint="eastAsia" w:ascii="仿宋_GB2312" w:hAnsi="仿宋_GB2312" w:eastAsia="仿宋_GB2312" w:cs="仿宋_GB2312"/>
          <w:color w:val="auto"/>
          <w:sz w:val="32"/>
          <w:szCs w:val="32"/>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"_Toc219812221"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"_Toc219812222"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"_Toc219812223"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"_Toc219812224"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"_Toc219812225"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（四）学习评价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"_Toc219812226"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十一、质量保障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"_Toc219812232"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十二、毕业要求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"_Toc219812233"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hint="eastAsia" w:ascii="仿宋_GB2312" w:hAnsi="仿宋_GB2312" w:eastAsia="仿宋_GB2312" w:cs="仿宋_GB2312"/>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"_Toc219812235"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widowControl w:val="0"/>
        <w:tabs>
          <w:tab w:val="right" w:leader="dot" w:pos="9062"/>
        </w:tabs>
        <w:kinsoku/>
        <w:wordWrap/>
        <w:overflowPunct/>
        <w:topLinePunct w:val="0"/>
        <w:autoSpaceDE/>
        <w:autoSpaceDN/>
        <w:bidi w:val="0"/>
        <w:adjustRightInd/>
        <w:snapToGrid/>
        <w:spacing w:line="520" w:lineRule="exact"/>
        <w:ind w:left="0" w:leftChars="0"/>
        <w:textAlignment w:val="auto"/>
        <w:rPr>
          <w:rFonts w:ascii="仿宋_GB2312" w:eastAsia="仿宋_GB2312" w:hAnsiTheme="minorHAnsi" w:cstheme="minorBidi"/>
          <w:sz w:val="32"/>
          <w:szCs w:val="32"/>
          <w14:ligatures w14:val="standardContextual"/>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"_Toc219812236" </w:instrText>
      </w:r>
      <w:r>
        <w:rPr>
          <w:rFonts w:hint="eastAsia" w:ascii="仿宋_GB2312" w:hAnsi="仿宋_GB2312" w:eastAsia="仿宋_GB2312" w:cs="仿宋_GB2312"/>
          <w:sz w:val="32"/>
          <w:szCs w:val="32"/>
        </w:rPr>
        <w:fldChar w:fldCharType="separate"/>
      </w:r>
      <w:r>
        <w:rPr>
          <w:rStyle w:val="19"/>
          <w:rFonts w:hint="eastAsia" w:ascii="仿宋_GB2312" w:hAnsi="仿宋_GB2312" w:eastAsia="仿宋_GB2312" w:cs="仿宋_GB2312"/>
          <w:color w:val="auto"/>
          <w:sz w:val="32"/>
          <w:szCs w:val="32"/>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_Toc219812236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dot" w:pos="9062"/>
        </w:tabs>
        <w:rPr>
          <w:rFonts w:asciiTheme="minorHAnsi" w:hAnsiTheme="minorHAnsi" w:eastAsiaTheme="minorEastAsia" w:cstheme="minorBidi"/>
          <w:sz w:val="22"/>
          <w14:ligatures w14:val="standardContextual"/>
        </w:rPr>
      </w:pPr>
      <w:r>
        <w:fldChar w:fldCharType="begin"/>
      </w:r>
      <w:r>
        <w:instrText xml:space="preserve"> HYPERLINK \l "_Toc219812237" </w:instrText>
      </w:r>
      <w:r>
        <w:fldChar w:fldCharType="separate"/>
      </w:r>
      <w:r>
        <w:fldChar w:fldCharType="end"/>
      </w:r>
    </w:p>
    <w:p>
      <w:pPr>
        <w:overflowPunct w:val="0"/>
        <w:adjustRightInd w:val="0"/>
        <w:snapToGrid w:val="0"/>
        <w:spacing w:after="0" w:line="560" w:lineRule="exact"/>
        <w:jc w:val="center"/>
        <w:rPr>
          <w:rFonts w:hint="eastAsia" w:ascii="方正小标宋简体" w:hAnsi="方正小标宋简体" w:eastAsia="方正小标宋简体" w:cs="方正小标宋简体"/>
          <w:bCs/>
          <w:sz w:val="44"/>
          <w:szCs w:val="44"/>
        </w:rPr>
      </w:pPr>
      <w:r>
        <w:rPr>
          <w:rFonts w:hint="eastAsia" w:ascii="黑体" w:hAnsi="黑体" w:eastAsia="黑体" w:cs="方正小标宋简体"/>
          <w:bCs/>
          <w:sz w:val="32"/>
          <w:szCs w:val="32"/>
        </w:rPr>
        <w:fldChar w:fldCharType="end"/>
      </w:r>
      <w:r>
        <w:rPr>
          <w:rFonts w:hint="eastAsia" w:ascii="方正小标宋简体" w:hAnsi="方正小标宋简体" w:eastAsia="方正小标宋简体" w:cs="方正小标宋简体"/>
          <w:bCs/>
          <w:sz w:val="44"/>
          <w:szCs w:val="44"/>
        </w:rPr>
        <w:br w:type="page"/>
      </w:r>
    </w:p>
    <w:p>
      <w:pPr>
        <w:overflowPunct w:val="0"/>
        <w:adjustRightInd w:val="0"/>
        <w:snapToGrid w:val="0"/>
        <w:spacing w:after="0" w:line="520" w:lineRule="exact"/>
        <w:jc w:val="center"/>
        <w:rPr>
          <w:rFonts w:hint="eastAsia" w:ascii="方正小标宋简体" w:hAnsi="方正小标宋简体" w:eastAsia="方正小标宋简体" w:cs="方正小标宋简体"/>
          <w:bCs/>
          <w:sz w:val="44"/>
          <w:szCs w:val="44"/>
        </w:rPr>
        <w:sectPr>
          <w:pgSz w:w="11906" w:h="16838"/>
          <w:pgMar w:top="1417" w:right="1417" w:bottom="1417" w:left="1417" w:header="851" w:footer="992" w:gutter="0"/>
          <w:pgNumType w:start="1"/>
          <w:cols w:space="425" w:num="1"/>
          <w:docGrid w:type="lines" w:linePitch="312" w:charSpace="0"/>
        </w:sectPr>
      </w:pPr>
    </w:p>
    <w:p>
      <w:pPr>
        <w:overflowPunct w:val="0"/>
        <w:adjustRightInd w:val="0"/>
        <w:snapToGrid w:val="0"/>
        <w:spacing w:after="0"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现代家政服务与管理（照护方向）专业</w:t>
      </w:r>
    </w:p>
    <w:p>
      <w:pPr>
        <w:overflowPunct w:val="0"/>
        <w:adjustRightInd w:val="0"/>
        <w:snapToGrid w:val="0"/>
        <w:spacing w:after="0"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人才培养方案</w:t>
      </w:r>
    </w:p>
    <w:p>
      <w:pPr>
        <w:overflowPunct w:val="0"/>
        <w:adjustRightInd w:val="0"/>
        <w:snapToGrid w:val="0"/>
        <w:spacing w:after="0" w:line="520" w:lineRule="exact"/>
        <w:ind w:firstLine="880" w:firstLineChars="200"/>
        <w:jc w:val="center"/>
        <w:rPr>
          <w:rFonts w:hint="eastAsia" w:ascii="方正小标宋简体" w:hAnsi="方正小标宋简体" w:eastAsia="方正小标宋简体" w:cs="方正小标宋简体"/>
          <w:bCs/>
          <w:sz w:val="44"/>
          <w:szCs w:val="44"/>
        </w:rPr>
      </w:pPr>
    </w:p>
    <w:p>
      <w:pPr>
        <w:pStyle w:val="2"/>
        <w:ind w:firstLine="640"/>
      </w:pPr>
      <w:bookmarkStart w:id="0" w:name="_Toc219812193"/>
      <w:r>
        <w:rPr>
          <w:rFonts w:hint="eastAsia"/>
        </w:rPr>
        <w:t>一、专业名称及代码</w:t>
      </w:r>
      <w:bookmarkEnd w:id="0"/>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专业名称：现代家政服务与管理（照护方向）</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专业代码：</w:t>
      </w:r>
      <w:r>
        <w:rPr>
          <w:rFonts w:ascii="仿宋_GB2312" w:hAnsi="仿宋_GB2312" w:eastAsia="仿宋_GB2312" w:cs="仿宋_GB2312"/>
          <w:sz w:val="32"/>
          <w:szCs w:val="32"/>
        </w:rPr>
        <w:t>590301</w:t>
      </w:r>
    </w:p>
    <w:p>
      <w:pPr>
        <w:pStyle w:val="2"/>
        <w:ind w:firstLine="640"/>
      </w:pPr>
      <w:bookmarkStart w:id="1" w:name="_Toc219812194"/>
      <w:r>
        <w:rPr>
          <w:rFonts w:hint="eastAsia"/>
        </w:rPr>
        <w:t>二、入学要求</w:t>
      </w:r>
      <w:bookmarkEnd w:id="1"/>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中等职业学校毕业、普通高级中学毕业或具备同等</w:t>
      </w:r>
      <w:r>
        <w:rPr>
          <w:rFonts w:hint="eastAsia" w:ascii="仿宋_GB2312" w:hAnsi="仿宋_GB2312" w:eastAsia="仿宋_GB2312" w:cs="仿宋_GB2312"/>
          <w:sz w:val="32"/>
          <w:szCs w:val="32"/>
          <w:lang w:val="en-US" w:eastAsia="zh-CN"/>
        </w:rPr>
        <w:t>学力</w:t>
      </w:r>
      <w:r>
        <w:rPr>
          <w:rFonts w:hint="eastAsia" w:ascii="仿宋_GB2312" w:hAnsi="仿宋_GB2312" w:eastAsia="仿宋_GB2312" w:cs="仿宋_GB2312"/>
          <w:sz w:val="32"/>
          <w:szCs w:val="32"/>
        </w:rPr>
        <w:t>。</w:t>
      </w:r>
    </w:p>
    <w:p>
      <w:pPr>
        <w:pStyle w:val="2"/>
        <w:ind w:firstLine="640"/>
      </w:pPr>
      <w:bookmarkStart w:id="2" w:name="_Toc219812195"/>
      <w:r>
        <w:rPr>
          <w:rFonts w:hint="eastAsia"/>
        </w:rPr>
        <w:t>三、基本修业年限</w:t>
      </w:r>
      <w:bookmarkEnd w:id="2"/>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标准修业年限为3年，弹性学分有效修业年限为2-5年。</w:t>
      </w:r>
    </w:p>
    <w:p>
      <w:pPr>
        <w:pStyle w:val="2"/>
        <w:ind w:firstLine="640"/>
      </w:pPr>
      <w:bookmarkStart w:id="3" w:name="_Toc219812196"/>
      <w:r>
        <w:rPr>
          <w:rFonts w:hint="eastAsia"/>
        </w:rPr>
        <w:t>四、职业面向</w:t>
      </w:r>
      <w:bookmarkEnd w:id="3"/>
    </w:p>
    <w:p>
      <w:pPr>
        <w:overflowPunct w:val="0"/>
        <w:adjustRightInd w:val="0"/>
        <w:spacing w:after="0" w:line="520" w:lineRule="exact"/>
        <w:jc w:val="center"/>
        <w:rPr>
          <w:rFonts w:hint="eastAsia" w:ascii="仿宋" w:hAnsi="仿宋" w:eastAsia="仿宋"/>
          <w:sz w:val="32"/>
          <w:szCs w:val="32"/>
        </w:rPr>
      </w:pPr>
      <w:r>
        <w:rPr>
          <w:rFonts w:hint="eastAsia" w:ascii="仿宋_GB2312" w:hAnsi="仿宋_GB2312" w:eastAsia="仿宋_GB2312" w:cs="仿宋_GB2312"/>
          <w:sz w:val="32"/>
          <w:szCs w:val="32"/>
        </w:rPr>
        <w:t>表1 职业岗位分析表</w:t>
      </w:r>
    </w:p>
    <w:tbl>
      <w:tblPr>
        <w:tblStyle w:val="15"/>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852"/>
        <w:gridCol w:w="2060"/>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所属专业大类</w:t>
            </w:r>
          </w:p>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（代码）</w:t>
            </w:r>
          </w:p>
        </w:tc>
        <w:tc>
          <w:tcPr>
            <w:tcW w:w="1523"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所属专业类</w:t>
            </w:r>
          </w:p>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（代码）</w:t>
            </w:r>
          </w:p>
        </w:tc>
        <w:tc>
          <w:tcPr>
            <w:tcW w:w="1284"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对应行业（代码）</w:t>
            </w:r>
          </w:p>
        </w:tc>
        <w:tc>
          <w:tcPr>
            <w:tcW w:w="1852"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主要职业类别（代码）</w:t>
            </w:r>
          </w:p>
        </w:tc>
        <w:tc>
          <w:tcPr>
            <w:tcW w:w="2060"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主要岗位（群）或技术领域</w:t>
            </w:r>
          </w:p>
        </w:tc>
        <w:tc>
          <w:tcPr>
            <w:tcW w:w="1866"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overflowPunct w:val="0"/>
              <w:adjustRightInd w:val="0"/>
              <w:spacing w:line="360" w:lineRule="exact"/>
              <w:jc w:val="center"/>
              <w:rPr>
                <w:rFonts w:hint="eastAsia" w:ascii="仿宋_GB2312" w:hAnsi="仿宋_GB2312" w:eastAsia="仿宋_GB2312" w:cs="仿宋_GB2312"/>
                <w:sz w:val="24"/>
              </w:rPr>
            </w:pPr>
            <w:bookmarkStart w:id="4" w:name="OLE_LINK1" w:colFirst="0" w:colLast="5"/>
            <w:r>
              <w:rPr>
                <w:rFonts w:hint="eastAsia" w:ascii="仿宋_GB2312" w:hAnsi="仿宋_GB2312" w:eastAsia="仿宋_GB2312" w:cs="仿宋_GB2312"/>
                <w:sz w:val="24"/>
              </w:rPr>
              <w:t>公共管理与服务大类（59）</w:t>
            </w:r>
          </w:p>
        </w:tc>
        <w:tc>
          <w:tcPr>
            <w:tcW w:w="1523"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公共服务类（5903）</w:t>
            </w:r>
          </w:p>
        </w:tc>
        <w:tc>
          <w:tcPr>
            <w:tcW w:w="1284"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居民服务业（80）</w:t>
            </w:r>
          </w:p>
        </w:tc>
        <w:tc>
          <w:tcPr>
            <w:tcW w:w="1852"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家政服务员（4-10-01-06）</w:t>
            </w:r>
          </w:p>
        </w:tc>
        <w:tc>
          <w:tcPr>
            <w:tcW w:w="2060" w:type="dxa"/>
            <w:vAlign w:val="center"/>
          </w:tcPr>
          <w:p>
            <w:pPr>
              <w:overflowPunct w:val="0"/>
              <w:adjustRightInd w:val="0"/>
              <w:spacing w:line="36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家庭整理与收纳、家宴策划与组织、家庭成员照护、家 政人员培训、家政服务机构管理</w:t>
            </w:r>
          </w:p>
        </w:tc>
        <w:tc>
          <w:tcPr>
            <w:tcW w:w="1866"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养老护理员  保育员</w:t>
            </w:r>
          </w:p>
        </w:tc>
      </w:tr>
      <w:bookmarkEnd w:id="4"/>
    </w:tbl>
    <w:p>
      <w:pPr>
        <w:pStyle w:val="2"/>
        <w:ind w:firstLine="640"/>
      </w:pPr>
      <w:bookmarkStart w:id="5" w:name="_Toc219812197"/>
      <w:r>
        <w:rPr>
          <w:rFonts w:hint="eastAsia"/>
        </w:rPr>
        <w:t>五、培养目标</w:t>
      </w:r>
      <w:bookmarkEnd w:id="5"/>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培养能够践行社会主义核心价值观，传承技能文明，德智体美劳全面发展，立足广西、服务区域经济社会发展，依托广西工程职业学院“服务区域经济发展、培育优秀工程人才”的办学特色，培养具有扎实专业技能和职业素养的高素质技术技能人才。学生将掌握一定的科学文化水平，良好的人文素养、科学素养、数字素养、职业道德、创新意识，发扬学校“熔炼工匠精神、铸就一流技艺”为核心的文化价值与精神特征，培育爱岗敬业的职业精神和精益求精的工匠精神。强化就业创业能力和可持续发展的能力，掌握本专业知识和技术技能，具备职业综合素质和行动能力。毕业生将面向居民服务业，能够胜任整理收纳师、家务服务员、婴幼儿发展引导员、养老护理员、保育师、职业培训师等工作，通过学校“熔炼大国工匠精神”作为办学之魂，为广西及周边地区现代服务业发展提供高素质技术技能人才支撑</w:t>
      </w:r>
    </w:p>
    <w:p>
      <w:pPr>
        <w:overflowPunct w:val="0"/>
        <w:adjustRightInd w:val="0"/>
        <w:spacing w:after="0" w:line="520" w:lineRule="exact"/>
        <w:ind w:firstLine="640" w:firstLineChars="200"/>
        <w:rPr>
          <w:rFonts w:hint="eastAsia" w:ascii="黑体" w:hAnsi="黑体" w:eastAsia="黑体" w:cs="黑体"/>
          <w:sz w:val="32"/>
          <w:szCs w:val="32"/>
        </w:rPr>
      </w:pPr>
      <w:r>
        <w:rPr>
          <w:rStyle w:val="102"/>
          <w:rFonts w:hint="eastAsia"/>
        </w:rPr>
        <w:t>六、培养规格</w:t>
      </w:r>
    </w:p>
    <w:p>
      <w:pPr>
        <w:pStyle w:val="6"/>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本专业学生应在系统学习本专业知识并完成有关实习实训基础上，全面提升知识、能力、素质，掌握并实际运用岗位（群）需要的专业核心技术技能，实现德智体美劳全面发展，总体上须达到以下要求：</w:t>
      </w:r>
    </w:p>
    <w:p>
      <w:pPr>
        <w:pStyle w:val="3"/>
        <w:ind w:firstLine="640"/>
      </w:pPr>
      <w:bookmarkStart w:id="6" w:name="_Toc218504411"/>
      <w:bookmarkStart w:id="7" w:name="_Toc219812198"/>
      <w:r>
        <w:rPr>
          <w:rFonts w:hint="eastAsia"/>
        </w:rPr>
        <w:t>（一）知识目标</w:t>
      </w:r>
      <w:bookmarkEnd w:id="6"/>
      <w:bookmarkEnd w:id="7"/>
    </w:p>
    <w:p>
      <w:pPr>
        <w:pStyle w:val="6"/>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（1）熟知与本专业对应职业活动相关的国家法律、行业规定，了解相关行业文化，秉持爱岗敬业的职业精神，恪守职业道德准则与行为规范，具备强烈的社会责任感和担当精神。</w:t>
      </w:r>
    </w:p>
    <w:p>
      <w:pPr>
        <w:pStyle w:val="6"/>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（2）扎实掌握支撑本专业学习及可持续发展所必备的语文、数学、外语（如英语等）、信息技术等文化基础知识，拥有良好的人文素养与科学素养，具备科学规划职业生涯的能力。 </w:t>
      </w:r>
    </w:p>
    <w:p>
      <w:pPr>
        <w:pStyle w:val="6"/>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（3）具备出色的语言表达、文字表达及沟通合作能力，拥有较强的集体意识和团队合作意识，学习一门外语并能将其与本专业相结合加以运用。</w:t>
      </w:r>
    </w:p>
    <w:p>
      <w:pPr>
        <w:pStyle w:val="6"/>
        <w:spacing w:after="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系统掌握现代家政学导论、人体结构与生理、家庭营养与膳食配餐、母婴、幼儿、老年人等家庭成员照护、婴幼儿早期发展指导、家政人员培训、家政新媒体营销、家政电子商务等方面的专业基础理论知识。</w:t>
      </w:r>
    </w:p>
    <w:p>
      <w:pPr>
        <w:pStyle w:val="6"/>
        <w:spacing w:after="0" w:line="520" w:lineRule="exact"/>
        <w:ind w:firstLine="640" w:firstLineChars="200"/>
        <w:rPr>
          <w:rFonts w:hint="eastAsia" w:ascii="仿宋_GB2312" w:hAnsi="仿宋_GB2312" w:eastAsia="仿宋_GB2312" w:cs="仿宋_GB2312"/>
          <w:sz w:val="32"/>
          <w:szCs w:val="32"/>
          <w:lang w:eastAsia="zh-CN"/>
        </w:rPr>
      </w:pPr>
    </w:p>
    <w:p>
      <w:pPr>
        <w:pStyle w:val="3"/>
        <w:ind w:firstLine="640"/>
      </w:pPr>
      <w:bookmarkStart w:id="8" w:name="_Toc218504416"/>
      <w:bookmarkStart w:id="9" w:name="_Toc219812199"/>
      <w:r>
        <w:rPr>
          <w:rFonts w:hint="eastAsia"/>
        </w:rPr>
        <w:t>（二）能力目标</w:t>
      </w:r>
      <w:bookmarkEnd w:id="8"/>
      <w:bookmarkEnd w:id="9"/>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熟练掌握家庭收纳与整理、家庭插花与茶艺、孕产妇生活照护与营养配餐、婴幼儿生活照护与早期发展指导、老年人生活照护与安全看护、家政人员培训等技术技能，具备娴熟服务家庭及家庭成员的实践能力。</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（2）掌握信息技术基础知识，具备适应本行业数字化和智能化发展需求的数字技能。</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（3）具备探究学习、终身学习及可持续发展的能力，拥有整合知识并综合运用知识分析和解决问题的能力。</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（4）技能证目标</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根据人才培养的侧重点不同，专业课程分别对标学生专业技能竞赛和养老护理员、保育员等职业技能等级证书标准，培养的学生根据自身专长参加专业技能竞赛和专业职能能力等级证书考试。</w:t>
      </w:r>
    </w:p>
    <w:p>
      <w:pPr>
        <w:pStyle w:val="3"/>
        <w:ind w:firstLine="640"/>
      </w:pPr>
      <w:bookmarkStart w:id="10" w:name="_Toc218504417"/>
      <w:bookmarkStart w:id="11" w:name="_Toc219812200"/>
      <w:r>
        <w:rPr>
          <w:rFonts w:hint="eastAsia"/>
        </w:rPr>
        <w:t>（三）素质目标</w:t>
      </w:r>
      <w:bookmarkEnd w:id="10"/>
      <w:bookmarkEnd w:id="11"/>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（1）坚定拥护中国共产党领导和中国特色社会主义制度，以习近平新时代中国特色社会主义思想为指引，积极践行社会主义核心价值观。具有坚定的理想信念、深厚的爱国情感和强烈的中华民族自豪感。</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（2）熟知身体运动的基本知识，至少掌握一项体育运动技能，达到国家大学生体质健康测试合格标准。养成良好的运动、卫生和行为习惯，具备一定的心理调适能力。</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（3）掌握必备的美育知识，具备一定的文化修养和审美能力，至少形成一项艺术特长或爱好。</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（4）树立正确的劳动观，尊重劳动、热爱劳动，具备与本专业职业发展相适配的劳动素养。大力弘扬劳模精神、劳动精神、工匠精神，彰显劳动光荣、技能宝贵、创造伟大的时代风尚。</w:t>
      </w:r>
    </w:p>
    <w:p>
      <w:pPr>
        <w:pStyle w:val="2"/>
        <w:ind w:firstLine="640"/>
      </w:pPr>
      <w:bookmarkStart w:id="12" w:name="_Toc219812201"/>
      <w:r>
        <w:rPr>
          <w:rFonts w:hint="eastAsia"/>
        </w:rPr>
        <w:t>七、课程设置</w:t>
      </w:r>
      <w:bookmarkEnd w:id="12"/>
    </w:p>
    <w:p>
      <w:pPr>
        <w:overflowPunct w:val="0"/>
        <w:adjustRightInd w:val="0"/>
        <w:spacing w:after="0" w:line="520" w:lineRule="exact"/>
        <w:ind w:firstLine="640" w:firstLineChars="200"/>
        <w:outlineLvl w:val="9"/>
        <w:rPr>
          <w:rFonts w:hint="eastAsia" w:ascii="仿宋_GB2312" w:hAnsi="仿宋_GB2312" w:eastAsia="仿宋_GB2312" w:cs="仿宋_GB2312"/>
          <w:sz w:val="32"/>
          <w:szCs w:val="32"/>
        </w:rPr>
      </w:pPr>
      <w:bookmarkStart w:id="13" w:name="_Toc219812202"/>
      <w:bookmarkStart w:id="14" w:name="_Toc218504419"/>
      <w:r>
        <w:rPr>
          <w:rFonts w:hint="eastAsia" w:ascii="仿宋_GB2312" w:hAnsi="仿宋_GB2312" w:eastAsia="仿宋_GB2312" w:cs="仿宋_GB2312"/>
          <w:sz w:val="32"/>
          <w:szCs w:val="32"/>
        </w:rPr>
        <w:t>主要包括公共基础课程和专业课程。</w:t>
      </w:r>
      <w:bookmarkEnd w:id="13"/>
      <w:bookmarkEnd w:id="14"/>
    </w:p>
    <w:p>
      <w:pPr>
        <w:pStyle w:val="3"/>
        <w:ind w:firstLine="640"/>
      </w:pPr>
      <w:bookmarkStart w:id="15" w:name="_Toc218504420"/>
      <w:bookmarkStart w:id="16" w:name="_Toc219812203"/>
      <w:r>
        <w:rPr>
          <w:rFonts w:hint="eastAsia"/>
        </w:rPr>
        <w:t>（一）公共基础课程</w:t>
      </w:r>
      <w:bookmarkEnd w:id="15"/>
      <w:bookmarkEnd w:id="16"/>
    </w:p>
    <w:p>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bookmarkStart w:id="17" w:name="_Toc218504421"/>
      <w:bookmarkStart w:id="18" w:name="_Toc219812204"/>
      <w:bookmarkStart w:id="19" w:name="_Toc90734974"/>
      <w:r>
        <w:rPr>
          <w:rFonts w:hint="eastAsia" w:ascii="仿宋_GB2312" w:hAnsi="仿宋_GB2312" w:eastAsia="仿宋_GB2312" w:cs="仿宋_GB2312"/>
          <w:sz w:val="32"/>
          <w:szCs w:val="32"/>
        </w:rPr>
        <w:t>分为公共必修课和公共选修课。</w:t>
      </w:r>
      <w:bookmarkEnd w:id="17"/>
      <w:bookmarkEnd w:id="18"/>
    </w:p>
    <w:p>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bookmarkStart w:id="20" w:name="_Toc218504422"/>
      <w:bookmarkStart w:id="21" w:name="_Toc219812205"/>
      <w:r>
        <w:rPr>
          <w:rFonts w:hint="eastAsia" w:ascii="仿宋_GB2312" w:hAnsi="仿宋_GB2312" w:eastAsia="仿宋_GB2312" w:cs="仿宋_GB2312"/>
          <w:sz w:val="32"/>
          <w:szCs w:val="32"/>
        </w:rPr>
        <w:t>必修课程包括</w:t>
      </w:r>
      <w:bookmarkEnd w:id="19"/>
      <w:r>
        <w:rPr>
          <w:rFonts w:hint="eastAsia" w:ascii="仿宋_GB2312" w:hAnsi="仿宋_GB2312" w:eastAsia="仿宋_GB2312" w:cs="仿宋_GB2312"/>
          <w:sz w:val="32"/>
          <w:szCs w:val="32"/>
        </w:rPr>
        <w:t>：思想道德与法治、形势与政策、国家安全教育、军事理论、军训、计算机基础、大学英语、大学体育、大学生职业发展与就业指导、大学生心理健康教育、劳动教育、毛泽东思想和中国特色社会主义理论体系概论、创新创业教育、习近平新时代中国特色社会主义思想概论。</w:t>
      </w:r>
      <w:bookmarkEnd w:id="20"/>
      <w:bookmarkEnd w:id="21"/>
    </w:p>
    <w:p>
      <w:pPr>
        <w:overflowPunct w:val="0"/>
        <w:adjustRightInd w:val="0"/>
        <w:spacing w:after="0" w:line="520" w:lineRule="exact"/>
        <w:ind w:firstLine="640" w:firstLineChars="200"/>
        <w:outlineLvl w:val="0"/>
        <w:rPr>
          <w:rFonts w:hint="eastAsia" w:ascii="仿宋_GB2312" w:hAnsi="仿宋_GB2312" w:eastAsia="仿宋_GB2312" w:cs="仿宋_GB2312"/>
          <w:sz w:val="32"/>
          <w:szCs w:val="32"/>
        </w:rPr>
      </w:pPr>
      <w:bookmarkStart w:id="22" w:name="_Toc218504423"/>
      <w:bookmarkStart w:id="23" w:name="_Toc219812206"/>
      <w:r>
        <w:rPr>
          <w:rFonts w:hint="eastAsia" w:ascii="仿宋_GB2312" w:hAnsi="仿宋_GB2312" w:eastAsia="仿宋_GB2312" w:cs="仿宋_GB2312"/>
          <w:sz w:val="32"/>
          <w:szCs w:val="32"/>
        </w:rPr>
        <w:t>选修课程包括：中国民俗剪纸技法、影视与鉴赏、中国共产党简史、中华人民共和国简史、改革开放简史、社会主义发展简史、中华优秀传统文化、中华民族共同体概论、语文、物理、化学、高等数学、职业人文基础。</w:t>
      </w:r>
      <w:bookmarkEnd w:id="22"/>
      <w:bookmarkEnd w:id="23"/>
    </w:p>
    <w:p>
      <w:pPr>
        <w:overflowPunct w:val="0"/>
        <w:adjustRightInd w:val="0"/>
        <w:spacing w:line="520" w:lineRule="exact"/>
        <w:ind w:firstLine="640" w:firstLineChars="200"/>
        <w:jc w:val="center"/>
        <w:outlineLvl w:val="9"/>
        <w:rPr>
          <w:rFonts w:hint="eastAsia" w:ascii="仿宋_GB2312" w:hAnsi="仿宋_GB2312" w:eastAsia="仿宋_GB2312" w:cs="仿宋_GB2312"/>
          <w:sz w:val="32"/>
          <w:szCs w:val="32"/>
        </w:rPr>
      </w:pPr>
      <w:bookmarkStart w:id="24" w:name="_Toc219812207"/>
      <w:bookmarkStart w:id="25" w:name="_Toc218504424"/>
      <w:r>
        <w:rPr>
          <w:rFonts w:hint="eastAsia" w:ascii="仿宋_GB2312" w:hAnsi="仿宋_GB2312" w:eastAsia="仿宋_GB2312" w:cs="仿宋_GB2312"/>
          <w:sz w:val="32"/>
          <w:szCs w:val="32"/>
        </w:rPr>
        <w:t>表2 公共基础课课程目标、主要教学内容与要求</w:t>
      </w:r>
      <w:bookmarkEnd w:id="24"/>
      <w:bookmarkEnd w:id="25"/>
    </w:p>
    <w:tbl>
      <w:tblPr>
        <w:tblStyle w:val="14"/>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410"/>
        <w:gridCol w:w="2700"/>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line="360" w:lineRule="exact"/>
              <w:jc w:val="center"/>
              <w:rPr>
                <w:rFonts w:hint="eastAsia" w:ascii="仿宋_GB2312" w:hAnsi="仿宋_GB2312" w:eastAsia="仿宋_GB2312" w:cs="仿宋_GB2312"/>
                <w:sz w:val="24"/>
              </w:rPr>
            </w:pPr>
            <w:bookmarkStart w:id="26" w:name="_Toc90734979"/>
            <w:bookmarkStart w:id="27" w:name="_Toc2022"/>
            <w:r>
              <w:rPr>
                <w:rFonts w:hint="eastAsia" w:ascii="仿宋_GB2312" w:hAnsi="仿宋_GB2312" w:eastAsia="仿宋_GB2312" w:cs="仿宋_GB2312"/>
                <w:sz w:val="24"/>
              </w:rPr>
              <w:t>序号</w:t>
            </w:r>
            <w:bookmarkEnd w:id="26"/>
            <w:bookmarkEnd w:id="27"/>
          </w:p>
        </w:tc>
        <w:tc>
          <w:tcPr>
            <w:tcW w:w="752" w:type="dxa"/>
            <w:vAlign w:val="center"/>
          </w:tcPr>
          <w:p>
            <w:pPr>
              <w:spacing w:line="360" w:lineRule="exact"/>
              <w:jc w:val="center"/>
              <w:rPr>
                <w:rFonts w:hint="eastAsia" w:ascii="仿宋_GB2312" w:hAnsi="仿宋_GB2312" w:eastAsia="仿宋_GB2312" w:cs="仿宋_GB2312"/>
                <w:sz w:val="24"/>
              </w:rPr>
            </w:pPr>
            <w:bookmarkStart w:id="28" w:name="_Toc90734980"/>
            <w:bookmarkStart w:id="29" w:name="_Toc2635"/>
            <w:r>
              <w:rPr>
                <w:rFonts w:hint="eastAsia" w:ascii="仿宋_GB2312" w:hAnsi="仿宋_GB2312" w:eastAsia="仿宋_GB2312" w:cs="仿宋_GB2312"/>
                <w:sz w:val="24"/>
              </w:rPr>
              <w:t>课程名称</w:t>
            </w:r>
            <w:bookmarkEnd w:id="28"/>
            <w:bookmarkEnd w:id="29"/>
          </w:p>
        </w:tc>
        <w:tc>
          <w:tcPr>
            <w:tcW w:w="4410" w:type="dxa"/>
            <w:vAlign w:val="center"/>
          </w:tcPr>
          <w:p>
            <w:pPr>
              <w:spacing w:line="360" w:lineRule="exact"/>
              <w:jc w:val="center"/>
              <w:rPr>
                <w:rFonts w:hint="eastAsia" w:ascii="仿宋_GB2312" w:hAnsi="仿宋_GB2312" w:eastAsia="仿宋_GB2312" w:cs="仿宋_GB2312"/>
                <w:sz w:val="24"/>
              </w:rPr>
            </w:pPr>
            <w:bookmarkStart w:id="30" w:name="_Toc90734981"/>
            <w:bookmarkStart w:id="31" w:name="_Toc24608"/>
            <w:r>
              <w:rPr>
                <w:rFonts w:hint="eastAsia" w:ascii="仿宋_GB2312" w:hAnsi="仿宋_GB2312" w:eastAsia="仿宋_GB2312" w:cs="仿宋_GB2312"/>
                <w:sz w:val="24"/>
              </w:rPr>
              <w:t>课程目标</w:t>
            </w:r>
            <w:bookmarkEnd w:id="30"/>
            <w:bookmarkEnd w:id="31"/>
          </w:p>
        </w:tc>
        <w:tc>
          <w:tcPr>
            <w:tcW w:w="2700" w:type="dxa"/>
            <w:vAlign w:val="center"/>
          </w:tcPr>
          <w:p>
            <w:pPr>
              <w:spacing w:line="360" w:lineRule="exact"/>
              <w:jc w:val="center"/>
              <w:rPr>
                <w:rFonts w:hint="eastAsia" w:ascii="仿宋_GB2312" w:hAnsi="仿宋_GB2312" w:eastAsia="仿宋_GB2312" w:cs="仿宋_GB2312"/>
                <w:sz w:val="24"/>
              </w:rPr>
            </w:pPr>
            <w:bookmarkStart w:id="32" w:name="_Toc90734982"/>
            <w:bookmarkStart w:id="33" w:name="_Toc23051"/>
            <w:r>
              <w:rPr>
                <w:rFonts w:hint="eastAsia" w:ascii="仿宋_GB2312" w:hAnsi="仿宋_GB2312" w:eastAsia="仿宋_GB2312" w:cs="仿宋_GB2312"/>
                <w:sz w:val="24"/>
              </w:rPr>
              <w:t>主要教学内容</w:t>
            </w:r>
            <w:bookmarkEnd w:id="32"/>
            <w:bookmarkEnd w:id="33"/>
          </w:p>
        </w:tc>
        <w:tc>
          <w:tcPr>
            <w:tcW w:w="2404"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思想道德与法治</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系统掌握本课程的基本原理和理论，了解新时代、人生观、远大理想、中国精神、社会主义核心价值观、道德规范、法治等相关内容，构建起个人与国家、社会，个人与职业、婚姻家庭之间命运共同体内在关联的 科学认知体系。</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：能够运用基本原理和理论分析判断是非、明辨善恶；认真审视和正视自身言行举止，弃“恶”扬善，从“我”做起、从日常小事做起、从现在做起，逐渐养成自觉践行社会主义核心价值观的习惯。</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本课程包括三大知识模块：一是思想政治教育，包括绪论、第一至四章，旨在引导帮助大学生树立正确的人生观，确立科学的理想信念，弘扬以爱国主义为核心的民族精神和以改革创新为核心的时代精神，积极培育和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404" w:type="dxa"/>
          </w:tcPr>
          <w:p>
            <w:pPr>
              <w:spacing w:after="0" w:line="300" w:lineRule="exact"/>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shd w:val="clear" w:color="auto" w:fill="FFFFFF"/>
              </w:rPr>
              <w:t>通过教师的理论讲授和学生的实践体验，让大学生形成崇高的理想信念，弘扬伟大的爱国主义精神，确立正确的人生观和价值观，牢固树立社会主义核心价值观，培养良好的思想道德素质和法律素质，成长为德、智、体、美、劳全面发展的中国特色社会主义伟大事业的合格建设者和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52" w:type="dxa"/>
            <w:vAlign w:val="center"/>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形势与政策</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引导和帮助学生掌握认识形势与政策问题的基本理论和基础知识，包括科学分析形势与政策的方法论、形势发展变化的规律、政策的产生和发展、政策的本质和特征等基础知识；了解国内外重大事件和热点、难点问题，紧跟时代脉搏，融入变革潮流；重点是了解党的二十大以来形成的一系列政策体系，理解党的路线、方针、政策的正确性。</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培养学生掌握正确分析形势和理解政策的能力，特别是对国内外重大事件、敏感问题、社会热点、难点、疑点问题的思考、分析和判断能力。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使学生感知国情民意，体会党的路线方针政策的正确，把对形势与政策的认识统一到党和国家的科学判断上和正确决策上，不断增强“四个意识”、坚定“四个自信”、做到“两个维护”，为实现中华民族伟大复兴而发奋学习。</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根据新时代面临的新情况新问题，针对学生关注的热点问题和思想特点，涵盖国际形势、国内形势、社会热点、国家政策等内容。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404" w:type="dxa"/>
          </w:tcPr>
          <w:p>
            <w:pPr>
              <w:widowControl/>
              <w:spacing w:line="300" w:lineRule="exact"/>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按照中宣部、教育部每年每学期颁发的形势与政策课教学要点、要求和内容，对指定的专题进行教学。</w:t>
            </w:r>
            <w:r>
              <w:rPr>
                <w:rFonts w:hint="eastAsia" w:ascii="仿宋_GB2312" w:hAnsi="仿宋_GB2312" w:eastAsia="仿宋_GB2312" w:cs="仿宋_GB2312"/>
                <w:sz w:val="24"/>
              </w:rPr>
              <w:t>教师采取混合式教学和学生研讨，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国家安全教育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让学生系统掌握总体国家安全观的内涵和精神实质，理解中国特色国家安全体系，新时代我国国家安全面临的复杂形势，掌握筑牢其他各领域国家安全屏障的具体方法和途径。</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建立总体国家安全观，树立中国特色社会主义理想信念，能够做到国家利益至上，维护国家主权、安全和发展利益，能够维护国家正当权益，绝不牺牲国家核心利益；能够增强政治认同，不信谣、不传谣，能够对危害政治安全的违法行为进行举报；能够以实际行动维护国家安全；</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能够自觉遵守法律，做到诚实守信、廉洁自律；学会合作，为人正派，具有良好的协作、沟通能力和团队精神；严守法纪，坚持原则，自觉践行社会主义核心价值观。树立国家安全意识，培养爱国精神，使其矢志不渝听党话、跟党走，不断成为社会主义合格建设者和可靠接班人。</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提升学生的国家安全意识，培养学生将理论知识与实践相结合的能力，引导学生运用马克思主义的立场、观点、方法以及总体国家安全观分析和解决问题，构建起维护国家安全的实践能力。使学生树立国家安全底线思维</w:t>
            </w:r>
            <w:r>
              <w:rPr>
                <w:rFonts w:hint="eastAsia" w:ascii="仿宋_GB2312" w:hAnsi="仿宋_GB2312" w:eastAsia="仿宋_GB2312" w:cs="仿宋_GB2312"/>
                <w:spacing w:val="-6"/>
                <w:sz w:val="24"/>
              </w:rPr>
              <w:t>，将国家安全意识转化为自觉行动，强化责任担当。</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本课程包含国家安全绪论、政治安全、国土安全、军事安全、经济安全、文化安全、社会安全、科技安全。通过教学，使学生树立国家安全意识，培养学生爱国精神，使其矢志不渝听党话、跟党走，不断成为社会主义合格建设者和可靠接班人。</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本课程以坚持总体国家安全观为科学指导，坚持党对国家安全教育的绝对领导，坚持以构建国家安全教育体系为途径，重点围绕理解中华民族命运与国家关系，践行总体国家安全观。学生系统掌握总体国家安全观的内涵和精神实质，理解中国特色国家安全体系，树立国家安全底线思维，将国家安全意识转化为自觉行动，强化学生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军事理论</w:t>
            </w:r>
          </w:p>
        </w:tc>
        <w:tc>
          <w:tcPr>
            <w:tcW w:w="4410" w:type="dxa"/>
            <w:vAlign w:val="center"/>
          </w:tcPr>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Cs/>
                <w:kern w:val="0"/>
                <w:sz w:val="24"/>
                <w:shd w:val="clear" w:color="auto" w:fill="FFFFFF"/>
                <w:lang w:bidi="ar"/>
              </w:rPr>
              <w:t>知识目标：</w:t>
            </w:r>
            <w:r>
              <w:rPr>
                <w:rStyle w:val="17"/>
                <w:rFonts w:hint="eastAsia" w:ascii="仿宋_GB2312" w:hAnsi="仿宋_GB2312" w:eastAsia="仿宋_GB2312" w:cs="仿宋_GB2312"/>
                <w:b w:val="0"/>
                <w:kern w:val="0"/>
                <w:sz w:val="24"/>
                <w:shd w:val="clear" w:color="auto" w:fill="FFFFFF"/>
                <w:lang w:bidi="ar"/>
              </w:rPr>
              <w:t>掌握基本的军事理论知识，了解中国国防政策和军事战略，认识信息化战争的特点与规律等。</w:t>
            </w:r>
          </w:p>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Cs/>
                <w:kern w:val="0"/>
                <w:sz w:val="24"/>
                <w:shd w:val="clear" w:color="auto" w:fill="FFFFFF"/>
                <w:lang w:bidi="ar"/>
              </w:rPr>
              <w:t>能力目标：</w:t>
            </w:r>
            <w:r>
              <w:rPr>
                <w:rStyle w:val="17"/>
                <w:rFonts w:hint="eastAsia" w:ascii="仿宋_GB2312" w:hAnsi="仿宋_GB2312" w:eastAsia="仿宋_GB2312" w:cs="仿宋_GB2312"/>
                <w:b w:val="0"/>
                <w:kern w:val="0"/>
                <w:sz w:val="24"/>
                <w:shd w:val="clear" w:color="auto" w:fill="FFFFFF"/>
                <w:lang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Cs/>
                <w:kern w:val="0"/>
                <w:sz w:val="24"/>
                <w:shd w:val="clear" w:color="auto" w:fill="FFFFFF"/>
                <w:lang w:bidi="ar"/>
              </w:rPr>
              <w:t>素质目标</w:t>
            </w:r>
            <w:r>
              <w:rPr>
                <w:rStyle w:val="17"/>
                <w:rFonts w:hint="eastAsia" w:ascii="仿宋_GB2312" w:hAnsi="仿宋_GB2312" w:eastAsia="仿宋_GB2312" w:cs="仿宋_GB2312"/>
                <w:b w:val="0"/>
                <w:kern w:val="0"/>
                <w:sz w:val="24"/>
                <w:shd w:val="clear" w:color="auto" w:fill="FFFFFF"/>
                <w:lang w:bidi="ar"/>
              </w:rPr>
              <w:t>：激发学生对国家和民族的热爱之情，增强其作为公民的社会责任感和使命感；强化国防观念、国家安全意识与爱国主义精神。‌</w:t>
            </w:r>
          </w:p>
          <w:p>
            <w:pPr>
              <w:widowControl/>
              <w:shd w:val="clear" w:color="auto" w:fill="FFFFFF"/>
              <w:spacing w:after="0" w:line="300" w:lineRule="exact"/>
              <w:rPr>
                <w:rFonts w:hint="eastAsia" w:ascii="仿宋_GB2312" w:hAnsi="仿宋_GB2312" w:eastAsia="仿宋_GB2312" w:cs="仿宋_GB2312"/>
                <w:b/>
                <w:bCs/>
                <w:kern w:val="0"/>
                <w:sz w:val="24"/>
                <w:shd w:val="clear" w:color="auto" w:fill="FFFFFF"/>
                <w:lang w:bidi="ar"/>
              </w:rPr>
            </w:pPr>
            <w:r>
              <w:rPr>
                <w:rStyle w:val="17"/>
                <w:rFonts w:hint="eastAsia" w:ascii="仿宋_GB2312" w:hAnsi="仿宋_GB2312" w:eastAsia="仿宋_GB2312" w:cs="仿宋_GB2312"/>
                <w:bCs/>
                <w:kern w:val="0"/>
                <w:sz w:val="24"/>
                <w:shd w:val="clear" w:color="auto" w:fill="FFFFFF"/>
                <w:lang w:bidi="ar"/>
              </w:rPr>
              <w:t>课程思政育人目标：</w:t>
            </w:r>
            <w:r>
              <w:rPr>
                <w:rStyle w:val="17"/>
                <w:rFonts w:hint="eastAsia" w:ascii="仿宋_GB2312" w:hAnsi="仿宋_GB2312" w:eastAsia="仿宋_GB2312" w:cs="仿宋_GB2312"/>
                <w:b w:val="0"/>
                <w:kern w:val="0"/>
                <w:sz w:val="24"/>
                <w:shd w:val="clear" w:color="auto" w:fill="FFFFFF"/>
                <w:lang w:bidi="ar"/>
              </w:rPr>
              <w:t>通过系统的知识传授和能力培养，全面提升学生的综合素质，增强学生国家安全意识和国防观念，为未来成为具有家国情怀、战略视野和创新能力的优秀人才奠定坚实基础。</w:t>
            </w:r>
          </w:p>
        </w:tc>
        <w:tc>
          <w:tcPr>
            <w:tcW w:w="2700" w:type="dxa"/>
          </w:tcPr>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 w:val="0"/>
                <w:kern w:val="0"/>
                <w:sz w:val="24"/>
                <w:shd w:val="clear" w:color="auto" w:fill="FFFFFF"/>
                <w:lang w:bidi="ar"/>
              </w:rPr>
              <w:t>课程内容包括军事基础知识、军事思想、国家安全形势分析、战略环境、军事高技术、现代战争知识等。</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p>
        </w:tc>
        <w:tc>
          <w:tcPr>
            <w:tcW w:w="2404" w:type="dxa"/>
          </w:tcPr>
          <w:p>
            <w:pPr>
              <w:pStyle w:val="12"/>
              <w:jc w:val="both"/>
              <w:rPr>
                <w:rStyle w:val="17"/>
                <w:rFonts w:hint="eastAsia" w:ascii="仿宋_GB2312" w:hAnsi="仿宋_GB2312" w:eastAsia="仿宋_GB2312" w:cs="仿宋_GB2312"/>
                <w:b w:val="0"/>
                <w:shd w:val="clear" w:color="auto" w:fill="FFFFFF"/>
                <w:lang w:bidi="ar"/>
              </w:rPr>
            </w:pPr>
            <w:r>
              <w:rPr>
                <w:rStyle w:val="17"/>
                <w:rFonts w:hint="eastAsia" w:ascii="仿宋_GB2312" w:hAnsi="仿宋_GB2312" w:eastAsia="仿宋_GB2312" w:cs="仿宋_GB2312"/>
                <w:b w:val="0"/>
                <w:shd w:val="clear" w:color="auto" w:fill="FFFFFF"/>
                <w:lang w:bidi="ar"/>
              </w:rPr>
              <w:t>本课程以马列主义、毛泽东思想、邓小平理论及习近平强军思想为指导，‌采用多媒体教学、案例研讨，使学生理解总体国家安全观，激发学生献身国防的热情、增强民族自豪感。</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军训</w:t>
            </w:r>
          </w:p>
        </w:tc>
        <w:tc>
          <w:tcPr>
            <w:tcW w:w="4410" w:type="dxa"/>
            <w:vAlign w:val="center"/>
          </w:tcPr>
          <w:p>
            <w:pPr>
              <w:pStyle w:val="12"/>
              <w:spacing w:beforeAutospacing="0" w:afterAutospacing="0" w:line="300" w:lineRule="exact"/>
              <w:rPr>
                <w:rStyle w:val="17"/>
                <w:rFonts w:hint="eastAsia" w:ascii="仿宋_GB2312" w:hAnsi="仿宋_GB2312" w:eastAsia="仿宋_GB2312" w:cs="仿宋_GB2312"/>
                <w:b w:val="0"/>
                <w:shd w:val="clear" w:color="auto" w:fill="FFFFFF"/>
                <w:lang w:bidi="ar"/>
              </w:rPr>
            </w:pPr>
            <w:r>
              <w:rPr>
                <w:rStyle w:val="17"/>
                <w:rFonts w:hint="eastAsia" w:ascii="仿宋_GB2312" w:hAnsi="仿宋_GB2312" w:eastAsia="仿宋_GB2312" w:cs="仿宋_GB2312"/>
                <w:bCs/>
                <w:shd w:val="clear" w:color="auto" w:fill="FFFFFF"/>
                <w:lang w:bidi="ar"/>
              </w:rPr>
              <w:t>知识目标：</w:t>
            </w:r>
            <w:r>
              <w:rPr>
                <w:rStyle w:val="17"/>
                <w:rFonts w:hint="eastAsia" w:ascii="仿宋_GB2312" w:hAnsi="仿宋_GB2312" w:eastAsia="仿宋_GB2312" w:cs="仿宋_GB2312"/>
                <w:b w:val="0"/>
                <w:shd w:val="clear" w:color="auto" w:fill="FFFFFF"/>
                <w:lang w:bidi="ar"/>
              </w:rPr>
              <w:t>掌握基本的军事技能、完成基础军事训练。</w:t>
            </w:r>
          </w:p>
          <w:p>
            <w:pPr>
              <w:pStyle w:val="12"/>
              <w:spacing w:beforeAutospacing="0" w:afterAutospacing="0" w:line="300" w:lineRule="exact"/>
              <w:rPr>
                <w:rStyle w:val="17"/>
                <w:rFonts w:hint="eastAsia" w:ascii="仿宋_GB2312" w:hAnsi="仿宋_GB2312" w:eastAsia="仿宋_GB2312" w:cs="仿宋_GB2312"/>
                <w:b w:val="0"/>
                <w:shd w:val="clear" w:color="auto" w:fill="FFFFFF"/>
                <w:lang w:bidi="ar"/>
              </w:rPr>
            </w:pPr>
            <w:r>
              <w:rPr>
                <w:rStyle w:val="17"/>
                <w:rFonts w:hint="eastAsia" w:ascii="仿宋_GB2312" w:hAnsi="仿宋_GB2312" w:eastAsia="仿宋_GB2312" w:cs="仿宋_GB2312"/>
                <w:bCs/>
                <w:shd w:val="clear" w:color="auto" w:fill="FFFFFF"/>
                <w:lang w:bidi="ar"/>
              </w:rPr>
              <w:t>能力目标：</w:t>
            </w:r>
            <w:r>
              <w:rPr>
                <w:rStyle w:val="17"/>
                <w:rFonts w:hint="eastAsia" w:ascii="仿宋_GB2312" w:hAnsi="仿宋_GB2312" w:eastAsia="仿宋_GB2312" w:cs="仿宋_GB2312"/>
                <w:b w:val="0"/>
                <w:shd w:val="clear" w:color="auto" w:fill="FFFFFF"/>
                <w:lang w:bidi="ar"/>
              </w:rPr>
              <w:t>结合模拟演练和角色扮演等活动，提升学生的战略思维能力和实际操作技能，增强学生的团队意识和沟通协调能力，提高学生的应急反应速度和自我保护能力，为应对突发事件打下坚实基础。</w:t>
            </w:r>
          </w:p>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Cs/>
                <w:kern w:val="0"/>
                <w:sz w:val="24"/>
                <w:shd w:val="clear" w:color="auto" w:fill="FFFFFF"/>
                <w:lang w:bidi="ar"/>
              </w:rPr>
              <w:t>素质目标</w:t>
            </w:r>
            <w:r>
              <w:rPr>
                <w:rStyle w:val="17"/>
                <w:rFonts w:hint="eastAsia" w:ascii="仿宋_GB2312" w:hAnsi="仿宋_GB2312" w:eastAsia="仿宋_GB2312" w:cs="仿宋_GB2312"/>
                <w:b w:val="0"/>
                <w:kern w:val="0"/>
                <w:sz w:val="24"/>
                <w:shd w:val="clear" w:color="auto" w:fill="FFFFFF"/>
                <w:lang w:bidi="ar"/>
              </w:rPr>
              <w:t>：培养学生的纪律性和服从意识；强化团队协作精神，锻炼学生的意志力和毅力，培养其面对困难和挑战时不屈不挠的精神风貌，鼓励其为实现中华民族伟大复兴的中国梦贡献力量。</w:t>
            </w:r>
          </w:p>
          <w:p>
            <w:pPr>
              <w:widowControl/>
              <w:shd w:val="clear" w:color="auto" w:fill="FFFFFF"/>
              <w:spacing w:after="0" w:line="300" w:lineRule="exact"/>
              <w:rPr>
                <w:rFonts w:hint="eastAsia" w:ascii="仿宋_GB2312" w:hAnsi="仿宋_GB2312" w:eastAsia="仿宋_GB2312" w:cs="仿宋_GB2312"/>
                <w:sz w:val="24"/>
                <w:shd w:val="clear" w:color="auto" w:fill="FFFFFF"/>
              </w:rPr>
            </w:pPr>
            <w:r>
              <w:rPr>
                <w:rStyle w:val="17"/>
                <w:rFonts w:hint="eastAsia" w:ascii="仿宋_GB2312" w:hAnsi="仿宋_GB2312" w:eastAsia="仿宋_GB2312" w:cs="仿宋_GB2312"/>
                <w:bCs/>
                <w:kern w:val="0"/>
                <w:sz w:val="24"/>
                <w:shd w:val="clear" w:color="auto" w:fill="FFFFFF"/>
                <w:lang w:bidi="ar"/>
              </w:rPr>
              <w:t>课程思政育人目标：</w:t>
            </w:r>
            <w:r>
              <w:rPr>
                <w:rStyle w:val="17"/>
                <w:rFonts w:hint="eastAsia" w:ascii="仿宋_GB2312" w:hAnsi="仿宋_GB2312" w:eastAsia="仿宋_GB2312" w:cs="仿宋_GB2312"/>
                <w:b w:val="0"/>
                <w:kern w:val="0"/>
                <w:sz w:val="24"/>
                <w:shd w:val="clear" w:color="auto" w:fill="FFFFFF"/>
                <w:lang w:bidi="ar"/>
              </w:rPr>
              <w:t>通过能力培养，全面提升学生的综合素质，增强学生国防观念，为成为具有家国情怀、战略视野和创新能力的优秀人才奠定坚实基础。</w:t>
            </w:r>
          </w:p>
        </w:tc>
        <w:tc>
          <w:tcPr>
            <w:tcW w:w="2700" w:type="dxa"/>
          </w:tcPr>
          <w:p>
            <w:pPr>
              <w:widowControl/>
              <w:shd w:val="clear" w:color="auto" w:fill="FFFFFF"/>
              <w:spacing w:after="0" w:line="300" w:lineRule="exact"/>
              <w:rPr>
                <w:rStyle w:val="17"/>
                <w:rFonts w:hint="eastAsia" w:ascii="仿宋_GB2312" w:hAnsi="仿宋_GB2312" w:eastAsia="仿宋_GB2312" w:cs="仿宋_GB2312"/>
                <w:b w:val="0"/>
                <w:kern w:val="0"/>
                <w:sz w:val="24"/>
                <w:shd w:val="clear" w:color="auto" w:fill="FFFFFF"/>
                <w:lang w:bidi="ar"/>
              </w:rPr>
            </w:pPr>
            <w:r>
              <w:rPr>
                <w:rStyle w:val="17"/>
                <w:rFonts w:hint="eastAsia" w:ascii="仿宋_GB2312" w:hAnsi="仿宋_GB2312" w:eastAsia="仿宋_GB2312" w:cs="仿宋_GB2312"/>
                <w:b w:val="0"/>
                <w:kern w:val="0"/>
                <w:sz w:val="24"/>
                <w:shd w:val="clear" w:color="auto" w:fill="FFFFFF"/>
                <w:lang w:bidi="ar"/>
              </w:rPr>
              <w:t>课程内容包括队列、战术训练等‌军事技能训练。</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p>
        </w:tc>
        <w:tc>
          <w:tcPr>
            <w:tcW w:w="2404"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Style w:val="17"/>
                <w:rFonts w:hint="eastAsia" w:ascii="仿宋_GB2312" w:hAnsi="仿宋_GB2312" w:eastAsia="仿宋_GB2312" w:cs="仿宋_GB2312"/>
                <w:b w:val="0"/>
                <w:kern w:val="0"/>
                <w:sz w:val="24"/>
                <w:shd w:val="clear" w:color="auto" w:fill="FFFFFF"/>
                <w:lang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507" w:type="dxa"/>
            <w:vAlign w:val="center"/>
          </w:tcPr>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6</w:t>
            </w:r>
          </w:p>
        </w:tc>
        <w:tc>
          <w:tcPr>
            <w:tcW w:w="752" w:type="dxa"/>
            <w:vAlign w:val="center"/>
          </w:tcPr>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计算机基础</w:t>
            </w:r>
          </w:p>
        </w:tc>
        <w:tc>
          <w:tcPr>
            <w:tcW w:w="4410"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知识目标：</w:t>
            </w:r>
            <w:r>
              <w:rPr>
                <w:rFonts w:hint="eastAsia" w:ascii="仿宋_GB2312" w:hAnsi="仿宋_GB2312" w:eastAsia="仿宋_GB2312" w:cs="仿宋_GB2312"/>
                <w:kern w:val="0"/>
                <w:sz w:val="24"/>
                <w:shd w:val="clear" w:color="auto" w:fill="FFFFFF"/>
                <w:lang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能力目标：</w:t>
            </w:r>
            <w:r>
              <w:rPr>
                <w:rFonts w:hint="eastAsia" w:ascii="仿宋_GB2312" w:hAnsi="仿宋_GB2312" w:eastAsia="仿宋_GB2312" w:cs="仿宋_GB2312"/>
                <w:kern w:val="0"/>
                <w:sz w:val="24"/>
                <w:shd w:val="clear" w:color="auto" w:fill="FFFFFF"/>
                <w:lang w:bidi="ar"/>
              </w:rPr>
              <w:t>培养计算机基本操作能力，熟练使用办公软件处理文档。提升网络应用和信息检索水平，具备解决常见计算机问题的技能。</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素质目标：</w:t>
            </w:r>
            <w:r>
              <w:rPr>
                <w:rFonts w:hint="eastAsia" w:ascii="仿宋_GB2312" w:hAnsi="仿宋_GB2312" w:eastAsia="仿宋_GB2312" w:cs="仿宋_GB2312"/>
                <w:kern w:val="0"/>
                <w:sz w:val="24"/>
                <w:shd w:val="clear" w:color="auto" w:fill="FFFFFF"/>
                <w:lang w:bidi="ar"/>
              </w:rPr>
              <w:t>培养信息素养和数字思维，提高自主学习新技术能力。树立信息安全意识，养成规范使用计算机的良好习惯。</w:t>
            </w:r>
          </w:p>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kern w:val="0"/>
                <w:sz w:val="24"/>
                <w:shd w:val="clear" w:color="auto" w:fill="FFFFFF"/>
                <w:lang w:bidi="ar"/>
              </w:rPr>
              <w:t>课程思政育人目标：</w:t>
            </w:r>
            <w:r>
              <w:rPr>
                <w:rFonts w:hint="eastAsia" w:ascii="仿宋_GB2312" w:hAnsi="仿宋_GB2312" w:eastAsia="仿宋_GB2312" w:cs="仿宋_GB2312"/>
                <w:kern w:val="0"/>
                <w:sz w:val="24"/>
                <w:shd w:val="clear" w:color="auto" w:fill="FFFFFF"/>
                <w:lang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sz w:val="24"/>
              </w:rPr>
              <w:t>最终实现“德才兼备、知行合一”的技术人才培养目标，为行业发展与社会进步输送兼具职业道德素养与专业技术能力的复合型人才。</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752" w:type="dxa"/>
            <w:vAlign w:val="center"/>
          </w:tcPr>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大学英语</w:t>
            </w:r>
          </w:p>
        </w:tc>
        <w:tc>
          <w:tcPr>
            <w:tcW w:w="4410"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知识目标：</w:t>
            </w:r>
            <w:r>
              <w:rPr>
                <w:rFonts w:hint="eastAsia" w:ascii="仿宋_GB2312" w:hAnsi="仿宋_GB2312" w:eastAsia="仿宋_GB2312" w:cs="仿宋_GB2312"/>
                <w:kern w:val="0"/>
                <w:sz w:val="24"/>
                <w:shd w:val="clear" w:color="auto" w:fill="FFFFFF"/>
                <w:lang w:bidi="ar"/>
              </w:rPr>
              <w:t>掌握基础词汇和核心语法，学习职场英语表达。了解英语国家文化常识，熟悉专业相关术语。</w:t>
            </w:r>
          </w:p>
          <w:p>
            <w:pPr>
              <w:widowControl/>
              <w:spacing w:after="0" w:line="300" w:lineRule="exact"/>
              <w:rPr>
                <w:rFonts w:hint="eastAsia" w:ascii="仿宋_GB2312" w:hAnsi="仿宋_GB2312" w:eastAsia="仿宋_GB2312" w:cs="仿宋_GB2312"/>
                <w:kern w:val="0"/>
                <w:sz w:val="24"/>
                <w:shd w:val="clear" w:color="auto" w:fill="FFFFFF"/>
              </w:rPr>
            </w:pPr>
            <w:r>
              <w:rPr>
                <w:rFonts w:hint="eastAsia" w:ascii="仿宋_GB2312" w:hAnsi="仿宋_GB2312" w:eastAsia="仿宋_GB2312" w:cs="仿宋_GB2312"/>
                <w:b/>
                <w:bCs/>
                <w:kern w:val="0"/>
                <w:sz w:val="24"/>
                <w:shd w:val="clear" w:color="auto" w:fill="FFFFFF"/>
                <w:lang w:bidi="ar"/>
              </w:rPr>
              <w:t>能力目标：</w:t>
            </w:r>
            <w:r>
              <w:rPr>
                <w:rFonts w:hint="eastAsia" w:ascii="仿宋_GB2312" w:hAnsi="仿宋_GB2312" w:eastAsia="仿宋_GB2312" w:cs="仿宋_GB2312"/>
                <w:kern w:val="0"/>
                <w:sz w:val="24"/>
                <w:shd w:val="clear" w:color="auto" w:fill="FFFFFF"/>
                <w:lang w:bidi="ar"/>
              </w:rPr>
              <w:t>培养学生掌握语言基础知识和语言技能、具备基本的英语听、说、读、写、译能力，增强其跨文化交际意识和沟通能力，为适应未来职业需求。</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素质目标：</w:t>
            </w:r>
            <w:r>
              <w:rPr>
                <w:rFonts w:hint="eastAsia" w:ascii="仿宋_GB2312" w:hAnsi="仿宋_GB2312" w:eastAsia="仿宋_GB2312" w:cs="仿宋_GB2312"/>
                <w:kern w:val="0"/>
                <w:sz w:val="24"/>
                <w:shd w:val="clear" w:color="auto" w:fill="FFFFFF"/>
                <w:lang w:bidi="ar"/>
              </w:rPr>
              <w:t>培养自主学习意识，增强跨文化理解能力。树立终身学习理念，提高团队协作和沟通能力。</w:t>
            </w:r>
          </w:p>
          <w:p>
            <w:pPr>
              <w:widowControl/>
              <w:shd w:val="clear" w:color="auto" w:fill="FFFFFF"/>
              <w:spacing w:after="0" w:line="300" w:lineRule="exact"/>
              <w:rPr>
                <w:rFonts w:hint="eastAsia" w:ascii="仿宋_GB2312" w:hAnsi="仿宋_GB2312" w:eastAsia="仿宋_GB2312" w:cs="仿宋_GB2312"/>
                <w:b/>
                <w:bCs/>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课程思政育人目标：</w:t>
            </w:r>
            <w:r>
              <w:rPr>
                <w:rFonts w:hint="eastAsia" w:ascii="仿宋_GB2312" w:hAnsi="仿宋_GB2312" w:eastAsia="仿宋_GB2312" w:cs="仿宋_GB2312"/>
                <w:kern w:val="0"/>
                <w:sz w:val="24"/>
                <w:shd w:val="clear" w:color="auto" w:fill="FFFFFF"/>
                <w:lang w:bidi="ar"/>
              </w:rPr>
              <w:t>融入工匠精神教育，培养职业操守。通过中外文化对比，培养学生树立正确的世界观、人生观、价值观，明辨西方文化与价值观，增强文化自信和爱国情怀。</w:t>
            </w:r>
          </w:p>
        </w:tc>
        <w:tc>
          <w:tcPr>
            <w:tcW w:w="2700"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404"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sz w:val="24"/>
              </w:rPr>
              <w:t>采用情景教学法，设计职场情境任务。结合信息化手段，注重实践能力培养。参与课堂活动，完成实践任务。利用网络资源自主学习，提升应用能力。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大学体育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掌握体育运动基本理论知识，了解常见运动项目的规则与要领。学习科学锻炼方法和运动损伤预防知识，为终身体育锻炼奠定理论基础。</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发展学生基础运动技能，提升速度、力量、耐力等身体素质。培养1-2项运动特长，提升体育运动能力，提高职业体能水平。增强团队协作能力和体育竞赛组织能力。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遵守体育道德规范和行为准则，发扬体育精神，塑造良好的体育品格，增强责任意识、规则意识和团队意识。</w:t>
            </w:r>
          </w:p>
          <w:p>
            <w:pPr>
              <w:spacing w:after="0" w:line="300" w:lineRule="exact"/>
              <w:rPr>
                <w:rFonts w:hint="eastAsia" w:ascii="仿宋_GB2312" w:hAnsi="仿宋_GB2312" w:eastAsia="仿宋_GB2312" w:cs="仿宋_GB2312"/>
                <w:sz w:val="24"/>
                <w:shd w:val="clear" w:color="auto" w:fill="FFFFFF"/>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基础体能训练提升身体素质；球类、田径等专项技能教学；特色项目如武术、健身操等。融入职业体能训练，结合专业特点设计教学内容。</w:t>
            </w:r>
          </w:p>
        </w:tc>
        <w:tc>
          <w:tcPr>
            <w:tcW w:w="2404" w:type="dxa"/>
          </w:tcPr>
          <w:p>
            <w:pPr>
              <w:spacing w:line="300" w:lineRule="exact"/>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rPr>
              <w:t>教师需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大学生职业发展与就业指导</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掌握职业生涯规划基本理论，了解就业政策与劳动法规。学习求职材料制作规范，熟悉职场礼仪与职业素养要求。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培养职业规划与决策能力，提升简历制作与面试技巧，提高学生求职应职技巧，增强就业信息获取能力，掌握职场适应与职业发展方法。</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分析当前大学生面临的就业形势，帮助学生及时了解就业市场的需求形势和国家、地方有关大学生就业的政策，按照社会需求确立就业心理，树立正确的就业观念和就业取向。</w:t>
            </w:r>
          </w:p>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通过加强就业形势和政策的宣传教育，引导广大学生深刻认识到党和国家“以人民为中心”的发展理念，切实增强对国家保就业、稳增长工作的信心</w:t>
            </w:r>
            <w:r>
              <w:rPr>
                <w:rFonts w:hint="eastAsia" w:ascii="仿宋_GB2312" w:hAnsi="仿宋_GB2312" w:eastAsia="仿宋_GB2312" w:cs="仿宋_GB2312"/>
                <w:spacing w:val="-6"/>
                <w:sz w:val="24"/>
              </w:rPr>
              <w:t>，充分感知国家在相关领域的坚实能力</w:t>
            </w:r>
            <w:r>
              <w:rPr>
                <w:rFonts w:hint="eastAsia" w:ascii="仿宋_GB2312" w:hAnsi="仿宋_GB2312" w:eastAsia="仿宋_GB2312" w:cs="仿宋_GB2312"/>
                <w:sz w:val="24"/>
              </w:rPr>
              <w:t>。</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大学生心理健康教育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掌握心理健康基本概念和标准，了解常见心理问题表现及成因。掌握情绪管理、压力应对等心理调适方法，增强自我认知能力。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培养学生情绪调节与压力管理能力，提升人际沟通与冲突解决水平。使学生掌握心理自助技巧，具备初步心理问题识别与求助能力。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：培养学生积极乐观的人生态度，增强心理韧性和适应能力。树立正确的自我认知，形成健康的生活方式与行为习惯。</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700" w:type="dxa"/>
          </w:tcPr>
          <w:p>
            <w:pPr>
              <w:spacing w:line="300" w:lineRule="exact"/>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404" w:type="dxa"/>
          </w:tcPr>
          <w:p>
            <w:pPr>
              <w:spacing w:line="300" w:lineRule="exact"/>
              <w:rPr>
                <w:rFonts w:hint="eastAsia" w:ascii="仿宋_GB2312" w:hAnsi="仿宋_GB2312" w:eastAsia="仿宋_GB2312" w:cs="仿宋_GB2312"/>
                <w:sz w:val="24"/>
                <w:shd w:val="clear" w:color="auto" w:fill="FFFFFF"/>
              </w:rPr>
            </w:pPr>
            <w:r>
              <w:rPr>
                <w:rFonts w:hint="eastAsia" w:ascii="仿宋_GB2312" w:hAnsi="仿宋_GB2312" w:eastAsia="仿宋_GB2312" w:cs="仿宋_GB2312"/>
                <w:sz w:val="24"/>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11</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劳动教育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：培养基本劳动技能，提升实践操作能力。掌握团队协作方法，增强问题解决与创新应用能力，适应未来职业劳动需求。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：培育吃苦耐劳精神，树立劳动光荣意识。增强责任担当，培养勤俭节约品质，形成尊重劳动、热爱劳动的良好品格。</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弘扬劳模精神与工匠精神，强化劳动育人功能。引导学生做社会主义核心价值观的积极践行者，培养新时代坚定的马克思主义者和具有工匠精神的社会主义建设者。</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主要包括工具使用、设备操作等基础训练；实践环节组织校园服务、专业实习等多样化活动。结合专业特色，设计职业劳动项目，融入新技术、新工艺内容，提升学生劳动素养与职业适应能力。</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毛泽东思想和中国特色社会主义理论体系概论</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 xml:space="preserve">全面理解马克思主义中国化理论成果的科学内涵、理论体系、思想精髓、精神实质；系统把握马克思主义中国化理论成果所蕴含的马克思主义立场、观点和方法。   </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学会用马克思主义中国化理论成果分析和解决现实问题，把理论与实践、理想与现实、主观与客观统一起来，自觉投身于中国特色社会主义伟大实践。</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：引导大学生树立科学的世界观、历史观、大局观，深刻理解“中国共产党为什么能” “马克思主义为什么行”“中国特色社会主义为什么好”，自觉增强“四个意识”、坚定“四个自信”、做到“两个维护”，努力学习</w:t>
            </w:r>
            <w:r>
              <w:rPr>
                <w:rFonts w:hint="eastAsia" w:ascii="仿宋_GB2312" w:hAnsi="仿宋_GB2312" w:eastAsia="仿宋_GB2312" w:cs="仿宋_GB2312"/>
                <w:sz w:val="24"/>
                <w:shd w:val="clear" w:color="auto" w:fill="FFFFFF"/>
              </w:rPr>
              <w:t>文化知识，增强自己的本领，</w:t>
            </w:r>
            <w:r>
              <w:rPr>
                <w:rFonts w:hint="eastAsia" w:ascii="仿宋_GB2312" w:hAnsi="仿宋_GB2312" w:eastAsia="仿宋_GB2312" w:cs="仿宋_GB2312"/>
                <w:sz w:val="24"/>
              </w:rPr>
              <w:t>为实现中华民族伟大复兴中国梦而努力。</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spacing w:after="0" w:line="300" w:lineRule="exact"/>
              <w:rPr>
                <w:rFonts w:hint="eastAsia" w:ascii="仿宋_GB2312" w:hAnsi="仿宋_GB2312" w:eastAsia="仿宋_GB2312" w:cs="仿宋_GB2312"/>
                <w:sz w:val="24"/>
              </w:rPr>
            </w:pPr>
          </w:p>
          <w:p>
            <w:pPr>
              <w:spacing w:after="0" w:line="300" w:lineRule="exact"/>
              <w:rPr>
                <w:rFonts w:hint="eastAsia" w:ascii="仿宋_GB2312" w:hAnsi="仿宋_GB2312" w:eastAsia="仿宋_GB2312" w:cs="仿宋_GB2312"/>
                <w:sz w:val="24"/>
              </w:rPr>
            </w:pP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运用信息化技术进行史论结合、案例丰富的讲授，引导学生系统掌握马克思主义基本原理和马克思主义中国化理论成果，了解党史、新中国史、改革开放史、社会主义发展史，认识世情、国情、党情，培养运用马克思主义立场观点方法分析和解决问题的能力； 矢志不渝听党话、跟党走，争做社会主义合格建设者和 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13</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创新创业教育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熟悉创新思维的内涵及其基本训练方法；了解商业模式设计要点，掌握常用的创新方法；掌握保护创新成果的方法；了解创新创业政策法规。</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 xml:space="preserve"> 培养创新思维与机会识别能力，提升商业计划书撰写水平。增强资源整合与项目管理能力，掌握创业风险防范与应对方法。</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培育开拓进取精神，树立正确的创业价值观。增强团队协作意识，培养抗压能力与责任担当，形成积极向上的创业心态。</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融入企业家精神教育，强化社会责任意识。通过创新创业案例培育家国情怀，引导学生将个人发展融入国家创新驱动发展战略。</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14</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习近平新时代中国特色社会主义思想概论</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：深刻理解习近平新时代中国特色社会主义思想是马克思主义中国化的最新理论成果；系统把握习近平新时代中国特色社会主义思想的核心观点和基本方略。</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提升大学生运用所学新思想、新理论分析和解决现实问题的能力；增强大学生全面贯彻党的基本理论和基本方略的自觉性和主动性。</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 xml:space="preserve">引导大学生自觉运用习近平新时代中国特色社会主义思想武装头脑，积极投身到建设新时代中国特色社会主义的伟大历史进程中，实现中国梦。 帮助大学生增强“四个意识”、坚定“四个自信”、做到“两个维护”。 </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课程主要的知识模块包括：习近平新时代中国特色社会主义思想及其历史地位、坚持和发展中国特色社会主义的总任务、 “五位一体”总体布局、“四个全面”战略布局、实现中华民族伟大复兴的重要保障、中国特色大国外交、坚持和加强党的领导等内容。</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通过教师的混合式教学 、史论结合 、案例丰富的教学，让学生感悟党的创新理论的思想伟力，坚持用马克思主义理论指导实践，做 “学思想、强党性、重实践、建新功”的新时代青年。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15</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中国民俗剪纸技法</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kern w:val="0"/>
                <w:sz w:val="24"/>
                <w:shd w:val="clear" w:color="auto" w:fill="FFFFFF"/>
                <w:lang w:bidi="ar"/>
              </w:rPr>
              <w:t>了解剪纸的历史与文化内涵和掌握剪纸的基本知识。</w:t>
            </w:r>
            <w:r>
              <w:rPr>
                <w:rFonts w:hint="eastAsia" w:ascii="仿宋_GB2312" w:hAnsi="仿宋_GB2312" w:eastAsia="仿宋_GB2312" w:cs="仿宋_GB2312"/>
                <w:sz w:val="24"/>
              </w:rPr>
              <w:t>掌握剪纸艺术的历史渊源与文化内涵，了解不同地域的剪纸风格特点。学习传统剪纸纹样寓意，掌握基础剪纸工具使用方法与安全规范。</w:t>
            </w:r>
          </w:p>
          <w:p>
            <w:pPr>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sz w:val="24"/>
              </w:rPr>
              <w:t>能力目标：</w:t>
            </w:r>
            <w:r>
              <w:rPr>
                <w:rFonts w:hint="eastAsia" w:ascii="仿宋_GB2312" w:hAnsi="仿宋_GB2312" w:eastAsia="仿宋_GB2312" w:cs="仿宋_GB2312"/>
                <w:kern w:val="0"/>
                <w:sz w:val="24"/>
                <w:shd w:val="clear" w:color="auto" w:fill="FFFFFF"/>
                <w:lang w:bidi="ar"/>
              </w:rPr>
              <w:t>学生能够熟练掌握剪纸的基本技法、剪纸的构图技巧，</w:t>
            </w:r>
            <w:r>
              <w:rPr>
                <w:rFonts w:hint="eastAsia" w:ascii="仿宋_GB2312" w:hAnsi="仿宋_GB2312" w:eastAsia="仿宋_GB2312" w:cs="仿宋_GB2312"/>
                <w:sz w:val="24"/>
              </w:rPr>
              <w:t>培养图案设计与剪刀运用能力，掌握对称、连续等基础剪纸技法。</w:t>
            </w:r>
            <w:r>
              <w:rPr>
                <w:rFonts w:hint="eastAsia" w:ascii="仿宋_GB2312" w:hAnsi="仿宋_GB2312" w:eastAsia="仿宋_GB2312" w:cs="仿宋_GB2312"/>
                <w:kern w:val="0"/>
                <w:sz w:val="24"/>
                <w:shd w:val="clear" w:color="auto" w:fill="FFFFFF"/>
                <w:lang w:bidi="ar"/>
              </w:rPr>
              <w:t>学会运用多种剪纸技法进行创作，鼓励学生在传统剪纸技法的基础上进行创新，结合现代设计理念和元素，创作出具有时代感和个性的剪纸作品。</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培育耐心细致的工作态度，提升审美鉴赏能力。增强文化自信，传承非遗技艺，培养创新思维与艺术表现力。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通过剪纸艺术，弘扬中华优秀传统文化，增强民族自豪感。在技艺传承中培育工匠精神，树立文化传承的责任意识。</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16</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影视与鉴赏</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kern w:val="0"/>
                <w:sz w:val="24"/>
                <w:shd w:val="clear" w:color="auto" w:fill="FFFFFF"/>
                <w:lang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sz w:val="24"/>
              </w:rPr>
              <w:t>掌握影视创作基本流程。</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培养影视作品分析鉴赏能力，提升视听语言理解水平。掌握影视评论写作方法，具备基础影视审美判断能力。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培育艺术审美情趣，提高文化修养水平。增强创新思维能力，树立正确的价值观和艺术观。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通过优秀影视作品弘扬社会主义核心价值观。在艺术鉴赏中增强文化自信，培养家国情怀和人文精神。</w:t>
            </w:r>
          </w:p>
        </w:tc>
        <w:tc>
          <w:tcPr>
            <w:tcW w:w="2700"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404" w:type="dxa"/>
          </w:tcPr>
          <w:p>
            <w:pPr>
              <w:spacing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17</w:t>
            </w:r>
          </w:p>
        </w:tc>
        <w:tc>
          <w:tcPr>
            <w:tcW w:w="752" w:type="dxa"/>
            <w:vAlign w:val="center"/>
          </w:tcPr>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中国共产党简史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把握中国共产党历史发展脉络，了解中国共产党百年奋斗的重大历史成就与历史经验；了解中国共产党是如何团结带领中国人民克服千难万险，创造了一个又一个彪炳史册的人间奇迹；了解一代又一代优秀中国共产党人的为民情怀与高尚情操。</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包括中国共产党的创建和投身大革命的洪流、掀起土地革命的风暴、全民族抗日战争的中流砥柱、夺取新民主主义革命的全国性胜利、中华人民共和国的成立和社会主义制度的建立、社会主义建设的探索和曲折发展、伟大历史转折和中国特色社会主义的开创、把中国特色社会主义全面推向21世纪、在新的形势下坚持和发展中国特色社会主义、中国特色社会主义进入新时代等。通过学习，学生将全面了解中国共产党领导中国人民进行革命、建设、改革的光辉历程，深刻认识党在各个历史时期的伟大成就和宝贵经验，为成为一名合格的共产党员、成为一名社会主义建设者奠定坚实的思想基础。</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通过教师的理论讲授和丰富的史料佐证，以及线上线下参观历史纪念馆，引导学生树立正确的历史观，做到“学史明理、学史增信、学史崇德、学史力行”，感悟党的伟大，做“青春心向党 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18</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中华人民共和国简史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kern w:val="0"/>
                <w:sz w:val="24"/>
                <w:shd w:val="clear" w:color="auto" w:fill="FFFFFF"/>
                <w:lang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widowControl/>
              <w:shd w:val="clear" w:color="auto" w:fill="FFFFFF"/>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kern w:val="0"/>
                <w:sz w:val="24"/>
                <w:shd w:val="clear" w:color="auto" w:fill="FFFFFF"/>
                <w:lang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引导学生</w:t>
            </w:r>
            <w:r>
              <w:rPr>
                <w:rFonts w:hint="eastAsia" w:ascii="仿宋_GB2312" w:hAnsi="仿宋_GB2312" w:eastAsia="仿宋_GB2312" w:cs="仿宋_GB2312"/>
                <w:kern w:val="0"/>
                <w:sz w:val="24"/>
                <w:shd w:val="clear" w:color="auto" w:fill="FFFFFF"/>
                <w:lang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主要包括：新中国成立和社会主义基本制度的确立、社会主义建设的艰辛探索和曲折发展、改革开放与中国特色社会主义的开创、建立社会主义市场经济体制和把中国特色社会主义全面推向21世纪、全面建设小康社会与新的形势下坚持和发展中国特色社会主义、中国特色社会主义进入新时代和实现中华民族伟大复兴的中国梦、决胜全面建成小康社会和开启全面建成社会主义现代化强国新征程</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等方面。通过学习，学生将深入了解中华人民共和国在各个历史阶段的发展变化，认识到中国特色社会主义道路的历史必然性和正确性，增强对国家的热爱和对未来的信心。</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通过课堂讲解、案例分析、小组讨论、模拟实践等方式，促进学生进一步增强民族自尊心、自信心和自豪感，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19</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改革开放简史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使学生能够充分理解我国改革开放各个时期的路线、政策和目标，增强自觉执行党的路线、方针、政策的自觉性，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涵盖改革开放拉开大幕、改革开放全面展开、改革开放开创新局面、改革开放在科学发展中深化、改革开放进入新时代、坚定不移推进全面深化改革、坚定不移扩大高水平对外开放等。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专题讲授法、情境教学法、案例教学法等，让学生能够系统把握中国改革开放事业的辉煌成就、重大贡献、重要经验和深刻启示。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20</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社会主义发展简史</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帮助大学生重点了解空想社会主义的产生和发展，了解科学社会主义的产生和发展，了解世界和中国对社会主义道路和制度的探索和实践，了解新时代中国特色社会主义的理论创造和伟大实践，从而增强对社会主义制度的认识与信心。</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w:t>
            </w:r>
            <w:r>
              <w:rPr>
                <w:rFonts w:hint="eastAsia" w:ascii="仿宋_GB2312" w:hAnsi="仿宋_GB2312" w:eastAsia="仿宋_GB2312" w:cs="仿宋_GB2312"/>
                <w:spacing w:val="-6"/>
                <w:sz w:val="24"/>
              </w:rPr>
              <w:t>，提高大学生的鉴别、分析和批判能力。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帮助大学生正确认识和理解社会主义制度的优越性，进一步增强大学生道路自信、理论自信、制度自信、文化自信，进一步提升大学生坚持和发展中国特色社会主义理论的自觉性和坚定性。</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涵盖空想社会主义的产生与发展、科学社会主义的创立、社会主义从理论到实践、社会主义在多国发展、中国特色社会主义的开创与发展。通过学习，学生将了解社会主义思想的起源、发展和变革，掌握社会主义制度在不同国家的实践经验和教训，为理解和坚持中国特色社会主义提供历史依据和理论支持。</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堂教学应采用启发式、研讨式、案例式、参与式、体验式、实践式等方法，充分调动学生的主体作用。在课程组织上应将理论讲授和社会实践融合在一起，贴近生活，贴近实际，使学生在现实生活中感受到历史的气息，既能激发学生的学习情趣，又有利于提高学生的认知、动手和研究能力，进而增强学生的爱国情怀、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2"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21</w:t>
            </w:r>
          </w:p>
        </w:tc>
        <w:tc>
          <w:tcPr>
            <w:tcW w:w="752" w:type="dxa"/>
            <w:vAlign w:val="center"/>
          </w:tcPr>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中华优秀传统文化</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并传承中华优秀传统文化的基本内涵、主要内容、基本精神，了解了中国传统哲学、文学、仪式文化精髓，扩大学生视野，读懂更多的经典名著名篇，熟悉中国古代的艺术、科技、文化成果，弘扬中国传统礼仪、风俗及美食文化。</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掌握鉴赏中华优秀传统文化及其载体的能力；养成传统美德、树立文化自信、掌握文化精粹；培养发掘中华优秀传统文化的生成规律和闪光点的能力；能坚持创造性转化、创新性发展中华优秀传统文化。</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具有对中华优秀传统文化的热爱敬畏之情；具有强烈的民族精神、人文精神和科学精神；弘扬中华优秀传统文化，树立中华优秀传统文化是我们每一个中国人的血脉和灵魂的情感；提升人格修养，培养文化情怀，具有较好的审美情趣和审美能力，具备一定的优秀传统文化素养。</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涵盖中华优秀传统文化的多个方面，包括传统文学历史、哲学思想、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spacing w:after="0" w:line="300" w:lineRule="exact"/>
              <w:rPr>
                <w:rFonts w:hint="eastAsia" w:ascii="仿宋_GB2312" w:hAnsi="仿宋_GB2312" w:eastAsia="仿宋_GB2312" w:cs="仿宋_GB2312"/>
                <w:sz w:val="24"/>
              </w:rPr>
            </w:pP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22</w:t>
            </w:r>
          </w:p>
        </w:tc>
        <w:tc>
          <w:tcPr>
            <w:tcW w:w="752" w:type="dxa"/>
            <w:vAlign w:val="center"/>
          </w:tcPr>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p>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中华民族共同体概论</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w:t>
            </w:r>
            <w:r>
              <w:rPr>
                <w:rFonts w:hint="eastAsia" w:ascii="仿宋_GB2312" w:hAnsi="仿宋_GB2312" w:eastAsia="仿宋_GB2312" w:cs="仿宋_GB2312"/>
                <w:kern w:val="0"/>
                <w:sz w:val="24"/>
                <w:shd w:val="clear" w:color="auto" w:fill="FFFFFF"/>
                <w:lang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w:t>
            </w:r>
            <w:r>
              <w:rPr>
                <w:rFonts w:hint="eastAsia" w:ascii="仿宋_GB2312" w:hAnsi="仿宋_GB2312" w:eastAsia="仿宋_GB2312" w:cs="仿宋_GB2312"/>
                <w:kern w:val="0"/>
                <w:sz w:val="24"/>
                <w:shd w:val="clear" w:color="auto" w:fill="FFFFFF"/>
                <w:lang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sz w:val="24"/>
              </w:rPr>
              <w:t>紧扣铸牢中华民族共同体意识的基本任务，自觉推动中华民族共同体建设。</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23</w:t>
            </w:r>
          </w:p>
        </w:tc>
        <w:tc>
          <w:tcPr>
            <w:tcW w:w="752" w:type="dxa"/>
            <w:vAlign w:val="center"/>
          </w:tcPr>
          <w:p>
            <w:pPr>
              <w:spacing w:after="0"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语文</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掌握现代汉语基础知识和常用文体特征，了解文学鉴赏基本方法</w:t>
            </w:r>
            <w:r>
              <w:rPr>
                <w:rFonts w:hint="eastAsia" w:ascii="仿宋_GB2312" w:hAnsi="仿宋_GB2312" w:eastAsia="仿宋_GB2312" w:cs="仿宋_GB2312"/>
                <w:spacing w:val="-6"/>
                <w:sz w:val="24"/>
              </w:rPr>
              <w:t>。学习实用写作规范，提升语言表达准确性，培养基础文学素养。</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：培养阅读理解与书面表达能力，提升职场应用写作水平。增强口语交际能力，掌握专业文献阅读方法，适应职业发展需求。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培育人文精神与审美情趣，提高文化修养。增强逻辑思维与创新意识，树立终身学习理念。</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通过经典作品传承中华优秀传统文化，培育文化自信。在语言训练中融入社会主义核心价值观教育。</w:t>
            </w:r>
          </w:p>
        </w:tc>
        <w:tc>
          <w:tcPr>
            <w:tcW w:w="270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4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24</w:t>
            </w:r>
          </w:p>
        </w:tc>
        <w:tc>
          <w:tcPr>
            <w:tcW w:w="752" w:type="dxa"/>
            <w:vAlign w:val="center"/>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物理</w:t>
            </w:r>
          </w:p>
        </w:tc>
        <w:tc>
          <w:tcPr>
            <w:tcW w:w="4410"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掌握力学、热学、电磁学等经典物理核心概念与规律，了解其在高新技术和工程实践中的具体应用，构建必要的物理知识体系。</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能够运用物理原理分析和解决生产生活中的实际问题，具备基本的实验操作、数据处理和科学思维能力，提升技术应用与创新意识。</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培养严谨求实的科学态度、精益求精的工匠精神和探索未知的好奇心，为未来职业发展和终身学习奠定坚实基础。</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通过物理学史和科学家故事，弘扬科学精神和爱国情怀，培养职业道德、团队协作意识与社会责任感。</w:t>
            </w:r>
          </w:p>
        </w:tc>
        <w:tc>
          <w:tcPr>
            <w:tcW w:w="2700"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40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25</w:t>
            </w:r>
          </w:p>
        </w:tc>
        <w:tc>
          <w:tcPr>
            <w:tcW w:w="752" w:type="dxa"/>
            <w:vAlign w:val="center"/>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化学</w:t>
            </w:r>
          </w:p>
        </w:tc>
        <w:tc>
          <w:tcPr>
            <w:tcW w:w="4410"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掌握物质结构、溶液化学、反应速率、电解质溶液等基本化学原理，熟悉常见元素及其化合物的性质与重要反应律。</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能够规范进行基础化学实验操作，具备分析处理实验数据、鉴别常见物质及解决化工生产中一般性化学问题的实践能力。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培养严谨细致、实事求是的科学作风，树立环保、安全、节约的意识，为未来从事相关技术工作奠定良好的职业素养基础。</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通过我国古代化工成就与现代科技发展案例，增强民族自豪感，培养绿色化学理念、社会责任感和职业道德。</w:t>
            </w:r>
          </w:p>
        </w:tc>
        <w:tc>
          <w:tcPr>
            <w:tcW w:w="2700"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40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26</w:t>
            </w:r>
          </w:p>
        </w:tc>
        <w:tc>
          <w:tcPr>
            <w:tcW w:w="752" w:type="dxa"/>
            <w:vAlign w:val="center"/>
          </w:tcPr>
          <w:p>
            <w:pPr>
              <w:spacing w:after="0" w:line="300" w:lineRule="exact"/>
              <w:jc w:val="left"/>
              <w:rPr>
                <w:rFonts w:hint="eastAsia" w:ascii="仿宋_GB2312" w:hAnsi="仿宋_GB2312" w:eastAsia="仿宋_GB2312" w:cs="仿宋_GB2312"/>
                <w:sz w:val="24"/>
              </w:rPr>
            </w:pPr>
            <w:r>
              <w:rPr>
                <w:rFonts w:ascii="仿宋_GB2312" w:hAnsi="仿宋_GB2312" w:eastAsia="仿宋_GB2312" w:cs="仿宋_GB2312"/>
                <w:sz w:val="24"/>
              </w:rPr>
              <w:t>职业人文基础</w:t>
            </w:r>
          </w:p>
        </w:tc>
        <w:tc>
          <w:tcPr>
            <w:tcW w:w="4410"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：掌握人文社科的基本概念、理论；了解人文素养在职业发展中的重要性相关知识。</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能够运用人文知识分析职业场景中的文化现象、人际互动等问题；具备良好的文字表达和口头交流能力，能清晰阐述人文观点。</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培养学生对不同文化、价值观的尊重与包容，提升审美情趣和文化修养；塑造学生诚实守信、敬业负责的职业态度。</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引导学生从人文历史中汲取精神力量，树立正确的世界观、人生观、价值观；培养学生的社会责任感和家国情怀，明白职业发展与社会文化传承的紧密联系。</w:t>
            </w:r>
          </w:p>
        </w:tc>
        <w:tc>
          <w:tcPr>
            <w:tcW w:w="2700" w:type="dxa"/>
          </w:tcPr>
          <w:p>
            <w:pPr>
              <w:spacing w:after="0" w:line="300" w:lineRule="exact"/>
              <w:rPr>
                <w:rFonts w:hint="eastAsia" w:ascii="仿宋_GB2312" w:hAnsi="仿宋_GB2312" w:eastAsia="仿宋_GB2312" w:cs="仿宋_GB2312"/>
                <w:sz w:val="24"/>
              </w:rPr>
            </w:pPr>
            <w:r>
              <w:rPr>
                <w:rFonts w:ascii="仿宋_GB2312" w:hAnsi="仿宋_GB2312" w:eastAsia="仿宋_GB2312" w:cs="仿宋_GB2312"/>
                <w:sz w:val="24"/>
              </w:rPr>
              <w:t>课程将系统讲解现代职场伦理规范与职业行为准则，深入分析不同行业的企业文化特征与职场人际关系处理策略，通过典型案例研习职场礼仪与职业形象管理要点，结合实践训练职场文书写作与商务沟通技巧，并引入职业心理健康维护与压力应对的实用方法。</w:t>
            </w:r>
          </w:p>
        </w:tc>
        <w:tc>
          <w:tcPr>
            <w:tcW w:w="2404" w:type="dxa"/>
          </w:tcPr>
          <w:p>
            <w:pPr>
              <w:spacing w:after="0" w:line="300" w:lineRule="exact"/>
              <w:rPr>
                <w:rFonts w:hint="eastAsia" w:ascii="仿宋_GB2312" w:hAnsi="仿宋_GB2312" w:eastAsia="仿宋_GB2312" w:cs="仿宋_GB2312"/>
                <w:sz w:val="24"/>
              </w:rPr>
            </w:pPr>
            <w:r>
              <w:rPr>
                <w:rFonts w:ascii="仿宋_GB2312" w:hAnsi="仿宋_GB2312" w:eastAsia="仿宋_GB2312" w:cs="仿宋_GB2312"/>
                <w:sz w:val="24"/>
              </w:rPr>
              <w:t>通过系统的案例分析训练，使学生能够准确识别职场中的伦理困境并提出合理解决方案；通过角色扮演和情景模拟，培养学生达到在跨部门协作中有效沟通、化解冲突的能力；通过职业文书写作实训，使学生掌握规范的商务邮件、工作报告等实用文体的撰写技巧；最终使学生具备在真实职场环境中展现专业素养和人文关怀的综合能力</w:t>
            </w:r>
            <w:r>
              <w:rPr>
                <w:rFonts w:hint="eastAsia" w:ascii="仿宋_GB2312" w:hAnsi="仿宋_GB2312" w:eastAsia="仿宋_GB2312"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27</w:t>
            </w:r>
          </w:p>
        </w:tc>
        <w:tc>
          <w:tcPr>
            <w:tcW w:w="752" w:type="dxa"/>
            <w:vAlign w:val="center"/>
          </w:tcPr>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p>
          <w:p>
            <w:pPr>
              <w:widowControl/>
              <w:shd w:val="clear" w:color="auto" w:fill="FFFFFF"/>
              <w:spacing w:after="0" w:line="300" w:lineRule="exact"/>
              <w:jc w:val="lef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高等数学</w:t>
            </w:r>
          </w:p>
        </w:tc>
        <w:tc>
          <w:tcPr>
            <w:tcW w:w="4410"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知识目标：</w:t>
            </w:r>
            <w:r>
              <w:rPr>
                <w:rFonts w:hint="eastAsia" w:ascii="仿宋_GB2312" w:hAnsi="仿宋_GB2312" w:eastAsia="仿宋_GB2312" w:cs="仿宋_GB2312"/>
                <w:kern w:val="0"/>
                <w:sz w:val="24"/>
                <w:shd w:val="clear" w:color="auto" w:fill="FFFFFF"/>
                <w:lang w:bidi="ar"/>
              </w:rPr>
              <w:t>掌握函数、极限、导数等基础概念，理解微积分基本理论、数学建模方法，为专业课程奠定必要数学基础。</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能力目标：</w:t>
            </w:r>
            <w:r>
              <w:rPr>
                <w:rFonts w:hint="eastAsia" w:ascii="仿宋_GB2312" w:hAnsi="仿宋_GB2312" w:eastAsia="仿宋_GB2312" w:cs="仿宋_GB2312"/>
                <w:kern w:val="0"/>
                <w:sz w:val="24"/>
                <w:shd w:val="clear" w:color="auto" w:fill="FFFFFF"/>
                <w:lang w:bidi="ar"/>
              </w:rPr>
              <w:t>培养数学运算和逻辑推理能力，提升运用数学工具解决实际问题的水平。增强数据分析和建模能力，适应未来职业发展需求。</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素质目标：</w:t>
            </w:r>
            <w:r>
              <w:rPr>
                <w:rFonts w:hint="eastAsia" w:ascii="仿宋_GB2312" w:hAnsi="仿宋_GB2312" w:eastAsia="仿宋_GB2312" w:cs="仿宋_GB2312"/>
                <w:kern w:val="0"/>
                <w:sz w:val="24"/>
                <w:shd w:val="clear" w:color="auto" w:fill="FFFFFF"/>
                <w:lang w:bidi="ar"/>
              </w:rPr>
              <w:t>培养严谨求实的科学态度，提高抽象思维和创新能力。树立理论联系实际的观念，增强持续学习和自主探究意识。</w:t>
            </w:r>
          </w:p>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b/>
                <w:bCs/>
                <w:kern w:val="0"/>
                <w:sz w:val="24"/>
                <w:shd w:val="clear" w:color="auto" w:fill="FFFFFF"/>
                <w:lang w:bidi="ar"/>
              </w:rPr>
              <w:t>课程思政育人目标：</w:t>
            </w:r>
            <w:r>
              <w:rPr>
                <w:rFonts w:hint="eastAsia" w:ascii="仿宋_GB2312" w:hAnsi="仿宋_GB2312" w:eastAsia="仿宋_GB2312" w:cs="仿宋_GB2312"/>
                <w:kern w:val="0"/>
                <w:sz w:val="24"/>
                <w:shd w:val="clear" w:color="auto" w:fill="FFFFFF"/>
                <w:lang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700"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404"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lang w:bidi="ar"/>
              </w:rPr>
            </w:pPr>
            <w:r>
              <w:rPr>
                <w:rFonts w:hint="eastAsia" w:ascii="仿宋_GB2312" w:hAnsi="仿宋_GB2312" w:eastAsia="仿宋_GB2312" w:cs="仿宋_GB2312"/>
                <w:kern w:val="0"/>
                <w:sz w:val="24"/>
                <w:shd w:val="clear" w:color="auto" w:fill="FFFFFF"/>
                <w:lang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bl>
    <w:p>
      <w:pPr>
        <w:pStyle w:val="3"/>
        <w:pageBreakBefore w:val="0"/>
        <w:kinsoku/>
        <w:wordWrap/>
        <w:topLinePunct w:val="0"/>
        <w:autoSpaceDE/>
        <w:autoSpaceDN/>
        <w:bidi w:val="0"/>
        <w:snapToGrid/>
        <w:ind w:firstLine="640"/>
        <w:textAlignment w:val="auto"/>
      </w:pPr>
      <w:bookmarkStart w:id="34" w:name="_Toc219812208"/>
      <w:r>
        <w:rPr>
          <w:rFonts w:hint="eastAsia"/>
        </w:rPr>
        <w:t>（二）专业（技能）课程</w:t>
      </w:r>
      <w:bookmarkEnd w:id="34"/>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专业（技能）课程包括专业基础课程、专业核心课程、专业拓展课程，并涵盖有关实践性教学环节。</w:t>
      </w:r>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sz w:val="32"/>
          <w:szCs w:val="32"/>
        </w:rPr>
      </w:pPr>
      <w:bookmarkStart w:id="35" w:name="_Toc90734975"/>
      <w:r>
        <w:rPr>
          <w:rFonts w:hint="eastAsia" w:ascii="仿宋_GB2312" w:hAnsi="仿宋_GB2312" w:eastAsia="仿宋_GB2312" w:cs="仿宋_GB2312"/>
          <w:sz w:val="32"/>
          <w:szCs w:val="32"/>
        </w:rPr>
        <w:t>1.专业基础课程</w:t>
      </w:r>
      <w:bookmarkEnd w:id="35"/>
    </w:p>
    <w:p>
      <w:pPr>
        <w:pageBreakBefore w:val="0"/>
        <w:widowControl/>
        <w:kinsoku/>
        <w:wordWrap/>
        <w:topLinePunct w:val="0"/>
        <w:autoSpaceDE/>
        <w:autoSpaceDN/>
        <w:bidi w:val="0"/>
        <w:snapToGrid/>
        <w:spacing w:after="0" w:line="52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sz w:val="32"/>
          <w:szCs w:val="32"/>
        </w:rPr>
        <w:t>专业基础课是为后续专业课程学习打基础的课程。包括：</w:t>
      </w:r>
      <w:r>
        <w:rPr>
          <w:rFonts w:hint="eastAsia" w:ascii="仿宋_GB2312" w:hAnsi="仿宋_GB2312" w:eastAsia="仿宋_GB2312" w:cs="仿宋_GB2312"/>
          <w:kern w:val="0"/>
          <w:sz w:val="32"/>
          <w:szCs w:val="32"/>
          <w:lang w:bidi="ar"/>
        </w:rPr>
        <w:t>现代家政导论、管理学基础、社会学概论、家政服务沟通与礼仪、家政职业道德与法律法规、人力资源管理、婴幼儿早期发展指导、家政新媒体营销、家庭营养与膳食指导</w:t>
      </w:r>
      <w:r>
        <w:rPr>
          <w:rFonts w:hint="eastAsia" w:ascii="仿宋_GB2312" w:hAnsi="仿宋_GB2312" w:eastAsia="仿宋_GB2312" w:cs="仿宋_GB2312"/>
          <w:spacing w:val="-4"/>
          <w:sz w:val="32"/>
          <w:szCs w:val="32"/>
        </w:rPr>
        <w:t>课程。</w:t>
      </w:r>
    </w:p>
    <w:p>
      <w:pPr>
        <w:overflowPunct w:val="0"/>
        <w:adjustRightInd w:val="0"/>
        <w:spacing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表3 专业基础课课程目标、主要教学内容与要求</w:t>
      </w:r>
    </w:p>
    <w:tbl>
      <w:tblPr>
        <w:tblStyle w:val="101"/>
        <w:tblW w:w="10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765"/>
        <w:gridCol w:w="4092"/>
        <w:gridCol w:w="2721"/>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765"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4092"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课程教学目标</w:t>
            </w:r>
          </w:p>
        </w:tc>
        <w:tc>
          <w:tcPr>
            <w:tcW w:w="2721"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课程教学内容</w:t>
            </w:r>
          </w:p>
        </w:tc>
        <w:tc>
          <w:tcPr>
            <w:tcW w:w="2364"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现代家政导论</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掌握现代家政的基本概念、内涵与发展历程；了解现代家政服务与管理的主要内容、服务模式及行业规范。</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：能够对现代家政服务与管理行业有整体认知，具备初步的家政服务需求分析能力；能向他人介绍现代家政行业的基本情况。</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培养学生对现代家政行业的认同感和职业自豪感，树立专业自信；提升学生的服务意识和职业道德素养。</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：引导学生认识到现代家政服务是社会分工细化、人民生活水平提高的必然结果，是具有重要社会价值的职业</w:t>
            </w:r>
            <w:r>
              <w:rPr>
                <w:rFonts w:hint="eastAsia" w:ascii="仿宋_GB2312" w:hAnsi="仿宋_GB2312" w:eastAsia="仿宋_GB2312" w:cs="仿宋_GB2312"/>
                <w:spacing w:val="-6"/>
                <w:sz w:val="24"/>
              </w:rPr>
              <w:t>；培养学生的劳动精神，尊重劳动、热爱劳动，明白家政服务工作的意义与价值。</w:t>
            </w:r>
          </w:p>
        </w:tc>
        <w:tc>
          <w:tcPr>
            <w:tcW w:w="2721"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基础理论模块，家政学概念、研究对象及学科发展历史。家庭结构与功能演变。家庭伦理与法律基础。家庭经济管理，收支规划、投资策略、记账方法。家庭生活管理，膳食营养搭配、服装搭配与收纳、家居安全与保健。家庭教育与心理，儿童发展指导、老年心理关怀、冲突调解技巧。社会服务与技术应用模块家政服务行业规范与职业素养。智能家居技术、家庭事务数字化管理工具。社区服务与家政市场开发。</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采用“理论+实践”结合模式，融入案例教学、情景模拟。利用多媒体资源辅助教学，增强直观性。实践要求完成校内实训及校外实习。参与家庭管理项目设计。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管理学基础</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掌握管理学的基本原理、方法和工具；了解家政服务与管理中的组织管理、人员管理、服务流程管理等方面的知识。</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能够运用管理学知识分析家政服务组织中的管理问题；具备初步的家政服务项目策划、组织协调和人员管理能力。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培养学生的管理意识和团队协作精神，提升学生的综合协调能力；使学生明白科学管理对提高家政服务质量和效率的重要性。</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引导学生认识到管理不仅是一种技能，更是一种责任，要以服务对象为中心，通过科学管理提升家政服务的社会效益</w:t>
            </w:r>
            <w:r>
              <w:rPr>
                <w:rFonts w:hint="eastAsia" w:ascii="仿宋_GB2312" w:hAnsi="仿宋_GB2312" w:eastAsia="仿宋_GB2312" w:cs="仿宋_GB2312"/>
                <w:spacing w:val="-6"/>
                <w:sz w:val="24"/>
              </w:rPr>
              <w:t>；培养学生的大局观和责任感，在管理工作中做到公平、公正、公开。</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内容包括管理和管理学的概念，管理理论的演化，组织结构类型及其特点，计划工作概述，决策在管理中的战略，领导，领导者的概念，领导方式，领导行为理论，激励的过程，现代激励理论。</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充分运用启发式的教学、案例教学、运用思维导图等方法，重视加强逻辑推理的方法，重点讲授和课堂讨论相结合，以培养学生的分析能力和运用能力；重视教学中的理论联系实际。发布任务让学生运用管理学中的理论知识解决现实生活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社会学概论</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掌握社会学的基本概念、理论和研究方法；了解社会结构、社会群体、社会变迁等方面的知识，以及这些对家政服务与管理的影响。</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能够运用社会学知识分析家政服务与管理所处的社会环境、服务对象的社会特征等；具备从社会层面思考家政服务问题的能力。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培养学生的社会洞察力和人文关怀精神，使学生关注社会现象与社会问题；提升学生的社会适应能力和人际交往能力。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引导学生认识到家政服务与管理是社会系统的一部分，与社会的和谐发展密切相关；培养学生的社会责任感，通过优质的家政服务为社会和谐贡献力量，关注不同社会群体的需求。</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社会学的基本理论、研究方法以及社会学史，掌握社会化、社会网络、社会分层、人口城市化、人口问题等基本社会学知识。</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创设情景，让学生模拟社会不同成员的角色，与学生讨论社会现象，在探索中实现教学目标；观看教学视频，以小组为单位分析案例，并分别上台汇报讨论结果，实现课堂互动。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家政服务沟通与礼仪</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掌握家政服务中的沟通技巧；了解家政服务各场景的礼仪规范，包括仪容仪表、言行举止、服务礼仪等。</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能够与客户进行高效、顺畅的沟通，准确理解客户需求并反馈服务情况；具备良好的礼仪素养，在不同家政服务场景中展现专业</w:t>
            </w:r>
            <w:r>
              <w:rPr>
                <w:rFonts w:hint="eastAsia" w:ascii="仿宋_GB2312" w:hAnsi="仿宋_GB2312" w:eastAsia="仿宋_GB2312" w:cs="仿宋_GB2312"/>
                <w:spacing w:val="-6"/>
                <w:sz w:val="24"/>
              </w:rPr>
              <w:t>、得体的服务形象；能协调处理服务过程中的沟通矛盾与礼仪问题。</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培养学生的职业素养和服务意识，树立 “以客户为中心” 的服务理念；提升学生的人际交往能力和团队协作能力，在服务中体现尊重与包容。</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通过规范的沟通与礼仪，引导学生树立职业自豪感，认识到家政服务是一份需要专业素养和尊重的职业；培养学生的诚信意识和责任意识，在沟通中做到真诚、守信，以优质服务赢得客户信任。</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职业道德与行为准则，包括遵纪守法、尊重隐私、诚信服务等。沟通技巧，语言表达规范、倾听与反馈技巧、跨文化沟通策略。礼仪规范，仪容仪表、行为举止、社交礼仪。实践模块场景模拟训练，如家庭矛盾调解、特殊群体沟通模拟。职业形象实训化妆技巧、职业装搭配、体态矫正等。案例分析通过真实服务案例解析沟通失误与礼仪失范问题。</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理论+实训+案例”三位一体模式，结合角色扮演、情景模拟、小组讨论等方法。引入多媒体教学资源增强直观性。学生需通过至少80%的实践课时参与，完成家庭场景服务模拟、职业形象设计等任务。定期组织行业专家讲座或企业实习，强化岗位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家政职业道德与法律法规</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掌握家政服务行业的职业道德规范；了解与家政服务相关的法律法规，如《民法典》中关于服务合同、人身权益保护的内容，家政服务行业相关条例等。</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能够在实际工作中遵守职业道德规范，规范自身服务行为；具备运用法律法规维护自身与客户合法权益的能力，能处理简单的家政服务法律纠纷。</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培养学生的职业道德素养，树立正确的职业价值观；增强学生的法律意识和法治观念，做到知法、守法、用法。</w:t>
            </w:r>
          </w:p>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通过职业道德教育，引导学生树立高尚的职业操守，认识到家政服务不仅是谋生手段，更是为家庭和社会做贡献的事业；以法律法规为准则，培养学生的规则意识和契约精神，维护家政服务市场的秩序与公平。</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职业道德模块，家政服务行业的基本道德规范；职业行为准则。法律法规模块，人身权益保护未成年人教育权、妇女权益、用工安全责任；财产权益保护，合同纠纷处理、侵权责任划分；劳动保障，劳动合同签订、工伤赔偿、劳动权益维护；刑法与民法，家政服务中可能涉及的刑事犯罪及民事诉讼流程。实践教学通过案例分析提升法律应用能力；角色扮演、模拟法庭等互动形式强化职业道德情境应对。</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职业道德情景模拟训练，使学生内化诚实守信、尊重隐私等职业操守；通过法律案例分析，培养学生准确识别和防范家政服务法律风险的能力；通过合同文书实操，使学生掌握规范的家政服务协议拟定技能；最终使学生能够依法合规开展家政服务工作，并具备运用法律手段维护各方合法权益的专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人力资源管理</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掌握人力资源管理的基本理论；了解家政服务行业人力资源管理的特点与需求。</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进行家政服务人员的招聘与选拔，制定招聘计划并开展招聘活动；具备设计家政员培训课程与方案的能力，组织实施培训并评估培训效果；能建立家政服务人员的绩效考核与薪酬体系，进行绩效评估与薪酬核算。</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培养学生的组织管理能力和全局观，从人力资源角度推动家政服务企业或团队的发展；提升学生的公平、公正意识，在人力资源管理中做到客观评价、合理激励。</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引导学生认识到人力资源是家政服务行业发展的核心要素，重视人才的培养与发展；培养学生的人本意识，在管理中尊重家政员的劳动与价值，营造和谐的劳资关系。</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人力资源管理概述，工作分析，员工招聘与录用，员工培训，员工职业生涯规划设计，员工绩效考核，薪酬管理，员工激励劳动合同。</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教师通过案例分析和小组讨论的形式，让学生深入理解人力资源管理的基本理念和方法。学生们在小组讨论中分享自己的观点，互相学习，增强了团队合作能力。这种互动式的教学方式，让学生在轻松愉快的氛围中掌握了人力资源管理的核心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9"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765" w:type="dxa"/>
            <w:vAlign w:val="center"/>
          </w:tcPr>
          <w:p>
            <w:pPr>
              <w:tabs>
                <w:tab w:val="left" w:pos="331"/>
              </w:tabs>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婴幼儿早期发展指导</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掌握婴幼儿早期发展的基本理论；了解婴幼儿早期教育的原则、方法与活动设计知识。</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能根据婴幼儿的发展阶段和特点，设计适合的早期教育活动；具备与婴幼儿及其家长进行有效沟通的能力，能为家长提供婴幼儿早期发展的指导与建议。</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培养学生对婴幼儿的关爱与尊重，遵循婴幼儿早期发展规律开展教育活动；提升学生的创造力和教育设计能力，在早期教育中激发婴幼儿的潜能。</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让学生认识到婴幼儿早期发展对其一生的重要性，培养学生的教育责任意识；通过科学的早期教育指导，引导学生树立正确的教育观，为国家培养健康、聪明的下一代贡献力量。</w:t>
            </w:r>
          </w:p>
        </w:tc>
        <w:tc>
          <w:tcPr>
            <w:tcW w:w="2721"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理论模块，婴幼儿发展基础生理特点、心理敏感期。早期教育理论，关键期理论、五大领域与八大智能、回应性照护框架。政策与评估，《婴幼儿早期发展服务指南》解读、发展风险评估工具应用。实训模块，活动设计，分龄段游戏案例，如大动作训练、精细动作。技能实操，音乐教育钢琴基础指法、奥尔夫乐器应用、儿歌弹唱。语言训练，看图讲述、情境表演、提问艺术。实习模块，幼儿园或早教中心见习，参与早教课程组织与环境创设。</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工学结合”模式，课堂讲授占40%，情境模拟占30%，实习实践占30%。运用案例分析、多媒体资源辅助教学。教师须具备育婴师资格及早教机构工作经验，能示范亲子互动技巧。配套资源，标准化评估工具包、亲子活动案例库、感统教具套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家政新媒体营销</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掌握新媒体营销的基本理论与方法，包括新媒体平台的特点与运营规则；了解家政服务行业新媒体营销的策略与技巧，如内容创作、账号运营、粉丝管理、流量转化等。</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能运营家政服务类新媒体账号，进行内容创作与发布；具备新媒体营销策划能力，能制定家政服务新媒体营销方案；能通过新媒体平台进行客户引流与转化，提升家政服务的知名度与业务量。</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培养学生的创新意识和互联网思维，适应新媒体时代的发展需求；提升学生的内容创作能力和营销能力，为家政行业拓展业务渠道。</w:t>
            </w:r>
          </w:p>
        </w:tc>
        <w:tc>
          <w:tcPr>
            <w:tcW w:w="2721" w:type="dxa"/>
          </w:tcPr>
          <w:p>
            <w:pPr>
              <w:overflowPunct w:val="0"/>
              <w:adjustRightIn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基础认知，家政行业新媒体矩阵布局策略，内容生产，家政服务对比视频脚本撰写，前后效果。类短视频制作，制作3分钟收纳服务改造全流程视频。渠道运营，小红书家政笔记排版设计，微信视频号直播话术设计</w:t>
            </w:r>
            <w:r>
              <w:rPr>
                <w:rFonts w:hint="eastAsia" w:ascii="仿宋_GB2312" w:hAnsi="仿宋_GB2312" w:eastAsia="仿宋_GB2312" w:cs="仿宋_GB2312"/>
                <w:sz w:val="24"/>
              </w:rPr>
              <w:tab/>
            </w:r>
            <w:r>
              <w:rPr>
                <w:rFonts w:hint="eastAsia" w:ascii="仿宋_GB2312" w:hAnsi="仿宋_GB2312" w:eastAsia="仿宋_GB2312" w:cs="仿宋_GB2312"/>
                <w:sz w:val="24"/>
              </w:rPr>
              <w:t>策划母婴护理主题直播活动。据优化，保洁订单转化漏斗分析</w:t>
            </w:r>
            <w:r>
              <w:rPr>
                <w:rFonts w:hint="eastAsia" w:ascii="仿宋_GB2312" w:hAnsi="仿宋_GB2312" w:eastAsia="仿宋_GB2312" w:cs="仿宋_GB2312"/>
                <w:spacing w:val="-6"/>
                <w:sz w:val="24"/>
              </w:rPr>
              <w:t>，客户满意度评价监测</w:t>
            </w:r>
            <w:r>
              <w:rPr>
                <w:rFonts w:hint="eastAsia" w:ascii="仿宋_GB2312" w:hAnsi="仿宋_GB2312" w:eastAsia="仿宋_GB2312" w:cs="仿宋_GB2312"/>
                <w:spacing w:val="-6"/>
                <w:sz w:val="24"/>
              </w:rPr>
              <w:tab/>
            </w:r>
            <w:r>
              <w:rPr>
                <w:rFonts w:hint="eastAsia" w:ascii="仿宋_GB2312" w:hAnsi="仿宋_GB2312" w:eastAsia="仿宋_GB2312" w:cs="仿宋_GB2312"/>
                <w:spacing w:val="-6"/>
                <w:sz w:val="24"/>
              </w:rPr>
              <w:t>使用千瓜数据优化保洁套餐推广。危机管理，服务纠纷的舆情应对，负面评价处理流程，模拟保姆服务差评公关方案。</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采用“真实企业工单”模式，如为合作家政公司完成季度涨粉目标，使用家政服务场景模拟系统进行虚拟直播训练。新媒体营销导论、平台、文案写作、技能、 引流、带货、数据分析等知识和技能。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765"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家庭营养与膳食指导</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掌握营养学基本理论，包括人体所需营养素的种类、功能及食物来源；了解不同人群的营养需求与膳食特点；熟悉常见疾病的膳食调理原则。</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能根据不同家庭成员的年龄、健康状况等，制定科学合理的家庭膳食计划；具备膳食搭配与食谱设计能力，能制作营养均衡、美味可口的家庭餐食；能对家庭膳食进行营养分析与指导，纠正不良饮食习惯。</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培养学生对健康饮食的重视，树立科学营养的膳食观念；提升学生的烹饪技能和创新能力，在膳食制作中体现对家人健康的关爱。</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让学生认识到合理膳食是保障家庭健康的基础，培养学生的家庭健康责任意识；通过推广健康饮食，引导学生关注社会大众的饮食健康，树立大健康理念。</w:t>
            </w:r>
          </w:p>
        </w:tc>
        <w:tc>
          <w:tcPr>
            <w:tcW w:w="2721"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涵盖基础营养学理论体系包括六大营养素的功能与食物来源、人体各生命周期的营养需求特点、中国居民膳食指南的核心要点解读、家庭膳食调查与评估方法、特殊生理状态的营养管理策略、常见慢性病的膳食调理方案、食品标签识别与安全选购技巧、家庭应急营养储备原则以及营养餐设计与烹饪技巧等实用知识模块。</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通过学习使学生巩固掌握营养学的基本知识和理论，了解不同年龄、性别、职业、体质、健康状况的人群对膳食营养的各自需求特点，掌握针对不同人群或个人进行科学配餐与食谱编制的知识以及宴会食谱设计。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9" w:type="dxa"/>
            <w:vAlign w:val="center"/>
          </w:tcPr>
          <w:p>
            <w:pPr>
              <w:overflowPunct w:val="0"/>
              <w:adjustRightInd w:val="0"/>
              <w:spacing w:line="320" w:lineRule="exact"/>
              <w:jc w:val="center"/>
              <w:rPr>
                <w:rFonts w:hint="eastAsia" w:ascii="仿宋_GB2312" w:hAnsi="仿宋_GB2312" w:eastAsia="仿宋_GB2312" w:cs="仿宋_GB2312"/>
                <w:sz w:val="24"/>
              </w:rPr>
            </w:pPr>
            <w:bookmarkStart w:id="36" w:name="_Toc90734977"/>
            <w:r>
              <w:rPr>
                <w:rFonts w:hint="eastAsia" w:ascii="仿宋_GB2312" w:hAnsi="仿宋_GB2312" w:eastAsia="仿宋_GB2312" w:cs="仿宋_GB2312"/>
                <w:sz w:val="24"/>
              </w:rPr>
              <w:t>10</w:t>
            </w:r>
          </w:p>
        </w:tc>
        <w:tc>
          <w:tcPr>
            <w:tcW w:w="765" w:type="dxa"/>
            <w:vAlign w:val="center"/>
          </w:tcPr>
          <w:p>
            <w:pPr>
              <w:overflowPunct w:val="0"/>
              <w:adjustRightInd w:val="0"/>
              <w:spacing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医疗急救</w:t>
            </w:r>
          </w:p>
        </w:tc>
        <w:tc>
          <w:tcPr>
            <w:tcW w:w="409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了解急救护理学基本概念、发展历程，掌握急救医学基本原则、工作流程及常见急救病例（如创伤、心搏骤停等）处理方法，明晰心肺复苏、止血、包扎等核心急救技能的操作原理与适用场景。</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能运用急救知识快速识别紧急情况，熟练规范操作心肺复苏、止血等技能；通过案例分析制定基础急救方案，具备独立应对常见紧急场景的实操与处置能力，满足应急救护基本需求。</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通过理论 + 案例 + 实操教学，形成急救医学综合素养，强化急救意识与应急反应能力，提升理论转化为实践的应用水平，为医疗相关职业或日常应急救护筑牢基础。</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树立 “生命至上” 的职业信仰与社会责任担当，培养沉着应变、严谨操作的急救态度，坚守医疗救护伦理与操作规范，以专业能力守护生命安全，传递医者仁心价值观。​</w:t>
            </w:r>
          </w:p>
        </w:tc>
        <w:tc>
          <w:tcPr>
            <w:tcW w:w="2721"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本课程介绍急救护理学的基本概念、原则和技能，帮助学生掌握急救护理的基本知识和技能，提高其应对紧急情况的能力。通过理论讲解、案例分析和实践操作等方式，培养学生在急救护理方面的综合素养。</w:t>
            </w:r>
          </w:p>
        </w:tc>
        <w:tc>
          <w:tcPr>
            <w:tcW w:w="2364"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对本门课程的学习，使学生了解急救护理学的基本概念和发展历程，掌握急救护理学的基本原则和流程，熟悉常见急救病例的处理方法，学习常见急救技能，如心肺复苏、止血等。同时，培养学生的急救意识和应对紧急情况的能力。</w:t>
            </w:r>
          </w:p>
        </w:tc>
      </w:tr>
    </w:tbl>
    <w:p>
      <w:pPr>
        <w:adjustRightInd w:val="0"/>
        <w:snapToGri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2.专业核心课程</w:t>
      </w:r>
      <w:bookmarkEnd w:id="36"/>
    </w:p>
    <w:p>
      <w:pPr>
        <w:widowControl/>
        <w:spacing w:after="0" w:line="52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专业核心课是面向家政服务员、育婴员和保育员、健康管理师、养老照护员、家政培训师等岗位（群），结合养老机构、幼儿园、医院等单位的管理岗位，</w:t>
      </w:r>
      <w:r>
        <w:rPr>
          <w:rFonts w:hint="eastAsia" w:ascii="仿宋_GB2312" w:hAnsi="仿宋_GB2312" w:eastAsia="仿宋_GB2312" w:cs="仿宋_GB2312"/>
          <w:sz w:val="32"/>
          <w:szCs w:val="32"/>
        </w:rPr>
        <w:t>建立</w:t>
      </w:r>
      <w:r>
        <w:rPr>
          <w:rFonts w:hint="eastAsia" w:ascii="仿宋_GB2312" w:hAnsi="仿宋_GB2312" w:eastAsia="仿宋_GB2312" w:cs="仿宋_GB2312"/>
          <w:spacing w:val="-2"/>
          <w:sz w:val="32"/>
          <w:szCs w:val="32"/>
        </w:rPr>
        <w:t>现代家政服务与管理（照护方向）</w:t>
      </w:r>
      <w:r>
        <w:rPr>
          <w:rFonts w:hint="eastAsia" w:ascii="仿宋_GB2312" w:hAnsi="仿宋_GB2312" w:eastAsia="仿宋_GB2312" w:cs="仿宋_GB2312"/>
          <w:sz w:val="32"/>
          <w:szCs w:val="32"/>
        </w:rPr>
        <w:t>专业核心课程，培养学生</w:t>
      </w:r>
      <w:r>
        <w:rPr>
          <w:rFonts w:hint="eastAsia" w:ascii="仿宋_GB2312" w:hAnsi="仿宋_GB2312" w:eastAsia="仿宋_GB2312" w:cs="仿宋_GB2312"/>
          <w:spacing w:val="-2"/>
          <w:sz w:val="32"/>
          <w:szCs w:val="32"/>
        </w:rPr>
        <w:t>家政服务与管理</w:t>
      </w:r>
      <w:r>
        <w:rPr>
          <w:rFonts w:hint="eastAsia" w:ascii="仿宋_GB2312" w:hAnsi="仿宋_GB2312" w:eastAsia="仿宋_GB2312" w:cs="仿宋_GB2312"/>
          <w:sz w:val="32"/>
          <w:szCs w:val="32"/>
        </w:rPr>
        <w:t>能力。包括</w:t>
      </w:r>
      <w:r>
        <w:rPr>
          <w:rFonts w:hint="eastAsia" w:ascii="仿宋_GB2312" w:hAnsi="仿宋_GB2312" w:eastAsia="仿宋_GB2312" w:cs="仿宋_GB2312"/>
          <w:kern w:val="0"/>
          <w:sz w:val="32"/>
          <w:szCs w:val="32"/>
          <w:lang w:bidi="ar"/>
        </w:rPr>
        <w:t>人体结构与功能、婴幼儿心理发展、家庭整理与收纳、家庭保健基础、家庭成员照护技术、家政培训实务</w:t>
      </w:r>
      <w:r>
        <w:rPr>
          <w:rFonts w:hint="eastAsia" w:ascii="仿宋_GB2312" w:hAnsi="仿宋_GB2312" w:eastAsia="仿宋_GB2312" w:cs="仿宋_GB2312"/>
          <w:spacing w:val="-4"/>
          <w:sz w:val="32"/>
          <w:szCs w:val="32"/>
        </w:rPr>
        <w:t>等课程。</w:t>
      </w:r>
    </w:p>
    <w:p>
      <w:pPr>
        <w:overflowPunct w:val="0"/>
        <w:adjustRightInd w:val="0"/>
        <w:spacing w:line="520" w:lineRule="exact"/>
        <w:jc w:val="center"/>
        <w:rPr>
          <w:rFonts w:hint="eastAsia" w:ascii="仿宋_GB2312" w:hAnsi="仿宋_GB2312" w:eastAsia="仿宋_GB2312" w:cs="仿宋_GB2312"/>
          <w:sz w:val="32"/>
          <w:szCs w:val="32"/>
        </w:rPr>
      </w:pPr>
    </w:p>
    <w:p>
      <w:pPr>
        <w:overflowPunct w:val="0"/>
        <w:adjustRightInd w:val="0"/>
        <w:spacing w:line="520" w:lineRule="exact"/>
        <w:jc w:val="center"/>
        <w:rPr>
          <w:rFonts w:hint="eastAsia" w:ascii="仿宋_GB2312" w:hAnsi="仿宋_GB2312" w:eastAsia="仿宋_GB2312" w:cs="仿宋_GB2312"/>
          <w:sz w:val="32"/>
          <w:szCs w:val="32"/>
        </w:rPr>
      </w:pPr>
    </w:p>
    <w:p>
      <w:pPr>
        <w:overflowPunct w:val="0"/>
        <w:adjustRightInd w:val="0"/>
        <w:spacing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表4 专业核心课课程目标、主要教学内容与要求</w:t>
      </w:r>
    </w:p>
    <w:tbl>
      <w:tblPr>
        <w:tblStyle w:val="101"/>
        <w:tblW w:w="10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6" w:type="dxa"/>
          <w:left w:w="96" w:type="dxa"/>
          <w:bottom w:w="56" w:type="dxa"/>
          <w:right w:w="96" w:type="dxa"/>
        </w:tblCellMar>
      </w:tblPr>
      <w:tblGrid>
        <w:gridCol w:w="792"/>
        <w:gridCol w:w="743"/>
        <w:gridCol w:w="4008"/>
        <w:gridCol w:w="2800"/>
        <w:gridCol w:w="2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序号</w:t>
            </w:r>
          </w:p>
        </w:tc>
        <w:tc>
          <w:tcPr>
            <w:tcW w:w="743" w:type="dxa"/>
            <w:vAlign w:val="center"/>
          </w:tcPr>
          <w:p>
            <w:pPr>
              <w:snapToGrid w:val="0"/>
              <w:spacing w:after="0" w:line="32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课程名称</w:t>
            </w:r>
          </w:p>
        </w:tc>
        <w:tc>
          <w:tcPr>
            <w:tcW w:w="4008" w:type="dxa"/>
            <w:vAlign w:val="center"/>
          </w:tcPr>
          <w:p>
            <w:pPr>
              <w:snapToGrid w:val="0"/>
              <w:spacing w:after="0" w:line="32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课程教学目标</w:t>
            </w:r>
          </w:p>
        </w:tc>
        <w:tc>
          <w:tcPr>
            <w:tcW w:w="2800" w:type="dxa"/>
            <w:vAlign w:val="center"/>
          </w:tcPr>
          <w:p>
            <w:pPr>
              <w:snapToGrid w:val="0"/>
              <w:spacing w:after="0" w:line="32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课程教学内容</w:t>
            </w:r>
          </w:p>
        </w:tc>
        <w:tc>
          <w:tcPr>
            <w:tcW w:w="2563" w:type="dxa"/>
            <w:vAlign w:val="center"/>
          </w:tcPr>
          <w:p>
            <w:pPr>
              <w:snapToGrid w:val="0"/>
              <w:spacing w:after="0" w:line="320" w:lineRule="exact"/>
              <w:jc w:val="center"/>
              <w:rPr>
                <w:rFonts w:hint="eastAsia" w:ascii="仿宋_GB2312" w:hAnsi="仿宋_GB2312" w:eastAsia="仿宋_GB2312" w:cs="仿宋_GB2312"/>
                <w:bCs/>
                <w:sz w:val="24"/>
              </w:rPr>
            </w:pPr>
            <w:r>
              <w:rPr>
                <w:rFonts w:hint="eastAsia" w:ascii="仿宋_GB2312" w:hAnsi="仿宋_GB2312" w:eastAsia="仿宋_GB2312" w:cs="仿宋_GB2312"/>
                <w:bCs/>
                <w:sz w:val="24"/>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43" w:type="dxa"/>
            <w:vAlign w:val="center"/>
          </w:tcPr>
          <w:p>
            <w:pPr>
              <w:overflowPunct w:val="0"/>
              <w:adjustRightInd w:val="0"/>
              <w:snapToGri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人体结构与功能</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掌握人体各系统的基本结构和功能；了解人体正常生理活动规律及常见生理现象的原理。</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能够运用人体结构与功能知识，为家政服务中的老年人护理、婴幼儿照料等工作提供科学依据；具备初步识别常见身体异常状况的能力。</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培养学生的科学素养和严谨态度，明白家政服务中涉及人体健康的工作需遵循科学规律；增强学生对生命的尊重与关爱意识，提升护理服务的责任心。</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引导学生认识到人体结构与功能的复杂性和神奇性，激发学生对生命科学的敬畏与探索精神；培养学生的人道主义精神，在为服务对象提供护理等服务时，充满爱心与耐心，尊重生命、呵护健康。</w:t>
            </w:r>
          </w:p>
        </w:tc>
        <w:tc>
          <w:tcPr>
            <w:tcW w:w="2800"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本课程涵盖了人体解剖学、组织胚胎学、分子生物学、生理学、生物化学、医学微生物学、医学免疫学、人体寄生虫学、机体病理学九门学科的基础内容。</w:t>
            </w:r>
          </w:p>
        </w:tc>
        <w:tc>
          <w:tcPr>
            <w:tcW w:w="2563"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通过案例分析，学生能够学习如何将医学知识与患者的情感需求结合，培养出更具同理心的医疗工作者。这样的教学方式，不仅加深了学生对医学知识的理解，也让他们意识到医学不仅仅是科学，更是一种关怀。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43" w:type="dxa"/>
            <w:vAlign w:val="center"/>
          </w:tcPr>
          <w:p>
            <w:pPr>
              <w:overflowPunct w:val="0"/>
              <w:adjustRightInd w:val="0"/>
              <w:snapToGri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婴幼儿心理发展</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掌握婴幼儿心理发展的基本理论；了解婴幼儿常见心理问题的表现与成因，如分离焦虑、任性等。</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能够根据婴幼儿心理发展特点，设计适合的早期教育与游戏活动；具备识别婴幼儿异常心理表现并进行初步引导干预的能力；能与婴幼儿及其家长进行有效的沟通，反馈婴幼儿心理发展情况。</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培养学生对婴幼儿的爱心、耐心与责任心，尊重婴幼儿的心理发展规律；提升学生的观察能力和共情能力，更好地理解婴幼儿的内心世界。</w:t>
            </w:r>
          </w:p>
          <w:p>
            <w:pPr>
              <w:overflowPunct w:val="0"/>
              <w:adjustRightInd w:val="0"/>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让学生认识到婴幼儿是家庭和社会的未来，关注婴幼儿心理发展是为国家培养健康下一代的重要环节，增强学生的使命感；通过关爱婴幼儿心理，引导学生树立尊重生命、呵护成长的价值观。</w:t>
            </w:r>
          </w:p>
        </w:tc>
        <w:tc>
          <w:tcPr>
            <w:tcW w:w="2800" w:type="dxa"/>
          </w:tcPr>
          <w:p>
            <w:pPr>
              <w:overflowPunct w:val="0"/>
              <w:adjustRightInd w:val="0"/>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基础理论模块，婴幼儿心理发展的研究对象、影响因素及年龄特征12；相关理论学说。发展领域模块，认知发展感知觉、注意、记忆、思维的发展规律及启蒙方法；动作发展粗大动作与精细动作的训练策略及安全指导；言语发展前言语阶段特征、语音/语义/语法发展规律及促进策略；情绪与社会性，依恋类型、同伴关系、亲社会行为培养及情绪调控方法；个性发展，自我意识、气质类型及个性化教养策略。实践应用模块，心理健康评估工具的应用；心理干预方法的操作实例。</w:t>
            </w:r>
          </w:p>
        </w:tc>
        <w:tc>
          <w:tcPr>
            <w:tcW w:w="2563" w:type="dxa"/>
          </w:tcPr>
          <w:p>
            <w:pPr>
              <w:overflowPunct w:val="0"/>
              <w:adjustRightInd w:val="0"/>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案例分析、情景模拟、小组讨论等互动形式，增强实践能力；结合婴幼儿成长视频或实际观察，分析行为特点与心理机制。重点婴幼儿各领域发展的关键期及规律，如依恋形成阶段、动作发展顺序；难点理论联系实际，如运用心理学原理设计个性化教育活动。考核要求，理论考核掌握发展规律及理论流派的核心观点；实践考核能够设计符合婴幼儿年龄特点的训练活动并实施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43"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家庭整理与收纳</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掌握不同空间的整理收纳原则与方法；了解各类物品的收纳技巧及工具使用知识。</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能为不同户型、不同需求的家庭制定个性化整理收纳方案；具备高效、有序整理收纳家庭物品的实操能力，能合理利用空间和收纳工具。</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培养学生耐心、细致的工作态度，以及对家居环境美学的感知力；提升学生的规划能力和空间利用意识，在整理收纳中体现对生活品质的追求。</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引导学生认识到家庭整理与收纳不仅是美化环境，更是营造温馨、有序家庭氛围的重要方式，培养学生对家庭的热爱与责任感；通过整理收纳的有序性，培养学生的规则意识和条理性。</w:t>
            </w:r>
          </w:p>
        </w:tc>
        <w:tc>
          <w:tcPr>
            <w:tcW w:w="2800"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础理论与方法，分类与整理原则，按材质、季节、用途分类，学习折叠、堆叠等技巧。工具与空间规划，认识收纳工具，掌握小空间优化、多功能收纳策略。实践操作模块场景化收纳，涵盖玄关、客厅、厨房等空间，结合案例模拟实际收纳流程。环保实践旧物改造、循环利用方法，强化资源节约理念。综合能力提升上门服务模拟，学习客户需求分析、方案交付标准，培养职业化服务能力。创新设计结合美学与实用性，设计“五有”收纳方案。</w:t>
            </w:r>
          </w:p>
        </w:tc>
        <w:tc>
          <w:tcPr>
            <w:tcW w:w="2563"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采用多元化教学，案例分析法、角色扮演、实验法。强调实践与互动，通过收纳比赛、成果展示提升参与度，结合社区服务项目深化应用能力。观察课堂参与度、收纳方案设计质量，定期进行知识测验。需完成家庭/社区收纳实践任务，提交对比照片及反思日记。对接家政服务职业标准，培养复合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43" w:type="dxa"/>
            <w:vAlign w:val="center"/>
          </w:tcPr>
          <w:p>
            <w:pPr>
              <w:overflowPunct w:val="0"/>
              <w:adjustRightInd w:val="0"/>
              <w:snapToGri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家庭保健基础</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掌握人体各系统基础保健知识；了解不同年龄阶段人群的保健要点。</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能够为不同家庭成员制定个性化的家庭保健方案；具备家庭常见小病痛的初步处理能力；能指导家庭成员进行简单的保健运动与康复训练。</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培养学生对生命健康的敬畏与关爱之心，树立科学保健的意识；提升学生细致、耐心的服务品质，在家庭保健服务中体现人文关怀。</w:t>
            </w:r>
          </w:p>
          <w:p>
            <w:pPr>
              <w:overflowPunct w:val="0"/>
              <w:adjustRightInd w:val="0"/>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引导学生认识到家庭保健是守护家人健康、促进家庭幸福的重要工作，培养学生的家庭责任感和社会责任感；从关爱家庭成员健康延伸到对社会大众健康的关注，树立大健康理念。</w:t>
            </w:r>
          </w:p>
        </w:tc>
        <w:tc>
          <w:tcPr>
            <w:tcW w:w="2800" w:type="dxa"/>
          </w:tcPr>
          <w:p>
            <w:pPr>
              <w:overflowPunct w:val="0"/>
              <w:adjustRightInd w:val="0"/>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现代医疗保健技术模块，智能设备应用，健康监测设备的使用与数据分析。医疗知识基础，常见慢性病的家庭管理。家庭安全与应急处理模块事故预防，用电、燃气、火灾等隐患的识别与排查。急救技能，心肺复苏、创伤处理、中毒应急措施。健康生活方式模块营养与膳食，科学配餐、特殊人群饮食管理。中医保健，推拿按摩、穴位保健等传统疗法的应用。家居环境优化模块污染源控制，装修污染、空气质量的检测与改善。空间规划，功能性家居布局。</w:t>
            </w:r>
          </w:p>
        </w:tc>
        <w:tc>
          <w:tcPr>
            <w:tcW w:w="2563"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理论与实践结合，通过案例分析强化实操能力。要求完成健康管理计划书、家居安全排查报告等实践作业。技术工具应用，掌握现代医疗设备操作及数据分析软件的使用。学习使用环保检测工具评估家居环境。</w:t>
            </w:r>
          </w:p>
          <w:p>
            <w:pPr>
              <w:snapToGrid w:val="0"/>
              <w:spacing w:after="0" w:line="320" w:lineRule="exact"/>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43" w:type="dxa"/>
            <w:vAlign w:val="center"/>
          </w:tcPr>
          <w:p>
            <w:pPr>
              <w:overflowPunct w:val="0"/>
              <w:adjustRightInd w:val="0"/>
              <w:snapToGrid w:val="0"/>
              <w:spacing w:after="0" w:line="32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家庭成员照护技术</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掌握婴幼儿、老年人、孕产妇等不同家庭成员的照护知识，了解照护过程中的安全防护知识与急救技能。</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能为婴幼儿进行日常护理、健康观察与常见问题处理；具备老年人日常照护能力，包括生活照料、健康监测、康复辅助等；能为孕产妇提供孕期、产后的护理与健康指导。</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培养学生的爱心、耐心与责任心，尊重照护对象的需求与感受；提升学生的观察能力和应急处理能力，在照护过程中体现人文关怀。</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引导学生认识到家庭成员照护是维系家庭亲情、促进家庭和谐的重要工作，培养学生的家庭伦理观念和亲情意识；通过照护不同家庭成员，培养学生的尊老爱幼、关爱他人的传统美德。</w:t>
            </w:r>
          </w:p>
        </w:tc>
        <w:tc>
          <w:tcPr>
            <w:tcW w:w="2800"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家庭保健护理的概念和重要性；常见家庭保健护理技能、卫生习惯，了解均衡饮食的重要性，学习选择健康食材和烹饪方法等、心理健康，了解心理健康问题，并学习应对压力和情绪管理的方法等。</w:t>
            </w:r>
          </w:p>
        </w:tc>
        <w:tc>
          <w:tcPr>
            <w:tcW w:w="2563"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生命体征的测量及护理， 家庭环境感染与防控。家庭成员的舒适与安全，家庭成员的休息与活动，常用抢救技术，常见慢性疾病家庭照护。通过讲授、演示、录像、练习、自学、讨论、角色扮演等使学生建立整体观念。培养科学的护理思维方法，理解掌握护理程序的步骤，培养评判性思维能力。掌握护理的基本理论、知识和技能，加强实践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jc w:val="center"/>
        </w:trPr>
        <w:tc>
          <w:tcPr>
            <w:tcW w:w="792" w:type="dxa"/>
            <w:vAlign w:val="center"/>
          </w:tcPr>
          <w:p>
            <w:pPr>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743" w:type="dxa"/>
            <w:vAlign w:val="center"/>
          </w:tcPr>
          <w:p>
            <w:pPr>
              <w:overflowPunct w:val="0"/>
              <w:adjustRightInd w:val="0"/>
              <w:snapToGri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家政培训实务</w:t>
            </w:r>
          </w:p>
        </w:tc>
        <w:tc>
          <w:tcPr>
            <w:tcW w:w="4008"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掌握家政培训的基本理论与方法；了解家政服务各领域的培训内容与要点。</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进行家政培训需求调研与分析，制定针对性的培训计划；具备家政培训课程设计与开发能力，能设计实用、有效的培训课程；能开展家政培训教学活动，运用多种教学方法提升培训效果；能对家政培训效果进行评估与反馈，持续改进培训工作。</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培养学生的组织管理能力和教学能力，提升专业素养；增强学生的服务意识和责任感，为家政行业培养优质人才。</w:t>
            </w:r>
          </w:p>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引导学生认识到家政培训是提升家政服务行业整体水平的关键，培养学生的行业发展责任意识；通过培训工作，传递专业、敬业的职业精神，推动家政行业的规范化、职业化发展。</w:t>
            </w:r>
          </w:p>
        </w:tc>
        <w:tc>
          <w:tcPr>
            <w:tcW w:w="2800"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全面涵盖现代家政服务行业标准与职业规范、家居清洁与消毒标准化操作流程、科学收纳与空间规划方法、不同年龄段家庭成员照护要点、家庭膳食营养搭配与烹饪技巧、家用电器安全使用与维护、服务礼仪与沟通技巧、突发事件应急处理、家政服务质量管理等实务操作内容，并结合真实案例进行技能强化训练。</w:t>
            </w:r>
          </w:p>
        </w:tc>
        <w:tc>
          <w:tcPr>
            <w:tcW w:w="2563" w:type="dxa"/>
          </w:tcPr>
          <w:p>
            <w:pPr>
              <w:snapToGrid w:val="0"/>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使学生通过全部教学内容的学习，掌握家政服务与管理的基本理论，达到能够运用家政服务与管理的方法和艺术，去解决工作中实际问题的能力，并能够运用家政管理与服务的知识为有需要的人服务。风格培养，PPT 制作与展示，对学员思想、 感受、行为的设计，课堂互动技巧，语言训练等知识和技能。</w:t>
            </w:r>
          </w:p>
        </w:tc>
      </w:tr>
    </w:tbl>
    <w:p>
      <w:pPr>
        <w:adjustRightInd w:val="0"/>
        <w:snapToGrid w:val="0"/>
        <w:spacing w:after="0" w:line="520" w:lineRule="exact"/>
        <w:ind w:firstLine="640" w:firstLineChars="200"/>
        <w:rPr>
          <w:rFonts w:hint="eastAsia" w:ascii="仿宋_GB2312" w:hAnsi="仿宋_GB2312" w:eastAsia="仿宋_GB2312" w:cs="仿宋_GB2312"/>
          <w:sz w:val="32"/>
          <w:szCs w:val="32"/>
        </w:rPr>
      </w:pPr>
    </w:p>
    <w:p>
      <w:pPr>
        <w:adjustRightInd w:val="0"/>
        <w:snapToGri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3.专业拓展课程</w:t>
      </w:r>
    </w:p>
    <w:p>
      <w:pPr>
        <w:widowControl/>
        <w:spacing w:after="0"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专业拓展课程是按照岗位迁移，根据</w:t>
      </w:r>
      <w:r>
        <w:rPr>
          <w:rFonts w:hint="eastAsia" w:ascii="仿宋_GB2312" w:hAnsi="仿宋_GB2312" w:eastAsia="仿宋_GB2312" w:cs="仿宋_GB2312"/>
          <w:spacing w:val="-2"/>
          <w:sz w:val="32"/>
          <w:szCs w:val="32"/>
        </w:rPr>
        <w:t>家政行业</w:t>
      </w:r>
      <w:r>
        <w:rPr>
          <w:rFonts w:hint="eastAsia" w:ascii="仿宋_GB2312" w:hAnsi="仿宋_GB2312" w:eastAsia="仿宋_GB2312" w:cs="仿宋_GB2312"/>
          <w:sz w:val="32"/>
          <w:szCs w:val="32"/>
        </w:rPr>
        <w:t>发展的趋势，通过企业用人需求调研，依据企业对</w:t>
      </w:r>
      <w:r>
        <w:rPr>
          <w:rFonts w:hint="eastAsia" w:ascii="仿宋_GB2312" w:hAnsi="仿宋_GB2312" w:eastAsia="仿宋_GB2312" w:cs="仿宋_GB2312"/>
          <w:spacing w:val="-2"/>
          <w:sz w:val="32"/>
          <w:szCs w:val="32"/>
        </w:rPr>
        <w:t>具备专业技能和资质的家政人才</w:t>
      </w:r>
      <w:r>
        <w:rPr>
          <w:rFonts w:hint="eastAsia" w:ascii="仿宋_GB2312" w:hAnsi="仿宋_GB2312" w:eastAsia="仿宋_GB2312" w:cs="仿宋_GB2312"/>
          <w:sz w:val="32"/>
          <w:szCs w:val="32"/>
        </w:rPr>
        <w:t>日益增加的市场需求实际状况，建立了</w:t>
      </w:r>
      <w:r>
        <w:rPr>
          <w:rFonts w:hint="eastAsia" w:ascii="仿宋_GB2312" w:hAnsi="仿宋_GB2312" w:eastAsia="仿宋_GB2312" w:cs="仿宋_GB2312"/>
          <w:spacing w:val="-2"/>
          <w:sz w:val="32"/>
          <w:szCs w:val="32"/>
        </w:rPr>
        <w:t>现代家政服务与管理（照护方向）</w:t>
      </w:r>
      <w:r>
        <w:rPr>
          <w:rFonts w:hint="eastAsia" w:ascii="仿宋_GB2312" w:hAnsi="仿宋_GB2312" w:eastAsia="仿宋_GB2312" w:cs="仿宋_GB2312"/>
          <w:sz w:val="32"/>
          <w:szCs w:val="32"/>
        </w:rPr>
        <w:t>专业拓展课，并将辅修方向课程纳入其中。由</w:t>
      </w:r>
      <w:r>
        <w:rPr>
          <w:rFonts w:hint="eastAsia" w:ascii="仿宋_GB2312" w:hAnsi="仿宋_GB2312" w:eastAsia="仿宋_GB2312" w:cs="仿宋_GB2312"/>
          <w:kern w:val="0"/>
          <w:sz w:val="32"/>
          <w:szCs w:val="32"/>
          <w:lang w:bidi="ar"/>
        </w:rPr>
        <w:t>家宴策划与组织、家居空间规划、家庭环境与美化、插花与茶艺、产后恢复、亲子教育、婴幼儿玩教具与游戏、现代教育技术、家政资讯管理、家政电子商务实务、家政企业经营与管理、家庭服务营销、婴幼儿艺术启蒙</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val="en-US" w:eastAsia="zh-CN" w:bidi="ar"/>
        </w:rPr>
        <w:t>习近平经济思想概论</w:t>
      </w:r>
      <w:r>
        <w:rPr>
          <w:rFonts w:hint="eastAsia" w:ascii="仿宋_GB2312" w:hAnsi="仿宋_GB2312" w:eastAsia="仿宋_GB2312" w:cs="仿宋_GB2312"/>
          <w:sz w:val="32"/>
          <w:szCs w:val="32"/>
        </w:rPr>
        <w:t>等课程构成专业拓展课。</w:t>
      </w:r>
    </w:p>
    <w:p>
      <w:pPr>
        <w:overflowPunct w:val="0"/>
        <w:adjustRightInd w:val="0"/>
        <w:spacing w:line="520" w:lineRule="exact"/>
        <w:jc w:val="center"/>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表5 专业拓展课课程目标、主要教学内容与要求</w:t>
      </w:r>
    </w:p>
    <w:tbl>
      <w:tblPr>
        <w:tblStyle w:val="101"/>
        <w:tblW w:w="10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925"/>
        <w:gridCol w:w="3304"/>
        <w:gridCol w:w="3129"/>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925"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3304"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课程教学目标</w:t>
            </w:r>
          </w:p>
        </w:tc>
        <w:tc>
          <w:tcPr>
            <w:tcW w:w="3129"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课程教学内容</w:t>
            </w:r>
          </w:p>
        </w:tc>
        <w:tc>
          <w:tcPr>
            <w:tcW w:w="2739"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家宴策划与组织</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掌握家宴策划的基本流程；了解不同类型家宴的特点与策划要点；熟悉家宴餐饮搭配、成本核算等知识。</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能根据客户需求和家庭情况，制定个性化的家宴策划方案；具备家宴场地布置、菜单设计与成本控制的能力；能组织协调家宴筹备与实施过程中的各项工作，确保家宴顺利进行。</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培养学生的策划能力和统筹协调能力，提升对生活品质的追求；增强学生的服务意识和责任感，在策划与组织家宴中体现对家人或客户的关爱。</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引导学生认识到家宴是家庭情感交流、传承家庭文化的重要载体，培养学生的家庭情感意识和文化传承意识；通过精心策划家宴，传递对家人的爱与尊重，营造和谐家庭氛围。</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课程内容涵盖家宴类型与主题定位策略、中西式宴会礼仪文化比较、菜单设计与营养搭配原则、酒水搭配知识与侍酒技巧、餐桌艺术与场景布置方法、宾客动线设计与座次安排、预算编制与成本控制技巧、食材采购与储存要点、厨房工作流程优化、服务人员管理与培训、应急预案制定等专业内容，并结合实际案例进行全流程模拟训练。</w:t>
            </w:r>
          </w:p>
        </w:tc>
        <w:tc>
          <w:tcPr>
            <w:tcW w:w="2739" w:type="dxa"/>
          </w:tcPr>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理论教学通过课堂讲授、案例分析等方式，传授家宴策划与组织的理论知识。实践教学安排实训课程，让学生在实际操作中掌握家宴策划与组织的技能，如模拟家宴策划、实地布置等。小组协作学习以小组形式开展学习项目，培养学生的团队协作精神和沟通能力。现场教学组织学生到酒店、餐厅等场所进行现场教学，了解实际家宴的策划与组织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7" w:hRule="atLeast"/>
          <w:jc w:val="center"/>
        </w:trPr>
        <w:tc>
          <w:tcPr>
            <w:tcW w:w="703" w:type="dxa"/>
            <w:vAlign w:val="center"/>
          </w:tcPr>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p>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家居空间规划</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掌握家居空间规划的基本原理；了解不同户型的空间规划要点；熟悉家居空间规划与人体工程学、家居风格的关系。</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家庭人员结构、生活习惯等，进行家居空间功能分区与动线设计；具备家具布局与空间利用优化的能力，能为不同户型的家庭制定合理的空间规划方案；能结合家居风格进行空间规划，提升家居空间的美观与实用性。</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培养学生的空间感知能力和设计思维，提升对家居环境的审美水平；增强学生的实用主义意识，在空间规划中体现对生活便利性的追求。</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引导学生认识到家居空间规划是营造舒适、温馨家庭环境的基础，培养学生的家庭归属感和对美好生活的向往；通过合理规划空间，传递节约资源、合理利用空间的理念，树立环保意识。</w:t>
            </w:r>
          </w:p>
        </w:tc>
        <w:tc>
          <w:tcPr>
            <w:tcW w:w="3129" w:type="dxa"/>
          </w:tcPr>
          <w:p>
            <w:pPr>
              <w:widowControl/>
              <w:spacing w:after="0" w:line="300" w:lineRule="exact"/>
              <w:rPr>
                <w:rFonts w:hint="eastAsia" w:ascii="仿宋_GB2312" w:hAnsi="仿宋_GB2312" w:eastAsia="仿宋_GB2312" w:cs="仿宋_GB2312"/>
                <w:spacing w:val="-6"/>
                <w:sz w:val="24"/>
                <w:shd w:val="clear" w:color="auto" w:fill="FFFFFF"/>
              </w:rPr>
            </w:pPr>
            <w:r>
              <w:rPr>
                <w:rFonts w:hint="eastAsia" w:ascii="仿宋_GB2312" w:hAnsi="仿宋_GB2312" w:eastAsia="仿宋_GB2312" w:cs="仿宋_GB2312"/>
                <w:sz w:val="24"/>
                <w:shd w:val="clear" w:color="auto" w:fill="FFFFFF"/>
              </w:rPr>
              <w:t>家居空间设计理论，包括住宅室内设计的概念、住宅空间的历史演变、住宅室内设计的设计特点、现代住宅空间的主要功能空间、现代住宅空间室内设计的设计风格、室内设计的装饰手段、设计中的感官尺度、空间的界定方式、材料认知等内容，设计规范与标准，介绍室内设计制图规范、人体工程学在室内设计中的应用等知识，使学生能够按照国家标准正确而快速绘图。实践操作家居空间尺度调研，让学生了解家具尺度，学会用自身肢体感受尺度，掌握常用家具的尺寸；学习居住功能空间的尺度，学习居住空间各功能空间的关系和组合方式；了解家居空间的界面处理和细部处理，居住空间室内设计实</w:t>
            </w:r>
            <w:r>
              <w:rPr>
                <w:rFonts w:hint="eastAsia" w:ascii="仿宋_GB2312" w:hAnsi="仿宋_GB2312" w:eastAsia="仿宋_GB2312" w:cs="仿宋_GB2312"/>
                <w:spacing w:val="-6"/>
                <w:sz w:val="24"/>
                <w:shd w:val="clear" w:color="auto" w:fill="FFFFFF"/>
              </w:rPr>
              <w:t>践，学生运用所学的家居空间设计理论展开设计，进行平面布局规划、流线设计以及相应的设计成果表达，涵盖绘制施工图纸、效果图等。</w:t>
            </w:r>
          </w:p>
          <w:p>
            <w:pPr>
              <w:widowControl/>
              <w:spacing w:after="0" w:line="300" w:lineRule="exact"/>
              <w:rPr>
                <w:rFonts w:hint="eastAsia" w:ascii="仿宋_GB2312" w:hAnsi="仿宋_GB2312" w:eastAsia="仿宋_GB2312" w:cs="仿宋_GB2312"/>
                <w:spacing w:val="-6"/>
                <w:sz w:val="24"/>
                <w:shd w:val="clear" w:color="auto" w:fill="FFFFFF"/>
              </w:rPr>
            </w:pPr>
          </w:p>
        </w:tc>
        <w:tc>
          <w:tcPr>
            <w:tcW w:w="2739" w:type="dxa"/>
          </w:tcPr>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学生应具备一定的专业设计基础知识，掌握相关的专业设计软件，要求学生具备相应的设计制图基础和初步的对于设计和空间的理解。学生需根据环境需要确定自己的学习目标，并主动地通过搜集信息、分析信息、讨论、实践、质疑、创造等方法来实现学习目标，培养自主学习能力。</w:t>
            </w:r>
          </w:p>
          <w:p>
            <w:pPr>
              <w:spacing w:after="0" w:line="300" w:lineRule="exact"/>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家庭环境与美化</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掌握家庭环境美化的基本原理；了解不同家居风格的环境美化特点与方法；熟悉家庭环境卫生与安全知识。</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家居风格和家庭需求，进行家庭环境色彩搭配与装饰布置；具备家庭绿植选择与布置、软装搭配的能力，提升家庭环境的美观度；能进行家庭环境卫生清洁与维护，选择环保安全的家居用品，营造健康的家庭环境。</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培养学生的审美能力和动手能力，提升对家庭环境的热爱；增强学生的环保意识和健康意识，在家庭环境美化中注重环保与健康。</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引导学生认识到美化家庭环境是创造美好生活的重要方式，培养学生的生活情趣和对幸福生活的追求；通过选择环保材料、营造健康环境，传递绿色生活、健康生活的理念，树立可持续发展意识。</w:t>
            </w:r>
          </w:p>
        </w:tc>
        <w:tc>
          <w:tcPr>
            <w:tcW w:w="3129" w:type="dxa"/>
          </w:tcPr>
          <w:p>
            <w:pPr>
              <w:widowControl/>
              <w:shd w:val="clear" w:color="auto" w:fill="FFFFFF"/>
              <w:spacing w:after="0" w:line="300" w:lineRule="exact"/>
              <w:outlineLvl w:val="2"/>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家庭环境基础，介绍家庭环境的定义、范畴，包括室内空间布局、装饰风格、色彩搭配等方面。讲解家庭环境对居住者身心健康、生活质量的影响。家居布置方法，引导学生合理规划家居空间，如不同功能区域的划分和布局。教授家居布置的基本技巧，如家具的选择与摆放、物品的收纳整理等。家居美化元素，介绍家居绿化知识，包括适合室内种植的植物种类、养护方法，以及如何用植物点缀家居。讲解家居装饰的艺术，如使用剪纸、布艺、泥塑、插花等工艺作品装点家居的方法和技巧。探讨家居色彩搭配原则，如何根据不同的房间功能和个人喜好选择合适的色彩方案。实践操作与案例分析，安排学生进行家居美化实践活动，如设计家居布置方案、实际动手布置自己的居室等。分析优秀的家居环境布置案例，总结经验，激发学生的创意和灵感。</w:t>
            </w:r>
          </w:p>
        </w:tc>
        <w:tc>
          <w:tcPr>
            <w:tcW w:w="2739" w:type="dxa"/>
          </w:tcPr>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学生应积极参与课堂讨论和实践活动，主动思考，大胆表达自己的观点和想法。认真完成教师布置的作业和实践任务，如家居布置方案设计、实际动手美化家居等，不断提高自己的动手能力和实践能力。在小组合作中，学生要学会倾听他人的意见，尊重他人的想法，积极与小组成员沟通协作，共同完成学习任务。学生要将所学知识运用到实际生活中，养成良好的家居整理和美化习惯，提高家庭环境质量。</w:t>
            </w:r>
          </w:p>
          <w:p>
            <w:pPr>
              <w:spacing w:after="0" w:line="300" w:lineRule="exact"/>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0"/>
                <w:sz w:val="24"/>
                <w:lang w:bidi="ar"/>
              </w:rPr>
              <w:t>插花与茶艺</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掌握插花的基本理论；了解不同插花风格的特点与创作方法；熟悉茶艺的基本理论。</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能根据不同场景和需求，进行插花创作，掌握基本的插花技巧；具备茶艺表演与品茶能力，能熟练冲泡不同种类的茶叶，展示良好的品茶礼仪；能将插花与茶艺结合，营造优雅的家庭生活氛围。</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培养学生的艺术修养和审美情趣，提升对生活美学的感知；增强学生的耐心和专注力，在插花与茶艺中体会慢生活的乐趣。</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引导学生认识到插花与茶艺是中国传统文化的重要组成部分，培养学生的文化自信和对传统文化的热爱</w:t>
            </w:r>
            <w:r>
              <w:rPr>
                <w:rFonts w:hint="eastAsia" w:ascii="仿宋_GB2312" w:hAnsi="仿宋_GB2312" w:eastAsia="仿宋_GB2312" w:cs="仿宋_GB2312"/>
                <w:spacing w:val="-6"/>
                <w:sz w:val="24"/>
              </w:rPr>
              <w:t>；通过插花与茶艺活动，传递宁静、和谐、优雅的生活态度，提升学生的人文素养。</w:t>
            </w:r>
          </w:p>
        </w:tc>
        <w:tc>
          <w:tcPr>
            <w:tcW w:w="3129" w:type="dxa"/>
          </w:tcPr>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课程内容全面涵盖花材分类与保鲜技术、东西方插花风格比较与技法训练、花器选择与色彩搭配原理、茶文化发展史与六大茶类特征、茶具鉴赏与使用方法、茶叶冲泡技艺与水温控制、茶席设计与茶事礼仪规范、茶会组织流程等专业知识模块，并结合节日主题和不同场景进行创意实践训练。</w:t>
            </w:r>
          </w:p>
        </w:tc>
        <w:tc>
          <w:tcPr>
            <w:tcW w:w="2739" w:type="dxa"/>
          </w:tcPr>
          <w:p>
            <w:pPr>
              <w:widowControl/>
              <w:shd w:val="clear" w:color="auto" w:fill="FFFFFF"/>
              <w:spacing w:after="0" w:line="300" w:lineRule="exact"/>
              <w:rPr>
                <w:rFonts w:hint="eastAsia" w:ascii="仿宋_GB2312" w:hAnsi="仿宋_GB2312" w:eastAsia="仿宋_GB2312" w:cs="仿宋_GB2312"/>
                <w:kern w:val="0"/>
                <w:sz w:val="24"/>
                <w:shd w:val="clear" w:color="auto" w:fill="FFFFFF"/>
              </w:rPr>
            </w:pPr>
            <w:r>
              <w:rPr>
                <w:rFonts w:hint="eastAsia" w:ascii="仿宋_GB2312" w:hAnsi="仿宋_GB2312" w:eastAsia="仿宋_GB2312" w:cs="仿宋_GB2312"/>
                <w:kern w:val="0"/>
                <w:sz w:val="24"/>
                <w:shd w:val="clear" w:color="auto" w:fill="FFFFFF"/>
                <w:lang w:bidi="ar"/>
              </w:rPr>
              <w:t>通过花材处理实操训练，使学生掌握鲜花保鲜和基础造型能力；通过插花作品创作，培养学生具备根据不同场合设计主题花艺的审美能力；通过茶艺流程演练，使学生达到规范演示绿茶、乌龙茶等代表性茶类冲泡技法的水准；最终使学生能够综合运用插花与茶艺知识，独立完成小型茶会活动的</w:t>
            </w:r>
            <w:r>
              <w:rPr>
                <w:rFonts w:hint="eastAsia" w:ascii="仿宋_GB2312" w:hAnsi="仿宋_GB2312" w:eastAsia="仿宋_GB2312" w:cs="仿宋_GB2312"/>
                <w:sz w:val="24"/>
                <w:shd w:val="clear" w:color="auto" w:fill="FFFFFF"/>
              </w:rPr>
              <w:t>整体环境布置与流程执行工作。实验技能方面，学生能够科学冲泡一杯茶，独立进行茶席设计及主题茶艺的编创，具备依托茶艺形式推广茶文化和茶产业发展的能力。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产后恢复</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掌握产后女性身体变化的基本知识；了解产后恢复的基本理论与方法；熟悉产后常见问题的识别与处理知识。</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为产后女性制定个性化的产后恢复方案，包括身体康复计划、心理调适建议、营养调理食谱等；具备产后常见问题初步识别与处理的能力，能为产后女性提供基础的健康指导；能与产后女性及其家人进行有效沟通，给予心理支持与关怀。</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培养学生的爱心、耐心与责任心，关注产后女性的身心健康；提升学生的专业素养和服务意识，为产后女性提供科学、贴心的服务。</w:t>
            </w:r>
          </w:p>
          <w:p>
            <w:pPr>
              <w:widowControl/>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引导学生认识到产后恢复是关爱女性、保障母婴健康的重要工作，培养学生的性别平等意识和对女性健康的关注；通过为产后女性提供服务，传递关爱与温暖，营造尊重女性、关爱家庭的社会氛围。</w:t>
            </w:r>
          </w:p>
          <w:p>
            <w:pPr>
              <w:overflowPunct w:val="0"/>
              <w:adjustRightInd w:val="0"/>
              <w:spacing w:after="0" w:line="300" w:lineRule="exact"/>
              <w:rPr>
                <w:rFonts w:hint="eastAsia" w:ascii="仿宋_GB2312" w:hAnsi="仿宋_GB2312" w:eastAsia="仿宋_GB2312" w:cs="仿宋_GB2312"/>
                <w:sz w:val="24"/>
              </w:rPr>
            </w:pPr>
          </w:p>
        </w:tc>
        <w:tc>
          <w:tcPr>
            <w:tcW w:w="3129" w:type="dxa"/>
          </w:tcPr>
          <w:p>
            <w:pPr>
              <w:widowControl/>
              <w:shd w:val="clear" w:color="auto" w:fill="FFFFFF"/>
              <w:spacing w:after="0" w:line="300" w:lineRule="exact"/>
              <w:outlineLvl w:val="2"/>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产后身体变化与恢复原理，产后身体各系统变化特点，如骨骼、肌肉、内分泌等系统的生理变化。产后恢复的基本原理与阶段性特点。产后营养与饮食调理，产后营养需求与食物选择。产后饮食调理原则与方法。产后运动锻炼，产后运动锻炼的原则与注意事项。产后运动项目及方法。产后运动阶梯的概念、各个阶梯的运动目的和适用阶段。产后心理调适，产后心理变化及其影响。产后心理调适方法与技巧。产后恢复辅助工具与设备，常用产后恢复辅助工具介绍。产后恢复设备的使用方法与注意事项。产后修复方案设计，学习如何为产后母亲制定个性化修复方案，包括运动、饮食、心理调适等方面。产后修复技巧与实践，教授产后修复的基本技巧，如骨盆底肌肉锻炼、腹直肌分离修复等。产后恢复案例分析与实操，产后恢复成功案例分析。学生分组讨论，设计产后恢复方案。实操演练，体验产后恢复锻炼。</w:t>
            </w:r>
          </w:p>
        </w:tc>
        <w:tc>
          <w:tcPr>
            <w:tcW w:w="2739" w:type="dxa"/>
          </w:tcPr>
          <w:p>
            <w:pPr>
              <w:widowControl/>
              <w:shd w:val="clear" w:color="auto" w:fill="FFFFFF"/>
              <w:spacing w:after="0" w:line="300" w:lineRule="exact"/>
              <w:outlineLvl w:val="2"/>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产后身体变化与恢复原理，产后身体各系统变化特点，如骨骼、肌肉、内分泌等系统的生理变化。产后恢复的基本原理与阶段性特点。产后营养与饮食调理，产后营养需求与食物选择。产后饮食调理原则与方法。产后运动锻炼，产后运动锻炼的原则与注意事项。常见产后运动项目及方法，产后运动阶梯中的各个动作及适用阶段。产后心理调适，产后心理变化及其影响。产后心理调适方法与技巧。产后恢复辅助工具与设备，常用产后恢复辅助工具介绍。产后恢复设备的使用方法与注意事项。产后恢复方案设计，学习如何为产后母亲制定个性化修复方案，包括运动、饮食、心理调适等方面。产后恢复技巧与实践，教授产后修复的基本技巧，如骨盆底肌肉锻炼、腹直肌分离修复等。产后恢复案例分析与实操，分析产后恢复的成功案例和问题案例。学生分组讨论，设计产后恢复方案。实操演练，体验产后恢复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亲子教育</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掌握亲子教育的基本理论；了解不同年龄段儿童的特点与亲子教育要点；熟悉亲子活动设计、亲子关系建立与维护的知识。</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儿童的年龄和特点，设计适合的亲子活动，促进儿童的全面发展；具备良好的亲子沟通能力，能与儿童及其家长进行有效交流，指导家长进行科学的亲子教育；能识别亲子关系中存在的问题并提供改进建议，帮助建立和谐的亲子关系。</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培养学生对儿童的关爱与尊重，遵循儿童发展规律开展亲子教育；提升学生的教育能力和沟通能力，在亲子教育中传递科学的教育理念。</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亲子教育是家庭教育的核心，良好的亲子关系是儿童健康成长的基础，培养学生的家庭责任意识和教育责任意识；通过科学的亲子教育，传递爱与尊重、平等与沟通的家庭价值观，促进家庭和谐与社会和谐。</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亲子关系概述，介绍亲子关系的定义、特点，以及在不同成长阶段亲子关系的变化。沟通技巧训练，教授倾听、表达、同理心等沟通技巧，提高学生与父母的有效沟通能力。家庭活动设计与实施，指导学生如何策划家庭活动，增进亲子间的情感交流。解决家庭冲突，分析家庭冲突的类型，提供解决冲突的方法和策略</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结合课本内容，注重实用性，以案例分析和实践操作为主，引导学生积极参与，提高课程效果。将目标分解为具体的学习成果，便于教学设计和评估。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5" w:hRule="atLeast"/>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婴幼儿玩教具与游戏</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掌握婴幼儿玩教具的分类、选择原则及教育价值；熟悉不同年龄段婴幼儿游戏的特点、类型及设计依据；了解玩教具制作的基本材料与方法。</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能根据婴幼儿发展阶段和需求，选择合适的玩教具；具备设计、制作简易婴幼儿玩教具的能力；能组织开展符合婴幼儿发展特点的游戏活动。</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培养对婴幼儿的爱心与耐心，提升对婴幼儿发展需求的敏感度；增强创新意识与动手能力，为婴幼儿提供优质的游戏体验。</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引导学生认识到玩教具与游戏对婴幼儿成长的重要性，树立科学育儿理念；通过亲手制作玩教具和设计游戏，培养工匠精神与责任意识，助力婴幼儿健康成长。</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论基础模块游戏理论，经典游戏理论、社会文化历史学派理论、觉醒理论等。婴幼儿发展规律，游戏与生理/心理发展、不同年龄段游戏特点及指导要点。玩教具制作模块材料技术，纸艺、布艺、泥工、线编等制作技法。</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分类设计：科学类、生活类、体育类玩教具的设计原则与实例分析。游戏指导与实践模块区域游戏组织，角色扮演区、建构区、益智区的环境创设与材料投放策略。游戏观察与评价，记录婴幼儿游戏行为，分析发展水平并调整教学方案。综合应用模块。废旧材料改造，利用自然物或生活废弃物制作玩教具。游戏课程开发，结合幼儿园主题教学，设计融合多领域目标的游戏活动。</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采用“理论+实践”模式，</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结合真实幼儿园案例，分析游戏指导中的典型问题。学生能力达标要求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技能掌握，能独立完成5类以上玩教具制作，并通过作品展示评估创意与实用性。教学应用，设计并实施一节完整的游戏活动课，体现目标适配性、材料丰富性和师幼互动性。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现代教育技术</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掌握常见现代教育技术工具的功能与操作方法；了解现代教育技术在家庭早教、家政培训等场景中的应用模式。</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能熟练运用现代教育技术工具制作家政服务或早教相关的教学课件、微课等；具备借助在线平台开展家政培训或亲子教育指导的能力。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提升信息化素养，适应现代教育与家政服务行业的数字化发展趋势；培养创新应用能力，将现代教育技术灵活融入家政服务工作中。</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让学生认识到现代教育技术对提升家政服务效率与质量的重要性，激发对行业创新发展的热情；引导学生合理、规范使用现代教育技术，传播积极健康的教育与服务内容。</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教育技术基础理论，包括教育技术的定义、发展脉络、视听感知规律、经验之塔理论、教育传播模式等。信息化教学环境与技术应用，教学媒体视觉/听觉媒体设备操作、多媒体教室与智慧教室的功能应用。资源开发，课件制作、微课开发与虚拟仿真工具使用。教学设计与实践模块，教学设计流程教学目标分析、教学内容重组、教学方法选择。教学评价信息化教学效果评估方法及工具。新兴技术教育应用，涵盖在线教育平台、混合式学习模式、人工智能辅助教学等前沿领域案例分析。</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论学习与实践结合，需在掌握教育技术理论的基础上，通过实验课完成至少2个综合性实践项目，强调理论与实践融合。技术操作能力达标，学生需独立完成多媒体素材处理、教学课件制作，并具备信息化教学环境的操作能力。课程思政与职业素养，教学中融入版权意识、信息伦理教育，培养师范生利用技术促进教育公平的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家政资讯管理</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了解家政行业政策法规、行业动态、市场信息等资讯的类型与来源；掌握家政资讯收集、整理、分析与管理的方法。</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能高效收集、筛选有价值的家政资讯；具备对家政资讯进行分类整理与分析研判的能力，为家政服务提供决策支持。</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培养信息素养与敏锐的行业洞察力，及时把握家政行业发展趋势；增强责任心，确保家政资讯的准确性与保密性。</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引导学生关注家政行业发展，增强对行业的认同感与归属感；通过对政策法规资讯的学习，培养依法从业、规范服务的意识。</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家政信息化基础，家政行业信息化发展趋势与政策法规。家政资讯管理系统架构与功能模块。数据管理与分析技术，家政服务数据的采集、清洗与存储方法。数据分析工具的应用案例：客户偏好分析、服务质量评估。家政资讯安全与伦理，客户隐私保护的法律要求与技术实现。信息伦理案例分析：虚假宣传、数据泄漏风险防控。实践模块家政管理系统操作实训。团队项目设计一个小型家政企业的信息化解决方案。</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通过信息管理系统实操，使学生掌握家政客户和服务人员数据的规范化管理能力；通过行业数据分析项目，培养学生从海量资讯中提取有价值信息的分析能力；通过信息安全演练，使学生具备保护客户隐私和数据安全的风险防范意识；最终使学生能够运用信息化手段优化家政服务流程，提升管理决策的科学性和精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家政电子商务实务</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掌握电子商务基本理论与运营模式；熟悉家政服务电子商务平台的搭建、运营与管理要点；了解家政电商客户开发、维护与服务流程。</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能协助搭建家政电商平台，进行产品（服务）上架、信息维护等操作；具备通过电商平台开展家政服务营销、客户沟通与订单处理的能力。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培养互联网思维与商业意识，适应家政行业电商化发展；提升服务意识与沟通能力，为电商客户提供优质家政服务体验。</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引导学生认识到家政电商对拓展家政服务市场、促进就业的重要作用，激发创新创业热情；培养诚信经营意识，确保电商交易中的服务质量与信誉。</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课程内容涵盖家政电商模式分析、主流服务平台入驻与运营、在线服务产品设计与定价、客户在线咨询与订单处理、服务人员在线管理与调度、移动支付与电子合同应用、客户评价管理与数据分析、私域流量运营与社群营销、家政服务小程序开发基础等前沿内容，结合真实平台进行实操训练。</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采用“理论+实训+项目”三位一体模式，例如通过角色扮演模拟客户服务场景。引入企业真实数据进行案例教学。通过平台运营模拟，使学生掌握家政服务线上化的全流程操作能力；通过数据分析实践，培养学生基于数据优化服务产品的决策能力；通过数字营销项目，使学生具备运用新媒体拓展线上客户的实际操作技能；最终使学生能够独立完成家政服务从传统模式向数字化转型的基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11</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家政企业经营与管理</w:t>
            </w:r>
          </w:p>
        </w:tc>
        <w:tc>
          <w:tcPr>
            <w:tcW w:w="3304"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掌握企业管理基本理论；了解家政企业的组织架构、运营模式与管理特点；熟悉家政企业市场拓展、品牌建设的方法。</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能参与家政企业日常运营管理；具备为家政企业制定简单市场拓展与品牌建设方案的能力。</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培养企业管理思维与全局观，提升对家政企业运营的认知；增强责任意识与团队协作精神，适应企业管理岗位需求。</w:t>
            </w:r>
          </w:p>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引导学生认识到家政企业在促进行业发展、解决社会就业中的重要作用，树立服务社会的责任感；通过学习企业管理中的规范与创新，培养敬业精神与创新意识。</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论教学模块，家政企业概述行业现状、企业类型、政策法规。战略规划，市场分析、目标设定、竞争策略。组织管理，岗位设计、薪酬体系、绩效考核。品牌与营销，品牌建设、服务差异化、客户维护。实务操作模块，服务产品开发标准化服务流程、个性化定制方案。连锁经营实务，加盟模式、标准化复制、区域管理。质量控制与风险管理，服务标准制定、投诉处理、危机应对。案例分析模块，国内外家政企业成功/失败案例研讨，模拟企业运营决策。</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理论结合实践，通过案例分析深化理论知识。情景模拟，设计企业注册、服务纠纷处理等场景进行角色演练。企业实习，安排学生参与家政企业的实际运营管理。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家庭服务营销</w:t>
            </w:r>
          </w:p>
        </w:tc>
        <w:tc>
          <w:tcPr>
            <w:tcW w:w="3304"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掌握市场营销基本理论；了解家庭服务市场的特点、需求与竞争状况；熟悉家庭服务营销渠道与策略。</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能进行家庭服务市场调研与分析，明确目标客户群体；具备制定家庭服务营销方案、开展营销活动的能力。</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培养营销意识与市场敏感度，精准把握家庭服务市场需求；提升沟通与谈判能力，有效开展家庭服务营销。</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引导学生认识到优质家庭服务营销是为家庭提供更好生活解决方案的过程，树立以客户为中心的服务理念；培养诚信营销意识，确保营销信息的真实性与服务的可靠性。</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理论基础模块，家庭服务营销核心逻辑，价值感知→价值锁定→价值交付→价值提升。家庭客户行为分析：生命周期阶段需求差异。策略设计模块，服务产品设计，家庭服务包构建。服务定价策略，家庭预算敏感性分析，会员制、套餐定价等模式。数字化营销工具，社交媒体运营、家庭客户关系管理系统应用。实践技能模块，服务蓝图设计，可视化家庭服务流程，识别关键接触点。家庭活动策划：结合亲子关系课程设计理念，组织家庭互动场景。案例分析与角色扮演，模拟家庭服务冲突解决。</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数字化工具辅助，使用虚拟仿真软件模拟家庭服务场景。通过市场调研项目，使学生掌握家庭服务需求分析与目标客户定位能力；通过营销方案设计，培养学生制定完整服务营销策略的系统思维；通过数字化工具实操，使学生具备运用新媒体开展精准营销的实战技能；最终使学生能够独立完成从市场分析到营销执行的全流程家庭服务营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13</w:t>
            </w:r>
          </w:p>
        </w:tc>
        <w:tc>
          <w:tcPr>
            <w:tcW w:w="925" w:type="dxa"/>
            <w:vAlign w:val="center"/>
          </w:tcPr>
          <w:p>
            <w:pPr>
              <w:overflowPunct w:val="0"/>
              <w:adjustRightInd w:val="0"/>
              <w:spacing w:after="0" w:line="300" w:lineRule="exact"/>
              <w:jc w:val="center"/>
              <w:rPr>
                <w:rFonts w:hint="eastAsia" w:ascii="仿宋_GB2312" w:hAnsi="仿宋_GB2312" w:eastAsia="仿宋_GB2312" w:cs="仿宋_GB2312"/>
                <w:kern w:val="0"/>
                <w:sz w:val="24"/>
                <w:lang w:bidi="ar"/>
              </w:rPr>
            </w:pPr>
            <w:r>
              <w:rPr>
                <w:rFonts w:hint="eastAsia" w:ascii="仿宋_GB2312" w:hAnsi="仿宋_GB2312" w:eastAsia="仿宋_GB2312" w:cs="仿宋_GB2312"/>
                <w:kern w:val="0"/>
                <w:sz w:val="24"/>
                <w:lang w:bidi="ar"/>
              </w:rPr>
              <w:t>婴幼儿艺术启蒙</w:t>
            </w:r>
          </w:p>
        </w:tc>
        <w:tc>
          <w:tcPr>
            <w:tcW w:w="3304"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掌握婴幼儿艺术启蒙的基本理论；了解不同艺术形式在婴幼儿艺术启蒙中的作用与方法。</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能设计适合婴幼儿的艺术启蒙活动，如绘画课、音乐游戏、手工制作等；具备引导婴幼儿感受艺术、激发创造力的能力。</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培养对婴幼儿艺术发展的关注与热爱，提升艺术素养；增强耐心与引导能力，为婴幼儿艺术启蒙提供良好支持。</w:t>
            </w:r>
          </w:p>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引导学生认识到艺术启蒙对婴幼儿全面发展的重要性，树立科学的艺术教育理念；通过艺术启蒙活动，培养婴幼儿的审美能力与创造力，传递对美好事物的追求。</w:t>
            </w:r>
          </w:p>
        </w:tc>
        <w:tc>
          <w:tcPr>
            <w:tcW w:w="3129" w:type="dxa"/>
          </w:tcPr>
          <w:p>
            <w:pPr>
              <w:overflowPunct w:val="0"/>
              <w:adjustRightInd w:val="0"/>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艺术形式模块音乐启蒙，通过儿歌、简单乐器培养节奏感，结合肢体律动。绘画与手工：使用安全材料进行自由涂鸦、拼贴，鼓励个性化表达。舞蹈与律动，通过模仿游戏、音乐律动发展身体协调性。主题活动设计主题创作，结合季节、节日设计主题绘画或手工活动。亲子互动组织亲子艺术活动，增强家庭参与。环境与资源提供多样化材料，安全颜料、乐器、自然素材等，激发探索兴趣。创设艺术角，在教室或家庭中设置自由创作空间，展示婴幼儿作品。</w:t>
            </w:r>
          </w:p>
        </w:tc>
        <w:tc>
          <w:tcPr>
            <w:tcW w:w="2739" w:type="dxa"/>
          </w:tcPr>
          <w:p>
            <w:pPr>
              <w:spacing w:after="0" w:line="300" w:lineRule="exact"/>
              <w:rPr>
                <w:rFonts w:hint="eastAsia" w:ascii="仿宋_GB2312" w:hAnsi="仿宋_GB2312" w:eastAsia="仿宋_GB2312" w:cs="仿宋_GB2312"/>
                <w:sz w:val="24"/>
              </w:rPr>
            </w:pPr>
            <w:r>
              <w:rPr>
                <w:rFonts w:hint="eastAsia" w:ascii="仿宋_GB2312" w:hAnsi="仿宋_GB2312" w:eastAsia="仿宋_GB2312" w:cs="仿宋_GB2312"/>
                <w:sz w:val="24"/>
              </w:rPr>
              <w:t>游戏化教学，将艺术活动融入游戏，避免机械训练，保持趣味性。过程重于结果：关注婴幼儿创作过程中的体验，而非作品完成度。差异化指导，根据婴幼儿发展水平调整活动难度，提供个性化支持。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pPr>
              <w:spacing w:after="0" w:line="3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14</w:t>
            </w:r>
          </w:p>
        </w:tc>
        <w:tc>
          <w:tcPr>
            <w:tcW w:w="92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sz w:val="21"/>
                <w:szCs w:val="21"/>
                <w:highlight w:val="none"/>
                <w:lang w:val="en-US" w:eastAsia="zh-CN"/>
              </w:rPr>
              <w:t>习近平经济思想概论</w:t>
            </w:r>
          </w:p>
        </w:tc>
        <w:tc>
          <w:tcPr>
            <w:tcW w:w="330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7"/>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：掌握习近平经济思想的形成背景、科学体系、核心要义和实践要求，理解新发展理念、高质量发展、新发展格局等重要理论。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7"/>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7"/>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Style w:val="17"/>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312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73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tbl>
    <w:p>
      <w:pPr>
        <w:adjustRightInd w:val="0"/>
        <w:snapToGri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4.主要实践性课程：毕业设计、岗位实习</w:t>
      </w:r>
    </w:p>
    <w:p>
      <w:pPr>
        <w:overflowPunct w:val="0"/>
        <w:adjustRightInd w:val="0"/>
        <w:spacing w:after="0" w:line="520" w:lineRule="exact"/>
        <w:jc w:val="both"/>
        <w:rPr>
          <w:rFonts w:hint="eastAsia" w:ascii="仿宋_GB2312" w:hAnsi="仿宋_GB2312" w:eastAsia="仿宋_GB2312" w:cs="仿宋_GB2312"/>
          <w:sz w:val="32"/>
          <w:szCs w:val="32"/>
        </w:rPr>
      </w:pPr>
    </w:p>
    <w:p>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表6 实践性教学环节课程目标、主要教学内容与要求</w:t>
      </w:r>
    </w:p>
    <w:tbl>
      <w:tblPr>
        <w:tblStyle w:val="101"/>
        <w:tblW w:w="10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800"/>
        <w:gridCol w:w="3466"/>
        <w:gridCol w:w="2332"/>
        <w:gridCol w:w="2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800"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3466"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课程教学目标</w:t>
            </w:r>
          </w:p>
        </w:tc>
        <w:tc>
          <w:tcPr>
            <w:tcW w:w="2332"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课程教学内容</w:t>
            </w:r>
          </w:p>
        </w:tc>
        <w:tc>
          <w:tcPr>
            <w:tcW w:w="2926"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800"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3466"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系统整合现代家政服务与管理专业所学知识，深入理解家政行业相关理论、政策法规、服务技能等内容，能运用专业知识分析家政领域实际问题。</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具备独立开展家政相关课题研究、方案设计的能力，能撰写规范的毕业设计报告，有效进行成果展示与答辩。</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培养严谨的学术态度、创新精神和综合素养，提升对家政专业的认同感与职业自豪感。</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引导学生将专业知识与社会需求相结合，树立为家政行业发展贡献力量的使命感，培养精益求精的工匠精神与社会责任感。</w:t>
            </w:r>
          </w:p>
        </w:tc>
        <w:tc>
          <w:tcPr>
            <w:tcW w:w="233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选题和资料收集；分析和计划；开题报告；撰写初稿；修改定稿；答辩。</w:t>
            </w:r>
          </w:p>
        </w:tc>
        <w:tc>
          <w:tcPr>
            <w:tcW w:w="2926"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导师指导制、阶段性检查与反馈、毕业答辩模拟等教学方法，确保学生高质量完成毕业设计，提升综合应用能力和创新能力。要求学生面对真实的家政服务与管理工作环境，针对专业领域内某一有价值、有挑战的选题（问题），合理设计解决问题的技术路线，创造性地提出具体解决方案，并能卓有成效地展示毕业设计成果，从而全面提升学生综合运用所学基础理论和基本技能去解决本专业范围内的一般问题的能力。</w:t>
            </w:r>
            <w:r>
              <w:rPr>
                <w:rFonts w:hint="eastAsia" w:ascii="仿宋_GB2312" w:hAnsi="仿宋_GB2312" w:eastAsia="仿宋_GB2312" w:cs="仿宋_GB2312"/>
                <w:sz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vAlign w:val="center"/>
          </w:tcPr>
          <w:p>
            <w:pPr>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800"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3466"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知识目标：</w:t>
            </w:r>
            <w:r>
              <w:rPr>
                <w:rFonts w:hint="eastAsia" w:ascii="仿宋_GB2312" w:hAnsi="仿宋_GB2312" w:eastAsia="仿宋_GB2312" w:cs="仿宋_GB2312"/>
                <w:sz w:val="24"/>
              </w:rPr>
              <w:t>全面回顾并巩固现代家政服务与管理专业核心知识，强化对多领域知识的综合运用能力。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能力目标：</w:t>
            </w:r>
            <w:r>
              <w:rPr>
                <w:rFonts w:hint="eastAsia" w:ascii="仿宋_GB2312" w:hAnsi="仿宋_GB2312" w:eastAsia="仿宋_GB2312" w:cs="仿宋_GB2312"/>
                <w:sz w:val="24"/>
              </w:rPr>
              <w:t>能综合运用家政服务技能、管理知识等，解决复杂的家政服务与管理问题，提升综合实践能力与应变能力。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素质目标：</w:t>
            </w:r>
            <w:r>
              <w:rPr>
                <w:rFonts w:hint="eastAsia" w:ascii="仿宋_GB2312" w:hAnsi="仿宋_GB2312" w:eastAsia="仿宋_GB2312" w:cs="仿宋_GB2312"/>
                <w:sz w:val="24"/>
              </w:rPr>
              <w:t>培养团队合作、创新实践、应急处理等综合素质，增强职业竞争力。</w:t>
            </w:r>
          </w:p>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b/>
                <w:sz w:val="24"/>
              </w:rPr>
              <w:t>课程思政育人目标：</w:t>
            </w:r>
            <w:r>
              <w:rPr>
                <w:rFonts w:hint="eastAsia" w:ascii="仿宋_GB2312" w:hAnsi="仿宋_GB2312" w:eastAsia="仿宋_GB2312" w:cs="仿宋_GB2312"/>
                <w:sz w:val="24"/>
              </w:rPr>
              <w:t>在综合实训中，引导学生树立全局观念与系统思维，培养团结协作、勇于担当的精神，以及应对挑战、解决问题的信心与能力。</w:t>
            </w:r>
          </w:p>
        </w:tc>
        <w:tc>
          <w:tcPr>
            <w:tcW w:w="2332"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家政服务员岗位实习、育婴员和保育员岗位实习、健康管理师岗位实习、养老照护员岗位实习、家政培训师岗位实习。</w:t>
            </w:r>
          </w:p>
        </w:tc>
        <w:tc>
          <w:tcPr>
            <w:tcW w:w="2926" w:type="dxa"/>
          </w:tcPr>
          <w:p>
            <w:pPr>
              <w:spacing w:after="0"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通过校企合作模式、实习导师制、实习日志与报告撰写等教学方法，让学生在真实的工作环境中锻炼技能，积累实践经验。</w:t>
            </w:r>
          </w:p>
        </w:tc>
      </w:tr>
    </w:tbl>
    <w:p>
      <w:pPr>
        <w:pStyle w:val="3"/>
        <w:ind w:firstLine="640"/>
        <w:outlineLvl w:val="1"/>
      </w:pPr>
      <w:bookmarkStart w:id="37" w:name="_Toc219812209"/>
      <w:r>
        <w:rPr>
          <w:rFonts w:hint="eastAsia"/>
        </w:rPr>
        <w:t>（三）第二课堂</w:t>
      </w:r>
      <w:bookmarkEnd w:id="37"/>
    </w:p>
    <w:p>
      <w:pPr>
        <w:overflowPunct w:val="0"/>
        <w:adjustRightInd w:val="0"/>
        <w:spacing w:after="0" w:line="520" w:lineRule="exact"/>
        <w:ind w:firstLine="640" w:firstLineChars="200"/>
        <w:outlineLvl w:val="9"/>
        <w:rPr>
          <w:rFonts w:hint="eastAsia" w:ascii="仿宋_GB2312" w:hAnsi="仿宋_GB2312" w:eastAsia="仿宋_GB2312" w:cs="仿宋_GB2312"/>
          <w:sz w:val="32"/>
          <w:szCs w:val="32"/>
        </w:rPr>
      </w:pPr>
      <w:bookmarkStart w:id="38" w:name="_Toc219812210"/>
      <w:bookmarkStart w:id="39" w:name="_Toc218504425"/>
      <w:r>
        <w:rPr>
          <w:rFonts w:hint="eastAsia" w:ascii="仿宋_GB2312" w:hAnsi="仿宋_GB2312" w:eastAsia="仿宋_GB2312" w:cs="仿宋_GB2312"/>
          <w:sz w:val="32"/>
          <w:szCs w:val="32"/>
        </w:rPr>
        <w:t>第二课堂素质教育课包括思想成长、实践实习、创新创业、志愿公益、文体活动、工作履历、专业技能特长等其他各类课程及活动。</w:t>
      </w:r>
      <w:bookmarkEnd w:id="38"/>
      <w:bookmarkEnd w:id="39"/>
    </w:p>
    <w:p>
      <w:pPr>
        <w:overflowPunct w:val="0"/>
        <w:adjustRightInd w:val="0"/>
        <w:spacing w:after="0" w:line="520" w:lineRule="exact"/>
        <w:jc w:val="center"/>
        <w:outlineLvl w:val="9"/>
        <w:rPr>
          <w:rFonts w:hint="eastAsia" w:ascii="仿宋_GB2312" w:hAnsi="仿宋_GB2312" w:eastAsia="仿宋_GB2312" w:cs="仿宋_GB2312"/>
          <w:sz w:val="32"/>
          <w:szCs w:val="32"/>
        </w:rPr>
      </w:pPr>
      <w:bookmarkStart w:id="40" w:name="_Toc218504426"/>
      <w:bookmarkStart w:id="41" w:name="_Toc219812211"/>
      <w:r>
        <w:rPr>
          <w:rFonts w:hint="eastAsia" w:ascii="仿宋_GB2312" w:hAnsi="仿宋_GB2312" w:eastAsia="仿宋_GB2312" w:cs="仿宋_GB2312"/>
          <w:sz w:val="32"/>
          <w:szCs w:val="32"/>
        </w:rPr>
        <w:t>表7 第二课堂素质教育课安排表</w:t>
      </w:r>
      <w:bookmarkEnd w:id="40"/>
      <w:bookmarkEnd w:id="41"/>
    </w:p>
    <w:tbl>
      <w:tblPr>
        <w:tblStyle w:val="15"/>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444"/>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模块</w:t>
            </w:r>
          </w:p>
        </w:tc>
        <w:tc>
          <w:tcPr>
            <w:tcW w:w="3573"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内容</w:t>
            </w:r>
          </w:p>
        </w:tc>
        <w:tc>
          <w:tcPr>
            <w:tcW w:w="880"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性质</w:t>
            </w:r>
          </w:p>
        </w:tc>
        <w:tc>
          <w:tcPr>
            <w:tcW w:w="1013"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组织 实施</w:t>
            </w:r>
          </w:p>
        </w:tc>
        <w:tc>
          <w:tcPr>
            <w:tcW w:w="1040"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认定者</w:t>
            </w:r>
          </w:p>
        </w:tc>
        <w:tc>
          <w:tcPr>
            <w:tcW w:w="1444"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计分标准</w:t>
            </w:r>
          </w:p>
        </w:tc>
        <w:tc>
          <w:tcPr>
            <w:tcW w:w="1028" w:type="dxa"/>
            <w:vAlign w:val="center"/>
          </w:tcPr>
          <w:p>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思想成长</w:t>
            </w:r>
          </w:p>
        </w:tc>
        <w:tc>
          <w:tcPr>
            <w:tcW w:w="3573" w:type="dxa"/>
            <w:vAlign w:val="center"/>
          </w:tcPr>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1.思想政治教育主题讲座、形势与政策报告会</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2.爱国主义教育活动</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3.党团组织生活</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4.党团培训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5.青年大学习</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经济管理学院党支部、经济管理学院分团委、经济管理学院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restart"/>
            <w:vAlign w:val="center"/>
          </w:tcPr>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第二课堂成绩由网络管理系 统（到梦 空间）实 时记录，学生在大一、 大二期间积分达60分及以上，可获4学分。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实践实习</w:t>
            </w:r>
          </w:p>
        </w:tc>
        <w:tc>
          <w:tcPr>
            <w:tcW w:w="3573" w:type="dxa"/>
            <w:vAlign w:val="center"/>
          </w:tcPr>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1.暑期“三下乡”社会实践活动 2.寒暑假“返家乡”实践活动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3.企业见习实践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4.上级、校院交予专项工作项目实践活动含兼挂职锻炼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5.新闻宣传报道被学校、学院采用或转发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6.晨读</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7.劳动精神、劳模精神、工匠精神专题教育 </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8.实践活动的相关荣誉</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创新创业</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1.发表文章、出版专著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2.发明专利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3.创新创业项目竞赛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4.创新创业项目培训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5.创新创业课程、讲座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6.自主创业</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招生就业处、经济管理学院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after="0" w:line="240" w:lineRule="atLeast"/>
              <w:jc w:val="left"/>
              <w:rPr>
                <w:rFonts w:hint="eastAsia" w:ascii="仿宋_GB2312" w:hAnsi="仿宋_GB2312" w:eastAsia="仿宋_GB2312" w:cs="仿宋_GB2312"/>
                <w:sz w:val="24"/>
              </w:rPr>
            </w:pP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志愿公益</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1.校级、学院、社团、班级等学生组织开展的志愿服务活动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2.无偿献血活动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3.捐献造血干细胞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4.相关公益类宣传讲座、报告会等志愿服务表彰</w:t>
            </w:r>
          </w:p>
          <w:p>
            <w:pPr>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5.公益劳动 </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文体活动 </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1.文艺竞赛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2.体育竞赛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3.文艺演出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4.体育活动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5.文体讲座</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工作履历 </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1.团学干部任职</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2.团学先进个人</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3.勤工俭学</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4.社会任职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5.退伍军人</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学生工作处、校团委、经济管理学院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技能特长 </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1.职业资格证书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2.职业技能证书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3.机动车驾驶证</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4.从业人员上岗资格证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5.技能比赛获奖</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继续教育学院、经济管理学院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65" w:type="dxa"/>
            <w:vAlign w:val="center"/>
          </w:tcPr>
          <w:p>
            <w:pPr>
              <w:overflowPunct w:val="0"/>
              <w:adjustRightInd w:val="0"/>
              <w:spacing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其他</w:t>
            </w:r>
          </w:p>
        </w:tc>
        <w:tc>
          <w:tcPr>
            <w:tcW w:w="3573" w:type="dxa"/>
            <w:vAlign w:val="center"/>
          </w:tcPr>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1.其他证书（社会职业类证书）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 xml:space="preserve">2.校内各单位其他类型活动 </w:t>
            </w:r>
          </w:p>
          <w:p>
            <w:pPr>
              <w:overflowPunct w:val="0"/>
              <w:adjustRightInd w:val="0"/>
              <w:spacing w:after="0" w:line="240" w:lineRule="atLeast"/>
              <w:jc w:val="left"/>
              <w:rPr>
                <w:rFonts w:hint="eastAsia" w:ascii="仿宋_GB2312" w:hAnsi="仿宋_GB2312" w:eastAsia="仿宋_GB2312" w:cs="仿宋_GB2312"/>
                <w:sz w:val="24"/>
              </w:rPr>
            </w:pPr>
            <w:r>
              <w:rPr>
                <w:rFonts w:hint="eastAsia" w:ascii="仿宋_GB2312" w:hAnsi="仿宋_GB2312" w:eastAsia="仿宋_GB2312" w:cs="仿宋_GB2312"/>
                <w:sz w:val="24"/>
              </w:rPr>
              <w:t>3.升旗仪式工作人员</w:t>
            </w:r>
          </w:p>
        </w:tc>
        <w:tc>
          <w:tcPr>
            <w:tcW w:w="88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经济管理学院</w:t>
            </w:r>
          </w:p>
        </w:tc>
        <w:tc>
          <w:tcPr>
            <w:tcW w:w="1040"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444" w:type="dxa"/>
            <w:vAlign w:val="center"/>
          </w:tcPr>
          <w:p>
            <w:pPr>
              <w:overflowPunct w:val="0"/>
              <w:adjustRightInd w:val="0"/>
              <w:spacing w:after="0" w:line="240" w:lineRule="atLeast"/>
              <w:jc w:val="center"/>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028" w:type="dxa"/>
            <w:vMerge w:val="continue"/>
            <w:vAlign w:val="center"/>
          </w:tcPr>
          <w:p>
            <w:pPr>
              <w:overflowPunct w:val="0"/>
              <w:adjustRightInd w:val="0"/>
              <w:spacing w:after="0" w:line="240" w:lineRule="atLeast"/>
              <w:jc w:val="center"/>
              <w:rPr>
                <w:rFonts w:hint="eastAsia" w:ascii="仿宋_GB2312" w:hAnsi="仿宋_GB2312" w:eastAsia="仿宋_GB2312" w:cs="仿宋_GB2312"/>
                <w:sz w:val="24"/>
              </w:rPr>
            </w:pPr>
          </w:p>
        </w:tc>
      </w:tr>
    </w:tbl>
    <w:p>
      <w:pPr>
        <w:pStyle w:val="2"/>
        <w:ind w:firstLine="640"/>
      </w:pPr>
      <w:bookmarkStart w:id="42" w:name="_Toc219812212"/>
      <w:r>
        <w:rPr>
          <w:rFonts w:hint="eastAsia"/>
        </w:rPr>
        <w:t>八</w:t>
      </w:r>
      <w:r>
        <w:t>、教学进程总体安排</w:t>
      </w:r>
      <w:bookmarkEnd w:id="42"/>
    </w:p>
    <w:p>
      <w:pPr>
        <w:pStyle w:val="3"/>
        <w:ind w:firstLine="640"/>
      </w:pPr>
      <w:bookmarkStart w:id="43" w:name="_Toc219812213"/>
      <w:r>
        <w:rPr>
          <w:rFonts w:hint="eastAsia"/>
        </w:rPr>
        <w:t>（一）教学环节分配表</w:t>
      </w:r>
      <w:bookmarkEnd w:id="43"/>
      <w:r>
        <w:rPr>
          <w:rFonts w:hint="eastAsia"/>
        </w:rPr>
        <w:t xml:space="preserve"> </w:t>
      </w:r>
    </w:p>
    <w:p>
      <w:pPr>
        <w:spacing w:after="0"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pPr>
        <w:spacing w:after="0" w:line="52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表8 教育活动时间分配表（单位：周）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3"/>
        <w:gridCol w:w="1174"/>
        <w:gridCol w:w="1058"/>
        <w:gridCol w:w="1116"/>
        <w:gridCol w:w="1116"/>
        <w:gridCol w:w="1113"/>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593" w:type="dxa"/>
            <w:vMerge w:val="restart"/>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rPr>
            </w:pPr>
          </w:p>
          <w:p>
            <w:pPr>
              <w:spacing w:after="0" w:line="24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学年</w:t>
            </w:r>
          </w:p>
        </w:tc>
        <w:tc>
          <w:tcPr>
            <w:tcW w:w="2232" w:type="dxa"/>
            <w:gridSpan w:val="2"/>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一</w:t>
            </w:r>
          </w:p>
        </w:tc>
        <w:tc>
          <w:tcPr>
            <w:tcW w:w="2232" w:type="dxa"/>
            <w:gridSpan w:val="2"/>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二</w:t>
            </w:r>
          </w:p>
        </w:tc>
        <w:tc>
          <w:tcPr>
            <w:tcW w:w="2231" w:type="dxa"/>
            <w:gridSpan w:val="2"/>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593" w:type="dxa"/>
            <w:vMerge w:val="continue"/>
          </w:tcPr>
          <w:p>
            <w:pPr>
              <w:spacing w:after="0" w:line="240" w:lineRule="auto"/>
              <w:rPr>
                <w:rFonts w:hint="eastAsia" w:ascii="仿宋_GB2312" w:hAnsi="仿宋_GB2312" w:eastAsia="仿宋_GB2312" w:cs="仿宋_GB2312"/>
                <w:sz w:val="24"/>
              </w:rPr>
            </w:pP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w:t>
            </w:r>
          </w:p>
        </w:tc>
        <w:tc>
          <w:tcPr>
            <w:tcW w:w="105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3</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4</w:t>
            </w: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5</w:t>
            </w: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课堂教学</w:t>
            </w: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05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考试</w:t>
            </w: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c>
          <w:tcPr>
            <w:tcW w:w="105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军训</w:t>
            </w: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1-2</w:t>
            </w:r>
          </w:p>
        </w:tc>
        <w:tc>
          <w:tcPr>
            <w:tcW w:w="1058"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3" w:type="dxa"/>
            <w:vAlign w:val="center"/>
          </w:tcPr>
          <w:p>
            <w:pPr>
              <w:spacing w:after="0" w:line="240" w:lineRule="auto"/>
              <w:jc w:val="center"/>
              <w:rPr>
                <w:rFonts w:eastAsia="仿宋_GB2312"/>
                <w:sz w:val="24"/>
              </w:rPr>
            </w:pPr>
          </w:p>
        </w:tc>
        <w:tc>
          <w:tcPr>
            <w:tcW w:w="1118" w:type="dxa"/>
            <w:vAlign w:val="center"/>
          </w:tcPr>
          <w:p>
            <w:pPr>
              <w:spacing w:after="0" w:line="24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入学教育</w:t>
            </w: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3-8</w:t>
            </w:r>
          </w:p>
        </w:tc>
        <w:tc>
          <w:tcPr>
            <w:tcW w:w="1058"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3" w:type="dxa"/>
            <w:vAlign w:val="center"/>
          </w:tcPr>
          <w:p>
            <w:pPr>
              <w:spacing w:after="0" w:line="240" w:lineRule="auto"/>
              <w:jc w:val="center"/>
              <w:rPr>
                <w:rFonts w:eastAsia="仿宋_GB2312"/>
                <w:sz w:val="24"/>
              </w:rPr>
            </w:pPr>
          </w:p>
        </w:tc>
        <w:tc>
          <w:tcPr>
            <w:tcW w:w="1118" w:type="dxa"/>
            <w:vAlign w:val="center"/>
          </w:tcPr>
          <w:p>
            <w:pPr>
              <w:spacing w:after="0" w:line="24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1174" w:type="dxa"/>
            <w:vAlign w:val="center"/>
          </w:tcPr>
          <w:p>
            <w:pPr>
              <w:spacing w:after="0" w:line="240" w:lineRule="auto"/>
              <w:jc w:val="center"/>
              <w:rPr>
                <w:rFonts w:eastAsia="仿宋_GB2312"/>
                <w:sz w:val="24"/>
              </w:rPr>
            </w:pPr>
          </w:p>
        </w:tc>
        <w:tc>
          <w:tcPr>
            <w:tcW w:w="1058"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c>
          <w:tcPr>
            <w:tcW w:w="1118" w:type="dxa"/>
            <w:vAlign w:val="center"/>
          </w:tcPr>
          <w:p>
            <w:pPr>
              <w:spacing w:after="0" w:line="24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174" w:type="dxa"/>
            <w:vAlign w:val="center"/>
          </w:tcPr>
          <w:p>
            <w:pPr>
              <w:spacing w:after="0" w:line="240" w:lineRule="auto"/>
              <w:jc w:val="center"/>
              <w:rPr>
                <w:rFonts w:eastAsia="仿宋_GB2312"/>
                <w:sz w:val="24"/>
              </w:rPr>
            </w:pPr>
          </w:p>
        </w:tc>
        <w:tc>
          <w:tcPr>
            <w:tcW w:w="1058"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1-20</w:t>
            </w: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highlight w:val="green"/>
              </w:rPr>
            </w:pPr>
            <w:r>
              <w:rPr>
                <w:rFonts w:hint="eastAsia" w:ascii="仿宋_GB2312" w:hAnsi="仿宋_GB2312" w:eastAsia="仿宋_GB2312" w:cs="仿宋_GB2312"/>
                <w:sz w:val="24"/>
              </w:rPr>
              <w:t>社会实践</w:t>
            </w:r>
          </w:p>
        </w:tc>
        <w:tc>
          <w:tcPr>
            <w:tcW w:w="1174"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c>
          <w:tcPr>
            <w:tcW w:w="1058"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c>
          <w:tcPr>
            <w:tcW w:w="1116"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c>
          <w:tcPr>
            <w:tcW w:w="1116"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c>
          <w:tcPr>
            <w:tcW w:w="1113"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c>
          <w:tcPr>
            <w:tcW w:w="1118" w:type="dxa"/>
            <w:vAlign w:val="center"/>
          </w:tcPr>
          <w:p>
            <w:pPr>
              <w:spacing w:after="0" w:line="240" w:lineRule="auto"/>
              <w:jc w:val="center"/>
              <w:rPr>
                <w:rFonts w:eastAsia="仿宋_GB2312"/>
                <w:sz w:val="24"/>
                <w:highlight w:val="green"/>
              </w:rPr>
            </w:pPr>
            <w:r>
              <w:rPr>
                <w:rFonts w:hint="eastAsia" w:ascii="仿宋_GB2312" w:hAnsi="仿宋_GB2312" w:eastAsia="仿宋_GB2312" w:cs="仿宋_GB2312"/>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毕业教育</w:t>
            </w:r>
          </w:p>
        </w:tc>
        <w:tc>
          <w:tcPr>
            <w:tcW w:w="1174" w:type="dxa"/>
            <w:vAlign w:val="center"/>
          </w:tcPr>
          <w:p>
            <w:pPr>
              <w:spacing w:after="0" w:line="240" w:lineRule="auto"/>
              <w:jc w:val="center"/>
              <w:rPr>
                <w:rFonts w:eastAsia="仿宋_GB2312"/>
                <w:sz w:val="24"/>
              </w:rPr>
            </w:pPr>
          </w:p>
        </w:tc>
        <w:tc>
          <w:tcPr>
            <w:tcW w:w="1058"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6" w:type="dxa"/>
            <w:vAlign w:val="center"/>
          </w:tcPr>
          <w:p>
            <w:pPr>
              <w:spacing w:after="0" w:line="240" w:lineRule="auto"/>
              <w:jc w:val="center"/>
              <w:rPr>
                <w:rFonts w:eastAsia="仿宋_GB2312"/>
                <w:sz w:val="24"/>
              </w:rPr>
            </w:pPr>
          </w:p>
        </w:tc>
        <w:tc>
          <w:tcPr>
            <w:tcW w:w="1113" w:type="dxa"/>
            <w:vAlign w:val="center"/>
          </w:tcPr>
          <w:p>
            <w:pPr>
              <w:spacing w:after="0" w:line="240" w:lineRule="auto"/>
              <w:jc w:val="center"/>
              <w:rPr>
                <w:rFonts w:eastAsia="仿宋_GB2312"/>
                <w:sz w:val="24"/>
              </w:rPr>
            </w:pP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593" w:type="dxa"/>
            <w:vAlign w:val="center"/>
          </w:tcPr>
          <w:p>
            <w:pPr>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学期教学总周数</w:t>
            </w:r>
          </w:p>
        </w:tc>
        <w:tc>
          <w:tcPr>
            <w:tcW w:w="1174"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c>
          <w:tcPr>
            <w:tcW w:w="105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c>
          <w:tcPr>
            <w:tcW w:w="1116"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c>
          <w:tcPr>
            <w:tcW w:w="1113"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c>
          <w:tcPr>
            <w:tcW w:w="1118" w:type="dxa"/>
            <w:vAlign w:val="center"/>
          </w:tcPr>
          <w:p>
            <w:pPr>
              <w:spacing w:after="0" w:line="240" w:lineRule="auto"/>
              <w:jc w:val="center"/>
              <w:rPr>
                <w:rFonts w:eastAsia="仿宋_GB2312"/>
                <w:sz w:val="24"/>
              </w:rPr>
            </w:pPr>
            <w:r>
              <w:rPr>
                <w:rFonts w:hint="eastAsia" w:ascii="仿宋_GB2312" w:hAnsi="仿宋_GB2312" w:eastAsia="仿宋_GB2312" w:cs="仿宋_GB2312"/>
                <w:sz w:val="24"/>
              </w:rPr>
              <w:t>20周</w:t>
            </w:r>
          </w:p>
        </w:tc>
      </w:tr>
    </w:tbl>
    <w:p>
      <w:pPr>
        <w:pStyle w:val="3"/>
        <w:ind w:firstLine="640"/>
      </w:pPr>
      <w:bookmarkStart w:id="44" w:name="_Toc219812214"/>
      <w:r>
        <w:rPr>
          <w:rFonts w:hint="eastAsia"/>
        </w:rPr>
        <w:t>（二）课程结构与学时、学分分配</w:t>
      </w:r>
      <w:bookmarkEnd w:id="44"/>
    </w:p>
    <w:p>
      <w:pPr>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本专业教学总学时为</w:t>
      </w:r>
      <w:r>
        <w:rPr>
          <w:rFonts w:hint="eastAsia" w:ascii="仿宋_GB2312" w:hAnsi="仿宋_GB2312" w:eastAsia="仿宋_GB2312" w:cs="仿宋_GB2312"/>
          <w:spacing w:val="-2"/>
          <w:sz w:val="32"/>
          <w:szCs w:val="32"/>
          <w:lang w:val="en-US" w:eastAsia="zh-CN"/>
        </w:rPr>
        <w:t>2734</w:t>
      </w:r>
      <w:r>
        <w:rPr>
          <w:rFonts w:hint="eastAsia" w:ascii="仿宋_GB2312" w:hAnsi="仿宋_GB2312" w:eastAsia="仿宋_GB2312" w:cs="仿宋_GB2312"/>
          <w:bCs/>
          <w:sz w:val="32"/>
          <w:szCs w:val="32"/>
        </w:rPr>
        <w:t>学时。其中理论教学</w:t>
      </w:r>
      <w:r>
        <w:rPr>
          <w:rFonts w:hint="eastAsia" w:ascii="仿宋_GB2312" w:hAnsi="仿宋_GB2312" w:eastAsia="仿宋_GB2312" w:cs="仿宋_GB2312"/>
          <w:bCs/>
          <w:sz w:val="32"/>
          <w:szCs w:val="32"/>
          <w:lang w:val="en-US" w:eastAsia="zh-CN"/>
        </w:rPr>
        <w:t>1238</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45.28</w:t>
      </w:r>
      <w:r>
        <w:rPr>
          <w:rFonts w:hint="eastAsia" w:ascii="仿宋_GB2312" w:hAnsi="仿宋_GB2312" w:eastAsia="仿宋_GB2312" w:cs="仿宋_GB2312"/>
          <w:bCs/>
          <w:sz w:val="32"/>
          <w:szCs w:val="32"/>
        </w:rPr>
        <w:t>%；实践教学</w:t>
      </w:r>
      <w:r>
        <w:rPr>
          <w:rFonts w:hint="eastAsia" w:ascii="仿宋_GB2312" w:hAnsi="仿宋_GB2312" w:eastAsia="仿宋_GB2312" w:cs="仿宋_GB2312"/>
          <w:spacing w:val="-2"/>
          <w:sz w:val="32"/>
          <w:szCs w:val="32"/>
        </w:rPr>
        <w:t>14</w:t>
      </w:r>
      <w:r>
        <w:rPr>
          <w:rFonts w:hint="eastAsia" w:ascii="仿宋_GB2312" w:hAnsi="仿宋_GB2312" w:eastAsia="仿宋_GB2312" w:cs="仿宋_GB2312"/>
          <w:spacing w:val="-2"/>
          <w:sz w:val="32"/>
          <w:szCs w:val="32"/>
          <w:lang w:val="en-US" w:eastAsia="zh-CN"/>
        </w:rPr>
        <w:t>96</w:t>
      </w:r>
      <w:r>
        <w:rPr>
          <w:rFonts w:hint="eastAsia" w:ascii="仿宋_GB2312" w:hAnsi="仿宋_GB2312" w:eastAsia="仿宋_GB2312" w:cs="仿宋_GB2312"/>
          <w:bCs/>
          <w:sz w:val="32"/>
          <w:szCs w:val="32"/>
        </w:rPr>
        <w:t>学时，占</w:t>
      </w:r>
      <w:r>
        <w:rPr>
          <w:rFonts w:hint="eastAsia" w:ascii="仿宋_GB2312" w:hAnsi="仿宋_GB2312" w:eastAsia="仿宋_GB2312" w:cs="仿宋_GB2312"/>
          <w:bCs/>
          <w:sz w:val="32"/>
          <w:szCs w:val="32"/>
          <w:lang w:val="en-US" w:eastAsia="zh-CN"/>
        </w:rPr>
        <w:t>54.72</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bCs/>
          <w:sz w:val="32"/>
          <w:szCs w:val="32"/>
        </w:rPr>
        <w:t>%，其中岗位</w:t>
      </w:r>
      <w:r>
        <w:rPr>
          <w:rFonts w:hint="eastAsia" w:ascii="仿宋_GB2312" w:hAnsi="仿宋_GB2312" w:eastAsia="仿宋_GB2312" w:cs="仿宋_GB2312"/>
          <w:spacing w:val="-2"/>
          <w:sz w:val="32"/>
          <w:szCs w:val="32"/>
        </w:rPr>
        <w:t>实习时间累计一般为6个月。</w:t>
      </w:r>
      <w:r>
        <w:rPr>
          <w:rFonts w:hint="eastAsia" w:ascii="仿宋_GB2312" w:hAnsi="仿宋_GB2312" w:eastAsia="仿宋_GB2312" w:cs="仿宋_GB2312"/>
          <w:bCs/>
          <w:sz w:val="32"/>
          <w:szCs w:val="32"/>
        </w:rPr>
        <w:t>公共基础课</w:t>
      </w:r>
      <w:r>
        <w:rPr>
          <w:rFonts w:hint="eastAsia" w:ascii="仿宋_GB2312" w:hAnsi="仿宋_GB2312" w:eastAsia="仿宋_GB2312" w:cs="仿宋_GB2312"/>
          <w:spacing w:val="-2"/>
          <w:sz w:val="32"/>
          <w:szCs w:val="32"/>
        </w:rPr>
        <w:t>8</w:t>
      </w:r>
      <w:r>
        <w:rPr>
          <w:rFonts w:hint="eastAsia" w:ascii="仿宋_GB2312" w:hAnsi="仿宋_GB2312" w:eastAsia="仿宋_GB2312" w:cs="仿宋_GB2312"/>
          <w:spacing w:val="-2"/>
          <w:sz w:val="32"/>
          <w:szCs w:val="32"/>
          <w:lang w:val="en-US" w:eastAsia="zh-CN"/>
        </w:rPr>
        <w:t>90</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32.55</w:t>
      </w:r>
      <w:r>
        <w:rPr>
          <w:rFonts w:hint="eastAsia" w:ascii="仿宋_GB2312" w:hAnsi="仿宋_GB2312" w:eastAsia="仿宋_GB2312" w:cs="仿宋_GB2312"/>
          <w:bCs/>
          <w:sz w:val="32"/>
          <w:szCs w:val="32"/>
        </w:rPr>
        <w:t>%；选修课</w:t>
      </w:r>
      <w:r>
        <w:rPr>
          <w:rFonts w:hint="eastAsia" w:ascii="仿宋_GB2312" w:hAnsi="仿宋_GB2312" w:eastAsia="仿宋_GB2312" w:cs="仿宋_GB2312"/>
          <w:spacing w:val="-2"/>
          <w:sz w:val="32"/>
          <w:szCs w:val="32"/>
          <w:lang w:val="en-US" w:eastAsia="zh-CN"/>
        </w:rPr>
        <w:t>308</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11.27</w:t>
      </w:r>
      <w:r>
        <w:rPr>
          <w:rFonts w:hint="eastAsia" w:ascii="仿宋_GB2312" w:hAnsi="仿宋_GB2312" w:eastAsia="仿宋_GB2312" w:cs="仿宋_GB2312"/>
          <w:bCs/>
          <w:sz w:val="32"/>
          <w:szCs w:val="32"/>
        </w:rPr>
        <w:t>%</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bCs/>
          <w:sz w:val="32"/>
          <w:szCs w:val="32"/>
        </w:rPr>
        <w:t xml:space="preserve">           </w:t>
      </w:r>
    </w:p>
    <w:p>
      <w:pPr>
        <w:spacing w:after="0" w:line="520" w:lineRule="exact"/>
        <w:jc w:val="center"/>
        <w:rPr>
          <w:rFonts w:hint="eastAsia" w:ascii="仿宋_GB2312" w:hAnsi="仿宋_GB2312" w:eastAsia="仿宋_GB2312" w:cs="仿宋_GB2312"/>
          <w:spacing w:val="-2"/>
          <w:sz w:val="32"/>
          <w:szCs w:val="32"/>
        </w:rPr>
      </w:pPr>
      <w:r>
        <w:rPr>
          <w:rFonts w:hint="eastAsia" w:ascii="仿宋_GB2312" w:hAnsi="仿宋_GB2312" w:eastAsia="仿宋_GB2312" w:cs="仿宋_GB2312"/>
          <w:sz w:val="32"/>
          <w:szCs w:val="32"/>
        </w:rPr>
        <w:t xml:space="preserve">表9 </w:t>
      </w:r>
      <w:r>
        <w:rPr>
          <w:rFonts w:hint="eastAsia" w:ascii="仿宋_GB2312" w:hAnsi="仿宋_GB2312" w:eastAsia="仿宋_GB2312" w:cs="仿宋_GB2312"/>
          <w:spacing w:val="-2"/>
          <w:sz w:val="32"/>
          <w:szCs w:val="32"/>
        </w:rPr>
        <w:t>课程学时、学分分配表</w:t>
      </w:r>
    </w:p>
    <w:tbl>
      <w:tblPr>
        <w:tblStyle w:val="14"/>
        <w:tblW w:w="5109" w:type="pct"/>
        <w:tblInd w:w="-203" w:type="dxa"/>
        <w:tblLayout w:type="fixed"/>
        <w:tblCellMar>
          <w:top w:w="0" w:type="dxa"/>
          <w:left w:w="108" w:type="dxa"/>
          <w:bottom w:w="0" w:type="dxa"/>
          <w:right w:w="108" w:type="dxa"/>
        </w:tblCellMar>
      </w:tblPr>
      <w:tblGrid>
        <w:gridCol w:w="772"/>
        <w:gridCol w:w="1694"/>
        <w:gridCol w:w="792"/>
        <w:gridCol w:w="706"/>
        <w:gridCol w:w="1200"/>
        <w:gridCol w:w="771"/>
        <w:gridCol w:w="835"/>
        <w:gridCol w:w="1050"/>
        <w:gridCol w:w="725"/>
        <w:gridCol w:w="945"/>
      </w:tblGrid>
      <w:tr>
        <w:tblPrEx>
          <w:tblCellMar>
            <w:top w:w="0" w:type="dxa"/>
            <w:left w:w="108" w:type="dxa"/>
            <w:bottom w:w="0" w:type="dxa"/>
            <w:right w:w="108" w:type="dxa"/>
          </w:tblCellMar>
        </w:tblPrEx>
        <w:trPr>
          <w:trHeight w:val="260" w:hRule="atLeast"/>
        </w:trPr>
        <w:tc>
          <w:tcPr>
            <w:tcW w:w="1298" w:type="pct"/>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课程类别</w:t>
            </w:r>
          </w:p>
        </w:tc>
        <w:tc>
          <w:tcPr>
            <w:tcW w:w="417" w:type="pct"/>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课程性质</w:t>
            </w:r>
          </w:p>
        </w:tc>
        <w:tc>
          <w:tcPr>
            <w:tcW w:w="372" w:type="pct"/>
            <w:vMerge w:val="restart"/>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学分</w:t>
            </w:r>
          </w:p>
        </w:tc>
        <w:tc>
          <w:tcPr>
            <w:tcW w:w="632" w:type="pct"/>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占专业总学分比例</w:t>
            </w:r>
          </w:p>
        </w:tc>
        <w:tc>
          <w:tcPr>
            <w:tcW w:w="2279" w:type="pct"/>
            <w:gridSpan w:val="5"/>
            <w:tcBorders>
              <w:top w:val="single" w:color="auto" w:sz="4" w:space="0"/>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                         学时</w:t>
            </w:r>
          </w:p>
        </w:tc>
      </w:tr>
      <w:tr>
        <w:tblPrEx>
          <w:tblCellMar>
            <w:top w:w="0" w:type="dxa"/>
            <w:left w:w="108" w:type="dxa"/>
            <w:bottom w:w="0" w:type="dxa"/>
            <w:right w:w="108" w:type="dxa"/>
          </w:tblCellMar>
        </w:tblPrEx>
        <w:trPr>
          <w:trHeight w:val="260" w:hRule="atLeast"/>
        </w:trPr>
        <w:tc>
          <w:tcPr>
            <w:tcW w:w="129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417"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372"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632"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406" w:type="pct"/>
            <w:vMerge w:val="restart"/>
            <w:tcBorders>
              <w:top w:val="nil"/>
              <w:left w:val="single" w:color="auto" w:sz="4" w:space="0"/>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合计</w:t>
            </w:r>
          </w:p>
        </w:tc>
        <w:tc>
          <w:tcPr>
            <w:tcW w:w="993" w:type="pct"/>
            <w:gridSpan w:val="2"/>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理论教学</w:t>
            </w:r>
          </w:p>
        </w:tc>
        <w:tc>
          <w:tcPr>
            <w:tcW w:w="879" w:type="pct"/>
            <w:gridSpan w:val="2"/>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实践教学</w:t>
            </w:r>
          </w:p>
        </w:tc>
      </w:tr>
      <w:tr>
        <w:tblPrEx>
          <w:tblCellMar>
            <w:top w:w="0" w:type="dxa"/>
            <w:left w:w="108" w:type="dxa"/>
            <w:bottom w:w="0" w:type="dxa"/>
            <w:right w:w="108" w:type="dxa"/>
          </w:tblCellMar>
        </w:tblPrEx>
        <w:trPr>
          <w:trHeight w:val="780" w:hRule="atLeast"/>
        </w:trPr>
        <w:tc>
          <w:tcPr>
            <w:tcW w:w="129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417"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372"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632"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406" w:type="pct"/>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p>
        </w:tc>
        <w:tc>
          <w:tcPr>
            <w:tcW w:w="440" w:type="pct"/>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学时</w:t>
            </w:r>
          </w:p>
        </w:tc>
        <w:tc>
          <w:tcPr>
            <w:tcW w:w="553" w:type="pct"/>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spacing w:val="-11"/>
                <w:kern w:val="0"/>
                <w:sz w:val="24"/>
              </w:rPr>
              <w:t>占专业总学时比例（%）</w:t>
            </w:r>
          </w:p>
        </w:tc>
        <w:tc>
          <w:tcPr>
            <w:tcW w:w="382" w:type="pct"/>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学时</w:t>
            </w:r>
          </w:p>
        </w:tc>
        <w:tc>
          <w:tcPr>
            <w:tcW w:w="496" w:type="pct"/>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spacing w:val="-17"/>
                <w:kern w:val="0"/>
                <w:sz w:val="24"/>
              </w:rPr>
              <w:t>占专业总学时比例（%）</w:t>
            </w:r>
          </w:p>
        </w:tc>
      </w:tr>
      <w:tr>
        <w:tblPrEx>
          <w:tblCellMar>
            <w:top w:w="0" w:type="dxa"/>
            <w:left w:w="108" w:type="dxa"/>
            <w:bottom w:w="0" w:type="dxa"/>
            <w:right w:w="108" w:type="dxa"/>
          </w:tblCellMar>
        </w:tblPrEx>
        <w:trPr>
          <w:trHeight w:val="260" w:hRule="atLeast"/>
        </w:trPr>
        <w:tc>
          <w:tcPr>
            <w:tcW w:w="1298" w:type="pct"/>
            <w:gridSpan w:val="2"/>
            <w:vMerge w:val="restart"/>
            <w:tcBorders>
              <w:top w:val="single" w:color="auto" w:sz="4" w:space="0"/>
              <w:left w:val="single" w:color="auto" w:sz="4" w:space="0"/>
              <w:bottom w:val="single" w:color="000000" w:sz="4" w:space="0"/>
              <w:right w:val="single" w:color="000000"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公共基础课</w:t>
            </w: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必修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40</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27.59%</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762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382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13.97%</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380</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13.90%</w:t>
            </w:r>
          </w:p>
        </w:tc>
      </w:tr>
      <w:tr>
        <w:tblPrEx>
          <w:tblCellMar>
            <w:top w:w="0" w:type="dxa"/>
            <w:left w:w="108" w:type="dxa"/>
            <w:bottom w:w="0" w:type="dxa"/>
            <w:right w:w="108" w:type="dxa"/>
          </w:tblCellMar>
        </w:tblPrEx>
        <w:trPr>
          <w:trHeight w:val="260" w:hRule="atLeast"/>
        </w:trPr>
        <w:tc>
          <w:tcPr>
            <w:tcW w:w="1298" w:type="pct"/>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after="0" w:line="320" w:lineRule="exact"/>
              <w:jc w:val="center"/>
              <w:rPr>
                <w:rFonts w:hint="eastAsia" w:ascii="仿宋_GB2312" w:hAnsi="仿宋_GB2312" w:eastAsia="仿宋_GB2312" w:cs="仿宋_GB2312"/>
                <w:kern w:val="0"/>
                <w:sz w:val="24"/>
              </w:rPr>
            </w:pP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选修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8</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5.52%</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128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80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2.93%</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48</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1.76%</w:t>
            </w:r>
          </w:p>
        </w:tc>
      </w:tr>
      <w:tr>
        <w:tblPrEx>
          <w:tblCellMar>
            <w:top w:w="0" w:type="dxa"/>
            <w:left w:w="108" w:type="dxa"/>
            <w:bottom w:w="0" w:type="dxa"/>
            <w:right w:w="108" w:type="dxa"/>
          </w:tblCellMar>
        </w:tblPrEx>
        <w:trPr>
          <w:trHeight w:val="260" w:hRule="atLeast"/>
        </w:trPr>
        <w:tc>
          <w:tcPr>
            <w:tcW w:w="1298" w:type="pct"/>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after="0" w:line="320" w:lineRule="exact"/>
              <w:jc w:val="center"/>
              <w:rPr>
                <w:rFonts w:hint="eastAsia" w:ascii="仿宋_GB2312" w:hAnsi="仿宋_GB2312" w:eastAsia="仿宋_GB2312" w:cs="仿宋_GB2312"/>
                <w:kern w:val="0"/>
                <w:sz w:val="24"/>
              </w:rPr>
            </w:pP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小计</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48</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33.10%</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890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462 </w:t>
            </w:r>
          </w:p>
        </w:tc>
        <w:tc>
          <w:tcPr>
            <w:tcW w:w="105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16.90%</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428</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15.65%</w:t>
            </w:r>
          </w:p>
        </w:tc>
      </w:tr>
      <w:tr>
        <w:tblPrEx>
          <w:tblCellMar>
            <w:top w:w="0" w:type="dxa"/>
            <w:left w:w="108" w:type="dxa"/>
            <w:bottom w:w="0" w:type="dxa"/>
            <w:right w:w="108" w:type="dxa"/>
          </w:tblCellMar>
        </w:tblPrEx>
        <w:trPr>
          <w:trHeight w:val="260" w:hRule="atLeast"/>
        </w:trPr>
        <w:tc>
          <w:tcPr>
            <w:tcW w:w="406" w:type="pct"/>
            <w:vMerge w:val="restart"/>
            <w:tcBorders>
              <w:top w:val="nil"/>
              <w:left w:val="single" w:color="auto" w:sz="4" w:space="0"/>
              <w:bottom w:val="nil"/>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专业课</w:t>
            </w:r>
          </w:p>
        </w:tc>
        <w:tc>
          <w:tcPr>
            <w:tcW w:w="891" w:type="pct"/>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专业基础课</w:t>
            </w: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必修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40</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27.59%</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720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474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17.34%</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246</w:t>
            </w:r>
          </w:p>
        </w:tc>
        <w:tc>
          <w:tcPr>
            <w:tcW w:w="942"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9.00%</w:t>
            </w:r>
          </w:p>
        </w:tc>
      </w:tr>
      <w:tr>
        <w:tblPrEx>
          <w:tblCellMar>
            <w:top w:w="0" w:type="dxa"/>
            <w:left w:w="108" w:type="dxa"/>
            <w:bottom w:w="0" w:type="dxa"/>
            <w:right w:w="108" w:type="dxa"/>
          </w:tblCellMar>
        </w:tblPrEx>
        <w:trPr>
          <w:trHeight w:val="260" w:hRule="atLeast"/>
        </w:trPr>
        <w:tc>
          <w:tcPr>
            <w:tcW w:w="406" w:type="pct"/>
            <w:vMerge w:val="continue"/>
            <w:tcBorders>
              <w:top w:val="nil"/>
              <w:left w:val="single" w:color="auto" w:sz="4" w:space="0"/>
              <w:bottom w:val="nil"/>
              <w:right w:val="single" w:color="auto" w:sz="4" w:space="0"/>
            </w:tcBorders>
            <w:vAlign w:val="center"/>
          </w:tcPr>
          <w:p>
            <w:pPr>
              <w:widowControl/>
              <w:spacing w:after="0" w:line="320" w:lineRule="exact"/>
              <w:jc w:val="center"/>
              <w:rPr>
                <w:rFonts w:hint="eastAsia" w:ascii="仿宋_GB2312" w:hAnsi="仿宋_GB2312" w:eastAsia="仿宋_GB2312" w:cs="仿宋_GB2312"/>
                <w:kern w:val="0"/>
                <w:sz w:val="24"/>
              </w:rPr>
            </w:pPr>
          </w:p>
        </w:tc>
        <w:tc>
          <w:tcPr>
            <w:tcW w:w="891" w:type="pct"/>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专业核心课</w:t>
            </w: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必修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24</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16.55%</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432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192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7.02%</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240</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8.78%</w:t>
            </w:r>
          </w:p>
        </w:tc>
      </w:tr>
      <w:tr>
        <w:tblPrEx>
          <w:tblCellMar>
            <w:top w:w="0" w:type="dxa"/>
            <w:left w:w="108" w:type="dxa"/>
            <w:bottom w:w="0" w:type="dxa"/>
            <w:right w:w="108" w:type="dxa"/>
          </w:tblCellMar>
        </w:tblPrEx>
        <w:trPr>
          <w:trHeight w:val="260" w:hRule="atLeast"/>
        </w:trPr>
        <w:tc>
          <w:tcPr>
            <w:tcW w:w="406" w:type="pct"/>
            <w:vMerge w:val="continue"/>
            <w:tcBorders>
              <w:top w:val="nil"/>
              <w:left w:val="single" w:color="auto" w:sz="4" w:space="0"/>
              <w:bottom w:val="nil"/>
              <w:right w:val="single" w:color="auto" w:sz="4" w:space="0"/>
            </w:tcBorders>
            <w:vAlign w:val="center"/>
          </w:tcPr>
          <w:p>
            <w:pPr>
              <w:widowControl/>
              <w:spacing w:after="0" w:line="320" w:lineRule="exact"/>
              <w:jc w:val="center"/>
              <w:rPr>
                <w:rFonts w:hint="eastAsia" w:ascii="仿宋_GB2312" w:hAnsi="仿宋_GB2312" w:eastAsia="仿宋_GB2312" w:cs="仿宋_GB2312"/>
                <w:kern w:val="0"/>
                <w:sz w:val="24"/>
              </w:rPr>
            </w:pPr>
          </w:p>
        </w:tc>
        <w:tc>
          <w:tcPr>
            <w:tcW w:w="891" w:type="pct"/>
            <w:tcBorders>
              <w:top w:val="nil"/>
              <w:left w:val="nil"/>
              <w:bottom w:val="nil"/>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专业拓展课</w:t>
            </w: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选修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10</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6.90%</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180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90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3.29%</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90</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3.29%</w:t>
            </w:r>
          </w:p>
        </w:tc>
      </w:tr>
      <w:tr>
        <w:tblPrEx>
          <w:tblCellMar>
            <w:top w:w="0" w:type="dxa"/>
            <w:left w:w="108" w:type="dxa"/>
            <w:bottom w:w="0" w:type="dxa"/>
            <w:right w:w="108" w:type="dxa"/>
          </w:tblCellMar>
        </w:tblPrEx>
        <w:trPr>
          <w:trHeight w:val="300" w:hRule="atLeast"/>
        </w:trPr>
        <w:tc>
          <w:tcPr>
            <w:tcW w:w="406" w:type="pct"/>
            <w:vMerge w:val="continue"/>
            <w:tcBorders>
              <w:top w:val="single" w:color="auto" w:sz="4" w:space="0"/>
              <w:left w:val="single" w:color="auto" w:sz="4" w:space="0"/>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p>
        </w:tc>
        <w:tc>
          <w:tcPr>
            <w:tcW w:w="891" w:type="pct"/>
            <w:tcBorders>
              <w:top w:val="single" w:color="auto" w:sz="4" w:space="0"/>
              <w:left w:val="single" w:color="auto" w:sz="4" w:space="0"/>
              <w:bottom w:val="single" w:color="auto" w:sz="4" w:space="0"/>
              <w:right w:val="single" w:color="auto" w:sz="4" w:space="0"/>
            </w:tcBorders>
            <w:vAlign w:val="center"/>
          </w:tcPr>
          <w:p>
            <w:pPr>
              <w:widowControl/>
              <w:spacing w:after="0" w:line="320" w:lineRule="exact"/>
              <w:jc w:val="center"/>
              <w:textAlignment w:val="center"/>
            </w:pPr>
            <w:r>
              <w:rPr>
                <w:rFonts w:hint="eastAsia" w:ascii="仿宋_GB2312" w:hAnsi="仿宋_GB2312" w:eastAsia="仿宋_GB2312" w:cs="仿宋_GB2312"/>
                <w:sz w:val="20"/>
                <w:szCs w:val="20"/>
              </w:rPr>
              <w:t>实践性教学环节</w:t>
            </w:r>
          </w:p>
        </w:tc>
        <w:tc>
          <w:tcPr>
            <w:tcW w:w="417" w:type="pct"/>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必修</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23</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15.86%</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512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20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0.73%</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492</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18.00%</w:t>
            </w:r>
          </w:p>
        </w:tc>
      </w:tr>
      <w:tr>
        <w:tblPrEx>
          <w:tblCellMar>
            <w:top w:w="0" w:type="dxa"/>
            <w:left w:w="108" w:type="dxa"/>
            <w:bottom w:w="0" w:type="dxa"/>
            <w:right w:w="108" w:type="dxa"/>
          </w:tblCellMar>
        </w:tblPrEx>
        <w:trPr>
          <w:trHeight w:val="260" w:hRule="atLeast"/>
        </w:trPr>
        <w:tc>
          <w:tcPr>
            <w:tcW w:w="1298" w:type="pct"/>
            <w:gridSpan w:val="2"/>
            <w:tcBorders>
              <w:top w:val="nil"/>
              <w:left w:val="single" w:color="auto" w:sz="4" w:space="0"/>
              <w:right w:val="single" w:color="000000"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4"/>
              </w:rPr>
            </w:pPr>
          </w:p>
        </w:tc>
        <w:tc>
          <w:tcPr>
            <w:tcW w:w="417" w:type="pct"/>
            <w:tcBorders>
              <w:top w:val="nil"/>
              <w:left w:val="single" w:color="auto" w:sz="4" w:space="0"/>
              <w:bottom w:val="single" w:color="auto" w:sz="4" w:space="0"/>
              <w:right w:val="single" w:color="000000" w:sz="4" w:space="0"/>
            </w:tcBorders>
            <w:vAlign w:val="center"/>
          </w:tcPr>
          <w:p>
            <w:pPr>
              <w:widowControl/>
              <w:spacing w:after="0" w:line="320" w:lineRule="exact"/>
              <w:jc w:val="center"/>
              <w:textAlignment w:val="center"/>
            </w:pPr>
            <w:r>
              <w:rPr>
                <w:rFonts w:hint="eastAsia" w:ascii="仿宋_GB2312" w:hAnsi="仿宋_GB2312" w:eastAsia="仿宋_GB2312" w:cs="仿宋_GB2312"/>
                <w:kern w:val="0"/>
                <w:sz w:val="20"/>
                <w:szCs w:val="20"/>
                <w:lang w:bidi="ar"/>
              </w:rPr>
              <w:t>小计</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97</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66.90%</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1844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776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28.38%</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1068 </w:t>
            </w:r>
          </w:p>
        </w:tc>
        <w:tc>
          <w:tcPr>
            <w:tcW w:w="942"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39.06%</w:t>
            </w:r>
          </w:p>
        </w:tc>
      </w:tr>
      <w:tr>
        <w:tblPrEx>
          <w:tblCellMar>
            <w:top w:w="0" w:type="dxa"/>
            <w:left w:w="108" w:type="dxa"/>
            <w:bottom w:w="0" w:type="dxa"/>
            <w:right w:w="108" w:type="dxa"/>
          </w:tblCellMar>
        </w:tblPrEx>
        <w:trPr>
          <w:trHeight w:val="280" w:hRule="atLeast"/>
        </w:trPr>
        <w:tc>
          <w:tcPr>
            <w:tcW w:w="1715" w:type="pct"/>
            <w:gridSpan w:val="3"/>
            <w:tcBorders>
              <w:top w:val="single" w:color="auto" w:sz="4" w:space="0"/>
              <w:left w:val="single" w:color="auto" w:sz="4" w:space="0"/>
              <w:bottom w:val="single" w:color="auto" w:sz="4" w:space="0"/>
              <w:right w:val="single" w:color="000000"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0"/>
                <w:szCs w:val="20"/>
                <w:lang w:bidi="ar"/>
              </w:rPr>
              <w:t>合计</w:t>
            </w:r>
          </w:p>
        </w:tc>
        <w:tc>
          <w:tcPr>
            <w:tcW w:w="708"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145</w:t>
            </w:r>
          </w:p>
        </w:tc>
        <w:tc>
          <w:tcPr>
            <w:tcW w:w="1200"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100.00%</w:t>
            </w:r>
          </w:p>
        </w:tc>
        <w:tc>
          <w:tcPr>
            <w:tcW w:w="771"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2734 </w:t>
            </w:r>
          </w:p>
        </w:tc>
        <w:tc>
          <w:tcPr>
            <w:tcW w:w="836"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 xml:space="preserve">1238 </w:t>
            </w:r>
          </w:p>
        </w:tc>
        <w:tc>
          <w:tcPr>
            <w:tcW w:w="1050"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45.28%</w:t>
            </w:r>
          </w:p>
        </w:tc>
        <w:tc>
          <w:tcPr>
            <w:tcW w:w="727" w:type="dxa"/>
            <w:tcBorders>
              <w:top w:val="nil"/>
              <w:left w:val="nil"/>
              <w:bottom w:val="single" w:color="auto" w:sz="4" w:space="0"/>
              <w:right w:val="single" w:color="auto" w:sz="4" w:space="0"/>
            </w:tcBorders>
            <w:noWrap/>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1496</w:t>
            </w:r>
          </w:p>
        </w:tc>
        <w:tc>
          <w:tcPr>
            <w:tcW w:w="942" w:type="dxa"/>
            <w:tcBorders>
              <w:top w:val="nil"/>
              <w:left w:val="nil"/>
              <w:bottom w:val="single" w:color="auto" w:sz="4" w:space="0"/>
              <w:right w:val="single" w:color="auto" w:sz="4" w:space="0"/>
            </w:tcBorders>
            <w:vAlign w:val="center"/>
          </w:tcPr>
          <w:p>
            <w:pPr>
              <w:widowControl/>
              <w:spacing w:after="0" w:line="320" w:lineRule="exact"/>
              <w:jc w:val="center"/>
              <w:textAlignment w:val="center"/>
              <w:rPr>
                <w:rFonts w:hint="eastAsia" w:ascii="仿宋_GB2312" w:hAnsi="仿宋_GB2312" w:eastAsia="仿宋_GB2312" w:cs="仿宋_GB2312"/>
                <w:kern w:val="0"/>
                <w:sz w:val="20"/>
                <w:szCs w:val="20"/>
                <w:lang w:bidi="ar"/>
              </w:rPr>
            </w:pPr>
            <w:r>
              <w:rPr>
                <w:rFonts w:hint="eastAsia" w:ascii="仿宋_GB2312" w:hAnsi="仿宋_GB2312" w:eastAsia="仿宋_GB2312" w:cs="仿宋_GB2312"/>
                <w:kern w:val="0"/>
                <w:sz w:val="20"/>
                <w:szCs w:val="20"/>
                <w:lang w:val="en-US" w:eastAsia="zh-CN" w:bidi="ar"/>
              </w:rPr>
              <w:t>54.72%</w:t>
            </w:r>
          </w:p>
        </w:tc>
      </w:tr>
    </w:tbl>
    <w:p>
      <w:pPr>
        <w:pStyle w:val="3"/>
        <w:ind w:firstLine="640"/>
      </w:pPr>
      <w:bookmarkStart w:id="45" w:name="_Toc219812215"/>
      <w:r>
        <w:rPr>
          <w:rFonts w:hint="eastAsia"/>
        </w:rPr>
        <w:t>（三）教学计划进程</w:t>
      </w:r>
      <w:bookmarkEnd w:id="45"/>
    </w:p>
    <w:p>
      <w:pPr>
        <w:pStyle w:val="12"/>
        <w:shd w:val="clear" w:color="auto" w:fill="FFFFFF"/>
        <w:spacing w:before="0" w:beforeAutospacing="0" w:afterAutospacing="0" w:line="520" w:lineRule="exact"/>
        <w:jc w:val="center"/>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rPr>
        <w:t xml:space="preserve">表10 </w:t>
      </w:r>
      <w:r>
        <w:rPr>
          <w:rFonts w:hint="eastAsia" w:ascii="仿宋_GB2312" w:hAnsi="仿宋_GB2312" w:eastAsia="仿宋_GB2312" w:cs="仿宋_GB2312"/>
          <w:sz w:val="32"/>
          <w:szCs w:val="32"/>
          <w:shd w:val="clear" w:color="auto" w:fill="FFFFFF"/>
          <w:lang w:bidi="ar"/>
        </w:rPr>
        <w:t>教学计划进程安排表</w:t>
      </w:r>
    </w:p>
    <w:tbl>
      <w:tblPr>
        <w:tblStyle w:val="14"/>
        <w:tblW w:w="9082" w:type="dxa"/>
        <w:jc w:val="center"/>
        <w:tblLayout w:type="autofit"/>
        <w:tblCellMar>
          <w:top w:w="0" w:type="dxa"/>
          <w:left w:w="0" w:type="dxa"/>
          <w:bottom w:w="0" w:type="dxa"/>
          <w:right w:w="0" w:type="dxa"/>
        </w:tblCellMar>
      </w:tblPr>
      <w:tblGrid>
        <w:gridCol w:w="210"/>
        <w:gridCol w:w="210"/>
        <w:gridCol w:w="410"/>
        <w:gridCol w:w="410"/>
        <w:gridCol w:w="1120"/>
        <w:gridCol w:w="1126"/>
        <w:gridCol w:w="610"/>
        <w:gridCol w:w="610"/>
        <w:gridCol w:w="644"/>
        <w:gridCol w:w="644"/>
        <w:gridCol w:w="406"/>
        <w:gridCol w:w="408"/>
        <w:gridCol w:w="406"/>
        <w:gridCol w:w="407"/>
        <w:gridCol w:w="521"/>
        <w:gridCol w:w="519"/>
        <w:gridCol w:w="410"/>
        <w:gridCol w:w="11"/>
      </w:tblGrid>
      <w:tr>
        <w:tblPrEx>
          <w:tblCellMar>
            <w:top w:w="0" w:type="dxa"/>
            <w:left w:w="0" w:type="dxa"/>
            <w:bottom w:w="0" w:type="dxa"/>
            <w:right w:w="0" w:type="dxa"/>
          </w:tblCellMar>
        </w:tblPrEx>
        <w:trPr>
          <w:gridAfter w:val="1"/>
          <w:wAfter w:w="11" w:type="dxa"/>
          <w:trHeight w:val="312" w:hRule="atLeast"/>
          <w:jc w:val="center"/>
        </w:trPr>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课程类型</w:t>
            </w:r>
          </w:p>
        </w:tc>
        <w:tc>
          <w:tcPr>
            <w:tcW w:w="410" w:type="dxa"/>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序号</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课程代码</w:t>
            </w:r>
          </w:p>
        </w:tc>
        <w:tc>
          <w:tcPr>
            <w:tcW w:w="1126" w:type="dxa"/>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课程名称</w:t>
            </w:r>
          </w:p>
        </w:tc>
        <w:tc>
          <w:tcPr>
            <w:tcW w:w="610" w:type="dxa"/>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学分</w:t>
            </w:r>
          </w:p>
        </w:tc>
        <w:tc>
          <w:tcPr>
            <w:tcW w:w="1898"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教学学时数</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开课学期和周学时</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考核类型</w:t>
            </w:r>
          </w:p>
        </w:tc>
      </w:tr>
      <w:tr>
        <w:tblPrEx>
          <w:tblCellMar>
            <w:top w:w="0" w:type="dxa"/>
            <w:left w:w="0" w:type="dxa"/>
            <w:bottom w:w="0" w:type="dxa"/>
            <w:right w:w="0" w:type="dxa"/>
          </w:tblCellMar>
        </w:tblPrEx>
        <w:trPr>
          <w:trHeight w:val="26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189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nil"/>
              <w:bottom w:val="nil"/>
              <w:right w:val="nil"/>
            </w:tcBorders>
            <w:noWrap/>
            <w:vAlign w:val="center"/>
          </w:tcPr>
          <w:p>
            <w:pPr>
              <w:widowControl/>
              <w:spacing w:after="0" w:line="240" w:lineRule="auto"/>
              <w:jc w:val="center"/>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1126"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61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合计</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理论学时</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实践学时</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六</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公共基础课</w:t>
            </w:r>
          </w:p>
        </w:tc>
        <w:tc>
          <w:tcPr>
            <w:tcW w:w="0" w:type="auto"/>
            <w:vMerge w:val="restart"/>
            <w:tcBorders>
              <w:top w:val="nil"/>
              <w:left w:val="single" w:color="auto" w:sz="4" w:space="0"/>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必修</w:t>
            </w:r>
          </w:p>
        </w:tc>
        <w:tc>
          <w:tcPr>
            <w:tcW w:w="41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1B410101101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思想道德与法治</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1A410101102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形势与政策</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1到4学期开课，每学期8学时。</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1A410101103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国家安全教育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1A410101104</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军事理论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1C410101105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军训</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112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112</w:t>
            </w:r>
          </w:p>
        </w:tc>
        <w:tc>
          <w:tcPr>
            <w:tcW w:w="0" w:type="auto"/>
            <w:gridSpan w:val="6"/>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第1学期，实际训练时间不少于14天</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1B410101106</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计算机基础</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64</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1B410101108</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大学英语</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104</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8</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1C410101109</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大学体育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144</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144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2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1B410101110</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大学生职业发展与就业指导</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1B410101111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大学生心理健康教育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11</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1C410101112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劳动教育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2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1B410101113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毛泽东思想和中国特色社会主义理论体系概论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13</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1B410101114</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创新创业教育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2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14</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1B410101115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习近平新时代中国特色社会主义思想概论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restart"/>
            <w:tcBorders>
              <w:top w:val="nil"/>
              <w:left w:val="single" w:color="auto" w:sz="4" w:space="0"/>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选修</w:t>
            </w: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1B410101201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中国民俗剪纸技法</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24</w:t>
            </w:r>
          </w:p>
        </w:tc>
        <w:tc>
          <w:tcPr>
            <w:tcW w:w="0" w:type="auto"/>
            <w:gridSpan w:val="6"/>
            <w:vMerge w:val="restart"/>
            <w:tcBorders>
              <w:top w:val="single" w:color="000000" w:sz="4" w:space="0"/>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公共选修课最低学分要求为8学分，其中要求2个学分为思政选修课学分。</w:t>
            </w: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1B410101202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影视与鉴赏</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24</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中华优秀传统文化</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410101204</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中国共产党简史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改革开放简史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410101206</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中华人民共和国简史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410101207</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社会主义发展简史</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8</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410101208</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中华民族共同体概论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410101209</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高等数学</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410101210</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语文</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11</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410101219</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物理</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nil"/>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single" w:color="000000"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112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410101220</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化学</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32</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0</w:t>
            </w:r>
          </w:p>
        </w:tc>
        <w:tc>
          <w:tcPr>
            <w:tcW w:w="0" w:type="auto"/>
            <w:gridSpan w:val="6"/>
            <w:vMerge w:val="continue"/>
            <w:tcBorders>
              <w:top w:val="nil"/>
              <w:left w:val="nil"/>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13</w:t>
            </w:r>
          </w:p>
        </w:tc>
        <w:tc>
          <w:tcPr>
            <w:tcW w:w="1120" w:type="dxa"/>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r>
              <w:rPr>
                <w:rFonts w:hint="eastAsia" w:ascii="仿宋_GB2312" w:hAnsi="仿宋_GB2312" w:eastAsia="仿宋_GB2312" w:cs="仿宋_GB2312"/>
                <w:kern w:val="0"/>
                <w:sz w:val="20"/>
                <w:szCs w:val="20"/>
                <w:lang w:eastAsia="zh-CN"/>
              </w:rPr>
              <w:t>A</w:t>
            </w:r>
            <w:r>
              <w:rPr>
                <w:rFonts w:hint="eastAsia" w:ascii="仿宋_GB2312" w:hAnsi="仿宋_GB2312" w:eastAsia="仿宋_GB2312" w:cs="仿宋_GB2312"/>
                <w:kern w:val="0"/>
                <w:sz w:val="20"/>
                <w:szCs w:val="20"/>
              </w:rPr>
              <w:t>410101101</w:t>
            </w:r>
          </w:p>
        </w:tc>
        <w:tc>
          <w:tcPr>
            <w:tcW w:w="1126" w:type="dxa"/>
            <w:tcBorders>
              <w:top w:val="single" w:color="000000" w:sz="4" w:space="0"/>
              <w:left w:val="single" w:color="auto"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职业人文基础</w:t>
            </w:r>
          </w:p>
        </w:tc>
        <w:tc>
          <w:tcPr>
            <w:tcW w:w="610"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40</w:t>
            </w:r>
          </w:p>
        </w:tc>
        <w:tc>
          <w:tcPr>
            <w:tcW w:w="610"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762</w:t>
            </w:r>
          </w:p>
        </w:tc>
        <w:tc>
          <w:tcPr>
            <w:tcW w:w="644"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382</w:t>
            </w:r>
          </w:p>
        </w:tc>
        <w:tc>
          <w:tcPr>
            <w:tcW w:w="644"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380</w:t>
            </w:r>
          </w:p>
        </w:tc>
        <w:tc>
          <w:tcPr>
            <w:tcW w:w="0" w:type="auto"/>
            <w:gridSpan w:val="6"/>
            <w:vMerge w:val="continue"/>
            <w:tcBorders>
              <w:top w:val="single" w:color="000000" w:sz="4" w:space="0"/>
              <w:left w:val="nil"/>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3066" w:type="dxa"/>
            <w:gridSpan w:val="4"/>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公共必修课程学分、学时小计</w:t>
            </w:r>
          </w:p>
        </w:tc>
        <w:tc>
          <w:tcPr>
            <w:tcW w:w="610"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27.59%</w:t>
            </w:r>
          </w:p>
        </w:tc>
        <w:tc>
          <w:tcPr>
            <w:tcW w:w="610"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27.87%</w:t>
            </w:r>
          </w:p>
        </w:tc>
        <w:tc>
          <w:tcPr>
            <w:tcW w:w="644"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13.97%</w:t>
            </w:r>
          </w:p>
        </w:tc>
        <w:tc>
          <w:tcPr>
            <w:tcW w:w="644"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13.90%</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3066" w:type="dxa"/>
            <w:gridSpan w:val="4"/>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公共必修课程学分、学时占比</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80</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48</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3066" w:type="dxa"/>
            <w:gridSpan w:val="4"/>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公共选修课程学分、学时小计</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5.52%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4.68%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2.93%</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1.76%</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3066" w:type="dxa"/>
            <w:gridSpan w:val="4"/>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公共选修课程学分、学时占比</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48</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12</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restart"/>
            <w:tcBorders>
              <w:top w:val="nil"/>
              <w:left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专业课</w:t>
            </w:r>
          </w:p>
        </w:tc>
        <w:tc>
          <w:tcPr>
            <w:tcW w:w="210" w:type="dxa"/>
            <w:vMerge w:val="restart"/>
            <w:tcBorders>
              <w:top w:val="single" w:color="000000" w:sz="4" w:space="0"/>
              <w:left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专业基础课</w:t>
            </w:r>
          </w:p>
        </w:tc>
        <w:tc>
          <w:tcPr>
            <w:tcW w:w="410" w:type="dxa"/>
            <w:vMerge w:val="restart"/>
            <w:tcBorders>
              <w:top w:val="single" w:color="000000" w:sz="4" w:space="0"/>
              <w:left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必修</w:t>
            </w: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single" w:color="000000" w:sz="4" w:space="0"/>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5A590301303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现代家政导论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5A530701303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管理学基础</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5B590301302</w:t>
            </w:r>
          </w:p>
        </w:tc>
        <w:tc>
          <w:tcPr>
            <w:tcW w:w="1126" w:type="dxa"/>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社会学概论</w:t>
            </w:r>
          </w:p>
        </w:tc>
        <w:tc>
          <w:tcPr>
            <w:tcW w:w="610" w:type="dxa"/>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5B590301304</w:t>
            </w:r>
          </w:p>
        </w:tc>
        <w:tc>
          <w:tcPr>
            <w:tcW w:w="1126"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家政服务沟通与礼仪</w:t>
            </w:r>
          </w:p>
        </w:tc>
        <w:tc>
          <w:tcPr>
            <w:tcW w:w="610" w:type="dxa"/>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2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5B590301308</w:t>
            </w:r>
          </w:p>
        </w:tc>
        <w:tc>
          <w:tcPr>
            <w:tcW w:w="1126"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家政职业道德与法律法规</w:t>
            </w:r>
          </w:p>
        </w:tc>
        <w:tc>
          <w:tcPr>
            <w:tcW w:w="610"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60</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5B590302305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人力资源管理</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5B590301301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婴幼儿早期发展指导</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8</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5B590301311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家政新媒体营销</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5B590301305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家庭营养与膳食指导</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5B590301310</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宋体" w:hAnsi="宋体" w:cs="宋体"/>
                <w:kern w:val="0"/>
                <w:sz w:val="16"/>
                <w:szCs w:val="16"/>
                <w:lang w:bidi="ar"/>
              </w:rPr>
            </w:pPr>
            <w:r>
              <w:rPr>
                <w:rFonts w:hint="eastAsia" w:ascii="仿宋_GB2312" w:hAnsi="仿宋_GB2312" w:eastAsia="仿宋_GB2312" w:cs="仿宋_GB2312"/>
                <w:kern w:val="0"/>
                <w:sz w:val="20"/>
                <w:szCs w:val="20"/>
              </w:rPr>
              <w:t>医疗急救</w:t>
            </w:r>
          </w:p>
        </w:tc>
        <w:tc>
          <w:tcPr>
            <w:tcW w:w="610" w:type="dxa"/>
            <w:tcBorders>
              <w:top w:val="nil"/>
              <w:left w:val="nil"/>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kern w:val="0"/>
                <w:sz w:val="20"/>
                <w:szCs w:val="20"/>
              </w:rPr>
            </w:pPr>
            <w:r>
              <w:rPr>
                <w:rFonts w:hint="eastAsia" w:ascii="宋体" w:hAnsi="宋体" w:cs="宋体"/>
                <w:kern w:val="0"/>
                <w:sz w:val="18"/>
                <w:szCs w:val="18"/>
                <w:lang w:bidi="ar"/>
              </w:rPr>
              <w:t>4</w:t>
            </w:r>
          </w:p>
        </w:tc>
        <w:tc>
          <w:tcPr>
            <w:tcW w:w="610" w:type="dxa"/>
            <w:tcBorders>
              <w:top w:val="nil"/>
              <w:left w:val="nil"/>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kern w:val="0"/>
                <w:sz w:val="20"/>
                <w:szCs w:val="20"/>
              </w:rPr>
            </w:pPr>
            <w:r>
              <w:rPr>
                <w:rFonts w:hint="eastAsia" w:ascii="宋体" w:hAnsi="宋体" w:cs="宋体"/>
                <w:kern w:val="0"/>
                <w:sz w:val="18"/>
                <w:szCs w:val="18"/>
                <w:lang w:bidi="ar"/>
              </w:rPr>
              <w:t>72</w:t>
            </w:r>
          </w:p>
        </w:tc>
        <w:tc>
          <w:tcPr>
            <w:tcW w:w="644" w:type="dxa"/>
            <w:tcBorders>
              <w:top w:val="nil"/>
              <w:left w:val="nil"/>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kern w:val="0"/>
                <w:sz w:val="20"/>
                <w:szCs w:val="20"/>
              </w:rPr>
            </w:pPr>
            <w:r>
              <w:rPr>
                <w:rFonts w:hint="eastAsia" w:ascii="宋体" w:hAnsi="宋体" w:cs="宋体"/>
                <w:kern w:val="0"/>
                <w:sz w:val="18"/>
                <w:szCs w:val="18"/>
                <w:lang w:bidi="ar"/>
              </w:rPr>
              <w:t>36</w:t>
            </w:r>
          </w:p>
        </w:tc>
        <w:tc>
          <w:tcPr>
            <w:tcW w:w="644" w:type="dxa"/>
            <w:tcBorders>
              <w:top w:val="nil"/>
              <w:left w:val="nil"/>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kern w:val="0"/>
                <w:sz w:val="20"/>
                <w:szCs w:val="20"/>
              </w:rPr>
            </w:pPr>
            <w:r>
              <w:rPr>
                <w:rFonts w:hint="eastAsia" w:ascii="宋体" w:hAnsi="宋体" w:cs="宋体"/>
                <w:kern w:val="0"/>
                <w:sz w:val="18"/>
                <w:szCs w:val="18"/>
                <w:lang w:bidi="ar"/>
              </w:rPr>
              <w:t>36</w:t>
            </w:r>
          </w:p>
        </w:tc>
        <w:tc>
          <w:tcPr>
            <w:tcW w:w="406"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kern w:val="0"/>
                <w:sz w:val="20"/>
                <w:szCs w:val="20"/>
              </w:rPr>
            </w:pPr>
          </w:p>
        </w:tc>
        <w:tc>
          <w:tcPr>
            <w:tcW w:w="408"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kern w:val="0"/>
                <w:sz w:val="20"/>
                <w:szCs w:val="20"/>
              </w:rPr>
            </w:pPr>
          </w:p>
        </w:tc>
        <w:tc>
          <w:tcPr>
            <w:tcW w:w="406"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kern w:val="0"/>
                <w:sz w:val="20"/>
                <w:szCs w:val="20"/>
              </w:rPr>
            </w:pPr>
          </w:p>
        </w:tc>
        <w:tc>
          <w:tcPr>
            <w:tcW w:w="407" w:type="dxa"/>
            <w:tcBorders>
              <w:top w:val="nil"/>
              <w:left w:val="nil"/>
              <w:bottom w:val="single" w:color="auto" w:sz="4" w:space="0"/>
              <w:right w:val="single" w:color="auto" w:sz="4" w:space="0"/>
            </w:tcBorders>
            <w:noWrap/>
            <w:vAlign w:val="center"/>
          </w:tcPr>
          <w:p>
            <w:pPr>
              <w:widowControl/>
              <w:jc w:val="center"/>
              <w:textAlignment w:val="center"/>
              <w:rPr>
                <w:rFonts w:hint="eastAsia" w:ascii="仿宋_GB2312" w:hAnsi="仿宋_GB2312" w:eastAsia="仿宋_GB2312" w:cs="仿宋_GB2312"/>
                <w:kern w:val="0"/>
                <w:sz w:val="20"/>
                <w:szCs w:val="20"/>
              </w:rPr>
            </w:pPr>
            <w:r>
              <w:rPr>
                <w:rFonts w:hint="eastAsia" w:ascii="宋体" w:hAnsi="宋体" w:cs="宋体"/>
                <w:kern w:val="0"/>
                <w:sz w:val="16"/>
                <w:szCs w:val="16"/>
                <w:lang w:bidi="ar"/>
              </w:rPr>
              <w:t>4</w:t>
            </w:r>
          </w:p>
        </w:tc>
        <w:tc>
          <w:tcPr>
            <w:tcW w:w="521"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kern w:val="0"/>
                <w:sz w:val="20"/>
                <w:szCs w:val="20"/>
              </w:rPr>
            </w:pPr>
          </w:p>
        </w:tc>
        <w:tc>
          <w:tcPr>
            <w:tcW w:w="519" w:type="dxa"/>
            <w:tcBorders>
              <w:top w:val="nil"/>
              <w:left w:val="nil"/>
              <w:bottom w:val="single" w:color="auto" w:sz="4" w:space="0"/>
              <w:right w:val="single" w:color="auto" w:sz="4" w:space="0"/>
            </w:tcBorders>
            <w:noWrap/>
            <w:vAlign w:val="center"/>
          </w:tcPr>
          <w:p>
            <w:pPr>
              <w:jc w:val="center"/>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kern w:val="0"/>
                <w:sz w:val="20"/>
                <w:szCs w:val="20"/>
              </w:rPr>
            </w:pPr>
            <w:r>
              <w:rPr>
                <w:rFonts w:hint="eastAsia" w:ascii="仿宋" w:hAnsi="仿宋" w:eastAsia="仿宋" w:cs="仿宋"/>
                <w:kern w:val="0"/>
                <w:sz w:val="20"/>
                <w:szCs w:val="20"/>
                <w:lang w:bidi="ar"/>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restart"/>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专业核心课</w:t>
            </w:r>
          </w:p>
        </w:tc>
        <w:tc>
          <w:tcPr>
            <w:tcW w:w="0" w:type="auto"/>
            <w:vMerge w:val="restart"/>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必修</w:t>
            </w: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5B590301407</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人体结构与功能</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60</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5B590301408</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婴幼儿心理发展</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5B590301401</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家庭整理与收纳</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nil"/>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nil"/>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5B590301409</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家庭保健基础</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0" w:type="auto"/>
            <w:tcBorders>
              <w:top w:val="single" w:color="000000" w:sz="4" w:space="0"/>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60</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000000" w:sz="4" w:space="0"/>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考试</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5B590301405</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家庭成员照护技术</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000000" w:sz="4" w:space="0"/>
              <w:bottom w:val="single" w:color="000000" w:sz="4" w:space="0"/>
              <w:right w:val="single" w:color="000000"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w:t>
            </w:r>
          </w:p>
        </w:tc>
        <w:tc>
          <w:tcPr>
            <w:tcW w:w="1120" w:type="dxa"/>
            <w:tcBorders>
              <w:top w:val="nil"/>
              <w:left w:val="single" w:color="000000" w:sz="4" w:space="0"/>
              <w:bottom w:val="single" w:color="000000"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5B590301406</w:t>
            </w:r>
          </w:p>
        </w:tc>
        <w:tc>
          <w:tcPr>
            <w:tcW w:w="1126" w:type="dxa"/>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家政培训实务</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72</w:t>
            </w:r>
          </w:p>
        </w:tc>
        <w:tc>
          <w:tcPr>
            <w:tcW w:w="0" w:type="auto"/>
            <w:tcBorders>
              <w:top w:val="nil"/>
              <w:left w:val="nil"/>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24</w:t>
            </w:r>
          </w:p>
        </w:tc>
        <w:tc>
          <w:tcPr>
            <w:tcW w:w="0" w:type="auto"/>
            <w:tcBorders>
              <w:top w:val="nil"/>
              <w:left w:val="nil"/>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w:t>
            </w:r>
          </w:p>
        </w:tc>
        <w:tc>
          <w:tcPr>
            <w:tcW w:w="0" w:type="auto"/>
            <w:tcBorders>
              <w:top w:val="nil"/>
              <w:left w:val="nil"/>
              <w:bottom w:val="single" w:color="auto"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000000"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restart"/>
            <w:tcBorders>
              <w:top w:val="single" w:color="auto" w:sz="4" w:space="0"/>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专业拓展课</w:t>
            </w:r>
          </w:p>
        </w:tc>
        <w:tc>
          <w:tcPr>
            <w:tcW w:w="410" w:type="dxa"/>
            <w:vMerge w:val="restart"/>
            <w:tcBorders>
              <w:top w:val="single" w:color="auto" w:sz="4" w:space="0"/>
              <w:left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选修</w:t>
            </w: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single" w:color="auto" w:sz="4" w:space="0"/>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家宴策划与组织</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restart"/>
            <w:tcBorders>
              <w:top w:val="single" w:color="auto" w:sz="4" w:space="0"/>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专业拓展课最低学分要求为10学分。</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家居空间规划</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家庭环境与美化</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5B590301504</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插花与茶艺</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5B590301505</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产后恢复</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5B590301506</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亲子教育</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5B590301507</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婴幼儿玩教具与游戏</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8</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5B590301508</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现代教育技术</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5B590301509</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家政资讯管理</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5B590301510</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家政电子商务实务</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11</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5B590301511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家政企业经营与管理</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12</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5B590301512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家庭服务营销</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53"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13</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7B520802523</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婴幼儿艺术启蒙</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36</w:t>
            </w:r>
          </w:p>
        </w:tc>
        <w:tc>
          <w:tcPr>
            <w:tcW w:w="0" w:type="auto"/>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16</w:t>
            </w:r>
          </w:p>
        </w:tc>
        <w:tc>
          <w:tcPr>
            <w:tcW w:w="2667" w:type="dxa"/>
            <w:gridSpan w:val="6"/>
            <w:vMerge w:val="continue"/>
            <w:tcBorders>
              <w:left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553"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vMerge w:val="continue"/>
            <w:tcBorders>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14</w:t>
            </w:r>
          </w:p>
        </w:tc>
        <w:tc>
          <w:tcPr>
            <w:tcW w:w="112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5B590302512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习近平经济思想概论</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36</w:t>
            </w:r>
          </w:p>
        </w:tc>
        <w:tc>
          <w:tcPr>
            <w:tcW w:w="644"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18</w:t>
            </w:r>
          </w:p>
        </w:tc>
        <w:tc>
          <w:tcPr>
            <w:tcW w:w="644" w:type="dxa"/>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18</w:t>
            </w:r>
          </w:p>
        </w:tc>
        <w:tc>
          <w:tcPr>
            <w:tcW w:w="2667" w:type="dxa"/>
            <w:gridSpan w:val="6"/>
            <w:vMerge w:val="continue"/>
            <w:tcBorders>
              <w:left w:val="single" w:color="auto" w:sz="4" w:space="0"/>
              <w:bottom w:val="single" w:color="auto" w:sz="4" w:space="0"/>
              <w:right w:val="single" w:color="auto" w:sz="4" w:space="0"/>
            </w:tcBorders>
            <w:noWrap/>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841" w:hRule="atLeast"/>
          <w:jc w:val="center"/>
        </w:trPr>
        <w:tc>
          <w:tcPr>
            <w:tcW w:w="210" w:type="dxa"/>
            <w:vMerge w:val="continue"/>
            <w:tcBorders>
              <w:left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p>
        </w:tc>
        <w:tc>
          <w:tcPr>
            <w:tcW w:w="210" w:type="dxa"/>
            <w:vMerge w:val="restart"/>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实践性教学环节</w:t>
            </w:r>
          </w:p>
        </w:tc>
        <w:tc>
          <w:tcPr>
            <w:tcW w:w="0" w:type="auto"/>
            <w:vMerge w:val="restart"/>
            <w:tcBorders>
              <w:top w:val="nil"/>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必修</w:t>
            </w:r>
          </w:p>
        </w:tc>
        <w:tc>
          <w:tcPr>
            <w:tcW w:w="41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112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1B410101601</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毕业设计</w:t>
            </w:r>
          </w:p>
        </w:tc>
        <w:tc>
          <w:tcPr>
            <w:tcW w:w="610" w:type="dxa"/>
            <w:tcBorders>
              <w:top w:val="nil"/>
              <w:left w:val="nil"/>
              <w:bottom w:val="single" w:color="auto" w:sz="4" w:space="0"/>
              <w:right w:val="nil"/>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w:t>
            </w:r>
          </w:p>
        </w:tc>
        <w:tc>
          <w:tcPr>
            <w:tcW w:w="610" w:type="dxa"/>
            <w:tcBorders>
              <w:top w:val="single" w:color="000000" w:sz="4" w:space="0"/>
              <w:left w:val="single" w:color="000000" w:sz="4" w:space="0"/>
              <w:bottom w:val="single" w:color="000000"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80</w:t>
            </w:r>
          </w:p>
        </w:tc>
        <w:tc>
          <w:tcPr>
            <w:tcW w:w="0" w:type="auto"/>
            <w:tcBorders>
              <w:top w:val="single" w:color="000000" w:sz="4" w:space="0"/>
              <w:left w:val="nil"/>
              <w:bottom w:val="single" w:color="000000"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60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210" w:type="dxa"/>
            <w:vMerge w:val="continue"/>
            <w:tcBorders>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21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仿宋_GB2312" w:hAnsi="仿宋_GB2312" w:eastAsia="仿宋_GB2312" w:cs="仿宋_GB2312"/>
                <w:kern w:val="0"/>
                <w:sz w:val="20"/>
                <w:szCs w:val="20"/>
              </w:rPr>
            </w:pPr>
          </w:p>
        </w:tc>
        <w:tc>
          <w:tcPr>
            <w:tcW w:w="410" w:type="dxa"/>
            <w:tcBorders>
              <w:top w:val="nil"/>
              <w:left w:val="nil"/>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112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1C410101602</w:t>
            </w:r>
          </w:p>
        </w:tc>
        <w:tc>
          <w:tcPr>
            <w:tcW w:w="1126"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岗位实习</w:t>
            </w:r>
          </w:p>
        </w:tc>
        <w:tc>
          <w:tcPr>
            <w:tcW w:w="610" w:type="dxa"/>
            <w:tcBorders>
              <w:top w:val="nil"/>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610" w:type="dxa"/>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432</w:t>
            </w:r>
          </w:p>
        </w:tc>
        <w:tc>
          <w:tcPr>
            <w:tcW w:w="0" w:type="auto"/>
            <w:tcBorders>
              <w:top w:val="single" w:color="auto" w:sz="4" w:space="0"/>
              <w:left w:val="nil"/>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432</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18</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考查</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3486" w:type="dxa"/>
            <w:gridSpan w:val="6"/>
            <w:tcBorders>
              <w:top w:val="single" w:color="auto" w:sz="4" w:space="0"/>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专业必修课程学分、学时小计</w:t>
            </w:r>
          </w:p>
        </w:tc>
        <w:tc>
          <w:tcPr>
            <w:tcW w:w="6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87</w:t>
            </w:r>
          </w:p>
        </w:tc>
        <w:tc>
          <w:tcPr>
            <w:tcW w:w="6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1664</w:t>
            </w:r>
          </w:p>
        </w:tc>
        <w:tc>
          <w:tcPr>
            <w:tcW w:w="64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686</w:t>
            </w:r>
          </w:p>
        </w:tc>
        <w:tc>
          <w:tcPr>
            <w:tcW w:w="64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978</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3486" w:type="dxa"/>
            <w:gridSpan w:val="6"/>
            <w:tcBorders>
              <w:top w:val="single" w:color="auto" w:sz="4" w:space="0"/>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专业必修课程学分、学时占比</w:t>
            </w:r>
          </w:p>
        </w:tc>
        <w:tc>
          <w:tcPr>
            <w:tcW w:w="6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60.00%</w:t>
            </w:r>
          </w:p>
        </w:tc>
        <w:tc>
          <w:tcPr>
            <w:tcW w:w="61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60.86%</w:t>
            </w:r>
          </w:p>
        </w:tc>
        <w:tc>
          <w:tcPr>
            <w:tcW w:w="64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25.09%</w:t>
            </w:r>
          </w:p>
        </w:tc>
        <w:tc>
          <w:tcPr>
            <w:tcW w:w="64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35.77%</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3486" w:type="dxa"/>
            <w:gridSpan w:val="6"/>
            <w:tcBorders>
              <w:top w:val="single" w:color="auto" w:sz="4" w:space="0"/>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专业拓展课程学分、学时小计</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10</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180</w:t>
            </w:r>
          </w:p>
        </w:tc>
        <w:tc>
          <w:tcPr>
            <w:tcW w:w="644"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90</w:t>
            </w:r>
          </w:p>
        </w:tc>
        <w:tc>
          <w:tcPr>
            <w:tcW w:w="64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90</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3486" w:type="dxa"/>
            <w:gridSpan w:val="6"/>
            <w:tcBorders>
              <w:top w:val="single" w:color="auto" w:sz="4" w:space="0"/>
              <w:left w:val="single" w:color="auto" w:sz="4" w:space="0"/>
              <w:bottom w:val="single" w:color="auto" w:sz="4" w:space="0"/>
              <w:right w:val="single" w:color="000000"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专业拓展课程学分、学时占比</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6.90%</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6.58%</w:t>
            </w:r>
          </w:p>
        </w:tc>
        <w:tc>
          <w:tcPr>
            <w:tcW w:w="644"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3.29%</w:t>
            </w:r>
          </w:p>
        </w:tc>
        <w:tc>
          <w:tcPr>
            <w:tcW w:w="64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3.29%</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r>
        <w:tblPrEx>
          <w:tblCellMar>
            <w:top w:w="0" w:type="dxa"/>
            <w:left w:w="0" w:type="dxa"/>
            <w:bottom w:w="0" w:type="dxa"/>
            <w:right w:w="0" w:type="dxa"/>
          </w:tblCellMar>
        </w:tblPrEx>
        <w:trPr>
          <w:trHeight w:val="260" w:hRule="atLeast"/>
          <w:jc w:val="center"/>
        </w:trPr>
        <w:tc>
          <w:tcPr>
            <w:tcW w:w="3486" w:type="dxa"/>
            <w:gridSpan w:val="6"/>
            <w:tcBorders>
              <w:top w:val="single" w:color="auto" w:sz="4" w:space="0"/>
              <w:left w:val="single" w:color="auto" w:sz="4" w:space="0"/>
              <w:bottom w:val="single" w:color="auto" w:sz="4" w:space="0"/>
              <w:right w:val="single" w:color="auto" w:sz="4" w:space="0"/>
            </w:tcBorders>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总学分、学时合计</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145</w:t>
            </w:r>
          </w:p>
        </w:tc>
        <w:tc>
          <w:tcPr>
            <w:tcW w:w="610"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2734</w:t>
            </w:r>
          </w:p>
        </w:tc>
        <w:tc>
          <w:tcPr>
            <w:tcW w:w="644" w:type="dxa"/>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1238</w:t>
            </w:r>
          </w:p>
        </w:tc>
        <w:tc>
          <w:tcPr>
            <w:tcW w:w="64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kern w:val="0"/>
                <w:sz w:val="20"/>
                <w:szCs w:val="20"/>
              </w:rPr>
            </w:pPr>
            <w:r>
              <w:rPr>
                <w:rFonts w:hint="eastAsia" w:ascii="仿宋" w:hAnsi="仿宋" w:eastAsia="仿宋" w:cs="仿宋"/>
                <w:i w:val="0"/>
                <w:iCs w:val="0"/>
                <w:color w:val="000000"/>
                <w:kern w:val="0"/>
                <w:sz w:val="20"/>
                <w:szCs w:val="20"/>
                <w:u w:val="none"/>
                <w:lang w:val="en-US" w:eastAsia="zh-CN" w:bidi="ar"/>
              </w:rPr>
              <w:t>1496</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spacing w:after="0" w:line="240" w:lineRule="auto"/>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tcBorders>
              <w:top w:val="nil"/>
              <w:left w:val="single" w:color="auto" w:sz="4" w:space="0"/>
              <w:bottom w:val="single" w:color="auto" w:sz="4" w:space="0"/>
              <w:right w:val="single" w:color="auto" w:sz="4" w:space="0"/>
            </w:tcBorders>
            <w:noWrap/>
            <w:vAlign w:val="center"/>
          </w:tcPr>
          <w:p>
            <w:pPr>
              <w:widowControl/>
              <w:spacing w:after="0" w:line="240" w:lineRule="auto"/>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0" w:type="auto"/>
            <w:vAlign w:val="center"/>
          </w:tcPr>
          <w:p>
            <w:pPr>
              <w:widowControl/>
              <w:spacing w:after="0" w:line="240" w:lineRule="auto"/>
              <w:jc w:val="left"/>
              <w:rPr>
                <w:rFonts w:hint="eastAsia" w:ascii="仿宋_GB2312" w:hAnsi="仿宋_GB2312" w:eastAsia="仿宋_GB2312" w:cs="仿宋_GB2312"/>
                <w:kern w:val="0"/>
                <w:sz w:val="20"/>
                <w:szCs w:val="20"/>
              </w:rPr>
            </w:pPr>
          </w:p>
        </w:tc>
      </w:tr>
    </w:tbl>
    <w:p>
      <w:pPr>
        <w:pStyle w:val="2"/>
        <w:ind w:firstLine="640"/>
      </w:pPr>
      <w:bookmarkStart w:id="46" w:name="_Toc219812216"/>
      <w:r>
        <w:rPr>
          <w:rFonts w:hint="eastAsia"/>
        </w:rPr>
        <w:t>九、师资队伍</w:t>
      </w:r>
      <w:bookmarkEnd w:id="46"/>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按照“四有好老师”“四个相统一”“四个引路人”的要求建设专业教师队伍，将师德师风作为教师队伍建设的第一标准。</w:t>
      </w:r>
    </w:p>
    <w:p>
      <w:pPr>
        <w:pStyle w:val="3"/>
        <w:ind w:firstLine="640"/>
      </w:pPr>
      <w:bookmarkStart w:id="47" w:name="_Toc219812217"/>
      <w:r>
        <w:rPr>
          <w:rFonts w:hint="eastAsia"/>
        </w:rPr>
        <w:t>（一）队伍结构</w:t>
      </w:r>
      <w:bookmarkEnd w:id="47"/>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专任教师队伍的数量、学历和职称要符合国家有关规定，形成合理的梯队结构。学生数与专任教师数比例不高于 25∶1，专任教师中具有高级专业技术职务人数不低于20%。“双师型”教师占专业课教师数比例应不低于60%。能够整合校内外优质人才资源，选聘企业高级技术人员担任行业导师，组建校企合作、专兼结合的教师团队，建立定期开展专业（学科）教研机制。</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代家政服务与管理（照护方向）专业教师团队教师4人，获取职称人数为3人。其中副高及以上职称1人，中级职称1人，初级职称1人。具有研究生学位教师1人。本专业还会不断完善专任教师的学历结构和职称结构；增强专任教师的实践能力，提高教学效果；积极开展教学和科研经验、成果、动态方面的交流探讨，实现科研与教学之间的良性互动，在科研中进一步提升教师的专业素养和学术水平。</w:t>
      </w:r>
    </w:p>
    <w:p>
      <w:pPr>
        <w:pStyle w:val="3"/>
        <w:ind w:firstLine="640"/>
      </w:pPr>
      <w:bookmarkStart w:id="48" w:name="_Toc219812218"/>
      <w:r>
        <w:rPr>
          <w:rFonts w:hint="eastAsia"/>
        </w:rPr>
        <w:t>（二）专业带头人</w:t>
      </w:r>
      <w:bookmarkEnd w:id="48"/>
    </w:p>
    <w:p>
      <w:pPr>
        <w:overflowPunct w:val="0"/>
        <w:adjustRightInd w:val="0"/>
        <w:spacing w:after="0" w:line="520" w:lineRule="exact"/>
        <w:ind w:firstLine="640" w:firstLineChars="200"/>
        <w:rPr>
          <w:rFonts w:hint="eastAsia" w:ascii="楷体" w:hAnsi="楷体" w:eastAsia="楷体" w:cs="楷体"/>
          <w:sz w:val="32"/>
          <w:szCs w:val="32"/>
        </w:rPr>
      </w:pPr>
      <w:r>
        <w:rPr>
          <w:rFonts w:hint="eastAsia" w:ascii="仿宋_GB2312" w:hAnsi="仿宋_GB2312" w:eastAsia="仿宋_GB2312" w:cs="仿宋_GB2312"/>
          <w:sz w:val="32"/>
          <w:szCs w:val="32"/>
        </w:rPr>
        <w:t>专业带头人原则上应具有副高及以上职称，能够较好地把握国内外家政行业、专业发展动态，广泛联系行业企业，深入了解人才需求实际，具备较强的教学设计、专业研究及教科研组织能力，在本区域或本领域具有一定影响力。本专业带头人为吴旭晓，副高职称，全面负责专业规划与建设、人才培养方案与课程标准的制定修订、教材与教学标准开发、专业认证体系建设以及教学改革与实践技能培养方案设计等工作。作为专业发展的引领者，带头人应积极践行“四有好老师”标准，做到有理想信念、有道德情操、有扎实学识、有仁爱之心，同时切实履行“四个引路人”职责，在教育教学中引导学生锤炼品格、学习知识、培养创新思维、厚植奉献祖国的情怀，通过师德示范和专业引领推动团队整体发展。</w:t>
      </w:r>
    </w:p>
    <w:p>
      <w:pPr>
        <w:pStyle w:val="3"/>
        <w:ind w:firstLine="640"/>
      </w:pPr>
      <w:bookmarkStart w:id="49" w:name="_Toc219812219"/>
      <w:r>
        <w:rPr>
          <w:rFonts w:hint="eastAsia"/>
        </w:rPr>
        <w:t>（三）专任教师</w:t>
      </w:r>
      <w:bookmarkEnd w:id="49"/>
      <w:r>
        <w:rPr>
          <w:rFonts w:hint="eastAsia"/>
        </w:rPr>
        <w:t xml:space="preserve"> </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任教师须具备高校教师资格，坚守“四有好老师”标准，具有现代家政服务与管理相关专业本科及以上学历，掌握扎实的专业理论与实践技能，能够熟练运用信息化教学手段开展课程改革与科学研究，并满足每5年累计不少于6个月的企业实践要求。在教学过程中，专任教师应立足“四个引路人”定位，将知识传授与价值引领相结合，注重培养学生健全人格、创新能力和家国情怀，通过产教融合与实践教学提升学生的职业素养和社会责任感，为家政服务行业培养德才兼备的高素质技术技能人才。</w:t>
      </w:r>
    </w:p>
    <w:p>
      <w:pPr>
        <w:pStyle w:val="3"/>
        <w:ind w:firstLine="640"/>
      </w:pPr>
      <w:bookmarkStart w:id="50" w:name="_Toc219812220"/>
      <w:r>
        <w:rPr>
          <w:rFonts w:hint="eastAsia"/>
        </w:rPr>
        <w:t>（四）兼职教师</w:t>
      </w:r>
      <w:bookmarkEnd w:id="50"/>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pPr>
        <w:pStyle w:val="2"/>
        <w:ind w:firstLine="640"/>
        <w:rPr>
          <w:rFonts w:hint="eastAsia" w:ascii="楷体" w:hAnsi="楷体" w:eastAsia="楷体" w:cs="楷体"/>
        </w:rPr>
      </w:pPr>
      <w:bookmarkStart w:id="51" w:name="_Toc219812221"/>
      <w:r>
        <w:rPr>
          <w:rFonts w:hint="eastAsia"/>
        </w:rPr>
        <w:t>十、教学条件</w:t>
      </w:r>
      <w:bookmarkEnd w:id="51"/>
    </w:p>
    <w:p>
      <w:pPr>
        <w:pStyle w:val="3"/>
        <w:ind w:firstLine="640"/>
      </w:pPr>
      <w:bookmarkStart w:id="52" w:name="_Toc219812222"/>
      <w:r>
        <w:rPr>
          <w:rFonts w:hint="eastAsia"/>
        </w:rPr>
        <w:t>（一）教学设施</w:t>
      </w:r>
      <w:bookmarkEnd w:id="52"/>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教学设施主要包括能够满足正常的课程教学、实习实训所需的专业教室、校内实训室和校外实训基地等。</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1.专业教室要求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学校为该专业配备公共教室（配备有多媒体设施）、多媒体教室等，满足理论教学要求。</w:t>
      </w:r>
    </w:p>
    <w:p>
      <w:pPr>
        <w:overflowPunct w:val="0"/>
        <w:adjustRightInd w:val="0"/>
        <w:spacing w:after="0" w:line="52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sz w:val="32"/>
          <w:szCs w:val="32"/>
        </w:rPr>
        <w:t>配有黑板、多媒体计算机、投影设备、音响设备，安装应急照明装置并保持良好状态，符合紧急疏散要求，标志明显，逃生通道畅通无阻。</w:t>
      </w:r>
    </w:p>
    <w:p>
      <w:pPr>
        <w:numPr>
          <w:ilvl w:val="0"/>
          <w:numId w:val="1"/>
        </w:num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校内实训资源</w:t>
      </w:r>
    </w:p>
    <w:p>
      <w:pPr>
        <w:overflowPunct w:val="0"/>
        <w:adjustRightInd w:val="0"/>
        <w:spacing w:after="0" w:line="52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表11 </w:t>
      </w:r>
      <w:r>
        <w:rPr>
          <w:rFonts w:hint="eastAsia" w:ascii="仿宋_GB2312" w:hAnsi="仿宋_GB2312" w:eastAsia="仿宋_GB2312" w:cs="仿宋_GB2312"/>
          <w:kern w:val="0"/>
          <w:sz w:val="32"/>
          <w:szCs w:val="32"/>
        </w:rPr>
        <w:t>校内实训资源列表</w:t>
      </w:r>
    </w:p>
    <w:tbl>
      <w:tblPr>
        <w:tblStyle w:val="15"/>
        <w:tblW w:w="0" w:type="auto"/>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48"/>
        <w:gridCol w:w="2122"/>
        <w:gridCol w:w="1950"/>
        <w:gridCol w:w="2807"/>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04"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148"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实验实训室名称</w:t>
            </w:r>
          </w:p>
        </w:tc>
        <w:tc>
          <w:tcPr>
            <w:tcW w:w="2122"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实训适用</w:t>
            </w:r>
          </w:p>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w:t>
            </w:r>
          </w:p>
        </w:tc>
        <w:tc>
          <w:tcPr>
            <w:tcW w:w="1950" w:type="dxa"/>
            <w:vAlign w:val="center"/>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实训项目</w:t>
            </w:r>
          </w:p>
        </w:tc>
        <w:tc>
          <w:tcPr>
            <w:tcW w:w="2807" w:type="dxa"/>
          </w:tcPr>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主要设备名称</w:t>
            </w:r>
          </w:p>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及配置数量</w:t>
            </w:r>
          </w:p>
        </w:tc>
        <w:tc>
          <w:tcPr>
            <w:tcW w:w="933" w:type="dxa"/>
          </w:tcPr>
          <w:p>
            <w:pPr>
              <w:overflowPunct w:val="0"/>
              <w:adjustRightInd w:val="0"/>
              <w:spacing w:after="0" w:line="300" w:lineRule="exact"/>
              <w:jc w:val="center"/>
              <w:rPr>
                <w:rFonts w:hint="eastAsia" w:ascii="仿宋_GB2312" w:hAnsi="仿宋_GB2312" w:eastAsia="仿宋_GB2312" w:cs="仿宋_GB2312"/>
                <w:sz w:val="24"/>
              </w:rPr>
            </w:pPr>
          </w:p>
          <w:p>
            <w:pPr>
              <w:overflowPunct w:val="0"/>
              <w:adjustRightInd w:val="0"/>
              <w:spacing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04"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148"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家务服务实训室</w:t>
            </w:r>
          </w:p>
        </w:tc>
        <w:tc>
          <w:tcPr>
            <w:tcW w:w="2122" w:type="dxa"/>
            <w:vAlign w:val="center"/>
          </w:tcPr>
          <w:p>
            <w:pPr>
              <w:overflowPunct w:val="0"/>
              <w:adjustRightInd w:val="0"/>
              <w:spacing w:after="0" w:line="240" w:lineRule="auto"/>
              <w:jc w:val="left"/>
              <w:rPr>
                <w:rFonts w:hint="eastAsia" w:ascii="仿宋_GB2312" w:hAnsi="仿宋_GB2312" w:eastAsia="仿宋_GB2312" w:cs="仿宋_GB2312"/>
                <w:sz w:val="24"/>
              </w:rPr>
            </w:pPr>
            <w:r>
              <w:rPr>
                <w:rFonts w:hint="eastAsia" w:ascii="仿宋_GB2312" w:hAnsi="仿宋_GB2312" w:eastAsia="仿宋_GB2312" w:cs="仿宋_GB2312"/>
                <w:sz w:val="24"/>
              </w:rPr>
              <w:t>家庭整理与收纳、家庭营养与膳食指导、家政培训实务、家宴策划与组织、家居空间规划、家庭环境与美化、插花与茶艺。</w:t>
            </w:r>
          </w:p>
        </w:tc>
        <w:tc>
          <w:tcPr>
            <w:tcW w:w="1950" w:type="dxa"/>
            <w:vAlign w:val="center"/>
          </w:tcPr>
          <w:p>
            <w:pPr>
              <w:overflowPunct w:val="0"/>
              <w:adjustRightInd w:val="0"/>
              <w:spacing w:after="0" w:line="240" w:lineRule="auto"/>
              <w:jc w:val="left"/>
              <w:rPr>
                <w:rFonts w:hint="eastAsia" w:ascii="仿宋_GB2312" w:hAnsi="仿宋_GB2312" w:eastAsia="仿宋_GB2312" w:cs="仿宋_GB2312"/>
                <w:sz w:val="24"/>
              </w:rPr>
            </w:pPr>
            <w:r>
              <w:rPr>
                <w:rFonts w:hint="eastAsia" w:ascii="仿宋_GB2312" w:hAnsi="仿宋_GB2312" w:eastAsia="仿宋_GB2312" w:cs="仿宋_GB2312"/>
                <w:sz w:val="24"/>
              </w:rPr>
              <w:t>收纳整理、常用家居用品养护、家庭营养与膳食、茶道艺术、家庭插花装饰等实训教学。</w:t>
            </w:r>
          </w:p>
        </w:tc>
        <w:tc>
          <w:tcPr>
            <w:tcW w:w="2807" w:type="dxa"/>
          </w:tcPr>
          <w:p>
            <w:pPr>
              <w:overflowPunct w:val="0"/>
              <w:adjustRightInd w:val="0"/>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sz w:val="24"/>
              </w:rPr>
              <w:t>家居常用设备设施、常用家电设备、常用清洁和收纳整理工具、家庭休闲常用茶桌及茶具、插花操作台和展示台20套。</w:t>
            </w:r>
          </w:p>
        </w:tc>
        <w:tc>
          <w:tcPr>
            <w:tcW w:w="933"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4"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148"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家庭成员照护实训室</w:t>
            </w:r>
          </w:p>
          <w:p>
            <w:pPr>
              <w:overflowPunct w:val="0"/>
              <w:adjustRightInd w:val="0"/>
              <w:spacing w:after="0" w:line="240" w:lineRule="auto"/>
              <w:jc w:val="center"/>
              <w:rPr>
                <w:rFonts w:hint="eastAsia" w:ascii="仿宋_GB2312" w:hAnsi="仿宋_GB2312" w:eastAsia="仿宋_GB2312" w:cs="仿宋_GB2312"/>
                <w:sz w:val="24"/>
              </w:rPr>
            </w:pPr>
          </w:p>
        </w:tc>
        <w:tc>
          <w:tcPr>
            <w:tcW w:w="2122" w:type="dxa"/>
            <w:vAlign w:val="center"/>
          </w:tcPr>
          <w:p>
            <w:pPr>
              <w:overflowPunct w:val="0"/>
              <w:adjustRightInd w:val="0"/>
              <w:spacing w:after="0" w:line="240" w:lineRule="auto"/>
              <w:jc w:val="left"/>
              <w:rPr>
                <w:rFonts w:hint="eastAsia" w:ascii="仿宋_GB2312" w:hAnsi="仿宋_GB2312" w:eastAsia="仿宋_GB2312" w:cs="仿宋_GB2312"/>
                <w:sz w:val="24"/>
              </w:rPr>
            </w:pPr>
            <w:r>
              <w:rPr>
                <w:rFonts w:hint="eastAsia" w:ascii="仿宋_GB2312" w:hAnsi="仿宋_GB2312" w:eastAsia="仿宋_GB2312" w:cs="仿宋_GB2312"/>
                <w:sz w:val="24"/>
              </w:rPr>
              <w:t>家庭成员照护技术、产后恢复。</w:t>
            </w:r>
          </w:p>
          <w:p>
            <w:pPr>
              <w:overflowPunct w:val="0"/>
              <w:adjustRightInd w:val="0"/>
              <w:spacing w:after="0" w:line="240" w:lineRule="auto"/>
              <w:jc w:val="left"/>
              <w:rPr>
                <w:rFonts w:hint="eastAsia" w:ascii="仿宋_GB2312" w:hAnsi="仿宋_GB2312" w:eastAsia="仿宋_GB2312" w:cs="仿宋_GB2312"/>
                <w:sz w:val="24"/>
              </w:rPr>
            </w:pPr>
          </w:p>
        </w:tc>
        <w:tc>
          <w:tcPr>
            <w:tcW w:w="1950" w:type="dxa"/>
            <w:vAlign w:val="center"/>
          </w:tcPr>
          <w:p>
            <w:pPr>
              <w:overflowPunct w:val="0"/>
              <w:adjustRightInd w:val="0"/>
              <w:spacing w:after="0" w:line="240" w:lineRule="auto"/>
              <w:jc w:val="left"/>
              <w:rPr>
                <w:rFonts w:hint="eastAsia" w:ascii="仿宋_GB2312" w:hAnsi="仿宋_GB2312" w:eastAsia="仿宋_GB2312" w:cs="仿宋_GB2312"/>
                <w:sz w:val="24"/>
              </w:rPr>
            </w:pPr>
            <w:r>
              <w:rPr>
                <w:rFonts w:hint="eastAsia" w:ascii="仿宋_GB2312" w:hAnsi="仿宋_GB2312" w:eastAsia="仿宋_GB2312" w:cs="仿宋_GB2312"/>
                <w:sz w:val="24"/>
              </w:rPr>
              <w:t>孕产妇照护、婴幼儿照护、老年照护等实训教学。</w:t>
            </w:r>
          </w:p>
        </w:tc>
        <w:tc>
          <w:tcPr>
            <w:tcW w:w="2807" w:type="dxa"/>
          </w:tcPr>
          <w:p>
            <w:pPr>
              <w:overflowPunct w:val="0"/>
              <w:adjustRightInd w:val="0"/>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sz w:val="24"/>
              </w:rPr>
              <w:t>产后康复全能仪器、盆底肌治疗仪和训练仪、发汗排毒能量舱、高级全功能护理训练模拟人、高级着装式孕妇模型、婴儿智能 SPA 水疗池、鼻饲管及气管护理模型、口腔护理教学模型、轮椅20套。</w:t>
            </w:r>
          </w:p>
        </w:tc>
        <w:tc>
          <w:tcPr>
            <w:tcW w:w="933"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4"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148" w:type="dxa"/>
            <w:vAlign w:val="center"/>
          </w:tcPr>
          <w:p>
            <w:pPr>
              <w:overflowPunct w:val="0"/>
              <w:adjustRightInd w:val="0"/>
              <w:spacing w:after="0" w:line="24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家庭教育实训室</w:t>
            </w:r>
          </w:p>
          <w:p>
            <w:pPr>
              <w:overflowPunct w:val="0"/>
              <w:adjustRightInd w:val="0"/>
              <w:spacing w:after="0" w:line="240" w:lineRule="auto"/>
              <w:jc w:val="center"/>
              <w:rPr>
                <w:rFonts w:hint="eastAsia" w:ascii="仿宋_GB2312" w:hAnsi="仿宋_GB2312" w:eastAsia="仿宋_GB2312" w:cs="仿宋_GB2312"/>
                <w:sz w:val="24"/>
              </w:rPr>
            </w:pPr>
          </w:p>
        </w:tc>
        <w:tc>
          <w:tcPr>
            <w:tcW w:w="2122" w:type="dxa"/>
          </w:tcPr>
          <w:p>
            <w:pPr>
              <w:overflowPunct w:val="0"/>
              <w:adjustRightInd w:val="0"/>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sz w:val="24"/>
              </w:rPr>
              <w:t>婴幼儿早期发展指导、亲子教育、婴幼儿玩教具与游戏、现代教育技术、婴幼儿艺术启蒙。</w:t>
            </w:r>
          </w:p>
        </w:tc>
        <w:tc>
          <w:tcPr>
            <w:tcW w:w="1950" w:type="dxa"/>
          </w:tcPr>
          <w:p>
            <w:pPr>
              <w:overflowPunct w:val="0"/>
              <w:adjustRightInd w:val="0"/>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sz w:val="24"/>
              </w:rPr>
              <w:t>婴幼儿早期发展活动设计、亲子活动、玩教具与游戏等实训教学。</w:t>
            </w:r>
          </w:p>
        </w:tc>
        <w:tc>
          <w:tcPr>
            <w:tcW w:w="2807" w:type="dxa"/>
          </w:tcPr>
          <w:p>
            <w:pPr>
              <w:overflowPunct w:val="0"/>
              <w:adjustRightInd w:val="0"/>
              <w:spacing w:after="0" w:line="240" w:lineRule="auto"/>
              <w:rPr>
                <w:rFonts w:hint="eastAsia" w:ascii="仿宋_GB2312" w:hAnsi="仿宋_GB2312" w:eastAsia="仿宋_GB2312" w:cs="仿宋_GB2312"/>
                <w:sz w:val="24"/>
              </w:rPr>
            </w:pPr>
            <w:r>
              <w:rPr>
                <w:rFonts w:hint="eastAsia" w:ascii="仿宋_GB2312" w:hAnsi="仿宋_GB2312" w:eastAsia="仿宋_GB2312" w:cs="仿宋_GB2312"/>
                <w:sz w:val="24"/>
              </w:rPr>
              <w:t>钢琴、婴幼儿玩教具、手工操作台、幼儿感统训练工具20套。</w:t>
            </w:r>
          </w:p>
        </w:tc>
        <w:tc>
          <w:tcPr>
            <w:tcW w:w="933" w:type="dxa"/>
            <w:vAlign w:val="center"/>
          </w:tcPr>
          <w:p>
            <w:pPr>
              <w:overflowPunct w:val="0"/>
              <w:adjustRightInd w:val="0"/>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30</w:t>
            </w:r>
          </w:p>
        </w:tc>
      </w:tr>
    </w:tbl>
    <w:p>
      <w:pPr>
        <w:widowControl/>
        <w:spacing w:before="0" w:after="0" w:line="520" w:lineRule="exact"/>
        <w:ind w:firstLine="640" w:firstLineChars="200"/>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（1）校外实训基地基本要求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具有稳定的校外实训基地2个以上；能够开展家务服务实训室、家庭成员照护实训室、家庭教育实训室等实训活动；实训设施齐备，实训岗位、实训指导教师确定，实训管理及实施规章制度齐全。</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（2）学生实习基地基本要求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稳定的校外实习基地2个以上；能提供母婴护理、养老护理、庭院养护等相关实习岗位，能涵盖当前相关产业的主流技术，可接纳一定规模的学生实习；能够配备相应数量的指导教师对学生实习进行指导和管理；有保证实习生日常工作、学习、生活的规章制度，有安全、保险保障。</w:t>
      </w:r>
    </w:p>
    <w:p>
      <w:pPr>
        <w:overflowPunct w:val="0"/>
        <w:adjustRightInd w:val="0"/>
        <w:spacing w:after="0"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表12 校外实习基地一览表</w:t>
      </w:r>
    </w:p>
    <w:tbl>
      <w:tblPr>
        <w:tblStyle w:val="15"/>
        <w:tblW w:w="10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627"/>
        <w:gridCol w:w="1701"/>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jc w:val="center"/>
        </w:trPr>
        <w:tc>
          <w:tcPr>
            <w:tcW w:w="706"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2854"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校外实习基地名称</w:t>
            </w:r>
          </w:p>
        </w:tc>
        <w:tc>
          <w:tcPr>
            <w:tcW w:w="2627"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合作企业名称</w:t>
            </w:r>
          </w:p>
        </w:tc>
        <w:tc>
          <w:tcPr>
            <w:tcW w:w="1701"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合作内容</w:t>
            </w:r>
          </w:p>
        </w:tc>
        <w:tc>
          <w:tcPr>
            <w:tcW w:w="2218" w:type="dxa"/>
            <w:vAlign w:val="center"/>
          </w:tcPr>
          <w:p>
            <w:pPr>
              <w:overflowPunct w:val="0"/>
              <w:adjustRightInd w:val="0"/>
              <w:spacing w:after="0"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2854"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w:t>
            </w:r>
            <w:r>
              <w:rPr>
                <w:rFonts w:hint="eastAsia" w:ascii="仿宋_GB2312" w:hAnsi="仿宋_GB2312" w:eastAsia="仿宋_GB2312" w:cs="仿宋_GB2312"/>
                <w:spacing w:val="-2"/>
                <w:sz w:val="24"/>
              </w:rPr>
              <w:t>现代家政服务与管理（照护方向）</w:t>
            </w:r>
            <w:r>
              <w:rPr>
                <w:rFonts w:hint="eastAsia" w:ascii="仿宋_GB2312" w:hAnsi="仿宋_GB2312" w:eastAsia="仿宋_GB2312" w:cs="仿宋_GB2312"/>
                <w:sz w:val="24"/>
              </w:rPr>
              <w:t>专业校外实习基地</w:t>
            </w:r>
          </w:p>
        </w:tc>
        <w:tc>
          <w:tcPr>
            <w:tcW w:w="2627"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平果市中医医院</w:t>
            </w:r>
          </w:p>
        </w:tc>
        <w:tc>
          <w:tcPr>
            <w:tcW w:w="1701" w:type="dxa"/>
            <w:vMerge w:val="restart"/>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共同研究专业设置、共同研究人才培养方案、共同研究人才评价标准、共同组建教学团队、共同建设实训实习平台、共同开发课程、共同开发教材</w:t>
            </w:r>
          </w:p>
        </w:tc>
        <w:tc>
          <w:tcPr>
            <w:tcW w:w="2218"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2854"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w:t>
            </w:r>
            <w:r>
              <w:rPr>
                <w:rFonts w:hint="eastAsia" w:ascii="仿宋_GB2312" w:hAnsi="仿宋_GB2312" w:eastAsia="仿宋_GB2312" w:cs="仿宋_GB2312"/>
                <w:spacing w:val="-2"/>
                <w:sz w:val="24"/>
              </w:rPr>
              <w:t>现代家政服务与管理（照护方向）</w:t>
            </w:r>
            <w:r>
              <w:rPr>
                <w:rFonts w:hint="eastAsia" w:ascii="仿宋_GB2312" w:hAnsi="仿宋_GB2312" w:eastAsia="仿宋_GB2312" w:cs="仿宋_GB2312"/>
                <w:sz w:val="24"/>
              </w:rPr>
              <w:t>专业校外实习基地</w:t>
            </w:r>
          </w:p>
        </w:tc>
        <w:tc>
          <w:tcPr>
            <w:tcW w:w="2627"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广西平果市亿安康养老服务中心</w:t>
            </w:r>
          </w:p>
        </w:tc>
        <w:tc>
          <w:tcPr>
            <w:tcW w:w="1701" w:type="dxa"/>
            <w:vMerge w:val="continue"/>
            <w:vAlign w:val="center"/>
          </w:tcPr>
          <w:p>
            <w:pPr>
              <w:overflowPunct w:val="0"/>
              <w:adjustRightInd w:val="0"/>
              <w:spacing w:line="320" w:lineRule="exact"/>
              <w:jc w:val="center"/>
              <w:rPr>
                <w:rFonts w:hint="eastAsia" w:ascii="仿宋_GB2312" w:hAnsi="仿宋_GB2312" w:eastAsia="仿宋_GB2312" w:cs="仿宋_GB2312"/>
                <w:sz w:val="24"/>
              </w:rPr>
            </w:pPr>
          </w:p>
        </w:tc>
        <w:tc>
          <w:tcPr>
            <w:tcW w:w="2218"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2854"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w:t>
            </w:r>
            <w:r>
              <w:rPr>
                <w:rFonts w:hint="eastAsia" w:ascii="仿宋_GB2312" w:hAnsi="仿宋_GB2312" w:eastAsia="仿宋_GB2312" w:cs="仿宋_GB2312"/>
                <w:spacing w:val="-2"/>
                <w:sz w:val="24"/>
              </w:rPr>
              <w:t>现代家政服务与管理（照护方向）</w:t>
            </w:r>
            <w:r>
              <w:rPr>
                <w:rFonts w:hint="eastAsia" w:ascii="仿宋_GB2312" w:hAnsi="仿宋_GB2312" w:eastAsia="仿宋_GB2312" w:cs="仿宋_GB2312"/>
                <w:sz w:val="24"/>
              </w:rPr>
              <w:t>专业校外实习基地</w:t>
            </w:r>
          </w:p>
        </w:tc>
        <w:tc>
          <w:tcPr>
            <w:tcW w:w="2627"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平果市人民医院</w:t>
            </w:r>
          </w:p>
        </w:tc>
        <w:tc>
          <w:tcPr>
            <w:tcW w:w="1701" w:type="dxa"/>
            <w:vMerge w:val="continue"/>
            <w:vAlign w:val="center"/>
          </w:tcPr>
          <w:p>
            <w:pPr>
              <w:overflowPunct w:val="0"/>
              <w:adjustRightInd w:val="0"/>
              <w:spacing w:line="320" w:lineRule="exact"/>
              <w:jc w:val="center"/>
              <w:rPr>
                <w:rFonts w:hint="eastAsia" w:ascii="仿宋_GB2312" w:hAnsi="仿宋_GB2312" w:eastAsia="仿宋_GB2312" w:cs="仿宋_GB2312"/>
                <w:sz w:val="24"/>
              </w:rPr>
            </w:pPr>
          </w:p>
        </w:tc>
        <w:tc>
          <w:tcPr>
            <w:tcW w:w="2218"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2854" w:type="dxa"/>
            <w:vAlign w:val="center"/>
          </w:tcPr>
          <w:p>
            <w:pPr>
              <w:overflowPunct w:val="0"/>
              <w:adjustRightInd w:val="0"/>
              <w:spacing w:line="320" w:lineRule="exact"/>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w:t>
            </w:r>
            <w:r>
              <w:rPr>
                <w:rFonts w:hint="eastAsia" w:ascii="仿宋_GB2312" w:hAnsi="仿宋_GB2312" w:eastAsia="仿宋_GB2312" w:cs="仿宋_GB2312"/>
                <w:spacing w:val="-2"/>
                <w:sz w:val="24"/>
              </w:rPr>
              <w:t>现代家政服务与管理（照护方向）</w:t>
            </w:r>
            <w:r>
              <w:rPr>
                <w:rFonts w:hint="eastAsia" w:ascii="仿宋_GB2312" w:hAnsi="仿宋_GB2312" w:eastAsia="仿宋_GB2312" w:cs="仿宋_GB2312"/>
                <w:sz w:val="24"/>
              </w:rPr>
              <w:t>专业校外实习基地</w:t>
            </w:r>
          </w:p>
        </w:tc>
        <w:tc>
          <w:tcPr>
            <w:tcW w:w="2627"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平果市新安镇卫生院</w:t>
            </w:r>
          </w:p>
        </w:tc>
        <w:tc>
          <w:tcPr>
            <w:tcW w:w="1701" w:type="dxa"/>
            <w:vMerge w:val="continue"/>
            <w:vAlign w:val="center"/>
          </w:tcPr>
          <w:p>
            <w:pPr>
              <w:overflowPunct w:val="0"/>
              <w:adjustRightInd w:val="0"/>
              <w:spacing w:line="320" w:lineRule="exact"/>
              <w:jc w:val="center"/>
              <w:rPr>
                <w:rFonts w:hint="eastAsia" w:ascii="仿宋_GB2312" w:hAnsi="仿宋_GB2312" w:eastAsia="仿宋_GB2312" w:cs="仿宋_GB2312"/>
                <w:sz w:val="24"/>
              </w:rPr>
            </w:pPr>
          </w:p>
        </w:tc>
        <w:tc>
          <w:tcPr>
            <w:tcW w:w="2218" w:type="dxa"/>
            <w:vAlign w:val="center"/>
          </w:tcPr>
          <w:p>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30</w:t>
            </w:r>
          </w:p>
        </w:tc>
      </w:tr>
    </w:tbl>
    <w:p>
      <w:pPr>
        <w:pStyle w:val="3"/>
        <w:ind w:firstLine="640"/>
      </w:pPr>
      <w:bookmarkStart w:id="53" w:name="_Toc219812223"/>
      <w:r>
        <w:rPr>
          <w:rFonts w:hint="eastAsia"/>
        </w:rPr>
        <w:t>（二）教学资源</w:t>
      </w:r>
      <w:bookmarkEnd w:id="53"/>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教学资源主要包括能满足学生专业学习、教师专业教学研究和教学实施所需的教材、图书文献及数字教学资源等。</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1.教材选用基本要求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2.图书文献配备基本要求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书文献配备能满足人才培养、专业建设、教科研等工作的需要，方便师生查询、借阅。专业类文献主要包括：家政相关行业政策法规、行业标准、技术规范以及家政电商、互联网+家政等行业新业态相关专业类图书和实务案例类图书。专业图书资料（含电子图书）不低于500册，5 种以上家政服务与管理类专业学术期刊，并能保持每年更新。</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3.数字教学资源配置基本要求</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pPr>
        <w:pStyle w:val="3"/>
        <w:ind w:firstLine="640"/>
      </w:pPr>
      <w:bookmarkStart w:id="54" w:name="_Toc219812224"/>
      <w:r>
        <w:rPr>
          <w:rFonts w:hint="eastAsia"/>
        </w:rPr>
        <w:t>（三）教学方法</w:t>
      </w:r>
      <w:bookmarkEnd w:id="54"/>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pStyle w:val="3"/>
        <w:ind w:firstLine="640"/>
      </w:pPr>
      <w:bookmarkStart w:id="55" w:name="_Toc219812225"/>
      <w:r>
        <w:rPr>
          <w:rFonts w:hint="eastAsia"/>
        </w:rPr>
        <w:t>（四）学习评价</w:t>
      </w:r>
      <w:bookmarkEnd w:id="55"/>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1.课程考核方法</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overflowPunct w:val="0"/>
        <w:adjustRightInd w:val="0"/>
        <w:spacing w:after="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2.教学评价方式</w:t>
      </w:r>
    </w:p>
    <w:p>
      <w:pPr>
        <w:overflowPunct w:val="0"/>
        <w:adjustRightInd w:val="0"/>
        <w:spacing w:after="0" w:line="520" w:lineRule="exact"/>
        <w:ind w:firstLine="640" w:firstLineChars="200"/>
        <w:rPr>
          <w:rFonts w:hint="eastAsia" w:ascii="仿宋_GB2312" w:hAnsi="仿宋_GB2312" w:eastAsia="仿宋_GB2312" w:cs="仿宋_GB2312"/>
          <w:kern w:val="4"/>
          <w:sz w:val="32"/>
          <w:szCs w:val="32"/>
        </w:rPr>
      </w:pPr>
      <w:r>
        <w:rPr>
          <w:rFonts w:hint="eastAsia" w:ascii="仿宋_GB2312" w:hAnsi="仿宋_GB2312" w:eastAsia="仿宋_GB2312" w:cs="仿宋_GB2312"/>
          <w:kern w:val="4"/>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bookmarkStart w:id="56" w:name="_Toc219812226"/>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十一、质量保障</w:t>
      </w:r>
      <w:bookmarkEnd w:id="56"/>
      <w:bookmarkStart w:id="57" w:name="_Toc219812227"/>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kern w:val="4"/>
          <w:sz w:val="32"/>
          <w:szCs w:val="32"/>
        </w:rPr>
      </w:pPr>
      <w:r>
        <w:rPr>
          <w:rFonts w:hint="eastAsia" w:ascii="仿宋_GB2312" w:hAnsi="仿宋_GB2312" w:eastAsia="仿宋_GB2312" w:cs="仿宋_GB2312"/>
          <w:kern w:val="4"/>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bookmarkEnd w:id="57"/>
      <w:bookmarkStart w:id="58" w:name="_Toc219812228"/>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kern w:val="4"/>
          <w:sz w:val="32"/>
          <w:szCs w:val="32"/>
        </w:rPr>
      </w:pPr>
      <w:r>
        <w:rPr>
          <w:rFonts w:hint="eastAsia" w:ascii="仿宋_GB2312" w:hAnsi="仿宋_GB2312" w:eastAsia="仿宋_GB2312" w:cs="仿宋_GB2312"/>
          <w:kern w:val="4"/>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bookmarkEnd w:id="58"/>
      <w:bookmarkStart w:id="59" w:name="_Toc219812229"/>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kern w:val="4"/>
          <w:sz w:val="32"/>
          <w:szCs w:val="32"/>
        </w:rPr>
      </w:pPr>
      <w:r>
        <w:rPr>
          <w:rFonts w:hint="eastAsia" w:ascii="仿宋_GB2312" w:hAnsi="仿宋_GB2312" w:eastAsia="仿宋_GB2312" w:cs="仿宋_GB2312"/>
          <w:kern w:val="4"/>
          <w:sz w:val="32"/>
          <w:szCs w:val="32"/>
        </w:rPr>
        <w:t>3.专业教研室建立线上线下相结合的集中备课制度，定期召开教学研讨会议，利用评价分析结果有效改进专业教学，持续提高人才培养质量。</w:t>
      </w:r>
      <w:bookmarkEnd w:id="59"/>
      <w:bookmarkStart w:id="60" w:name="_Toc219812230"/>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kern w:val="4"/>
          <w:sz w:val="32"/>
          <w:szCs w:val="32"/>
        </w:rPr>
      </w:pPr>
      <w:r>
        <w:rPr>
          <w:rFonts w:hint="eastAsia" w:ascii="仿宋_GB2312" w:hAnsi="仿宋_GB2312" w:eastAsia="仿宋_GB2312" w:cs="仿宋_GB2312"/>
          <w:kern w:val="4"/>
          <w:sz w:val="32"/>
          <w:szCs w:val="32"/>
        </w:rPr>
        <w:t>4.建立毕业生跟踪反馈机制及社会评价机制，并对生源情况、在校生学业水平、毕业生就业情况等进行分析，定期评价人才培养质量和培养目标达成情况。</w:t>
      </w:r>
      <w:bookmarkEnd w:id="60"/>
    </w:p>
    <w:p>
      <w:pPr>
        <w:pStyle w:val="2"/>
        <w:pageBreakBefore w:val="0"/>
        <w:widowControl w:val="0"/>
        <w:kinsoku/>
        <w:wordWrap/>
        <w:topLinePunct w:val="0"/>
        <w:autoSpaceDE/>
        <w:autoSpaceDN/>
        <w:bidi w:val="0"/>
        <w:snapToGrid/>
        <w:ind w:firstLine="640"/>
        <w:textAlignment w:val="auto"/>
        <w:rPr>
          <w:rFonts w:hint="eastAsia" w:ascii="仿宋_GB2312" w:hAnsi="黑体" w:eastAsia="仿宋_GB2312" w:cs="黑体"/>
          <w:bCs w:val="0"/>
          <w:kern w:val="2"/>
          <w:szCs w:val="32"/>
        </w:rPr>
      </w:pPr>
      <w:bookmarkStart w:id="61" w:name="_Toc219812231"/>
      <w:r>
        <w:rPr>
          <w:rFonts w:hint="eastAsia" w:ascii="仿宋_GB2312" w:hAnsi="黑体" w:eastAsia="仿宋_GB2312" w:cs="黑体"/>
          <w:bCs w:val="0"/>
          <w:kern w:val="2"/>
          <w:szCs w:val="32"/>
        </w:rPr>
        <w:t>5.充分利用评价分析结果有效改进专业教学，持续提高人才培养质量。</w:t>
      </w:r>
      <w:bookmarkEnd w:id="61"/>
    </w:p>
    <w:p>
      <w:pPr>
        <w:pStyle w:val="2"/>
        <w:pageBreakBefore w:val="0"/>
        <w:widowControl w:val="0"/>
        <w:kinsoku/>
        <w:wordWrap/>
        <w:topLinePunct w:val="0"/>
        <w:autoSpaceDE/>
        <w:autoSpaceDN/>
        <w:bidi w:val="0"/>
        <w:snapToGrid/>
        <w:ind w:firstLine="640"/>
        <w:textAlignment w:val="auto"/>
      </w:pPr>
      <w:bookmarkStart w:id="62" w:name="_Toc219812232"/>
      <w:r>
        <w:rPr>
          <w:rFonts w:hint="eastAsia"/>
        </w:rPr>
        <w:t>十二、毕业要求</w:t>
      </w:r>
      <w:bookmarkEnd w:id="62"/>
    </w:p>
    <w:p>
      <w:pPr>
        <w:pStyle w:val="3"/>
        <w:pageBreakBefore w:val="0"/>
        <w:widowControl w:val="0"/>
        <w:kinsoku/>
        <w:wordWrap/>
        <w:topLinePunct w:val="0"/>
        <w:autoSpaceDE/>
        <w:autoSpaceDN/>
        <w:bidi w:val="0"/>
        <w:snapToGrid/>
        <w:ind w:firstLine="640"/>
        <w:textAlignment w:val="auto"/>
        <w:outlineLvl w:val="1"/>
      </w:pPr>
      <w:bookmarkStart w:id="63" w:name="_Toc218504436"/>
      <w:bookmarkStart w:id="64" w:name="_Toc219812233"/>
      <w:r>
        <w:rPr>
          <w:rFonts w:hint="eastAsia" w:ascii="黑体" w:hAnsi="黑体" w:eastAsia="黑体" w:cs="黑体"/>
        </w:rPr>
        <w:t>（一）</w:t>
      </w:r>
      <w:r>
        <w:rPr>
          <w:rFonts w:hint="eastAsia"/>
        </w:rPr>
        <w:t>学分要求</w:t>
      </w:r>
      <w:bookmarkEnd w:id="63"/>
      <w:bookmarkEnd w:id="64"/>
    </w:p>
    <w:p>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sz w:val="32"/>
          <w:szCs w:val="32"/>
        </w:rPr>
      </w:pPr>
      <w:bookmarkStart w:id="65" w:name="_Toc219812234"/>
      <w:bookmarkStart w:id="66" w:name="_Toc218504437"/>
      <w:r>
        <w:rPr>
          <w:rFonts w:hint="eastAsia" w:ascii="仿宋_GB2312" w:hAnsi="仿宋_GB2312" w:eastAsia="仿宋_GB2312" w:cs="仿宋_GB2312"/>
          <w:sz w:val="32"/>
          <w:szCs w:val="32"/>
        </w:rPr>
        <w:t>本专业要求学生根据人才培养方案确定的目标和培养规格，完成规定的实习实训，全部课程考核合格且修满至少145学分。其中，必修课 127学分，选修课 18学分。公共必修课40学分，公共选修课8学分。专业必修课87学分，专业选修课10学分。</w:t>
      </w:r>
      <w:bookmarkEnd w:id="65"/>
      <w:bookmarkEnd w:id="66"/>
    </w:p>
    <w:p>
      <w:pPr>
        <w:pStyle w:val="3"/>
        <w:ind w:firstLine="640"/>
      </w:pPr>
      <w:bookmarkStart w:id="67" w:name="_Toc219812235"/>
      <w:r>
        <w:rPr>
          <w:rFonts w:hint="eastAsia"/>
        </w:rPr>
        <w:t>（二）职业类证书要求</w:t>
      </w:r>
      <w:bookmarkEnd w:id="67"/>
    </w:p>
    <w:p>
      <w:pPr>
        <w:pStyle w:val="12"/>
        <w:spacing w:before="0" w:beforeAutospacing="0" w:after="0" w:afterAutospacing="0" w:line="52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将保育员、养老护理员等职业证书纳入培养要求，鼓励学生考取相关证书。通过职业证书的考取，提高学生的专业技能和就业竞争力，使学生更好地适应社会和企业的需求。</w:t>
      </w:r>
    </w:p>
    <w:p>
      <w:pPr>
        <w:pStyle w:val="12"/>
        <w:spacing w:before="0" w:beforeAutospacing="0" w:after="0" w:afterAutospacing="0" w:line="52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学生接受职业培训取得的职业技能等级证书、培训证书等学习成果，经学校认定，可以转化为相应的学历教育学分，以支撑学生未来在就业、创业、学业等方面持续发展。</w:t>
      </w:r>
    </w:p>
    <w:p>
      <w:pPr>
        <w:pStyle w:val="12"/>
        <w:spacing w:before="0" w:beforeAutospacing="0" w:after="0" w:afterAutospacing="0" w:line="520" w:lineRule="exact"/>
        <w:ind w:firstLine="320" w:firstLineChars="1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表13 现代家政服务与管理（照护方向）专业职业证书一览表</w:t>
      </w:r>
    </w:p>
    <w:tbl>
      <w:tblPr>
        <w:tblStyle w:val="15"/>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967"/>
        <w:gridCol w:w="330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center"/>
          </w:tcPr>
          <w:p>
            <w:pPr>
              <w:pStyle w:val="12"/>
              <w:spacing w:before="0" w:beforeAutospacing="0" w:after="0" w:afterAutospacing="0" w:line="320" w:lineRule="exact"/>
              <w:jc w:val="center"/>
              <w:rPr>
                <w:rFonts w:hint="eastAsia" w:ascii="仿宋_GB2312" w:hAnsi="仿宋_GB2312" w:eastAsia="仿宋_GB2312" w:cs="仿宋_GB2312"/>
              </w:rPr>
            </w:pPr>
            <w:r>
              <w:rPr>
                <w:rFonts w:hint="eastAsia" w:ascii="仿宋_GB2312" w:hAnsi="仿宋_GB2312" w:eastAsia="仿宋_GB2312" w:cs="仿宋_GB2312"/>
              </w:rPr>
              <w:t>序号</w:t>
            </w:r>
          </w:p>
        </w:tc>
        <w:tc>
          <w:tcPr>
            <w:tcW w:w="2967" w:type="dxa"/>
            <w:vAlign w:val="center"/>
          </w:tcPr>
          <w:p>
            <w:pPr>
              <w:pStyle w:val="12"/>
              <w:spacing w:before="0" w:beforeAutospacing="0" w:after="0" w:afterAutospacing="0" w:line="320" w:lineRule="exact"/>
              <w:jc w:val="center"/>
              <w:rPr>
                <w:rFonts w:hint="eastAsia" w:ascii="仿宋_GB2312" w:hAnsi="仿宋_GB2312" w:eastAsia="仿宋_GB2312" w:cs="仿宋_GB2312"/>
              </w:rPr>
            </w:pPr>
            <w:r>
              <w:rPr>
                <w:rFonts w:hint="eastAsia" w:ascii="仿宋_GB2312" w:hAnsi="仿宋_GB2312" w:eastAsia="仿宋_GB2312" w:cs="仿宋_GB2312"/>
              </w:rPr>
              <w:t>证书名称</w:t>
            </w:r>
          </w:p>
        </w:tc>
        <w:tc>
          <w:tcPr>
            <w:tcW w:w="3301" w:type="dxa"/>
            <w:vAlign w:val="center"/>
          </w:tcPr>
          <w:p>
            <w:pPr>
              <w:pStyle w:val="12"/>
              <w:spacing w:before="0" w:beforeAutospacing="0" w:after="0" w:afterAutospacing="0" w:line="320" w:lineRule="exact"/>
              <w:jc w:val="center"/>
              <w:rPr>
                <w:rFonts w:hint="eastAsia" w:ascii="仿宋_GB2312" w:hAnsi="仿宋_GB2312" w:eastAsia="仿宋_GB2312" w:cs="仿宋_GB2312"/>
              </w:rPr>
            </w:pPr>
            <w:r>
              <w:rPr>
                <w:rFonts w:hint="eastAsia" w:ascii="仿宋_GB2312" w:hAnsi="仿宋_GB2312" w:eastAsia="仿宋_GB2312" w:cs="仿宋_GB2312"/>
              </w:rPr>
              <w:t>发证机构</w:t>
            </w:r>
          </w:p>
        </w:tc>
        <w:tc>
          <w:tcPr>
            <w:tcW w:w="1400" w:type="dxa"/>
            <w:vAlign w:val="center"/>
          </w:tcPr>
          <w:p>
            <w:pPr>
              <w:pStyle w:val="12"/>
              <w:spacing w:before="0" w:beforeAutospacing="0" w:after="0" w:afterAutospacing="0" w:line="320" w:lineRule="exact"/>
              <w:jc w:val="center"/>
              <w:rPr>
                <w:rFonts w:hint="eastAsia" w:ascii="仿宋_GB2312" w:hAnsi="仿宋_GB2312" w:eastAsia="仿宋_GB2312" w:cs="仿宋_GB2312"/>
              </w:rPr>
            </w:pPr>
            <w:r>
              <w:rPr>
                <w:rFonts w:hint="eastAsia" w:ascii="仿宋_GB2312" w:hAnsi="仿宋_GB2312" w:eastAsia="仿宋_GB2312" w:cs="仿宋_GB231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1</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高职学历证书</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广西工程职业学院</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2</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大学英语B级证书</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国家教育部、高等学校英语应用能力考试委员会</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3</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“1+X”职业技能等级证书</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国家教育部</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4</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全国计算机等级考试</w:t>
            </w:r>
          </w:p>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（一级）证书</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国家教育部</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5</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保育员</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百色市职业技能鉴定中心</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6</w:t>
            </w:r>
          </w:p>
        </w:tc>
        <w:tc>
          <w:tcPr>
            <w:tcW w:w="2967"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养老护理员</w:t>
            </w:r>
          </w:p>
        </w:tc>
        <w:tc>
          <w:tcPr>
            <w:tcW w:w="3301"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百色市职业技能鉴定中心</w:t>
            </w:r>
          </w:p>
        </w:tc>
        <w:tc>
          <w:tcPr>
            <w:tcW w:w="1400" w:type="dxa"/>
            <w:vAlign w:val="center"/>
          </w:tcPr>
          <w:p>
            <w:pPr>
              <w:pStyle w:val="12"/>
              <w:spacing w:before="0" w:beforeAutospacing="0" w:after="0" w:afterAutospacing="0" w:line="360" w:lineRule="exact"/>
              <w:jc w:val="center"/>
              <w:rPr>
                <w:rFonts w:hint="eastAsia" w:ascii="仿宋_GB2312" w:hAnsi="仿宋_GB2312" w:eastAsia="仿宋_GB2312" w:cs="仿宋_GB2312"/>
              </w:rPr>
            </w:pPr>
            <w:r>
              <w:rPr>
                <w:rFonts w:hint="eastAsia" w:ascii="仿宋_GB2312" w:hAnsi="仿宋_GB2312" w:eastAsia="仿宋_GB2312" w:cs="仿宋_GB2312"/>
              </w:rPr>
              <w:t>自愿</w:t>
            </w:r>
          </w:p>
        </w:tc>
      </w:tr>
    </w:tbl>
    <w:p>
      <w:pPr>
        <w:pStyle w:val="3"/>
        <w:ind w:firstLine="640"/>
        <w:rPr>
          <w:rFonts w:hint="eastAsia" w:ascii="仿宋_GB2312" w:hAnsi="仿宋_GB2312" w:eastAsia="仿宋_GB2312" w:cs="仿宋_GB2312"/>
        </w:rPr>
      </w:pPr>
      <w:bookmarkStart w:id="68" w:name="_Toc218504438"/>
      <w:bookmarkStart w:id="69" w:name="_Toc219812236"/>
      <w:r>
        <w:rPr>
          <w:rFonts w:hint="eastAsia"/>
        </w:rPr>
        <w:t>（三）综合素质要求</w:t>
      </w:r>
      <w:bookmarkEnd w:id="68"/>
      <w:bookmarkEnd w:id="69"/>
    </w:p>
    <w:p>
      <w:pPr>
        <w:overflowPunct w:val="0"/>
        <w:adjustRightInd w:val="0"/>
        <w:spacing w:after="0" w:line="520" w:lineRule="exact"/>
        <w:ind w:firstLine="640" w:firstLineChars="200"/>
        <w:outlineLvl w:val="9"/>
      </w:pPr>
      <w:bookmarkStart w:id="70" w:name="_Toc218504439"/>
      <w:bookmarkStart w:id="71" w:name="_Toc219812237"/>
      <w:r>
        <w:rPr>
          <w:rFonts w:hint="eastAsia" w:ascii="仿宋_GB2312" w:hAnsi="仿宋_GB2312" w:eastAsia="仿宋_GB2312" w:cs="仿宋_GB2312"/>
          <w:sz w:val="32"/>
          <w:szCs w:val="32"/>
        </w:rPr>
        <w:t>经鉴定思想品德符合要求，熟练掌握母婴护理、老年照护、家庭保洁等核心技能，积极参与家政实践。具备沟通协调、应急处理能力，能应对突发状况，会用数字化家政工具，满足现代家庭需求，积极参加社会实践活动，具备职业综合素质和行动能力。</w:t>
      </w:r>
      <w:bookmarkEnd w:id="70"/>
      <w:bookmarkEnd w:id="71"/>
    </w:p>
    <w:p>
      <w:pPr>
        <w:spacing w:line="520" w:lineRule="exact"/>
        <w:ind w:firstLine="420" w:firstLineChars="200"/>
      </w:pPr>
    </w:p>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32D25-EA5F-4062-B412-FC21136867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5C0A42E-F323-4AC0-A273-29B7678B30CE}"/>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3" w:fontKey="{0BF104A0-AA94-4BCE-B34C-974AD65D8B30}"/>
  </w:font>
  <w:font w:name="仿宋">
    <w:panose1 w:val="02010609060101010101"/>
    <w:charset w:val="86"/>
    <w:family w:val="modern"/>
    <w:pitch w:val="default"/>
    <w:sig w:usb0="800002BF" w:usb1="38CF7CFA" w:usb2="00000016" w:usb3="00000000" w:csb0="00040001" w:csb1="00000000"/>
    <w:embedRegular r:id="rId4" w:fontKey="{408E0971-F5FB-4727-8447-3AA318A7E77F}"/>
  </w:font>
  <w:font w:name="华文新魏">
    <w:panose1 w:val="02010800040101010101"/>
    <w:charset w:val="86"/>
    <w:family w:val="auto"/>
    <w:pitch w:val="default"/>
    <w:sig w:usb0="00000001" w:usb1="080F0000" w:usb2="00000000" w:usb3="00000000" w:csb0="00040000" w:csb1="00000000"/>
    <w:embedRegular r:id="rId5" w:fontKey="{CFD58F2A-93BC-4750-BD63-AE45F3231E56}"/>
  </w:font>
  <w:font w:name="方正小标宋简体">
    <w:panose1 w:val="02010601030101010101"/>
    <w:charset w:val="86"/>
    <w:family w:val="script"/>
    <w:pitch w:val="default"/>
    <w:sig w:usb0="00000001" w:usb1="080E0000" w:usb2="00000000" w:usb3="00000000" w:csb0="00040000" w:csb1="00000000"/>
    <w:embedRegular r:id="rId6" w:fontKey="{E47B4A87-644E-4009-9372-450A70336FDC}"/>
  </w:font>
  <w:font w:name="仿宋_GB2312">
    <w:panose1 w:val="02010609030101010101"/>
    <w:charset w:val="86"/>
    <w:family w:val="modern"/>
    <w:pitch w:val="default"/>
    <w:sig w:usb0="00000001" w:usb1="080E0000" w:usb2="00000000" w:usb3="00000000" w:csb0="00040000" w:csb1="00000000"/>
    <w:embedRegular r:id="rId7" w:fontKey="{591BD38E-9BA2-4F84-8A05-2DFED2EF78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0542152"/>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C31B3C"/>
    <w:multiLevelType w:val="singleLevel"/>
    <w:tmpl w:val="B7C31B3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0121B"/>
    <w:rsid w:val="0000443B"/>
    <w:rsid w:val="000123AA"/>
    <w:rsid w:val="000341AE"/>
    <w:rsid w:val="00051ACA"/>
    <w:rsid w:val="00057393"/>
    <w:rsid w:val="0005789F"/>
    <w:rsid w:val="000666D4"/>
    <w:rsid w:val="00074FC0"/>
    <w:rsid w:val="00090DEF"/>
    <w:rsid w:val="00090E00"/>
    <w:rsid w:val="0009131F"/>
    <w:rsid w:val="000946D7"/>
    <w:rsid w:val="000A212C"/>
    <w:rsid w:val="000A7541"/>
    <w:rsid w:val="000B31F1"/>
    <w:rsid w:val="000C24C4"/>
    <w:rsid w:val="000D64E3"/>
    <w:rsid w:val="000F4EA2"/>
    <w:rsid w:val="00103BD7"/>
    <w:rsid w:val="00105BEE"/>
    <w:rsid w:val="001062D3"/>
    <w:rsid w:val="00115F7D"/>
    <w:rsid w:val="00135752"/>
    <w:rsid w:val="0013586B"/>
    <w:rsid w:val="00143C11"/>
    <w:rsid w:val="00151A95"/>
    <w:rsid w:val="0015300C"/>
    <w:rsid w:val="001541C2"/>
    <w:rsid w:val="00157258"/>
    <w:rsid w:val="00163B3A"/>
    <w:rsid w:val="001673E5"/>
    <w:rsid w:val="001715C9"/>
    <w:rsid w:val="001A6610"/>
    <w:rsid w:val="001A7D53"/>
    <w:rsid w:val="001A7FBE"/>
    <w:rsid w:val="001B0564"/>
    <w:rsid w:val="001F476E"/>
    <w:rsid w:val="00202EBE"/>
    <w:rsid w:val="00222AA1"/>
    <w:rsid w:val="00223054"/>
    <w:rsid w:val="00250124"/>
    <w:rsid w:val="002545AA"/>
    <w:rsid w:val="0026245A"/>
    <w:rsid w:val="00266E35"/>
    <w:rsid w:val="00267164"/>
    <w:rsid w:val="00275948"/>
    <w:rsid w:val="00280C03"/>
    <w:rsid w:val="00283E45"/>
    <w:rsid w:val="00286292"/>
    <w:rsid w:val="002B6F45"/>
    <w:rsid w:val="002B7F8B"/>
    <w:rsid w:val="002C669B"/>
    <w:rsid w:val="002D15C0"/>
    <w:rsid w:val="002D22DB"/>
    <w:rsid w:val="002E48B5"/>
    <w:rsid w:val="00316E7A"/>
    <w:rsid w:val="00317BBB"/>
    <w:rsid w:val="00340120"/>
    <w:rsid w:val="003531B3"/>
    <w:rsid w:val="003840CB"/>
    <w:rsid w:val="0039562F"/>
    <w:rsid w:val="003A2F32"/>
    <w:rsid w:val="003B6811"/>
    <w:rsid w:val="003B74F3"/>
    <w:rsid w:val="003C2A2A"/>
    <w:rsid w:val="003D3CE4"/>
    <w:rsid w:val="003D566D"/>
    <w:rsid w:val="003E25E5"/>
    <w:rsid w:val="003F167B"/>
    <w:rsid w:val="003F68DD"/>
    <w:rsid w:val="004001B9"/>
    <w:rsid w:val="00401B8A"/>
    <w:rsid w:val="004037C3"/>
    <w:rsid w:val="004169C7"/>
    <w:rsid w:val="00420553"/>
    <w:rsid w:val="0042180F"/>
    <w:rsid w:val="00423BC9"/>
    <w:rsid w:val="004401E5"/>
    <w:rsid w:val="00445C2B"/>
    <w:rsid w:val="00451C33"/>
    <w:rsid w:val="0045506C"/>
    <w:rsid w:val="004666C9"/>
    <w:rsid w:val="0048595E"/>
    <w:rsid w:val="0049190F"/>
    <w:rsid w:val="004C1BDE"/>
    <w:rsid w:val="004D5E9D"/>
    <w:rsid w:val="004F02C9"/>
    <w:rsid w:val="005006C9"/>
    <w:rsid w:val="005037B6"/>
    <w:rsid w:val="00505557"/>
    <w:rsid w:val="00517CA9"/>
    <w:rsid w:val="00522FB2"/>
    <w:rsid w:val="00534BB7"/>
    <w:rsid w:val="00534FBB"/>
    <w:rsid w:val="00547EB0"/>
    <w:rsid w:val="005531DA"/>
    <w:rsid w:val="005551B2"/>
    <w:rsid w:val="005630A1"/>
    <w:rsid w:val="005645D8"/>
    <w:rsid w:val="0058082C"/>
    <w:rsid w:val="00581F11"/>
    <w:rsid w:val="0059335B"/>
    <w:rsid w:val="005A2BBB"/>
    <w:rsid w:val="005C22A1"/>
    <w:rsid w:val="005C5932"/>
    <w:rsid w:val="005D6E71"/>
    <w:rsid w:val="005E00D8"/>
    <w:rsid w:val="005E1986"/>
    <w:rsid w:val="005F6F94"/>
    <w:rsid w:val="006135A2"/>
    <w:rsid w:val="00620FA3"/>
    <w:rsid w:val="00626DF3"/>
    <w:rsid w:val="00635432"/>
    <w:rsid w:val="00637022"/>
    <w:rsid w:val="0063706B"/>
    <w:rsid w:val="00670068"/>
    <w:rsid w:val="006758E2"/>
    <w:rsid w:val="00677FBD"/>
    <w:rsid w:val="0068564F"/>
    <w:rsid w:val="00696CBA"/>
    <w:rsid w:val="006A1AE0"/>
    <w:rsid w:val="006A76BF"/>
    <w:rsid w:val="006C7A75"/>
    <w:rsid w:val="006D2445"/>
    <w:rsid w:val="006E1E4D"/>
    <w:rsid w:val="006E7C8C"/>
    <w:rsid w:val="006F2E89"/>
    <w:rsid w:val="00710E82"/>
    <w:rsid w:val="0071110E"/>
    <w:rsid w:val="007360E6"/>
    <w:rsid w:val="00741F9C"/>
    <w:rsid w:val="007461A8"/>
    <w:rsid w:val="00756055"/>
    <w:rsid w:val="00770EDF"/>
    <w:rsid w:val="00776548"/>
    <w:rsid w:val="007A437D"/>
    <w:rsid w:val="007A6FFA"/>
    <w:rsid w:val="007B5A9A"/>
    <w:rsid w:val="007C24C0"/>
    <w:rsid w:val="007C30E1"/>
    <w:rsid w:val="007D1636"/>
    <w:rsid w:val="007E58B3"/>
    <w:rsid w:val="007F3844"/>
    <w:rsid w:val="00802B62"/>
    <w:rsid w:val="008223A7"/>
    <w:rsid w:val="00822F6B"/>
    <w:rsid w:val="00830B54"/>
    <w:rsid w:val="008463D3"/>
    <w:rsid w:val="00852E43"/>
    <w:rsid w:val="00856C24"/>
    <w:rsid w:val="008744B4"/>
    <w:rsid w:val="008873AB"/>
    <w:rsid w:val="008A218F"/>
    <w:rsid w:val="008A58D7"/>
    <w:rsid w:val="008C1FC3"/>
    <w:rsid w:val="008E4106"/>
    <w:rsid w:val="008E533B"/>
    <w:rsid w:val="008F2442"/>
    <w:rsid w:val="009027CA"/>
    <w:rsid w:val="00912AE6"/>
    <w:rsid w:val="00913D8D"/>
    <w:rsid w:val="0091671F"/>
    <w:rsid w:val="0094459A"/>
    <w:rsid w:val="00945BB6"/>
    <w:rsid w:val="009558EE"/>
    <w:rsid w:val="00955C89"/>
    <w:rsid w:val="00957AF4"/>
    <w:rsid w:val="00972646"/>
    <w:rsid w:val="00972A85"/>
    <w:rsid w:val="00973E6E"/>
    <w:rsid w:val="009753BB"/>
    <w:rsid w:val="00991DFB"/>
    <w:rsid w:val="00995BB6"/>
    <w:rsid w:val="009A7385"/>
    <w:rsid w:val="009E64A6"/>
    <w:rsid w:val="009F0DE4"/>
    <w:rsid w:val="00A03ECF"/>
    <w:rsid w:val="00A12741"/>
    <w:rsid w:val="00A13283"/>
    <w:rsid w:val="00A15B4C"/>
    <w:rsid w:val="00A165B0"/>
    <w:rsid w:val="00A225C8"/>
    <w:rsid w:val="00A23811"/>
    <w:rsid w:val="00A26656"/>
    <w:rsid w:val="00A45487"/>
    <w:rsid w:val="00A54517"/>
    <w:rsid w:val="00A561E5"/>
    <w:rsid w:val="00A83DE8"/>
    <w:rsid w:val="00A905D5"/>
    <w:rsid w:val="00A954DB"/>
    <w:rsid w:val="00AA0CDC"/>
    <w:rsid w:val="00AB5DCC"/>
    <w:rsid w:val="00AB71CC"/>
    <w:rsid w:val="00AD6AEA"/>
    <w:rsid w:val="00AE69CC"/>
    <w:rsid w:val="00AF21A8"/>
    <w:rsid w:val="00AF3A87"/>
    <w:rsid w:val="00B125AD"/>
    <w:rsid w:val="00B13396"/>
    <w:rsid w:val="00B14C0C"/>
    <w:rsid w:val="00B213C4"/>
    <w:rsid w:val="00B26B02"/>
    <w:rsid w:val="00B46AB6"/>
    <w:rsid w:val="00B56C2B"/>
    <w:rsid w:val="00B91791"/>
    <w:rsid w:val="00B94E56"/>
    <w:rsid w:val="00BA03A6"/>
    <w:rsid w:val="00BA18E3"/>
    <w:rsid w:val="00BA3C11"/>
    <w:rsid w:val="00BA731C"/>
    <w:rsid w:val="00BC342E"/>
    <w:rsid w:val="00BC3BBB"/>
    <w:rsid w:val="00BC5EA0"/>
    <w:rsid w:val="00BD25AE"/>
    <w:rsid w:val="00BE0CFE"/>
    <w:rsid w:val="00C120AE"/>
    <w:rsid w:val="00C232C3"/>
    <w:rsid w:val="00C26302"/>
    <w:rsid w:val="00C3446C"/>
    <w:rsid w:val="00C4271B"/>
    <w:rsid w:val="00C52631"/>
    <w:rsid w:val="00C528D5"/>
    <w:rsid w:val="00C55229"/>
    <w:rsid w:val="00C62D69"/>
    <w:rsid w:val="00C85E4B"/>
    <w:rsid w:val="00C9237F"/>
    <w:rsid w:val="00CA72B3"/>
    <w:rsid w:val="00CC2C53"/>
    <w:rsid w:val="00CE06C8"/>
    <w:rsid w:val="00CE5529"/>
    <w:rsid w:val="00CF0A0E"/>
    <w:rsid w:val="00D03D56"/>
    <w:rsid w:val="00D40803"/>
    <w:rsid w:val="00D439BF"/>
    <w:rsid w:val="00D529F4"/>
    <w:rsid w:val="00D666E9"/>
    <w:rsid w:val="00D7420D"/>
    <w:rsid w:val="00DA2A4D"/>
    <w:rsid w:val="00DB5D53"/>
    <w:rsid w:val="00DD5302"/>
    <w:rsid w:val="00DE797F"/>
    <w:rsid w:val="00DF263C"/>
    <w:rsid w:val="00E03C4E"/>
    <w:rsid w:val="00E21294"/>
    <w:rsid w:val="00E2700A"/>
    <w:rsid w:val="00E27993"/>
    <w:rsid w:val="00E400CA"/>
    <w:rsid w:val="00E4373E"/>
    <w:rsid w:val="00E47B18"/>
    <w:rsid w:val="00E652D0"/>
    <w:rsid w:val="00E71B95"/>
    <w:rsid w:val="00E848C7"/>
    <w:rsid w:val="00EB0CE6"/>
    <w:rsid w:val="00EB1198"/>
    <w:rsid w:val="00ED3BD8"/>
    <w:rsid w:val="00EE239E"/>
    <w:rsid w:val="00F31A10"/>
    <w:rsid w:val="00F366F6"/>
    <w:rsid w:val="00F52A8D"/>
    <w:rsid w:val="00F53761"/>
    <w:rsid w:val="00F63617"/>
    <w:rsid w:val="00F82685"/>
    <w:rsid w:val="00F96DC6"/>
    <w:rsid w:val="00FA150D"/>
    <w:rsid w:val="00FA77F6"/>
    <w:rsid w:val="00FB052B"/>
    <w:rsid w:val="00FC0C57"/>
    <w:rsid w:val="00FC21C1"/>
    <w:rsid w:val="00FC5D94"/>
    <w:rsid w:val="00FD7793"/>
    <w:rsid w:val="00FF211E"/>
    <w:rsid w:val="00FF3775"/>
    <w:rsid w:val="0123211D"/>
    <w:rsid w:val="01514167"/>
    <w:rsid w:val="01786F4B"/>
    <w:rsid w:val="01AA3877"/>
    <w:rsid w:val="02661E94"/>
    <w:rsid w:val="02CB4859"/>
    <w:rsid w:val="02CD5374"/>
    <w:rsid w:val="03304250"/>
    <w:rsid w:val="03A07894"/>
    <w:rsid w:val="048C3708"/>
    <w:rsid w:val="04BC3FEE"/>
    <w:rsid w:val="051223C4"/>
    <w:rsid w:val="05624E09"/>
    <w:rsid w:val="05F93754"/>
    <w:rsid w:val="062E0F1B"/>
    <w:rsid w:val="06471FDD"/>
    <w:rsid w:val="0682032D"/>
    <w:rsid w:val="06C90C44"/>
    <w:rsid w:val="070954E4"/>
    <w:rsid w:val="07322345"/>
    <w:rsid w:val="082F2519"/>
    <w:rsid w:val="084C7436"/>
    <w:rsid w:val="08DA7138"/>
    <w:rsid w:val="08F70DAF"/>
    <w:rsid w:val="09075A53"/>
    <w:rsid w:val="094D790A"/>
    <w:rsid w:val="095347F5"/>
    <w:rsid w:val="09CB082F"/>
    <w:rsid w:val="09D45935"/>
    <w:rsid w:val="0A1E4E03"/>
    <w:rsid w:val="0A634F0B"/>
    <w:rsid w:val="0AC91212"/>
    <w:rsid w:val="0AFF69E2"/>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0FE413F4"/>
    <w:rsid w:val="10093E5F"/>
    <w:rsid w:val="10152804"/>
    <w:rsid w:val="10234F21"/>
    <w:rsid w:val="10914580"/>
    <w:rsid w:val="10EE36A0"/>
    <w:rsid w:val="116752E1"/>
    <w:rsid w:val="11750C0A"/>
    <w:rsid w:val="119D3635"/>
    <w:rsid w:val="12485112"/>
    <w:rsid w:val="127F665A"/>
    <w:rsid w:val="12DC3AAD"/>
    <w:rsid w:val="12F708E7"/>
    <w:rsid w:val="13203999"/>
    <w:rsid w:val="135C5E82"/>
    <w:rsid w:val="139B5716"/>
    <w:rsid w:val="13C77F07"/>
    <w:rsid w:val="13F454F6"/>
    <w:rsid w:val="13FE3C29"/>
    <w:rsid w:val="144233E3"/>
    <w:rsid w:val="14A800EA"/>
    <w:rsid w:val="15001CD4"/>
    <w:rsid w:val="150317C5"/>
    <w:rsid w:val="15202377"/>
    <w:rsid w:val="15542020"/>
    <w:rsid w:val="165F0C7D"/>
    <w:rsid w:val="1699418F"/>
    <w:rsid w:val="16995FBA"/>
    <w:rsid w:val="16A42B33"/>
    <w:rsid w:val="16DC051F"/>
    <w:rsid w:val="170B4961"/>
    <w:rsid w:val="1740285C"/>
    <w:rsid w:val="1749510D"/>
    <w:rsid w:val="1796247C"/>
    <w:rsid w:val="18CB084B"/>
    <w:rsid w:val="19481E9C"/>
    <w:rsid w:val="19AF3CC9"/>
    <w:rsid w:val="1A1B6BE8"/>
    <w:rsid w:val="1A262FB5"/>
    <w:rsid w:val="1AE45BF4"/>
    <w:rsid w:val="1BAE7956"/>
    <w:rsid w:val="1BCC19A4"/>
    <w:rsid w:val="1BF93A5C"/>
    <w:rsid w:val="1C27223D"/>
    <w:rsid w:val="1C6F14EE"/>
    <w:rsid w:val="1CB25FAA"/>
    <w:rsid w:val="1D0377EB"/>
    <w:rsid w:val="1D24677C"/>
    <w:rsid w:val="1DD51824"/>
    <w:rsid w:val="1E4B3DFE"/>
    <w:rsid w:val="1E91399D"/>
    <w:rsid w:val="1EA77665"/>
    <w:rsid w:val="1ECC6B87"/>
    <w:rsid w:val="1F3A7811"/>
    <w:rsid w:val="1F5350F7"/>
    <w:rsid w:val="1FB17C46"/>
    <w:rsid w:val="1FB21E1D"/>
    <w:rsid w:val="1FBC2C9C"/>
    <w:rsid w:val="207417C9"/>
    <w:rsid w:val="20AA343C"/>
    <w:rsid w:val="20AD7038"/>
    <w:rsid w:val="20BE4D41"/>
    <w:rsid w:val="20E56222"/>
    <w:rsid w:val="210E0F0E"/>
    <w:rsid w:val="2170143C"/>
    <w:rsid w:val="21EB3D26"/>
    <w:rsid w:val="22123047"/>
    <w:rsid w:val="223461B5"/>
    <w:rsid w:val="22967FAA"/>
    <w:rsid w:val="22A00653"/>
    <w:rsid w:val="2338088B"/>
    <w:rsid w:val="236773C3"/>
    <w:rsid w:val="237D0994"/>
    <w:rsid w:val="23954DD6"/>
    <w:rsid w:val="23D42CAA"/>
    <w:rsid w:val="244A72D0"/>
    <w:rsid w:val="249D12EE"/>
    <w:rsid w:val="24E76143"/>
    <w:rsid w:val="24F353B2"/>
    <w:rsid w:val="257D209C"/>
    <w:rsid w:val="25B72C88"/>
    <w:rsid w:val="267A11BB"/>
    <w:rsid w:val="27075144"/>
    <w:rsid w:val="27145E55"/>
    <w:rsid w:val="27441EF5"/>
    <w:rsid w:val="27AE3812"/>
    <w:rsid w:val="27F5401D"/>
    <w:rsid w:val="28557849"/>
    <w:rsid w:val="285A12A4"/>
    <w:rsid w:val="289A5B44"/>
    <w:rsid w:val="28BD30CD"/>
    <w:rsid w:val="28FC5D8C"/>
    <w:rsid w:val="296E1A2F"/>
    <w:rsid w:val="29B449E4"/>
    <w:rsid w:val="29C72B81"/>
    <w:rsid w:val="29F55728"/>
    <w:rsid w:val="2B0F281A"/>
    <w:rsid w:val="2B8D373E"/>
    <w:rsid w:val="2BF11F1F"/>
    <w:rsid w:val="2C802418"/>
    <w:rsid w:val="2CB341C7"/>
    <w:rsid w:val="2CC66F08"/>
    <w:rsid w:val="2CEB2E12"/>
    <w:rsid w:val="2D5704A8"/>
    <w:rsid w:val="2D8165B1"/>
    <w:rsid w:val="2D964B2C"/>
    <w:rsid w:val="2DAC4350"/>
    <w:rsid w:val="2DE47F8D"/>
    <w:rsid w:val="2E525BFD"/>
    <w:rsid w:val="2F083808"/>
    <w:rsid w:val="2F34284F"/>
    <w:rsid w:val="2F436F36"/>
    <w:rsid w:val="2F7A2E0A"/>
    <w:rsid w:val="2F8D1F5F"/>
    <w:rsid w:val="2FA96B3D"/>
    <w:rsid w:val="2FD933F6"/>
    <w:rsid w:val="30A6152A"/>
    <w:rsid w:val="30A77050"/>
    <w:rsid w:val="30DC27D6"/>
    <w:rsid w:val="30F80F50"/>
    <w:rsid w:val="3115220C"/>
    <w:rsid w:val="31342FDA"/>
    <w:rsid w:val="31600ED9"/>
    <w:rsid w:val="318A49A8"/>
    <w:rsid w:val="31A83FF1"/>
    <w:rsid w:val="31AA329C"/>
    <w:rsid w:val="31D2634F"/>
    <w:rsid w:val="321D581C"/>
    <w:rsid w:val="32F32A21"/>
    <w:rsid w:val="32F92E4C"/>
    <w:rsid w:val="32FA3DAF"/>
    <w:rsid w:val="33260700"/>
    <w:rsid w:val="33266952"/>
    <w:rsid w:val="33AE06F6"/>
    <w:rsid w:val="33B93C14"/>
    <w:rsid w:val="348B3F97"/>
    <w:rsid w:val="34B65AB4"/>
    <w:rsid w:val="34C46423"/>
    <w:rsid w:val="34EA50C0"/>
    <w:rsid w:val="357449D1"/>
    <w:rsid w:val="35E93C67"/>
    <w:rsid w:val="364315C9"/>
    <w:rsid w:val="365D3DA2"/>
    <w:rsid w:val="36657792"/>
    <w:rsid w:val="370E7E29"/>
    <w:rsid w:val="376B0DD8"/>
    <w:rsid w:val="3770165B"/>
    <w:rsid w:val="37960DB8"/>
    <w:rsid w:val="37AD2573"/>
    <w:rsid w:val="381153F4"/>
    <w:rsid w:val="38481119"/>
    <w:rsid w:val="38877EE4"/>
    <w:rsid w:val="38C22C79"/>
    <w:rsid w:val="39372651"/>
    <w:rsid w:val="39A700C1"/>
    <w:rsid w:val="3A451367"/>
    <w:rsid w:val="3A60099C"/>
    <w:rsid w:val="3A7A7584"/>
    <w:rsid w:val="3AEA4709"/>
    <w:rsid w:val="3B4007CD"/>
    <w:rsid w:val="3C17152E"/>
    <w:rsid w:val="3C991EC7"/>
    <w:rsid w:val="3D0047E4"/>
    <w:rsid w:val="3D766728"/>
    <w:rsid w:val="3D9F7A2D"/>
    <w:rsid w:val="3DB13933"/>
    <w:rsid w:val="3E013EED"/>
    <w:rsid w:val="3E4D7489"/>
    <w:rsid w:val="3E725142"/>
    <w:rsid w:val="3EB92D70"/>
    <w:rsid w:val="3F6A4DBB"/>
    <w:rsid w:val="3F785DC7"/>
    <w:rsid w:val="3FF86C17"/>
    <w:rsid w:val="3FFC1167"/>
    <w:rsid w:val="40077B0C"/>
    <w:rsid w:val="404B5C4A"/>
    <w:rsid w:val="40664832"/>
    <w:rsid w:val="4084115C"/>
    <w:rsid w:val="4099592E"/>
    <w:rsid w:val="40B53BBC"/>
    <w:rsid w:val="40B557B9"/>
    <w:rsid w:val="40C8470D"/>
    <w:rsid w:val="413D6362"/>
    <w:rsid w:val="41540B2E"/>
    <w:rsid w:val="415648A7"/>
    <w:rsid w:val="41727207"/>
    <w:rsid w:val="41A42FA1"/>
    <w:rsid w:val="41BB6E00"/>
    <w:rsid w:val="41CF62FB"/>
    <w:rsid w:val="41DE5079"/>
    <w:rsid w:val="422A57D8"/>
    <w:rsid w:val="42817701"/>
    <w:rsid w:val="428611BC"/>
    <w:rsid w:val="42B86E9B"/>
    <w:rsid w:val="43105F3B"/>
    <w:rsid w:val="436463B1"/>
    <w:rsid w:val="43713C1A"/>
    <w:rsid w:val="43792ACE"/>
    <w:rsid w:val="43A538C3"/>
    <w:rsid w:val="43C755E8"/>
    <w:rsid w:val="44380293"/>
    <w:rsid w:val="447D65EE"/>
    <w:rsid w:val="44A43B7B"/>
    <w:rsid w:val="44B71B00"/>
    <w:rsid w:val="44B862E9"/>
    <w:rsid w:val="455530C7"/>
    <w:rsid w:val="45FC45DE"/>
    <w:rsid w:val="4602706C"/>
    <w:rsid w:val="46733805"/>
    <w:rsid w:val="46B856BC"/>
    <w:rsid w:val="46EE10DD"/>
    <w:rsid w:val="46F661E4"/>
    <w:rsid w:val="47103740"/>
    <w:rsid w:val="471C3E9C"/>
    <w:rsid w:val="4803505C"/>
    <w:rsid w:val="480A0199"/>
    <w:rsid w:val="48A57EC2"/>
    <w:rsid w:val="48AE4FC8"/>
    <w:rsid w:val="48BA396D"/>
    <w:rsid w:val="48BD16AF"/>
    <w:rsid w:val="48DF1625"/>
    <w:rsid w:val="48E56510"/>
    <w:rsid w:val="49395702"/>
    <w:rsid w:val="49843F7B"/>
    <w:rsid w:val="49A63EF1"/>
    <w:rsid w:val="4A3C6604"/>
    <w:rsid w:val="4AA20B5D"/>
    <w:rsid w:val="4AD8632C"/>
    <w:rsid w:val="4AEC05D8"/>
    <w:rsid w:val="4AF15640"/>
    <w:rsid w:val="4AFA62A3"/>
    <w:rsid w:val="4B396BB8"/>
    <w:rsid w:val="4B726781"/>
    <w:rsid w:val="4C0272E2"/>
    <w:rsid w:val="4C0C0983"/>
    <w:rsid w:val="4C1149B8"/>
    <w:rsid w:val="4C675BBA"/>
    <w:rsid w:val="4CAA54A6"/>
    <w:rsid w:val="4D135D42"/>
    <w:rsid w:val="4D1473C4"/>
    <w:rsid w:val="4D1B5D60"/>
    <w:rsid w:val="4D415ADB"/>
    <w:rsid w:val="4DE53F11"/>
    <w:rsid w:val="4E185A6E"/>
    <w:rsid w:val="4E514358"/>
    <w:rsid w:val="4E5C7274"/>
    <w:rsid w:val="4F585C8E"/>
    <w:rsid w:val="4F6B3C13"/>
    <w:rsid w:val="4F7B3A14"/>
    <w:rsid w:val="4F7D56F4"/>
    <w:rsid w:val="509C4C8B"/>
    <w:rsid w:val="5135219E"/>
    <w:rsid w:val="51C30881"/>
    <w:rsid w:val="51C37C82"/>
    <w:rsid w:val="51D535C6"/>
    <w:rsid w:val="51FE1E87"/>
    <w:rsid w:val="522105B9"/>
    <w:rsid w:val="5259656B"/>
    <w:rsid w:val="535B634F"/>
    <w:rsid w:val="53807561"/>
    <w:rsid w:val="53C71634"/>
    <w:rsid w:val="542919A7"/>
    <w:rsid w:val="55D87B28"/>
    <w:rsid w:val="5609674B"/>
    <w:rsid w:val="56397652"/>
    <w:rsid w:val="565C2507"/>
    <w:rsid w:val="566118CC"/>
    <w:rsid w:val="56A23A63"/>
    <w:rsid w:val="56F95FA8"/>
    <w:rsid w:val="572D5C52"/>
    <w:rsid w:val="58337298"/>
    <w:rsid w:val="5865379B"/>
    <w:rsid w:val="58680DC2"/>
    <w:rsid w:val="588673C8"/>
    <w:rsid w:val="58E02A3F"/>
    <w:rsid w:val="5900361E"/>
    <w:rsid w:val="59243D1E"/>
    <w:rsid w:val="592F7A5F"/>
    <w:rsid w:val="59345076"/>
    <w:rsid w:val="59575208"/>
    <w:rsid w:val="595C12A3"/>
    <w:rsid w:val="5996188C"/>
    <w:rsid w:val="59C77C98"/>
    <w:rsid w:val="59DE1485"/>
    <w:rsid w:val="5A872C0B"/>
    <w:rsid w:val="5A9F0C15"/>
    <w:rsid w:val="5AD36B10"/>
    <w:rsid w:val="5AE64A95"/>
    <w:rsid w:val="5B137EF8"/>
    <w:rsid w:val="5B1F1DFE"/>
    <w:rsid w:val="5B322D65"/>
    <w:rsid w:val="5BBC75A4"/>
    <w:rsid w:val="5BC6399C"/>
    <w:rsid w:val="5BCC4E68"/>
    <w:rsid w:val="5C0E6052"/>
    <w:rsid w:val="5C38700F"/>
    <w:rsid w:val="5C4E644E"/>
    <w:rsid w:val="5C606182"/>
    <w:rsid w:val="5C8C341B"/>
    <w:rsid w:val="5C9B365E"/>
    <w:rsid w:val="5CD1707F"/>
    <w:rsid w:val="5D01298C"/>
    <w:rsid w:val="5D206DB4"/>
    <w:rsid w:val="5D292A17"/>
    <w:rsid w:val="5E043D85"/>
    <w:rsid w:val="5E510503"/>
    <w:rsid w:val="5E7540E3"/>
    <w:rsid w:val="5E7C3FD7"/>
    <w:rsid w:val="5E8B1BDC"/>
    <w:rsid w:val="5E93321A"/>
    <w:rsid w:val="5E9B7945"/>
    <w:rsid w:val="5EBD5B0D"/>
    <w:rsid w:val="5F07293D"/>
    <w:rsid w:val="5F1B4F3C"/>
    <w:rsid w:val="5F2B6F1B"/>
    <w:rsid w:val="5F335DCF"/>
    <w:rsid w:val="5F475456"/>
    <w:rsid w:val="5F4C0C3F"/>
    <w:rsid w:val="5FA5025C"/>
    <w:rsid w:val="5FB14CC3"/>
    <w:rsid w:val="5FC058B5"/>
    <w:rsid w:val="5FE1582B"/>
    <w:rsid w:val="5FF23595"/>
    <w:rsid w:val="5FF437B1"/>
    <w:rsid w:val="601C4AB5"/>
    <w:rsid w:val="608D150F"/>
    <w:rsid w:val="611D2893"/>
    <w:rsid w:val="613D1187"/>
    <w:rsid w:val="614442C4"/>
    <w:rsid w:val="61750921"/>
    <w:rsid w:val="617A5F38"/>
    <w:rsid w:val="61926DDD"/>
    <w:rsid w:val="61D11382"/>
    <w:rsid w:val="62386256"/>
    <w:rsid w:val="62D11B87"/>
    <w:rsid w:val="62E80EC0"/>
    <w:rsid w:val="62FC0BEC"/>
    <w:rsid w:val="631D301E"/>
    <w:rsid w:val="631F49AF"/>
    <w:rsid w:val="632717A7"/>
    <w:rsid w:val="6384309D"/>
    <w:rsid w:val="638D0589"/>
    <w:rsid w:val="63A62223"/>
    <w:rsid w:val="63CE39A4"/>
    <w:rsid w:val="63D27965"/>
    <w:rsid w:val="64025D70"/>
    <w:rsid w:val="643017E4"/>
    <w:rsid w:val="644840CB"/>
    <w:rsid w:val="64966BE4"/>
    <w:rsid w:val="65165F77"/>
    <w:rsid w:val="65FE0EE5"/>
    <w:rsid w:val="663F14FE"/>
    <w:rsid w:val="66707909"/>
    <w:rsid w:val="66B141AA"/>
    <w:rsid w:val="67470A9D"/>
    <w:rsid w:val="6773145F"/>
    <w:rsid w:val="67B90B06"/>
    <w:rsid w:val="67FA56DC"/>
    <w:rsid w:val="681A3FD0"/>
    <w:rsid w:val="6888718C"/>
    <w:rsid w:val="68B25FB7"/>
    <w:rsid w:val="68C03618"/>
    <w:rsid w:val="69164798"/>
    <w:rsid w:val="69D837FB"/>
    <w:rsid w:val="6A246A40"/>
    <w:rsid w:val="6A9C6F1F"/>
    <w:rsid w:val="6ABA1153"/>
    <w:rsid w:val="6AF44665"/>
    <w:rsid w:val="6BDB75D3"/>
    <w:rsid w:val="6BF80185"/>
    <w:rsid w:val="6C2B055A"/>
    <w:rsid w:val="6C423AF6"/>
    <w:rsid w:val="6C8A72E3"/>
    <w:rsid w:val="6C923EBF"/>
    <w:rsid w:val="6D1D49F8"/>
    <w:rsid w:val="6D7C4E6F"/>
    <w:rsid w:val="6D8F2D6B"/>
    <w:rsid w:val="6E0C43BB"/>
    <w:rsid w:val="6EF07839"/>
    <w:rsid w:val="6F2F65B3"/>
    <w:rsid w:val="6FC4358D"/>
    <w:rsid w:val="6FF128C8"/>
    <w:rsid w:val="6FF60E7F"/>
    <w:rsid w:val="713C6D66"/>
    <w:rsid w:val="71DD2CB4"/>
    <w:rsid w:val="72011973"/>
    <w:rsid w:val="72563E57"/>
    <w:rsid w:val="72DA6836"/>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0739FC"/>
    <w:rsid w:val="751A53DD"/>
    <w:rsid w:val="75504B8E"/>
    <w:rsid w:val="759447C3"/>
    <w:rsid w:val="75E93668"/>
    <w:rsid w:val="76191423"/>
    <w:rsid w:val="76326989"/>
    <w:rsid w:val="763333C7"/>
    <w:rsid w:val="76562678"/>
    <w:rsid w:val="7718792D"/>
    <w:rsid w:val="77D965A0"/>
    <w:rsid w:val="77FC484A"/>
    <w:rsid w:val="782C5979"/>
    <w:rsid w:val="7847671C"/>
    <w:rsid w:val="789254BD"/>
    <w:rsid w:val="79002D6F"/>
    <w:rsid w:val="791660EE"/>
    <w:rsid w:val="79751DE3"/>
    <w:rsid w:val="7A1E674C"/>
    <w:rsid w:val="7B403D24"/>
    <w:rsid w:val="7B821819"/>
    <w:rsid w:val="7BAC4AE8"/>
    <w:rsid w:val="7C9C690A"/>
    <w:rsid w:val="7D1172F8"/>
    <w:rsid w:val="7D7B6E68"/>
    <w:rsid w:val="7DAC0DCF"/>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2"/>
    <w:qFormat/>
    <w:uiPriority w:val="0"/>
    <w:pPr>
      <w:keepNext/>
      <w:keepLines/>
      <w:spacing w:after="0" w:line="520" w:lineRule="exact"/>
      <w:ind w:firstLine="200" w:firstLineChars="200"/>
      <w:outlineLvl w:val="0"/>
    </w:pPr>
    <w:rPr>
      <w:rFonts w:eastAsia="黑体"/>
      <w:bCs/>
      <w:kern w:val="44"/>
      <w:sz w:val="32"/>
      <w:szCs w:val="44"/>
    </w:rPr>
  </w:style>
  <w:style w:type="paragraph" w:styleId="3">
    <w:name w:val="heading 2"/>
    <w:basedOn w:val="1"/>
    <w:next w:val="1"/>
    <w:link w:val="104"/>
    <w:unhideWhenUsed/>
    <w:qFormat/>
    <w:uiPriority w:val="0"/>
    <w:pPr>
      <w:keepNext/>
      <w:keepLines/>
      <w:spacing w:after="0" w:line="520" w:lineRule="exact"/>
      <w:ind w:firstLine="200" w:firstLineChars="200"/>
      <w:outlineLvl w:val="1"/>
    </w:pPr>
    <w:rPr>
      <w:rFonts w:eastAsia="楷体" w:asciiTheme="majorHAnsi" w:hAnsiTheme="majorHAnsi" w:cstheme="majorBidi"/>
      <w:bCs/>
      <w:sz w:val="32"/>
      <w:szCs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06"/>
    <w:qFormat/>
    <w:uiPriority w:val="0"/>
    <w:pPr>
      <w:jc w:val="left"/>
    </w:pPr>
  </w:style>
  <w:style w:type="paragraph" w:styleId="6">
    <w:name w:val="Body Text"/>
    <w:basedOn w:val="1"/>
    <w:semiHidden/>
    <w:qFormat/>
    <w:uiPriority w:val="0"/>
    <w:rPr>
      <w:rFonts w:ascii="宋体" w:hAnsi="宋体" w:cs="宋体"/>
      <w:szCs w:val="21"/>
      <w:lang w:eastAsia="en-US"/>
    </w:rPr>
  </w:style>
  <w:style w:type="paragraph" w:styleId="7">
    <w:name w:val="toc 3"/>
    <w:basedOn w:val="1"/>
    <w:next w:val="1"/>
    <w:qFormat/>
    <w:uiPriority w:val="39"/>
    <w:pPr>
      <w:ind w:left="840" w:leftChars="400"/>
    </w:pPr>
  </w:style>
  <w:style w:type="paragraph" w:styleId="8">
    <w:name w:val="footer"/>
    <w:basedOn w:val="1"/>
    <w:link w:val="105"/>
    <w:qFormat/>
    <w:uiPriority w:val="99"/>
    <w:pPr>
      <w:tabs>
        <w:tab w:val="center" w:pos="4153"/>
        <w:tab w:val="right" w:pos="8306"/>
      </w:tabs>
      <w:snapToGrid w:val="0"/>
      <w:jc w:val="left"/>
    </w:pPr>
    <w:rPr>
      <w:sz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3">
    <w:name w:val="annotation subject"/>
    <w:basedOn w:val="5"/>
    <w:next w:val="5"/>
    <w:link w:val="107"/>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FollowedHyperlink"/>
    <w:basedOn w:val="16"/>
    <w:unhideWhenUsed/>
    <w:qFormat/>
    <w:uiPriority w:val="99"/>
    <w:rPr>
      <w:color w:val="7E1FAD"/>
      <w:u w:val="single"/>
    </w:rPr>
  </w:style>
  <w:style w:type="character" w:styleId="19">
    <w:name w:val="Hyperlink"/>
    <w:basedOn w:val="16"/>
    <w:unhideWhenUsed/>
    <w:qFormat/>
    <w:uiPriority w:val="99"/>
    <w:rPr>
      <w:color w:val="0026E5"/>
      <w:u w:val="single"/>
    </w:rPr>
  </w:style>
  <w:style w:type="character" w:styleId="20">
    <w:name w:val="annotation reference"/>
    <w:basedOn w:val="16"/>
    <w:qFormat/>
    <w:uiPriority w:val="0"/>
    <w:rPr>
      <w:sz w:val="21"/>
      <w:szCs w:val="21"/>
    </w:rPr>
  </w:style>
  <w:style w:type="paragraph" w:customStyle="1" w:styleId="21">
    <w:name w:val="Table Text"/>
    <w:basedOn w:val="1"/>
    <w:semiHidden/>
    <w:qFormat/>
    <w:uiPriority w:val="0"/>
    <w:rPr>
      <w:rFonts w:ascii="宋体" w:hAnsi="宋体" w:cs="宋体"/>
      <w:sz w:val="18"/>
      <w:szCs w:val="18"/>
      <w:lang w:eastAsia="en-US"/>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styleId="23">
    <w:name w:val="List Paragraph"/>
    <w:basedOn w:val="1"/>
    <w:unhideWhenUsed/>
    <w:qFormat/>
    <w:uiPriority w:val="99"/>
    <w:pPr>
      <w:ind w:firstLine="420" w:firstLineChars="200"/>
    </w:pPr>
  </w:style>
  <w:style w:type="paragraph" w:customStyle="1" w:styleId="24">
    <w:name w:val="msonormal"/>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25">
    <w:name w:val="xl65"/>
    <w:basedOn w:val="1"/>
    <w:qFormat/>
    <w:uiPriority w:val="0"/>
    <w:pPr>
      <w:widowControl/>
      <w:spacing w:before="100" w:beforeAutospacing="1" w:after="100" w:afterAutospacing="1" w:line="240" w:lineRule="auto"/>
      <w:jc w:val="left"/>
    </w:pPr>
    <w:rPr>
      <w:rFonts w:ascii="仿宋" w:hAnsi="仿宋" w:eastAsia="仿宋" w:cs="宋体"/>
      <w:kern w:val="0"/>
      <w:sz w:val="20"/>
      <w:szCs w:val="20"/>
    </w:rPr>
  </w:style>
  <w:style w:type="paragraph" w:customStyle="1" w:styleId="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2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FF0000"/>
      <w:kern w:val="0"/>
      <w:sz w:val="20"/>
      <w:szCs w:val="20"/>
    </w:rPr>
  </w:style>
  <w:style w:type="paragraph" w:customStyle="1" w:styleId="2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2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仿宋" w:hAnsi="仿宋" w:eastAsia="仿宋" w:cs="宋体"/>
      <w:kern w:val="0"/>
      <w:sz w:val="20"/>
      <w:szCs w:val="20"/>
    </w:rPr>
  </w:style>
  <w:style w:type="paragraph" w:customStyle="1" w:styleId="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3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仿宋" w:hAnsi="仿宋" w:eastAsia="仿宋" w:cs="宋体"/>
      <w:kern w:val="0"/>
      <w:sz w:val="20"/>
      <w:szCs w:val="20"/>
    </w:rPr>
  </w:style>
  <w:style w:type="paragraph" w:customStyle="1" w:styleId="33">
    <w:name w:val="xl7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35">
    <w:name w:val="xl75"/>
    <w:basedOn w:val="1"/>
    <w:qFormat/>
    <w:uiPriority w:val="0"/>
    <w:pPr>
      <w:widowControl/>
      <w:spacing w:before="100" w:beforeAutospacing="1" w:after="100" w:afterAutospacing="1" w:line="240" w:lineRule="auto"/>
      <w:jc w:val="center"/>
    </w:pPr>
    <w:rPr>
      <w:rFonts w:ascii="仿宋" w:hAnsi="仿宋" w:eastAsia="仿宋" w:cs="宋体"/>
      <w:kern w:val="0"/>
      <w:sz w:val="20"/>
      <w:szCs w:val="20"/>
    </w:rPr>
  </w:style>
  <w:style w:type="paragraph" w:customStyle="1" w:styleId="3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37">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38">
    <w:name w:val="xl78"/>
    <w:basedOn w:val="1"/>
    <w:qFormat/>
    <w:uiPriority w:val="0"/>
    <w:pPr>
      <w:widowControl/>
      <w:pBdr>
        <w:top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39">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41">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2">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3">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4">
    <w:name w:val="xl84"/>
    <w:basedOn w:val="1"/>
    <w:qFormat/>
    <w:uiPriority w:val="0"/>
    <w:pPr>
      <w:widowControl/>
      <w:pBdr>
        <w:left w:val="single" w:color="auto" w:sz="4" w:space="0"/>
        <w:bottom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仿宋" w:hAnsi="仿宋" w:eastAsia="仿宋" w:cs="宋体"/>
      <w:kern w:val="0"/>
      <w:sz w:val="20"/>
      <w:szCs w:val="20"/>
    </w:rPr>
  </w:style>
  <w:style w:type="paragraph" w:customStyle="1" w:styleId="4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仿宋" w:hAnsi="仿宋" w:eastAsia="仿宋" w:cs="宋体"/>
      <w:color w:val="000000"/>
      <w:kern w:val="0"/>
      <w:sz w:val="20"/>
      <w:szCs w:val="20"/>
    </w:rPr>
  </w:style>
  <w:style w:type="paragraph" w:customStyle="1" w:styleId="47">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48">
    <w:name w:val="xl8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49">
    <w:name w:val="xl89"/>
    <w:basedOn w:val="1"/>
    <w:qFormat/>
    <w:uiPriority w:val="0"/>
    <w:pPr>
      <w:widowControl/>
      <w:pBdr>
        <w:top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50">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51">
    <w:name w:val="xl9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52">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pPr>
    <w:rPr>
      <w:rFonts w:ascii="仿宋" w:hAnsi="仿宋" w:eastAsia="仿宋" w:cs="宋体"/>
      <w:color w:val="000000"/>
      <w:kern w:val="0"/>
      <w:sz w:val="20"/>
      <w:szCs w:val="20"/>
    </w:rPr>
  </w:style>
  <w:style w:type="paragraph" w:customStyle="1" w:styleId="53">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54">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55">
    <w:name w:val="xl9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56">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57">
    <w:name w:val="xl9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58">
    <w:name w:val="xl98"/>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宋体" w:hAnsi="宋体" w:cs="宋体"/>
      <w:color w:val="000000"/>
      <w:kern w:val="0"/>
      <w:sz w:val="16"/>
      <w:szCs w:val="16"/>
    </w:rPr>
  </w:style>
  <w:style w:type="paragraph" w:customStyle="1" w:styleId="59">
    <w:name w:val="xl99"/>
    <w:basedOn w:val="1"/>
    <w:qFormat/>
    <w:uiPriority w:val="0"/>
    <w:pPr>
      <w:widowControl/>
      <w:pBdr>
        <w:top w:val="single" w:color="auto" w:sz="4" w:space="0"/>
        <w:bottom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60">
    <w:name w:val="xl10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仿宋" w:hAnsi="仿宋" w:eastAsia="仿宋" w:cs="宋体"/>
      <w:color w:val="000000"/>
      <w:kern w:val="0"/>
      <w:sz w:val="20"/>
      <w:szCs w:val="20"/>
    </w:rPr>
  </w:style>
  <w:style w:type="paragraph" w:customStyle="1" w:styleId="61">
    <w:name w:val="xl101"/>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top"/>
    </w:pPr>
    <w:rPr>
      <w:rFonts w:ascii="仿宋" w:hAnsi="仿宋" w:eastAsia="仿宋" w:cs="宋体"/>
      <w:color w:val="000000"/>
      <w:kern w:val="0"/>
      <w:sz w:val="20"/>
      <w:szCs w:val="20"/>
    </w:rPr>
  </w:style>
  <w:style w:type="paragraph" w:customStyle="1" w:styleId="62">
    <w:name w:val="xl10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textAlignment w:val="top"/>
    </w:pPr>
    <w:rPr>
      <w:rFonts w:ascii="仿宋" w:hAnsi="仿宋" w:eastAsia="仿宋" w:cs="宋体"/>
      <w:color w:val="000000"/>
      <w:kern w:val="0"/>
      <w:sz w:val="20"/>
      <w:szCs w:val="20"/>
    </w:rPr>
  </w:style>
  <w:style w:type="paragraph" w:customStyle="1" w:styleId="63">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仿宋" w:hAnsi="仿宋" w:eastAsia="仿宋" w:cs="宋体"/>
      <w:color w:val="000000"/>
      <w:kern w:val="0"/>
      <w:sz w:val="20"/>
      <w:szCs w:val="20"/>
    </w:rPr>
  </w:style>
  <w:style w:type="paragraph" w:customStyle="1" w:styleId="64">
    <w:name w:val="xl104"/>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仿宋" w:hAnsi="仿宋" w:eastAsia="仿宋" w:cs="宋体"/>
      <w:color w:val="000000"/>
      <w:kern w:val="0"/>
      <w:sz w:val="20"/>
      <w:szCs w:val="20"/>
    </w:rPr>
  </w:style>
  <w:style w:type="paragraph" w:customStyle="1" w:styleId="65">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66">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67">
    <w:name w:val="xl107"/>
    <w:basedOn w:val="1"/>
    <w:qFormat/>
    <w:uiPriority w:val="0"/>
    <w:pPr>
      <w:widowControl/>
      <w:pBdr>
        <w:left w:val="single" w:color="auto" w:sz="4" w:space="0"/>
        <w:bottom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68">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69">
    <w:name w:val="xl109"/>
    <w:basedOn w:val="1"/>
    <w:qFormat/>
    <w:uiPriority w:val="0"/>
    <w:pPr>
      <w:widowControl/>
      <w:pBdr>
        <w:bottom w:val="single" w:color="auto" w:sz="4" w:space="0"/>
        <w:right w:val="single" w:color="auto" w:sz="4" w:space="0"/>
      </w:pBdr>
      <w:spacing w:before="100" w:beforeAutospacing="1" w:after="100" w:afterAutospacing="1" w:line="240" w:lineRule="auto"/>
    </w:pPr>
    <w:rPr>
      <w:rFonts w:ascii="仿宋" w:hAnsi="仿宋" w:eastAsia="仿宋" w:cs="宋体"/>
      <w:color w:val="000000"/>
      <w:kern w:val="0"/>
      <w:sz w:val="20"/>
      <w:szCs w:val="20"/>
    </w:rPr>
  </w:style>
  <w:style w:type="paragraph" w:customStyle="1" w:styleId="70">
    <w:name w:val="xl11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pPr>
    <w:rPr>
      <w:rFonts w:ascii="仿宋" w:hAnsi="仿宋" w:eastAsia="仿宋" w:cs="宋体"/>
      <w:color w:val="000000"/>
      <w:kern w:val="0"/>
      <w:sz w:val="20"/>
      <w:szCs w:val="20"/>
    </w:rPr>
  </w:style>
  <w:style w:type="paragraph" w:customStyle="1" w:styleId="71">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73">
    <w:name w:val="xl113"/>
    <w:basedOn w:val="1"/>
    <w:qFormat/>
    <w:uiPriority w:val="0"/>
    <w:pPr>
      <w:widowControl/>
      <w:pBdr>
        <w:top w:val="single" w:color="000000" w:sz="4" w:space="0"/>
        <w:lef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4">
    <w:name w:val="xl114"/>
    <w:basedOn w:val="1"/>
    <w:qFormat/>
    <w:uiPriority w:val="0"/>
    <w:pPr>
      <w:widowControl/>
      <w:pBdr>
        <w:top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5">
    <w:name w:val="xl115"/>
    <w:basedOn w:val="1"/>
    <w:qFormat/>
    <w:uiPriority w:val="0"/>
    <w:pPr>
      <w:widowControl/>
      <w:pBdr>
        <w:lef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6">
    <w:name w:val="xl116"/>
    <w:basedOn w:val="1"/>
    <w:qFormat/>
    <w:uiPriority w:val="0"/>
    <w:pPr>
      <w:widowControl/>
      <w:pBdr>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7">
    <w:name w:val="xl117"/>
    <w:basedOn w:val="1"/>
    <w:qFormat/>
    <w:uiPriority w:val="0"/>
    <w:pPr>
      <w:widowControl/>
      <w:pBdr>
        <w:top w:val="single" w:color="auto" w:sz="4" w:space="0"/>
        <w:left w:val="single" w:color="auto"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8">
    <w:name w:val="xl118"/>
    <w:basedOn w:val="1"/>
    <w:qFormat/>
    <w:uiPriority w:val="0"/>
    <w:pPr>
      <w:widowControl/>
      <w:pBdr>
        <w:left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79">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0">
    <w:name w:val="xl120"/>
    <w:basedOn w:val="1"/>
    <w:qFormat/>
    <w:uiPriority w:val="0"/>
    <w:pPr>
      <w:widowControl/>
      <w:pBdr>
        <w:left w:val="single" w:color="000000" w:sz="4" w:space="0"/>
        <w:bottom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1">
    <w:name w:val="xl121"/>
    <w:basedOn w:val="1"/>
    <w:qFormat/>
    <w:uiPriority w:val="0"/>
    <w:pPr>
      <w:widowControl/>
      <w:pBdr>
        <w:bottom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2">
    <w:name w:val="xl122"/>
    <w:basedOn w:val="1"/>
    <w:qFormat/>
    <w:uiPriority w:val="0"/>
    <w:pPr>
      <w:widowControl/>
      <w:pBdr>
        <w:top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3">
    <w:name w:val="xl123"/>
    <w:basedOn w:val="1"/>
    <w:qFormat/>
    <w:uiPriority w:val="0"/>
    <w:pPr>
      <w:widowControl/>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4">
    <w:name w:val="xl124"/>
    <w:basedOn w:val="1"/>
    <w:qFormat/>
    <w:uiPriority w:val="0"/>
    <w:pPr>
      <w:widowControl/>
      <w:pBdr>
        <w:bottom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85">
    <w:name w:val="xl125"/>
    <w:basedOn w:val="1"/>
    <w:qFormat/>
    <w:uiPriority w:val="0"/>
    <w:pPr>
      <w:widowControl/>
      <w:pBdr>
        <w:top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86">
    <w:name w:val="xl126"/>
    <w:basedOn w:val="1"/>
    <w:qFormat/>
    <w:uiPriority w:val="0"/>
    <w:pPr>
      <w:widowControl/>
      <w:pBdr>
        <w:lef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87">
    <w:name w:val="xl127"/>
    <w:basedOn w:val="1"/>
    <w:qFormat/>
    <w:uiPriority w:val="0"/>
    <w:pPr>
      <w:widowControl/>
      <w:pBdr>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88">
    <w:name w:val="xl128"/>
    <w:basedOn w:val="1"/>
    <w:qFormat/>
    <w:uiPriority w:val="0"/>
    <w:pPr>
      <w:widowControl/>
      <w:pBdr>
        <w:left w:val="single" w:color="auto" w:sz="4" w:space="0"/>
        <w:bottom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89">
    <w:name w:val="xl129"/>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0">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仿宋" w:hAnsi="仿宋" w:eastAsia="仿宋" w:cs="宋体"/>
      <w:kern w:val="0"/>
      <w:sz w:val="20"/>
      <w:szCs w:val="20"/>
    </w:rPr>
  </w:style>
  <w:style w:type="paragraph" w:customStyle="1" w:styleId="91">
    <w:name w:val="xl131"/>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2">
    <w:name w:val="xl132"/>
    <w:basedOn w:val="1"/>
    <w:qFormat/>
    <w:uiPriority w:val="0"/>
    <w:pPr>
      <w:widowControl/>
      <w:pBdr>
        <w:top w:val="single" w:color="000000" w:sz="4" w:space="0"/>
        <w:left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3">
    <w:name w:val="xl133"/>
    <w:basedOn w:val="1"/>
    <w:qFormat/>
    <w:uiPriority w:val="0"/>
    <w:pPr>
      <w:widowControl/>
      <w:pBdr>
        <w:left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4">
    <w:name w:val="xl134"/>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5">
    <w:name w:val="xl13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left"/>
    </w:pPr>
    <w:rPr>
      <w:rFonts w:ascii="仿宋" w:hAnsi="仿宋" w:eastAsia="仿宋" w:cs="宋体"/>
      <w:kern w:val="0"/>
      <w:sz w:val="20"/>
      <w:szCs w:val="20"/>
    </w:rPr>
  </w:style>
  <w:style w:type="paragraph" w:customStyle="1" w:styleId="96">
    <w:name w:val="xl136"/>
    <w:basedOn w:val="1"/>
    <w:qFormat/>
    <w:uiPriority w:val="0"/>
    <w:pPr>
      <w:widowControl/>
      <w:pBdr>
        <w:top w:val="single" w:color="000000" w:sz="4" w:space="0"/>
        <w:left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7">
    <w:name w:val="xl137"/>
    <w:basedOn w:val="1"/>
    <w:qFormat/>
    <w:uiPriority w:val="0"/>
    <w:pPr>
      <w:widowControl/>
      <w:pBdr>
        <w:left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8">
    <w:name w:val="xl138"/>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240" w:lineRule="auto"/>
      <w:jc w:val="center"/>
    </w:pPr>
    <w:rPr>
      <w:rFonts w:ascii="仿宋" w:hAnsi="仿宋" w:eastAsia="仿宋" w:cs="宋体"/>
      <w:kern w:val="0"/>
      <w:sz w:val="20"/>
      <w:szCs w:val="20"/>
    </w:rPr>
  </w:style>
  <w:style w:type="paragraph" w:customStyle="1" w:styleId="99">
    <w:name w:val="xl139"/>
    <w:basedOn w:val="1"/>
    <w:qFormat/>
    <w:uiPriority w:val="0"/>
    <w:pPr>
      <w:widowControl/>
      <w:pBdr>
        <w:left w:val="single" w:color="000000" w:sz="4" w:space="0"/>
        <w:right w:val="single" w:color="000000" w:sz="4" w:space="0"/>
      </w:pBdr>
      <w:spacing w:before="100" w:beforeAutospacing="1" w:after="100" w:afterAutospacing="1" w:line="240" w:lineRule="auto"/>
      <w:jc w:val="center"/>
    </w:pPr>
    <w:rPr>
      <w:rFonts w:ascii="仿宋" w:hAnsi="仿宋" w:eastAsia="仿宋" w:cs="宋体"/>
      <w:color w:val="000000"/>
      <w:kern w:val="0"/>
      <w:sz w:val="20"/>
      <w:szCs w:val="20"/>
    </w:rPr>
  </w:style>
  <w:style w:type="paragraph" w:customStyle="1" w:styleId="100">
    <w:name w:val="xl140"/>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仿宋" w:hAnsi="仿宋" w:eastAsia="仿宋" w:cs="宋体"/>
      <w:kern w:val="0"/>
      <w:sz w:val="20"/>
      <w:szCs w:val="20"/>
    </w:rPr>
  </w:style>
  <w:style w:type="table" w:customStyle="1" w:styleId="101">
    <w:name w:val="网格型1"/>
    <w:basedOn w:val="14"/>
    <w:qFormat/>
    <w:uiPriority w:val="0"/>
    <w:pPr>
      <w:widowControl w:val="0"/>
      <w:spacing w:after="160" w:line="278"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
    <w:name w:val="标题 1 字符"/>
    <w:basedOn w:val="16"/>
    <w:link w:val="2"/>
    <w:qFormat/>
    <w:uiPriority w:val="0"/>
    <w:rPr>
      <w:rFonts w:eastAsia="黑体"/>
      <w:bCs/>
      <w:kern w:val="44"/>
      <w:sz w:val="32"/>
      <w:szCs w:val="44"/>
    </w:rPr>
  </w:style>
  <w:style w:type="paragraph" w:customStyle="1" w:styleId="103">
    <w:name w:val="TOC Heading"/>
    <w:basedOn w:val="2"/>
    <w:next w:val="1"/>
    <w:unhideWhenUsed/>
    <w:qFormat/>
    <w:uiPriority w:val="39"/>
    <w:pPr>
      <w:widowControl/>
      <w:spacing w:before="240" w:line="259" w:lineRule="auto"/>
      <w:ind w:firstLine="0" w:firstLineChars="0"/>
      <w:jc w:val="left"/>
      <w:outlineLvl w:val="9"/>
    </w:pPr>
    <w:rPr>
      <w:rFonts w:asciiTheme="majorHAnsi" w:hAnsiTheme="majorHAnsi" w:eastAsiaTheme="majorEastAsia" w:cstheme="majorBidi"/>
      <w:bCs w:val="0"/>
      <w:color w:val="2E75B6" w:themeColor="accent1" w:themeShade="BF"/>
      <w:kern w:val="0"/>
      <w:szCs w:val="32"/>
    </w:rPr>
  </w:style>
  <w:style w:type="character" w:customStyle="1" w:styleId="104">
    <w:name w:val="标题 2 字符"/>
    <w:basedOn w:val="16"/>
    <w:link w:val="3"/>
    <w:qFormat/>
    <w:uiPriority w:val="0"/>
    <w:rPr>
      <w:rFonts w:eastAsia="楷体" w:asciiTheme="majorHAnsi" w:hAnsiTheme="majorHAnsi" w:cstheme="majorBidi"/>
      <w:bCs/>
      <w:kern w:val="2"/>
      <w:sz w:val="32"/>
      <w:szCs w:val="32"/>
    </w:rPr>
  </w:style>
  <w:style w:type="character" w:customStyle="1" w:styleId="105">
    <w:name w:val="页脚 字符"/>
    <w:basedOn w:val="16"/>
    <w:link w:val="8"/>
    <w:qFormat/>
    <w:uiPriority w:val="99"/>
    <w:rPr>
      <w:kern w:val="2"/>
      <w:sz w:val="18"/>
      <w:szCs w:val="24"/>
    </w:rPr>
  </w:style>
  <w:style w:type="character" w:customStyle="1" w:styleId="106">
    <w:name w:val="批注文字 字符"/>
    <w:basedOn w:val="16"/>
    <w:link w:val="5"/>
    <w:qFormat/>
    <w:uiPriority w:val="0"/>
    <w:rPr>
      <w:kern w:val="2"/>
      <w:sz w:val="21"/>
      <w:szCs w:val="24"/>
    </w:rPr>
  </w:style>
  <w:style w:type="character" w:customStyle="1" w:styleId="107">
    <w:name w:val="批注主题 字符"/>
    <w:basedOn w:val="106"/>
    <w:link w:val="13"/>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067D7-0CB7-4A7A-95F5-11800233CC64}">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19154</Words>
  <Characters>19266</Characters>
  <Lines>3197</Lines>
  <Paragraphs>1738</Paragraphs>
  <TotalTime>0</TotalTime>
  <ScaleCrop>false</ScaleCrop>
  <LinksUpToDate>false</LinksUpToDate>
  <CharactersWithSpaces>19506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2026-01-26T01:18:00Z</dcterms:created>
  <dc:creator>Administrator.WIN-GUF7F9D61L7</dc:creator>
  <cp:lastModifiedBy>何莹苑</cp:lastModifiedBy>
  <cp:lastPrinted>2026-03-24T13:31:30Z</cp:lastPrinted>
  <dcterms:modified xsi:type="dcterms:W3CDTF">2026-03-24T14:08:20Z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AFFC144BD62D4D5B8C5ADA942DA45172_13</vt:lpwstr>
  </property>
  <property fmtid="{D5CDD505-2E9C-101B-9397-08002B2CF9AE}" pid="4" name="KSOTemplateDocerSaveRecord">
    <vt:lpwstr>eyJoZGlkIjoiOTlkYjc2ZWYyMDRiNWJjZTRkYjI2Yzk5M2I2MDljMjYiLCJ1c2VySWQiOiIyOTg5OTU1NTEifQ==</vt:lpwstr>
  </property>
</Properties>
</file>