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rPr>
      </w:pPr>
      <w:r>
        <w:rPr>
          <w:rFonts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6"/>
                    <a:stretch>
                      <a:fillRect/>
                    </a:stretch>
                  </pic:blipFill>
                  <pic:spPr>
                    <a:xfrm>
                      <a:off x="0" y="0"/>
                      <a:ext cx="5684520" cy="12706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现代物业服务与管理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440703</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shd w:val="clear" w:color="auto" w:fill="FFFFFF"/>
          <w:lang w:val="en-US" w:eastAsia="zh-CN"/>
        </w:rPr>
        <w:t xml:space="preserve">制  定  </w:t>
      </w:r>
      <w:r>
        <w:rPr>
          <w:rFonts w:hint="eastAsia" w:ascii="仿宋_GB2312" w:hAnsi="仿宋_GB2312" w:eastAsia="仿宋_GB2312" w:cs="仿宋_GB2312"/>
          <w:color w:val="auto"/>
          <w:kern w:val="0"/>
          <w:sz w:val="32"/>
          <w:szCs w:val="32"/>
          <w:shd w:val="clear" w:color="auto" w:fill="FFFFFF"/>
        </w:rPr>
        <w:t>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 xml:space="preserve">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2025年4月</w:t>
      </w:r>
      <w:r>
        <w:rPr>
          <w:rFonts w:hint="eastAsia" w:ascii="仿宋_GB2312" w:hAnsi="仿宋_GB2312" w:eastAsia="仿宋_GB2312" w:cs="仿宋_GB2312"/>
          <w:color w:val="auto"/>
          <w:kern w:val="0"/>
          <w:sz w:val="32"/>
          <w:szCs w:val="32"/>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经济管理学院</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p>
    <w:p>
      <w:pPr>
        <w:rPr>
          <w:rFonts w:hint="eastAsia" w:ascii="仿宋_GB2312" w:hAnsi="仿宋_GB2312" w:eastAsia="仿宋_GB2312" w:cs="仿宋_GB2312"/>
          <w:color w:val="auto"/>
          <w:kern w:val="0"/>
          <w:sz w:val="32"/>
          <w:szCs w:val="32"/>
          <w:shd w:val="clear" w:color="auto" w:fill="FFFFFF"/>
        </w:rPr>
      </w:pPr>
    </w:p>
    <w:p>
      <w:pPr>
        <w:rPr>
          <w:rFonts w:hint="eastAsia" w:ascii="仿宋_GB2312" w:hAnsi="仿宋_GB2312" w:eastAsia="仿宋_GB2312" w:cs="仿宋_GB2312"/>
          <w:color w:val="auto"/>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pPr>
        <w:rPr>
          <w:rFonts w:hint="eastAsia" w:ascii="仿宋_GB2312" w:hAnsi="仿宋_GB2312" w:eastAsia="仿宋_GB2312" w:cs="仿宋_GB2312"/>
          <w:color w:val="FF0000"/>
          <w:kern w:val="0"/>
          <w:sz w:val="32"/>
          <w:szCs w:val="32"/>
          <w:shd w:val="clear" w:color="auto" w:fill="FFFFFF"/>
          <w:lang w:val="en-US" w:eastAsia="zh-CN"/>
        </w:rPr>
      </w:pPr>
      <w:r>
        <w:rPr>
          <w:rFonts w:hint="eastAsia" w:ascii="仿宋_GB2312" w:hAnsi="仿宋_GB2312" w:eastAsia="仿宋_GB2312" w:cs="仿宋_GB2312"/>
          <w:color w:val="FF0000"/>
          <w:kern w:val="0"/>
          <w:sz w:val="32"/>
          <w:szCs w:val="32"/>
          <w:shd w:val="clear" w:color="auto" w:fill="FFFFFF"/>
          <w:lang w:val="en-US" w:eastAsia="zh-CN"/>
        </w:rPr>
        <w:br w:type="page"/>
      </w:r>
    </w:p>
    <w:p>
      <w:pPr>
        <w:rPr>
          <w:rFonts w:hint="eastAsia" w:ascii="黑体" w:hAnsi="黑体" w:eastAsia="黑体" w:cs="黑体"/>
          <w:b w:val="0"/>
          <w:bCs/>
          <w:color w:val="FF0000"/>
          <w:sz w:val="44"/>
          <w:szCs w:val="44"/>
        </w:rPr>
      </w:pPr>
      <w:r>
        <w:rPr>
          <w:rFonts w:hint="eastAsia" w:ascii="仿宋_GB2312" w:hAnsi="仿宋_GB2312" w:eastAsia="仿宋_GB2312" w:cs="仿宋_GB2312"/>
          <w:color w:val="FF0000"/>
          <w:kern w:val="0"/>
          <w:sz w:val="32"/>
          <w:szCs w:val="32"/>
          <w:shd w:val="clear" w:color="auto" w:fill="FFFFFF"/>
          <w:lang w:val="en-US" w:eastAsia="zh-CN"/>
        </w:rPr>
        <w:br w:type="page"/>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编制说明</w:t>
      </w:r>
    </w:p>
    <w:p>
      <w:pPr>
        <w:keepNext w:val="0"/>
        <w:keepLines w:val="0"/>
        <w:pageBreakBefore w:val="0"/>
        <w:widowControl w:val="0"/>
        <w:kinsoku/>
        <w:wordWrap/>
        <w:overflowPunct/>
        <w:topLinePunct w:val="0"/>
        <w:autoSpaceDE/>
        <w:autoSpaceDN/>
        <w:bidi w:val="0"/>
        <w:adjustRightInd/>
        <w:snapToGrid/>
        <w:spacing w:after="0" w:line="520" w:lineRule="exact"/>
        <w:ind w:firstLine="880" w:firstLineChars="200"/>
        <w:textAlignment w:val="auto"/>
        <w:rPr>
          <w:rFonts w:hint="eastAsia" w:ascii="黑体" w:hAnsi="黑体" w:eastAsia="黑体" w:cs="黑体"/>
          <w:b w:val="0"/>
          <w:bCs/>
          <w:color w:val="auto"/>
          <w:sz w:val="44"/>
          <w:szCs w:val="44"/>
        </w:rPr>
      </w:pP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本专业人才培养方案适于</w:t>
      </w:r>
      <w:r>
        <w:rPr>
          <w:rFonts w:hint="eastAsia" w:ascii="仿宋_GB2312" w:hAnsi="仿宋_GB2312" w:eastAsia="仿宋_GB2312" w:cs="仿宋_GB2312"/>
          <w:b w:val="0"/>
          <w:bCs/>
          <w:color w:val="auto"/>
          <w:sz w:val="32"/>
          <w:szCs w:val="32"/>
          <w:lang w:val="en-US" w:eastAsia="zh-CN"/>
        </w:rPr>
        <w:t>我校</w:t>
      </w:r>
      <w:r>
        <w:rPr>
          <w:rFonts w:hint="eastAsia" w:ascii="仿宋_GB2312" w:hAnsi="仿宋_GB2312" w:eastAsia="仿宋_GB2312" w:cs="仿宋_GB2312"/>
          <w:b w:val="0"/>
          <w:bCs/>
          <w:color w:val="auto"/>
          <w:sz w:val="32"/>
          <w:szCs w:val="32"/>
        </w:rPr>
        <w:t>三年全日制高职专科，由广西</w:t>
      </w:r>
      <w:r>
        <w:rPr>
          <w:rFonts w:hint="eastAsia" w:ascii="仿宋_GB2312" w:hAnsi="仿宋_GB2312" w:eastAsia="仿宋_GB2312" w:cs="仿宋_GB2312"/>
          <w:b w:val="0"/>
          <w:bCs/>
          <w:color w:val="auto"/>
          <w:sz w:val="32"/>
          <w:szCs w:val="32"/>
          <w:lang w:val="en-US" w:eastAsia="zh-CN"/>
        </w:rPr>
        <w:t>工程职业学院现代物业服务与管理</w:t>
      </w:r>
      <w:r>
        <w:rPr>
          <w:rFonts w:hint="eastAsia" w:ascii="仿宋_GB2312" w:hAnsi="仿宋_GB2312" w:eastAsia="仿宋_GB2312" w:cs="仿宋_GB2312"/>
          <w:b w:val="0"/>
          <w:bCs/>
          <w:color w:val="auto"/>
          <w:sz w:val="32"/>
          <w:szCs w:val="32"/>
        </w:rPr>
        <w:t>专业团队与</w:t>
      </w:r>
      <w:r>
        <w:rPr>
          <w:rFonts w:hint="eastAsia" w:ascii="仿宋_GB2312" w:hAnsi="仿宋_GB2312" w:eastAsia="仿宋_GB2312" w:cs="仿宋_GB2312"/>
          <w:b w:val="0"/>
          <w:bCs/>
          <w:color w:val="auto"/>
          <w:sz w:val="32"/>
          <w:szCs w:val="32"/>
          <w:lang w:val="en-US" w:eastAsia="zh-CN"/>
        </w:rPr>
        <w:t>广西金源置地投资有限</w:t>
      </w:r>
      <w:r>
        <w:rPr>
          <w:rFonts w:hint="eastAsia" w:ascii="仿宋_GB2312" w:hAnsi="仿宋_GB2312" w:eastAsia="仿宋_GB2312" w:cs="仿宋_GB2312"/>
          <w:b w:val="0"/>
          <w:bCs/>
          <w:color w:val="auto"/>
          <w:sz w:val="32"/>
          <w:szCs w:val="32"/>
        </w:rPr>
        <w:t>公司</w:t>
      </w:r>
      <w:r>
        <w:rPr>
          <w:rFonts w:hint="eastAsia" w:ascii="仿宋_GB2312" w:hAnsi="仿宋_GB2312" w:eastAsia="仿宋_GB2312" w:cs="仿宋_GB2312"/>
          <w:b w:val="0"/>
          <w:bCs/>
          <w:color w:val="auto"/>
          <w:sz w:val="32"/>
          <w:szCs w:val="32"/>
          <w:lang w:val="en-US" w:eastAsia="zh-CN"/>
        </w:rPr>
        <w:t>等</w:t>
      </w:r>
      <w:r>
        <w:rPr>
          <w:rFonts w:hint="eastAsia" w:ascii="仿宋_GB2312" w:hAnsi="仿宋_GB2312" w:eastAsia="仿宋_GB2312" w:cs="仿宋_GB2312"/>
          <w:b w:val="0"/>
          <w:bCs/>
          <w:color w:val="auto"/>
          <w:sz w:val="32"/>
          <w:szCs w:val="32"/>
        </w:rPr>
        <w:t>共同制订，并经</w:t>
      </w:r>
      <w:r>
        <w:rPr>
          <w:rFonts w:hint="eastAsia" w:ascii="仿宋_GB2312" w:hAnsi="仿宋_GB2312" w:eastAsia="仿宋_GB2312" w:cs="仿宋_GB2312"/>
          <w:b w:val="0"/>
          <w:bCs/>
          <w:color w:val="auto"/>
          <w:sz w:val="32"/>
          <w:szCs w:val="32"/>
          <w:lang w:val="en-US" w:eastAsia="zh-CN"/>
        </w:rPr>
        <w:t>二级学院党政联席会审定、</w:t>
      </w:r>
      <w:r>
        <w:rPr>
          <w:rFonts w:hint="eastAsia" w:ascii="仿宋_GB2312" w:hAnsi="仿宋_GB2312" w:eastAsia="仿宋_GB2312" w:cs="仿宋_GB2312"/>
          <w:b w:val="0"/>
          <w:bCs/>
          <w:color w:val="auto"/>
          <w:sz w:val="32"/>
          <w:szCs w:val="32"/>
        </w:rPr>
        <w:t>学校</w:t>
      </w:r>
      <w:r>
        <w:rPr>
          <w:rFonts w:hint="eastAsia" w:ascii="仿宋_GB2312" w:hAnsi="仿宋_GB2312" w:eastAsia="仿宋_GB2312" w:cs="仿宋_GB2312"/>
          <w:b w:val="0"/>
          <w:bCs/>
          <w:color w:val="auto"/>
          <w:sz w:val="32"/>
          <w:szCs w:val="32"/>
          <w:lang w:val="en-US" w:eastAsia="zh-CN"/>
        </w:rPr>
        <w:t>专业建设</w:t>
      </w:r>
      <w:r>
        <w:rPr>
          <w:rFonts w:hint="eastAsia" w:ascii="仿宋_GB2312" w:hAnsi="仿宋_GB2312" w:eastAsia="仿宋_GB2312" w:cs="仿宋_GB2312"/>
          <w:b w:val="0"/>
          <w:bCs/>
          <w:color w:val="auto"/>
          <w:sz w:val="32"/>
          <w:szCs w:val="32"/>
        </w:rPr>
        <w:t>指导委员会</w:t>
      </w:r>
      <w:r>
        <w:rPr>
          <w:rFonts w:hint="eastAsia" w:ascii="仿宋_GB2312" w:hAnsi="仿宋_GB2312" w:eastAsia="仿宋_GB2312" w:cs="仿宋_GB2312"/>
          <w:b w:val="0"/>
          <w:bCs/>
          <w:color w:val="auto"/>
          <w:sz w:val="32"/>
          <w:szCs w:val="32"/>
          <w:lang w:val="en-US" w:eastAsia="zh-CN"/>
        </w:rPr>
        <w:t>论证</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校长办公</w:t>
      </w:r>
      <w:r>
        <w:rPr>
          <w:rFonts w:hint="eastAsia" w:ascii="仿宋_GB2312" w:hAnsi="仿宋_GB2312" w:eastAsia="仿宋_GB2312" w:cs="仿宋_GB2312"/>
          <w:b w:val="0"/>
          <w:bCs/>
          <w:color w:val="auto"/>
          <w:sz w:val="32"/>
          <w:szCs w:val="32"/>
        </w:rPr>
        <w:t>会</w:t>
      </w:r>
      <w:r>
        <w:rPr>
          <w:rFonts w:hint="eastAsia" w:ascii="仿宋_GB2312" w:hAnsi="仿宋_GB2312" w:eastAsia="仿宋_GB2312" w:cs="仿宋_GB2312"/>
          <w:b w:val="0"/>
          <w:bCs/>
          <w:color w:val="auto"/>
          <w:sz w:val="32"/>
          <w:szCs w:val="32"/>
          <w:lang w:val="en-US" w:eastAsia="zh-CN"/>
        </w:rPr>
        <w:t>审议</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highlight w:val="none"/>
          <w:lang w:val="en-US" w:eastAsia="zh-CN"/>
        </w:rPr>
        <w:t>学</w:t>
      </w:r>
      <w:r>
        <w:rPr>
          <w:rFonts w:hint="eastAsia" w:ascii="仿宋_GB2312" w:hAnsi="仿宋_GB2312" w:eastAsia="仿宋_GB2312" w:cs="仿宋_GB2312"/>
          <w:b w:val="0"/>
          <w:bCs/>
          <w:color w:val="auto"/>
          <w:sz w:val="32"/>
          <w:szCs w:val="32"/>
          <w:lang w:val="en-US" w:eastAsia="zh-CN"/>
        </w:rPr>
        <w:t>校</w:t>
      </w:r>
      <w:r>
        <w:rPr>
          <w:rFonts w:hint="eastAsia" w:ascii="仿宋_GB2312" w:hAnsi="仿宋_GB2312" w:eastAsia="仿宋_GB2312" w:cs="仿宋_GB2312"/>
          <w:b w:val="0"/>
          <w:bCs/>
          <w:color w:val="auto"/>
          <w:sz w:val="32"/>
          <w:szCs w:val="32"/>
        </w:rPr>
        <w:t>党委会审定，批准实施。</w:t>
      </w:r>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主要编制人：</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
        <w:gridCol w:w="1223"/>
        <w:gridCol w:w="2914"/>
        <w:gridCol w:w="1672"/>
        <w:gridCol w:w="2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序号</w:t>
            </w:r>
          </w:p>
        </w:tc>
        <w:tc>
          <w:tcPr>
            <w:tcW w:w="701" w:type="pct"/>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姓名</w:t>
            </w:r>
          </w:p>
        </w:tc>
        <w:tc>
          <w:tcPr>
            <w:tcW w:w="1670" w:type="pct"/>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单位名称</w:t>
            </w:r>
          </w:p>
        </w:tc>
        <w:tc>
          <w:tcPr>
            <w:tcW w:w="958" w:type="pct"/>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职务</w:t>
            </w:r>
          </w:p>
        </w:tc>
        <w:tc>
          <w:tcPr>
            <w:tcW w:w="1158" w:type="pct"/>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1</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阳岚</w:t>
            </w:r>
          </w:p>
        </w:tc>
        <w:tc>
          <w:tcPr>
            <w:tcW w:w="1670"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广西金源置地投资有限公司</w:t>
            </w:r>
          </w:p>
        </w:tc>
        <w:tc>
          <w:tcPr>
            <w:tcW w:w="9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项目经理</w:t>
            </w:r>
          </w:p>
        </w:tc>
        <w:tc>
          <w:tcPr>
            <w:tcW w:w="11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高级工程师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2</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王国梁</w:t>
            </w:r>
          </w:p>
        </w:tc>
        <w:tc>
          <w:tcPr>
            <w:tcW w:w="1670"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智海工程设计有限公司</w:t>
            </w:r>
          </w:p>
        </w:tc>
        <w:tc>
          <w:tcPr>
            <w:tcW w:w="9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项目经理</w:t>
            </w:r>
          </w:p>
        </w:tc>
        <w:tc>
          <w:tcPr>
            <w:tcW w:w="11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51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3</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李创社</w:t>
            </w:r>
          </w:p>
        </w:tc>
        <w:tc>
          <w:tcPr>
            <w:tcW w:w="1670"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南宁银象房地产开</w:t>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发有限公司</w:t>
            </w:r>
          </w:p>
        </w:tc>
        <w:tc>
          <w:tcPr>
            <w:tcW w:w="9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项目经理</w:t>
            </w:r>
          </w:p>
        </w:tc>
        <w:tc>
          <w:tcPr>
            <w:tcW w:w="11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高级工程师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4</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陈夏</w:t>
            </w:r>
          </w:p>
        </w:tc>
        <w:tc>
          <w:tcPr>
            <w:tcW w:w="1670"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南宁银象房地产开发有限责任公司</w:t>
            </w:r>
          </w:p>
        </w:tc>
        <w:tc>
          <w:tcPr>
            <w:tcW w:w="9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项目经理</w:t>
            </w:r>
          </w:p>
        </w:tc>
        <w:tc>
          <w:tcPr>
            <w:tcW w:w="11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5</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石晓峰</w:t>
            </w:r>
          </w:p>
        </w:tc>
        <w:tc>
          <w:tcPr>
            <w:tcW w:w="1670"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南宁银象房地产开发有限责任公司</w:t>
            </w:r>
          </w:p>
        </w:tc>
        <w:tc>
          <w:tcPr>
            <w:tcW w:w="9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项目</w:t>
            </w:r>
            <w:bookmarkStart w:id="82" w:name="_GoBack"/>
            <w:bookmarkEnd w:id="82"/>
            <w:r>
              <w:rPr>
                <w:rFonts w:hint="eastAsia" w:ascii="仿宋_GB2312" w:hAnsi="仿宋_GB2312" w:eastAsia="仿宋_GB2312" w:cs="仿宋_GB2312"/>
                <w:b w:val="0"/>
                <w:bCs/>
                <w:color w:val="auto"/>
                <w:sz w:val="32"/>
                <w:szCs w:val="32"/>
                <w:vertAlign w:val="baseline"/>
                <w:lang w:val="en-US" w:eastAsia="zh-CN"/>
              </w:rPr>
              <w:t>经理</w:t>
            </w:r>
          </w:p>
        </w:tc>
        <w:tc>
          <w:tcPr>
            <w:tcW w:w="11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6</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刘忠略</w:t>
            </w:r>
          </w:p>
        </w:tc>
        <w:tc>
          <w:tcPr>
            <w:tcW w:w="1670"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9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专任教师</w:t>
            </w:r>
          </w:p>
        </w:tc>
        <w:tc>
          <w:tcPr>
            <w:tcW w:w="11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7</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邓镇连</w:t>
            </w:r>
          </w:p>
        </w:tc>
        <w:tc>
          <w:tcPr>
            <w:tcW w:w="1670"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9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专任教师</w:t>
            </w:r>
          </w:p>
        </w:tc>
        <w:tc>
          <w:tcPr>
            <w:tcW w:w="11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经济师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8</w:t>
            </w:r>
          </w:p>
        </w:tc>
        <w:tc>
          <w:tcPr>
            <w:tcW w:w="701"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覃丽君</w:t>
            </w:r>
          </w:p>
        </w:tc>
        <w:tc>
          <w:tcPr>
            <w:tcW w:w="1670"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广西工程职业学院</w:t>
            </w:r>
          </w:p>
        </w:tc>
        <w:tc>
          <w:tcPr>
            <w:tcW w:w="9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rPr>
              <w:t>专任教师</w:t>
            </w:r>
          </w:p>
        </w:tc>
        <w:tc>
          <w:tcPr>
            <w:tcW w:w="1158" w:type="pct"/>
            <w:vAlign w:val="center"/>
          </w:tcPr>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经济师</w:t>
            </w:r>
          </w:p>
        </w:tc>
      </w:tr>
    </w:tbl>
    <w:p>
      <w:pPr>
        <w:rPr>
          <w:rFonts w:hint="eastAsia" w:ascii="黑体" w:hAnsi="黑体" w:eastAsia="黑体" w:cs="黑体"/>
          <w:b w:val="0"/>
          <w:bCs/>
          <w:color w:val="FF0000"/>
          <w:sz w:val="44"/>
          <w:szCs w:val="44"/>
        </w:rPr>
        <w:sectPr>
          <w:headerReference r:id="rId3" w:type="default"/>
          <w:pgSz w:w="11906" w:h="16838"/>
          <w:pgMar w:top="1417" w:right="1417" w:bottom="1417" w:left="1984" w:header="851" w:footer="992" w:gutter="0"/>
          <w:pgNumType w:start="1"/>
          <w:cols w:space="425" w:num="1"/>
          <w:docGrid w:type="lines" w:linePitch="312" w:charSpace="0"/>
        </w:sectPr>
      </w:pPr>
      <w:r>
        <w:rPr>
          <w:rFonts w:hint="eastAsia" w:ascii="黑体" w:hAnsi="黑体" w:eastAsia="黑体" w:cs="黑体"/>
          <w:b w:val="0"/>
          <w:bCs/>
          <w:color w:val="FF0000"/>
          <w:sz w:val="44"/>
          <w:szCs w:val="44"/>
        </w:rPr>
        <w:br w:type="page"/>
      </w:r>
    </w:p>
    <w:p>
      <w:pPr>
        <w:rPr>
          <w:rFonts w:hint="eastAsia" w:ascii="黑体" w:hAnsi="黑体" w:eastAsia="黑体" w:cs="黑体"/>
          <w:b w:val="0"/>
          <w:bCs/>
          <w:color w:val="FF0000"/>
          <w:sz w:val="44"/>
          <w:szCs w:val="44"/>
        </w:rPr>
        <w:sectPr>
          <w:pgSz w:w="11906" w:h="16838"/>
          <w:pgMar w:top="1417" w:right="1417" w:bottom="1417" w:left="1984"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auto"/>
          <w:sz w:val="44"/>
          <w:szCs w:val="44"/>
          <w:lang w:val="en-US" w:eastAsia="zh-CN"/>
        </w:rPr>
      </w:pPr>
      <w:r>
        <w:rPr>
          <w:rFonts w:hint="eastAsia" w:ascii="黑体" w:hAnsi="黑体" w:eastAsia="黑体" w:cs="黑体"/>
          <w:b w:val="0"/>
          <w:bCs/>
          <w:color w:val="auto"/>
          <w:sz w:val="44"/>
          <w:szCs w:val="44"/>
          <w:lang w:val="en-US" w:eastAsia="zh-CN"/>
        </w:rPr>
        <w:t>目  录</w:t>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黑体" w:hAnsi="黑体" w:eastAsia="黑体" w:cs="黑体"/>
          <w:b w:val="0"/>
          <w:bCs/>
          <w:color w:val="FF0000"/>
          <w:sz w:val="44"/>
          <w:szCs w:val="44"/>
          <w:lang w:val="en-US" w:eastAsia="zh-CN"/>
        </w:rPr>
      </w:pPr>
    </w:p>
    <w:p>
      <w:pPr>
        <w:pStyle w:val="7"/>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color w:val="auto"/>
          <w:kern w:val="0"/>
          <w:sz w:val="32"/>
          <w:szCs w:val="32"/>
          <w:lang w:val="en-US" w:eastAsia="zh-CN"/>
        </w:rPr>
        <w:fldChar w:fldCharType="begin"/>
      </w:r>
      <w:r>
        <w:rPr>
          <w:rFonts w:hint="eastAsia" w:ascii="仿宋_GB2312" w:hAnsi="仿宋_GB2312" w:eastAsia="仿宋_GB2312" w:cs="仿宋_GB2312"/>
          <w:b w:val="0"/>
          <w:bCs/>
          <w:color w:val="auto"/>
          <w:kern w:val="0"/>
          <w:sz w:val="32"/>
          <w:szCs w:val="32"/>
          <w:lang w:val="en-US" w:eastAsia="zh-CN"/>
        </w:rPr>
        <w:instrText xml:space="preserve">TOC \o "1-2" \h \u </w:instrText>
      </w:r>
      <w:r>
        <w:rPr>
          <w:rFonts w:hint="eastAsia" w:ascii="仿宋_GB2312" w:hAnsi="仿宋_GB2312" w:eastAsia="仿宋_GB2312" w:cs="仿宋_GB2312"/>
          <w:b w:val="0"/>
          <w:bCs/>
          <w:color w:val="auto"/>
          <w:kern w:val="0"/>
          <w:sz w:val="32"/>
          <w:szCs w:val="32"/>
          <w:lang w:val="en-US" w:eastAsia="zh-CN"/>
        </w:rPr>
        <w:fldChar w:fldCharType="separate"/>
      </w: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_Toc7200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_Toc7200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7"/>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_Toc7411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rPr>
        <w:t>二、入学要求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_Toc7411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7"/>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_Toc9988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highlight w:val="none"/>
        </w:rPr>
        <w:t>三、</w:t>
      </w:r>
      <w:r>
        <w:rPr>
          <w:rFonts w:hint="eastAsia" w:ascii="仿宋_GB2312" w:hAnsi="仿宋_GB2312" w:eastAsia="仿宋_GB2312" w:cs="仿宋_GB2312"/>
          <w:sz w:val="32"/>
          <w:szCs w:val="32"/>
          <w:highlight w:val="none"/>
          <w:lang w:val="en-US" w:eastAsia="zh-CN"/>
        </w:rPr>
        <w:t>基本</w:t>
      </w:r>
      <w:r>
        <w:rPr>
          <w:rFonts w:hint="eastAsia" w:ascii="仿宋_GB2312" w:hAnsi="仿宋_GB2312" w:eastAsia="仿宋_GB2312" w:cs="仿宋_GB2312"/>
          <w:sz w:val="32"/>
          <w:szCs w:val="32"/>
          <w:highlight w:val="none"/>
        </w:rPr>
        <w:t>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_Toc9988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7"/>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_Toc16928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_Toc16928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7"/>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_Toc26639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rPr>
        <w:t>五、培养目标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_Toc26639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7"/>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_Toc26345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、培养</w:t>
      </w:r>
      <w:r>
        <w:rPr>
          <w:rFonts w:hint="eastAsia" w:ascii="仿宋_GB2312" w:hAnsi="仿宋_GB2312" w:eastAsia="仿宋_GB2312" w:cs="仿宋_GB2312"/>
          <w:sz w:val="32"/>
          <w:szCs w:val="32"/>
          <w:lang w:val="en-US" w:eastAsia="zh-CN"/>
        </w:rPr>
        <w:t>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_Toc26345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_Toc21782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highlight w:val="none"/>
        </w:rPr>
        <w:t>知识</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_Toc21782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_Toc21586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能力</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_Toc21586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7"/>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_Toc7047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、课程设置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_Toc7047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_Toc20640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rPr>
        <w:t>（一）公共基础课程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_Toc20640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_Toc17624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rPr>
        <w:t>（二）专业课程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_Toc17624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_Toc21141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rPr>
        <w:t>（三）第二课堂</w:t>
      </w:r>
      <w:r>
        <w:rPr>
          <w:rFonts w:hint="eastAsia" w:ascii="仿宋_GB2312" w:hAnsi="仿宋_GB2312" w:eastAsia="仿宋_GB2312" w:cs="仿宋_GB2312"/>
          <w:sz w:val="32"/>
          <w:szCs w:val="32"/>
          <w:lang w:val="en-US" w:eastAsia="zh-CN"/>
        </w:rPr>
        <w:t>素质教育课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_Toc21141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7"/>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_Toc15206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_Toc15206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_Toc5960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rPr>
        <w:t>（一）教学环节分配表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_Toc5960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_Toc6992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sz w:val="32"/>
          <w:szCs w:val="32"/>
        </w:rPr>
        <w:t>课程结构与学时、学分分配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_Toc6992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_Toc30758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教学计划进程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_Toc30758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7"/>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_Toc22280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lang w:val="en-US" w:eastAsia="zh-CN"/>
        </w:rPr>
        <w:t>九</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_Toc22280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_Toc2467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bCs w:val="0"/>
          <w:sz w:val="32"/>
          <w:szCs w:val="32"/>
          <w:lang w:val="en-US" w:eastAsia="zh-CN"/>
        </w:rPr>
        <w:t>（一）</w:t>
      </w:r>
      <w:r>
        <w:rPr>
          <w:rFonts w:hint="eastAsia" w:ascii="仿宋_GB2312" w:hAnsi="仿宋_GB2312" w:eastAsia="仿宋_GB2312" w:cs="仿宋_GB2312"/>
          <w:bCs w:val="0"/>
          <w:sz w:val="32"/>
          <w:szCs w:val="32"/>
          <w:highlight w:val="none"/>
          <w:lang w:val="en-US" w:eastAsia="zh-CN"/>
        </w:rPr>
        <w:t>队伍结构</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_Toc13758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rPr>
        <w:t>（二）专业带头人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_Toc13758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_Toc4244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专任教师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_Toc4244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_Toc8655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兼职教师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_Toc8655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7"/>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_Toc2900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lang w:val="en-US" w:eastAsia="zh-CN"/>
        </w:rPr>
        <w:t>十、教学条件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_Toc12242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_Toc12242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_Toc13603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_Toc13603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_Toc19203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rPr>
        <w:t>（三）教学方法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_Toc19203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_Toc23898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sz w:val="32"/>
          <w:szCs w:val="32"/>
        </w:rPr>
        <w:t>（四）学习评价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_Toc23898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7"/>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_Toc6685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bCs w:val="0"/>
          <w:sz w:val="32"/>
          <w:szCs w:val="32"/>
          <w:highlight w:val="none"/>
          <w:lang w:val="en-US" w:eastAsia="zh-CN"/>
        </w:rPr>
        <w:t>十一、</w:t>
      </w:r>
      <w:r>
        <w:rPr>
          <w:rFonts w:hint="eastAsia" w:ascii="仿宋_GB2312" w:hAnsi="仿宋_GB2312" w:eastAsia="仿宋_GB2312" w:cs="仿宋_GB2312"/>
          <w:bCs w:val="0"/>
          <w:sz w:val="32"/>
          <w:szCs w:val="32"/>
          <w:highlight w:val="none"/>
        </w:rPr>
        <w:t>质量</w:t>
      </w:r>
      <w:r>
        <w:rPr>
          <w:rFonts w:hint="eastAsia" w:ascii="仿宋_GB2312" w:hAnsi="仿宋_GB2312" w:eastAsia="仿宋_GB2312" w:cs="仿宋_GB2312"/>
          <w:bCs w:val="0"/>
          <w:sz w:val="32"/>
          <w:szCs w:val="32"/>
          <w:highlight w:val="none"/>
          <w:lang w:val="en-US" w:eastAsia="zh-CN"/>
        </w:rPr>
        <w:t>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7"/>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_Toc31086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bCs w:val="0"/>
          <w:sz w:val="32"/>
          <w:szCs w:val="32"/>
          <w:highlight w:val="none"/>
          <w:lang w:val="en-US" w:eastAsia="zh-CN"/>
        </w:rPr>
        <w:t>十二、</w:t>
      </w:r>
      <w:r>
        <w:rPr>
          <w:rFonts w:hint="eastAsia" w:ascii="仿宋_GB2312" w:hAnsi="仿宋_GB2312" w:eastAsia="仿宋_GB2312" w:cs="仿宋_GB2312"/>
          <w:bCs w:val="0"/>
          <w:sz w:val="32"/>
          <w:szCs w:val="32"/>
          <w:highlight w:val="none"/>
        </w:rPr>
        <w:t>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_Toc31086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_Toc2013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kern w:val="2"/>
          <w:sz w:val="32"/>
          <w:szCs w:val="32"/>
          <w:lang w:val="en-US" w:eastAsia="zh-CN" w:bidi="ar-SA"/>
        </w:rPr>
        <w:t>（一）学分要求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_Toc2013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_Toc20440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kern w:val="2"/>
          <w:sz w:val="32"/>
          <w:szCs w:val="32"/>
          <w:lang w:val="en-US" w:eastAsia="zh-CN" w:bidi="ar-SA"/>
        </w:rPr>
        <w:t>（二）职业类证书要求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_Toc20440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lang w:val="en-US" w:eastAsia="zh-CN"/>
        </w:rPr>
        <w:fldChar w:fldCharType="begin"/>
      </w:r>
      <w:r>
        <w:rPr>
          <w:rFonts w:hint="eastAsia" w:ascii="仿宋_GB2312" w:hAnsi="仿宋_GB2312" w:eastAsia="仿宋_GB2312" w:cs="仿宋_GB2312"/>
          <w:bCs/>
          <w:kern w:val="0"/>
          <w:sz w:val="32"/>
          <w:szCs w:val="32"/>
          <w:lang w:val="en-US" w:eastAsia="zh-CN"/>
        </w:rPr>
        <w:instrText xml:space="preserve"> HYPERLINK \l _Toc29894 </w:instrText>
      </w:r>
      <w:r>
        <w:rPr>
          <w:rFonts w:hint="eastAsia" w:ascii="仿宋_GB2312" w:hAnsi="仿宋_GB2312" w:eastAsia="仿宋_GB2312" w:cs="仿宋_GB2312"/>
          <w:bCs/>
          <w:kern w:val="0"/>
          <w:sz w:val="32"/>
          <w:szCs w:val="32"/>
          <w:lang w:val="en-US" w:eastAsia="zh-CN"/>
        </w:rPr>
        <w:fldChar w:fldCharType="separate"/>
      </w:r>
      <w:r>
        <w:rPr>
          <w:rFonts w:hint="eastAsia" w:ascii="仿宋_GB2312" w:hAnsi="仿宋_GB2312" w:eastAsia="仿宋_GB2312" w:cs="仿宋_GB2312"/>
          <w:kern w:val="2"/>
          <w:sz w:val="32"/>
          <w:szCs w:val="32"/>
          <w:lang w:val="en-US" w:eastAsia="zh-CN" w:bidi="ar-SA"/>
        </w:rPr>
        <w:t>（三）综合素质要求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_Toc29894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lang w:val="en-US" w:eastAsia="zh-CN"/>
        </w:rPr>
        <w:fldChar w:fldCharType="end"/>
      </w:r>
    </w:p>
    <w:p>
      <w:pPr>
        <w:keepNext w:val="0"/>
        <w:keepLines w:val="0"/>
        <w:pageBreakBefore w:val="0"/>
        <w:widowControl/>
        <w:kinsoku/>
        <w:wordWrap/>
        <w:overflowPunct w:val="0"/>
        <w:topLinePunct w:val="0"/>
        <w:autoSpaceDE/>
        <w:autoSpaceDN/>
        <w:bidi w:val="0"/>
        <w:adjustRightInd w:val="0"/>
        <w:snapToGrid w:val="0"/>
        <w:spacing w:after="0" w:line="520" w:lineRule="exact"/>
        <w:jc w:val="left"/>
        <w:textAlignment w:val="auto"/>
        <w:rPr>
          <w:rFonts w:hint="eastAsia" w:ascii="仿宋_GB2312" w:hAnsi="仿宋_GB2312" w:eastAsia="仿宋_GB2312" w:cs="仿宋_GB2312"/>
          <w:b w:val="0"/>
          <w:bCs/>
          <w:color w:val="FF0000"/>
          <w:kern w:val="0"/>
          <w:sz w:val="32"/>
          <w:szCs w:val="32"/>
          <w:lang w:val="en-US" w:eastAsia="zh-CN"/>
        </w:rPr>
        <w:sectPr>
          <w:pgSz w:w="11906" w:h="16838"/>
          <w:pgMar w:top="1417" w:right="1417" w:bottom="1417" w:left="1984" w:header="851" w:footer="992" w:gutter="0"/>
          <w:pgNumType w:start="1"/>
          <w:cols w:space="425" w:num="1"/>
          <w:docGrid w:type="lines" w:linePitch="312" w:charSpace="0"/>
        </w:sectPr>
      </w:pPr>
      <w:r>
        <w:rPr>
          <w:rFonts w:hint="eastAsia" w:ascii="仿宋_GB2312" w:hAnsi="仿宋_GB2312" w:eastAsia="仿宋_GB2312" w:cs="仿宋_GB2312"/>
          <w:bCs/>
          <w:color w:val="auto"/>
          <w:kern w:val="0"/>
          <w:sz w:val="32"/>
          <w:szCs w:val="32"/>
          <w:lang w:val="en-US" w:eastAsia="zh-CN"/>
        </w:rPr>
        <w:fldChar w:fldCharType="end"/>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lang w:val="en-US" w:eastAsia="zh-CN"/>
        </w:rPr>
        <w:t>现代物业管理</w:t>
      </w:r>
      <w:r>
        <w:rPr>
          <w:rFonts w:hint="eastAsia" w:ascii="方正小标宋简体" w:hAnsi="方正小标宋简体" w:eastAsia="方正小标宋简体" w:cs="方正小标宋简体"/>
          <w:bCs/>
          <w:color w:val="auto"/>
          <w:sz w:val="44"/>
          <w:szCs w:val="44"/>
        </w:rPr>
        <w:t>专业人才培养方案</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jc w:val="center"/>
        <w:textAlignment w:val="auto"/>
        <w:rPr>
          <w:rFonts w:hint="eastAsia" w:ascii="方正小标宋简体" w:hAnsi="方正小标宋简体" w:eastAsia="方正小标宋简体" w:cs="方正小标宋简体"/>
          <w:bCs/>
          <w:color w:val="auto"/>
          <w:sz w:val="44"/>
          <w:szCs w:val="44"/>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rPr>
      </w:pPr>
      <w:bookmarkStart w:id="0" w:name="_Toc15561"/>
      <w:bookmarkStart w:id="1" w:name="_Toc7200"/>
      <w:r>
        <w:rPr>
          <w:rFonts w:hint="eastAsia" w:ascii="黑体" w:hAnsi="黑体" w:eastAsia="黑体" w:cs="黑体"/>
          <w:color w:val="auto"/>
          <w:sz w:val="32"/>
          <w:szCs w:val="32"/>
        </w:rPr>
        <w:t>一、专业名称及代码</w:t>
      </w:r>
      <w:bookmarkEnd w:id="0"/>
      <w:bookmarkEnd w:id="1"/>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专业名称：</w:t>
      </w:r>
      <w:r>
        <w:rPr>
          <w:rFonts w:hint="eastAsia" w:ascii="仿宋_GB2312" w:hAnsi="仿宋_GB2312" w:eastAsia="仿宋_GB2312" w:cs="仿宋_GB2312"/>
          <w:color w:val="auto"/>
          <w:sz w:val="32"/>
          <w:szCs w:val="32"/>
          <w:lang w:val="en-US" w:eastAsia="zh-CN"/>
        </w:rPr>
        <w:t>现代物业管理</w:t>
      </w:r>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专业代码：</w:t>
      </w:r>
      <w:r>
        <w:rPr>
          <w:rFonts w:hint="eastAsia" w:ascii="仿宋_GB2312" w:hAnsi="仿宋_GB2312" w:eastAsia="仿宋_GB2312" w:cs="仿宋_GB2312"/>
          <w:b w:val="0"/>
          <w:bCs w:val="0"/>
          <w:color w:val="auto"/>
          <w:sz w:val="32"/>
          <w:szCs w:val="32"/>
          <w:highlight w:val="none"/>
        </w:rPr>
        <w:t>440703</w:t>
      </w:r>
      <w:r>
        <w:rPr>
          <w:rFonts w:hint="eastAsia" w:ascii="仿宋_GB2312" w:hAnsi="仿宋_GB2312" w:eastAsia="仿宋_GB2312" w:cs="仿宋_GB2312"/>
          <w:color w:val="auto"/>
          <w:sz w:val="32"/>
          <w:szCs w:val="32"/>
          <w:lang w:val="en-US" w:eastAsia="zh-CN"/>
        </w:rPr>
        <w:t xml:space="preserve"> </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rPr>
      </w:pPr>
      <w:bookmarkStart w:id="2" w:name="_Toc6575"/>
      <w:bookmarkStart w:id="3" w:name="_Toc7411"/>
      <w:r>
        <w:rPr>
          <w:rFonts w:hint="eastAsia" w:ascii="黑体" w:hAnsi="黑体" w:eastAsia="黑体" w:cs="黑体"/>
          <w:color w:val="auto"/>
          <w:sz w:val="32"/>
          <w:szCs w:val="32"/>
        </w:rPr>
        <w:t>二、入学要求</w:t>
      </w:r>
      <w:bookmarkEnd w:id="2"/>
      <w:bookmarkEnd w:id="3"/>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中等职业学校毕业、普通高级中学毕业或具备同等学力</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highlight w:val="none"/>
        </w:rPr>
      </w:pPr>
      <w:bookmarkStart w:id="4" w:name="_Toc9988"/>
      <w:bookmarkStart w:id="5" w:name="_Toc13803"/>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4"/>
      <w:bookmarkEnd w:id="5"/>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标准修业年限为3年，弹性学分有效修业年限为2-5年。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rPr>
      </w:pPr>
      <w:bookmarkStart w:id="6" w:name="_Toc8799"/>
      <w:bookmarkStart w:id="7" w:name="_Toc16928"/>
      <w:r>
        <w:rPr>
          <w:rFonts w:hint="eastAsia" w:ascii="黑体" w:hAnsi="黑体" w:eastAsia="黑体" w:cs="黑体"/>
          <w:color w:val="auto"/>
          <w:sz w:val="32"/>
          <w:szCs w:val="32"/>
        </w:rPr>
        <w:t>四、职业面向</w:t>
      </w:r>
      <w:bookmarkEnd w:id="6"/>
      <w:bookmarkEnd w:id="7"/>
    </w:p>
    <w:p>
      <w:pPr>
        <w:keepNext w:val="0"/>
        <w:keepLines w:val="0"/>
        <w:pageBreakBefore w:val="0"/>
        <w:widowControl w:val="0"/>
        <w:kinsoku/>
        <w:wordWrap/>
        <w:overflowPunct w:val="0"/>
        <w:topLinePunct w:val="0"/>
        <w:autoSpaceDE/>
        <w:autoSpaceDN/>
        <w:bidi w:val="0"/>
        <w:adjustRightInd w:val="0"/>
        <w:spacing w:after="0" w:line="520" w:lineRule="exact"/>
        <w:ind w:left="0"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表1职业岗位分析表</w:t>
      </w:r>
    </w:p>
    <w:tbl>
      <w:tblPr>
        <w:tblStyle w:val="11"/>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532"/>
        <w:gridCol w:w="1212"/>
        <w:gridCol w:w="1791"/>
        <w:gridCol w:w="2184"/>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532"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212"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179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主要职业类别（代码）</w:t>
            </w:r>
          </w:p>
        </w:tc>
        <w:tc>
          <w:tcPr>
            <w:tcW w:w="21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18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1321"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kern w:val="2"/>
                <w:sz w:val="24"/>
                <w:szCs w:val="24"/>
                <w:lang w:val="en-US" w:eastAsia="zh-CN" w:bidi="ar-SA"/>
              </w:rPr>
            </w:pPr>
            <w:bookmarkStart w:id="8" w:name="OLE_LINK1" w:colFirst="0" w:colLast="5"/>
            <w:r>
              <w:rPr>
                <w:rFonts w:hint="eastAsia" w:ascii="仿宋_GB2312" w:hAnsi="仿宋_GB2312" w:eastAsia="仿宋_GB2312" w:cs="仿宋_GB2312"/>
                <w:color w:val="auto"/>
                <w:sz w:val="24"/>
                <w:szCs w:val="24"/>
                <w:lang w:val="en-US" w:eastAsia="zh-CN"/>
              </w:rPr>
              <w:t>土木建筑类（44）</w:t>
            </w:r>
          </w:p>
        </w:tc>
        <w:tc>
          <w:tcPr>
            <w:tcW w:w="1532"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房地产类</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lang w:val="en-US" w:eastAsia="zh-CN"/>
              </w:rPr>
              <w:t>4407</w:t>
            </w:r>
            <w:r>
              <w:rPr>
                <w:rFonts w:hint="eastAsia" w:ascii="仿宋_GB2312" w:hAnsi="仿宋_GB2312" w:eastAsia="仿宋_GB2312" w:cs="仿宋_GB2312"/>
                <w:color w:val="auto"/>
                <w:sz w:val="24"/>
                <w:szCs w:val="24"/>
                <w:highlight w:val="none"/>
                <w:lang w:val="en-US" w:eastAsia="zh-CN"/>
              </w:rPr>
              <w:t>)</w:t>
            </w:r>
          </w:p>
        </w:tc>
        <w:tc>
          <w:tcPr>
            <w:tcW w:w="1212"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物业管理（702）</w:t>
            </w:r>
          </w:p>
        </w:tc>
        <w:tc>
          <w:tcPr>
            <w:tcW w:w="1791"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物业管理员（4-06-01-01）；</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物业经营管理专业人员（2-06-07-10）；</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客户服务管理员（4-07-02-03）；</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yellow"/>
                <w:lang w:val="en-US" w:eastAsia="zh-CN"/>
              </w:rPr>
            </w:pPr>
            <w:r>
              <w:rPr>
                <w:rFonts w:hint="eastAsia" w:ascii="仿宋_GB2312" w:hAnsi="仿宋_GB2312" w:eastAsia="仿宋_GB2312" w:cs="仿宋_GB2312"/>
                <w:color w:val="auto"/>
                <w:sz w:val="24"/>
                <w:szCs w:val="24"/>
                <w:lang w:val="en-US" w:eastAsia="zh-CN"/>
              </w:rPr>
              <w:t>智能楼宇管理员（4-06-01-04）</w:t>
            </w:r>
            <w:r>
              <w:rPr>
                <w:rFonts w:hint="eastAsia" w:ascii="仿宋_GB2312" w:hAnsi="仿宋_GB2312" w:eastAsia="仿宋_GB2312" w:cs="仿宋_GB2312"/>
                <w:color w:val="auto"/>
                <w:sz w:val="24"/>
                <w:szCs w:val="24"/>
                <w:highlight w:val="none"/>
                <w:lang w:val="en-US" w:eastAsia="zh-CN"/>
              </w:rPr>
              <w:t>；</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理咨询专业人员（2-06-07-08）</w:t>
            </w:r>
          </w:p>
        </w:tc>
        <w:tc>
          <w:tcPr>
            <w:tcW w:w="2184"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客户服务、空间营造管理、设备设施管理、经营管理、数字化管理</w:t>
            </w:r>
          </w:p>
        </w:tc>
        <w:tc>
          <w:tcPr>
            <w:tcW w:w="1866"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物联网智能家居系统集成和应用、建筑信息模型（BIM）、新居住数字化经纪服务</w:t>
            </w:r>
          </w:p>
        </w:tc>
      </w:tr>
      <w:bookmarkEnd w:id="8"/>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color w:val="auto"/>
          <w:sz w:val="32"/>
          <w:szCs w:val="32"/>
        </w:rPr>
      </w:pPr>
      <w:bookmarkStart w:id="9" w:name="_Toc19391"/>
      <w:bookmarkStart w:id="10" w:name="_Toc26639"/>
      <w:r>
        <w:rPr>
          <w:rFonts w:hint="eastAsia" w:ascii="黑体" w:hAnsi="黑体" w:eastAsia="黑体" w:cs="黑体"/>
          <w:color w:val="auto"/>
          <w:sz w:val="32"/>
          <w:szCs w:val="32"/>
        </w:rPr>
        <w:t>五、培养目标</w:t>
      </w:r>
      <w:bookmarkEnd w:id="9"/>
      <w:bookmarkEnd w:id="10"/>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color w:val="auto"/>
          <w:sz w:val="32"/>
          <w:szCs w:val="32"/>
        </w:rPr>
        <w:t>本专业培养</w:t>
      </w:r>
      <w:r>
        <w:rPr>
          <w:rFonts w:hint="eastAsia" w:ascii="仿宋_GB2312" w:hAnsi="仿宋_GB2312" w:eastAsia="仿宋_GB2312" w:cs="仿宋_GB2312"/>
          <w:b w:val="0"/>
          <w:bCs w:val="0"/>
          <w:color w:val="auto"/>
          <w:sz w:val="32"/>
          <w:szCs w:val="32"/>
          <w:highlight w:val="none"/>
        </w:rPr>
        <w:t>能够践行社会主义核心价值观，传承技能文明，德智体美劳全面发展的高技能人才。广西房地产市场持续</w:t>
      </w:r>
      <w:r>
        <w:rPr>
          <w:rFonts w:hint="eastAsia" w:ascii="仿宋_GB2312" w:hAnsi="仿宋_GB2312" w:eastAsia="仿宋_GB2312" w:cs="仿宋_GB2312"/>
          <w:b w:val="0"/>
          <w:bCs w:val="0"/>
          <w:color w:val="auto"/>
          <w:sz w:val="32"/>
          <w:szCs w:val="32"/>
          <w:highlight w:val="none"/>
          <w:lang w:val="en-US" w:eastAsia="zh-CN"/>
        </w:rPr>
        <w:t>发展</w:t>
      </w:r>
      <w:r>
        <w:rPr>
          <w:rFonts w:hint="eastAsia" w:ascii="仿宋_GB2312" w:hAnsi="仿宋_GB2312" w:eastAsia="仿宋_GB2312" w:cs="仿宋_GB2312"/>
          <w:b w:val="0"/>
          <w:bCs w:val="0"/>
          <w:color w:val="auto"/>
          <w:sz w:val="32"/>
          <w:szCs w:val="32"/>
          <w:highlight w:val="none"/>
        </w:rPr>
        <w:t>，且有着丰富多元的业态，如特色旅游地产、民族文化街区物业等</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在此背景下，学生不仅需具备一定的科学文化水平，良好的人文素养、科学素养、数字素养、职业道德、创新意识，爱岗敬业的职业精神和精益求精的工匠精神，还得深入了解广西当地物业相关政策法规细则。</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t>学生要掌握本专业知识和技术技能，具备职业综合素质和行动能力，熟练运用所学处理不同业态物业的实际问题。未来能面向物业管理行业的物业管理员、物业经营管理专业人员、客户服务管理员、智能楼宇管理员、管理咨询专业人员等职业，在广西各类物业场景中，从事现代建筑智慧管理、不动产服务咨询、物业空间营造与维护、客户服务与管理、物业资产经营等工作，为广西物业行业发展贡献力量</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color w:val="auto"/>
          <w:sz w:val="32"/>
          <w:szCs w:val="32"/>
          <w:lang w:eastAsia="zh-CN"/>
        </w:rPr>
      </w:pPr>
      <w:bookmarkStart w:id="11" w:name="_Toc11484"/>
      <w:bookmarkStart w:id="12" w:name="_Toc26345"/>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bookmarkEnd w:id="11"/>
      <w:bookmarkEnd w:id="12"/>
    </w:p>
    <w:p>
      <w:pPr>
        <w:pStyle w:val="4"/>
        <w:keepNext w:val="0"/>
        <w:keepLines w:val="0"/>
        <w:pageBreakBefore w:val="0"/>
        <w:widowControl w:val="0"/>
        <w:kinsoku/>
        <w:wordWrap/>
        <w:topLinePunct w:val="0"/>
        <w:autoSpaceDE/>
        <w:autoSpaceDN/>
        <w:bidi w:val="0"/>
        <w:snapToGrid/>
        <w:spacing w:after="0" w:line="520" w:lineRule="exact"/>
        <w:ind w:left="0"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本专业</w:t>
      </w:r>
      <w:r>
        <w:rPr>
          <w:rFonts w:hint="eastAsia" w:ascii="仿宋_GB2312" w:hAnsi="仿宋_GB2312" w:eastAsia="仿宋_GB2312" w:cs="仿宋_GB2312"/>
          <w:color w:val="auto"/>
          <w:sz w:val="32"/>
          <w:szCs w:val="32"/>
          <w:highlight w:val="none"/>
          <w:lang w:val="en-US" w:eastAsia="zh-CN"/>
        </w:rPr>
        <w:t>学</w:t>
      </w:r>
      <w:r>
        <w:rPr>
          <w:rFonts w:hint="eastAsia" w:ascii="仿宋_GB2312" w:hAnsi="仿宋_GB2312" w:eastAsia="仿宋_GB2312" w:cs="仿宋_GB2312"/>
          <w:color w:val="auto"/>
          <w:sz w:val="32"/>
          <w:szCs w:val="32"/>
          <w:highlight w:val="none"/>
          <w:lang w:eastAsia="zh-CN"/>
        </w:rPr>
        <w:t>生</w:t>
      </w:r>
      <w:r>
        <w:rPr>
          <w:rFonts w:hint="eastAsia" w:ascii="仿宋_GB2312" w:hAnsi="仿宋_GB2312" w:eastAsia="仿宋_GB2312" w:cs="仿宋_GB2312"/>
          <w:b w:val="0"/>
          <w:bCs w:val="0"/>
          <w:color w:val="auto"/>
          <w:sz w:val="32"/>
          <w:szCs w:val="32"/>
          <w:highlight w:val="none"/>
        </w:rPr>
        <w:t>应在系统学习专业知识并完成有关实习实训基础上，全面提升知识、能力、素质，掌握并实际运用岗位（群）需要的专业核心技术技能，实现德智体美劳全面发展</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总体上须达到以下要求：</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right="0" w:rightChars="0" w:firstLine="640" w:firstLineChars="200"/>
        <w:textAlignment w:val="auto"/>
        <w:outlineLvl w:val="1"/>
        <w:rPr>
          <w:rFonts w:hint="eastAsia" w:ascii="楷体" w:hAnsi="楷体" w:eastAsia="楷体" w:cs="楷体"/>
          <w:color w:val="auto"/>
          <w:sz w:val="32"/>
          <w:szCs w:val="32"/>
          <w:highlight w:val="none"/>
          <w:lang w:val="en-US" w:eastAsia="zh-CN"/>
        </w:rPr>
      </w:pPr>
      <w:bookmarkStart w:id="13" w:name="_Toc21782"/>
      <w:bookmarkStart w:id="14" w:name="_Toc13692"/>
      <w:r>
        <w:rPr>
          <w:rFonts w:hint="eastAsia" w:ascii="楷体" w:hAnsi="楷体" w:eastAsia="楷体" w:cs="楷体"/>
          <w:color w:val="auto"/>
          <w:sz w:val="32"/>
          <w:szCs w:val="32"/>
          <w:highlight w:val="none"/>
        </w:rPr>
        <w:t>知识</w:t>
      </w:r>
      <w:r>
        <w:rPr>
          <w:rFonts w:hint="eastAsia" w:ascii="楷体" w:hAnsi="楷体" w:eastAsia="楷体" w:cs="楷体"/>
          <w:color w:val="auto"/>
          <w:sz w:val="32"/>
          <w:szCs w:val="32"/>
          <w:highlight w:val="none"/>
          <w:lang w:val="en-US" w:eastAsia="zh-CN"/>
        </w:rPr>
        <w:t>目标</w:t>
      </w:r>
      <w:bookmarkEnd w:id="13"/>
      <w:bookmarkEnd w:id="14"/>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rPr>
        <w:t>掌握与本专业对应职业活动相关的国家法律、行业规定，掌握绿色生产、环境保护、安全防护、质量管理等相关知识与技能</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了解相关行业文化，具有爱岗敬业的职业精神，遵守职业道德准则和行为规范，具备社会责任感和担当精神；</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掌握支撑本专业学习和可持续发展必备的语文、数学、外语（英语等）、信息技术等文化基础知识，具有良好的人文素养与科学素养，具备职业生涯规划能力；</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rPr>
        <w:t>具有良好的语言表达能力、文字表达能力、沟通合作能力，具有较强的集体意识和团队合作意识，学习</w:t>
      </w:r>
      <w:r>
        <w:rPr>
          <w:rFonts w:hint="default" w:ascii="仿宋_GB2312" w:hAnsi="仿宋_GB2312" w:eastAsia="仿宋_GB2312" w:cs="仿宋_GB2312"/>
          <w:b w:val="0"/>
          <w:bCs w:val="0"/>
          <w:color w:val="auto"/>
          <w:sz w:val="32"/>
          <w:szCs w:val="32"/>
          <w:highlight w:val="none"/>
        </w:rPr>
        <w:t>1</w:t>
      </w:r>
      <w:r>
        <w:rPr>
          <w:rFonts w:hint="eastAsia" w:ascii="仿宋_GB2312" w:hAnsi="仿宋_GB2312" w:eastAsia="仿宋_GB2312" w:cs="仿宋_GB2312"/>
          <w:b w:val="0"/>
          <w:bCs w:val="0"/>
          <w:color w:val="auto"/>
          <w:sz w:val="32"/>
          <w:szCs w:val="32"/>
          <w:highlight w:val="none"/>
        </w:rPr>
        <w:t>门外语并结合本专业加以运用；</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掌握现代物业项目管理基础、项目组织管理、项目选择与项目确定、项目融资管理、项目启动与项目计划、项目监控、项目综合管理、项目收尾、验收与项目后评价等基础理论知识；</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rPr>
        <w:t>掌握物业数据搜集、物业数据有效整理与展示、物业领域数据定量分析的基础知识和基本方法；</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6.</w:t>
      </w:r>
      <w:r>
        <w:rPr>
          <w:rFonts w:hint="eastAsia" w:ascii="仿宋_GB2312" w:hAnsi="仿宋_GB2312" w:eastAsia="仿宋_GB2312" w:cs="仿宋_GB2312"/>
          <w:b w:val="0"/>
          <w:bCs w:val="0"/>
          <w:color w:val="auto"/>
          <w:sz w:val="32"/>
          <w:szCs w:val="32"/>
          <w:highlight w:val="none"/>
        </w:rPr>
        <w:t>掌握物业管理中的法律关系、法律责任、物业使用和维护的法律规定、物业服务收费的法律规定，《中华人民共和国民法典》中物业管理相关的法律规定、物业管理法律责任 及纠纷的处理等基础理论知识；</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7.</w:t>
      </w:r>
      <w:r>
        <w:rPr>
          <w:rFonts w:hint="eastAsia" w:ascii="仿宋_GB2312" w:hAnsi="仿宋_GB2312" w:eastAsia="仿宋_GB2312" w:cs="仿宋_GB2312"/>
          <w:b w:val="0"/>
          <w:bCs w:val="0"/>
          <w:color w:val="auto"/>
          <w:sz w:val="32"/>
          <w:szCs w:val="32"/>
          <w:highlight w:val="none"/>
        </w:rPr>
        <w:t>掌握民用建筑构造的基本常识，地基与基础、楼地层、楼梯电梯、门窗、阳台与雨篷、屋顶等房屋建筑方面的基础理论知识；</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rPr>
        <w:t>掌握财务管理的概念、目标、原则、环节和环境，财务管理的基本价值观念，资金筹集管理和资金结构决策，项目投资管理、营运资金管理、利润分配管理、企业财务分析的基本知识</w:t>
      </w:r>
      <w:r>
        <w:rPr>
          <w:rFonts w:hint="eastAsia" w:ascii="仿宋_GB2312" w:hAnsi="仿宋_GB2312" w:eastAsia="仿宋_GB2312" w:cs="仿宋_GB2312"/>
          <w:b w:val="0"/>
          <w:bCs w:val="0"/>
          <w:color w:val="auto"/>
          <w:sz w:val="32"/>
          <w:szCs w:val="32"/>
          <w:highlight w:val="none"/>
          <w:lang w:eastAsia="zh-CN"/>
        </w:rPr>
        <w:t>。</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right="0" w:firstLine="640" w:firstLineChars="200"/>
        <w:textAlignment w:val="auto"/>
        <w:outlineLvl w:val="1"/>
        <w:rPr>
          <w:rFonts w:hint="eastAsia" w:ascii="楷体" w:hAnsi="楷体" w:eastAsia="楷体" w:cs="楷体"/>
          <w:color w:val="auto"/>
          <w:sz w:val="32"/>
          <w:szCs w:val="32"/>
          <w:highlight w:val="none"/>
          <w:lang w:val="en-US" w:eastAsia="zh-CN"/>
        </w:rPr>
      </w:pPr>
      <w:bookmarkStart w:id="15" w:name="_Toc3233"/>
      <w:bookmarkStart w:id="16" w:name="_Toc21586"/>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能力</w:t>
      </w:r>
      <w:r>
        <w:rPr>
          <w:rFonts w:hint="eastAsia" w:ascii="楷体" w:hAnsi="楷体" w:eastAsia="楷体" w:cs="楷体"/>
          <w:color w:val="auto"/>
          <w:sz w:val="32"/>
          <w:szCs w:val="32"/>
          <w:highlight w:val="none"/>
          <w:lang w:val="en-US" w:eastAsia="zh-CN"/>
        </w:rPr>
        <w:t>目标</w:t>
      </w:r>
      <w:bookmarkEnd w:id="15"/>
      <w:bookmarkEnd w:id="16"/>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rPr>
        <w:t>掌握物业项目管理权获取的基本方法，能够开展物业管理招投标资料整理、协助文件编制和组织实施等工作；</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掌握物业项目承接查验方法，熟悉操作流程，能够协助制订查验方案，完成物业项 目承接查验工作；</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rPr>
        <w:t>掌握客户服务内容、沟通方法与相关流程、现代信息技术在物业管理中的应用；具备有效开展客户服务与管理能力，能够开展现代物业管理的信息化建设、优化以及物业管理信息系统的运营、维护与常规管理；</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能够熟悉建筑设施智慧运维管理的内容，监控建筑运维情况并及时反馈，能收集、整理、分析各类能耗数据，协助制订中大修计划及项目的施工方案及预算；</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rPr>
        <w:t>能够熟悉物业清洁卫生管理、绿化管理的主要内容、标准、方法，能规范监管清洁、绿化工作，协助做好方案编制、供应商服务监管等工作；</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6.</w:t>
      </w:r>
      <w:r>
        <w:rPr>
          <w:rFonts w:hint="eastAsia" w:ascii="仿宋_GB2312" w:hAnsi="仿宋_GB2312" w:eastAsia="仿宋_GB2312" w:cs="仿宋_GB2312"/>
          <w:b w:val="0"/>
          <w:bCs w:val="0"/>
          <w:color w:val="auto"/>
          <w:sz w:val="32"/>
          <w:szCs w:val="32"/>
          <w:highlight w:val="none"/>
        </w:rPr>
        <w:t>能够熟悉居住类、零售商业、写字楼、产业园区、专用物业等多业态物业经营管理 内容、模式，开展物业项目的多种经营、增值服务、资产管理、社区运营、城市公共管理与 服务等工作；</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7.</w:t>
      </w:r>
      <w:r>
        <w:rPr>
          <w:rFonts w:hint="eastAsia" w:ascii="仿宋_GB2312" w:hAnsi="仿宋_GB2312" w:eastAsia="仿宋_GB2312" w:cs="仿宋_GB2312"/>
          <w:b w:val="0"/>
          <w:bCs w:val="0"/>
          <w:color w:val="auto"/>
          <w:sz w:val="32"/>
          <w:szCs w:val="32"/>
          <w:highlight w:val="none"/>
        </w:rPr>
        <w:t>能够理解和掌握现代安全与防护技术在物业管理中的应用，开展现代物业项目的安全与防护建设，能掌握一定的消防检查能力，能制订突发公共安全事件的物业管理应急 方案；</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rPr>
        <w:t>掌握信息技术基础知识，具有适应本行业数字化和智能化发展需求的数字技能；</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9.</w:t>
      </w:r>
      <w:r>
        <w:rPr>
          <w:rFonts w:hint="eastAsia" w:ascii="仿宋_GB2312" w:hAnsi="仿宋_GB2312" w:eastAsia="仿宋_GB2312" w:cs="仿宋_GB2312"/>
          <w:b w:val="0"/>
          <w:bCs w:val="0"/>
          <w:color w:val="auto"/>
          <w:sz w:val="32"/>
          <w:szCs w:val="32"/>
          <w:highlight w:val="none"/>
        </w:rPr>
        <w:t>具有探究学习、终身学习和可持续发展的能力，具有整合知识和综合运用知识分析问题和解决问题的能力</w:t>
      </w:r>
      <w:r>
        <w:rPr>
          <w:rFonts w:hint="eastAsia" w:ascii="仿宋_GB2312" w:hAnsi="仿宋_GB2312" w:eastAsia="仿宋_GB2312" w:cs="仿宋_GB2312"/>
          <w:b w:val="0"/>
          <w:bCs w:val="0"/>
          <w:color w:val="auto"/>
          <w:sz w:val="32"/>
          <w:szCs w:val="32"/>
          <w:highlight w:val="none"/>
          <w:lang w:eastAsia="zh-CN"/>
        </w:rPr>
        <w:t>。</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2"/>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素质</w:t>
      </w:r>
      <w:r>
        <w:rPr>
          <w:rFonts w:hint="eastAsia" w:ascii="楷体" w:hAnsi="楷体" w:eastAsia="楷体" w:cs="楷体"/>
          <w:color w:val="auto"/>
          <w:sz w:val="32"/>
          <w:szCs w:val="32"/>
          <w:highlight w:val="none"/>
          <w:lang w:val="en-US" w:eastAsia="zh-CN"/>
        </w:rPr>
        <w:t>目标</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rPr>
        <w:t>坚定拥护中国共产党领导和中国特色社会主义制度，以习近平新时代中国特色社会主义思想为指导，践行社会主义核心价值观，具有坚定的理想信念、深厚的爱国情感和中华民族自豪感；</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掌握身体运动的基本知识和至少</w:t>
      </w:r>
      <w:r>
        <w:rPr>
          <w:rFonts w:hint="default" w:ascii="仿宋_GB2312" w:hAnsi="仿宋_GB2312" w:eastAsia="仿宋_GB2312" w:cs="仿宋_GB2312"/>
          <w:b w:val="0"/>
          <w:bCs w:val="0"/>
          <w:color w:val="auto"/>
          <w:sz w:val="32"/>
          <w:szCs w:val="32"/>
          <w:highlight w:val="none"/>
        </w:rPr>
        <w:t>1</w:t>
      </w:r>
      <w:r>
        <w:rPr>
          <w:rFonts w:hint="eastAsia" w:ascii="仿宋_GB2312" w:hAnsi="仿宋_GB2312" w:eastAsia="仿宋_GB2312" w:cs="仿宋_GB2312"/>
          <w:b w:val="0"/>
          <w:bCs w:val="0"/>
          <w:color w:val="auto"/>
          <w:sz w:val="32"/>
          <w:szCs w:val="32"/>
          <w:highlight w:val="none"/>
        </w:rPr>
        <w:t>项体育运动技能，达到国家大学生体质健康测试合格标准，养成良好的运动习惯、卫生习惯和行为习惯；具备一定的心理调适能力；</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default"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rPr>
        <w:t>掌握必备的美育知识，具有一定的文化修养、审美能力，形成至少</w:t>
      </w:r>
      <w:r>
        <w:rPr>
          <w:rFonts w:hint="default" w:ascii="仿宋_GB2312" w:hAnsi="仿宋_GB2312" w:eastAsia="仿宋_GB2312" w:cs="仿宋_GB2312"/>
          <w:b w:val="0"/>
          <w:bCs w:val="0"/>
          <w:color w:val="auto"/>
          <w:sz w:val="32"/>
          <w:szCs w:val="32"/>
          <w:highlight w:val="none"/>
        </w:rPr>
        <w:t>1</w:t>
      </w:r>
      <w:r>
        <w:rPr>
          <w:rFonts w:hint="eastAsia" w:ascii="仿宋_GB2312" w:hAnsi="仿宋_GB2312" w:eastAsia="仿宋_GB2312" w:cs="仿宋_GB2312"/>
          <w:b w:val="0"/>
          <w:bCs w:val="0"/>
          <w:color w:val="auto"/>
          <w:sz w:val="32"/>
          <w:szCs w:val="32"/>
          <w:highlight w:val="none"/>
        </w:rPr>
        <w:t>项艺术特长或爱好；</w:t>
      </w:r>
      <w:r>
        <w:rPr>
          <w:rFonts w:hint="default" w:ascii="仿宋_GB2312" w:hAnsi="仿宋_GB2312" w:eastAsia="仿宋_GB2312" w:cs="仿宋_GB2312"/>
          <w:b w:val="0"/>
          <w:bCs w:val="0"/>
          <w:color w:val="auto"/>
          <w:sz w:val="32"/>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楷体" w:hAnsi="楷体" w:eastAsia="楷体" w:cs="楷体"/>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树立正确的劳动观，尊重劳动，热爱劳动，具备与本专业职业发展相适应的劳动素养，弘扬劳模精神、劳动精神、工匠精神，弘扬劳动光荣、技能宝贵、创造伟大的时代风尚。</w:t>
      </w:r>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outlineLvl w:val="0"/>
        <w:rPr>
          <w:rFonts w:hint="eastAsia" w:ascii="黑体" w:hAnsi="黑体" w:eastAsia="黑体" w:cs="黑体"/>
          <w:color w:val="auto"/>
          <w:sz w:val="32"/>
          <w:szCs w:val="32"/>
          <w:lang w:val="en-US" w:eastAsia="zh-CN"/>
        </w:rPr>
      </w:pPr>
      <w:bookmarkStart w:id="17" w:name="_Toc7047"/>
      <w:bookmarkStart w:id="18" w:name="_Toc5455"/>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17"/>
      <w:bookmarkEnd w:id="18"/>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19" w:name="_Toc20640"/>
      <w:bookmarkStart w:id="20" w:name="_Toc28000"/>
      <w:r>
        <w:rPr>
          <w:rFonts w:hint="eastAsia" w:ascii="楷体" w:hAnsi="楷体" w:eastAsia="楷体" w:cs="楷体"/>
          <w:color w:val="auto"/>
          <w:sz w:val="32"/>
          <w:szCs w:val="32"/>
        </w:rPr>
        <w:t>（一）公共基础课程</w:t>
      </w:r>
      <w:bookmarkEnd w:id="19"/>
      <w:bookmarkEnd w:id="20"/>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21"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21"/>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军事理论与军训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w:t>
      </w:r>
      <w:r>
        <w:rPr>
          <w:rFonts w:hint="eastAsia" w:ascii="仿宋_GB2312" w:hAnsi="仿宋_GB2312" w:eastAsia="仿宋_GB2312" w:cs="仿宋_GB2312"/>
          <w:b w:val="0"/>
          <w:bCs w:val="0"/>
          <w:color w:val="auto"/>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jc w:val="center"/>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0"/>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869"/>
        <w:gridCol w:w="3217"/>
        <w:gridCol w:w="3304"/>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rPr>
            </w:pPr>
            <w:bookmarkStart w:id="22" w:name="_Toc2022"/>
            <w:bookmarkStart w:id="23" w:name="_Toc90734979"/>
            <w:r>
              <w:rPr>
                <w:rFonts w:hint="eastAsia" w:ascii="仿宋_GB2312" w:hAnsi="仿宋_GB2312" w:eastAsia="仿宋_GB2312" w:cs="仿宋_GB2312"/>
                <w:color w:val="auto"/>
                <w:sz w:val="24"/>
                <w:szCs w:val="24"/>
              </w:rPr>
              <w:t>序号</w:t>
            </w:r>
            <w:bookmarkEnd w:id="22"/>
            <w:bookmarkEnd w:id="23"/>
          </w:p>
        </w:tc>
        <w:tc>
          <w:tcPr>
            <w:tcW w:w="869"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rPr>
            </w:pPr>
            <w:bookmarkStart w:id="24" w:name="_Toc90734980"/>
            <w:bookmarkStart w:id="25" w:name="_Toc2635"/>
            <w:r>
              <w:rPr>
                <w:rFonts w:hint="eastAsia" w:ascii="仿宋_GB2312" w:hAnsi="仿宋_GB2312" w:eastAsia="仿宋_GB2312" w:cs="仿宋_GB2312"/>
                <w:color w:val="auto"/>
                <w:sz w:val="24"/>
                <w:szCs w:val="24"/>
              </w:rPr>
              <w:t>课程名称</w:t>
            </w:r>
            <w:bookmarkEnd w:id="24"/>
            <w:bookmarkEnd w:id="25"/>
          </w:p>
        </w:tc>
        <w:tc>
          <w:tcPr>
            <w:tcW w:w="3217"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rPr>
            </w:pPr>
            <w:bookmarkStart w:id="26" w:name="_Toc24608"/>
            <w:bookmarkStart w:id="27" w:name="_Toc90734981"/>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bookmarkEnd w:id="26"/>
            <w:bookmarkEnd w:id="27"/>
          </w:p>
        </w:tc>
        <w:tc>
          <w:tcPr>
            <w:tcW w:w="3304"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rPr>
            </w:pPr>
            <w:bookmarkStart w:id="28" w:name="_Toc90734982"/>
            <w:bookmarkStart w:id="29" w:name="_Toc23051"/>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bookmarkEnd w:id="28"/>
            <w:bookmarkEnd w:id="29"/>
          </w:p>
        </w:tc>
        <w:tc>
          <w:tcPr>
            <w:tcW w:w="287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1</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思想道德与法治</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i w:val="0"/>
                <w:color w:val="auto"/>
                <w:spacing w:val="0"/>
                <w:w w:val="100"/>
                <w:sz w:val="24"/>
                <w:szCs w:val="24"/>
                <w:highlight w:val="none"/>
                <w:vertAlign w:val="baseline"/>
              </w:rPr>
              <w:t>知识目标：</w:t>
            </w:r>
            <w:r>
              <w:rPr>
                <w:rFonts w:hint="eastAsia" w:ascii="仿宋_GB2312" w:hAnsi="仿宋_GB2312" w:eastAsia="仿宋_GB2312" w:cs="仿宋_GB2312"/>
                <w:b w:val="0"/>
                <w:i w:val="0"/>
                <w:color w:val="auto"/>
                <w:spacing w:val="0"/>
                <w:w w:val="100"/>
                <w:sz w:val="24"/>
                <w:szCs w:val="24"/>
                <w:highlight w:val="none"/>
                <w:vertAlign w:val="baseline"/>
              </w:rPr>
              <w:t>系统掌握本课程的基本原理和理论，了解新时代、人生观、远大理想、中国精神、社会主义核心价值观、道德规范、法治等相关内容，构建起个人与国家、社会，个人与职业、婚姻家庭之间命运共同体内在关联的 科学认知体系。</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i w:val="0"/>
                <w:color w:val="auto"/>
                <w:spacing w:val="0"/>
                <w:w w:val="100"/>
                <w:sz w:val="24"/>
                <w:szCs w:val="24"/>
                <w:highlight w:val="none"/>
                <w:vertAlign w:val="baseline"/>
              </w:rPr>
              <w:t>能力目标</w:t>
            </w:r>
            <w:r>
              <w:rPr>
                <w:rFonts w:hint="eastAsia" w:ascii="仿宋_GB2312" w:hAnsi="仿宋_GB2312" w:eastAsia="仿宋_GB2312" w:cs="仿宋_GB2312"/>
                <w:b w:val="0"/>
                <w:i w:val="0"/>
                <w:color w:val="auto"/>
                <w:spacing w:val="0"/>
                <w:w w:val="100"/>
                <w:sz w:val="24"/>
                <w:szCs w:val="24"/>
                <w:highlight w:val="none"/>
                <w:vertAlign w:val="baseline"/>
              </w:rPr>
              <w:t>：能够运用基本原理和理论分析判断是非、明辨善恶；认真审视和正视自身言行举止，弃“恶”扬善，从“我”做起、从日常小事做起、从现在做起，逐渐养成自觉践行社会主义核心价值观的习惯。</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auto"/>
                <w:spacing w:val="0"/>
                <w:w w:val="100"/>
                <w:sz w:val="24"/>
                <w:szCs w:val="24"/>
                <w:highlight w:val="none"/>
                <w:vertAlign w:val="baseline"/>
              </w:rPr>
              <w:t>素质目标：</w:t>
            </w:r>
            <w:r>
              <w:rPr>
                <w:rFonts w:hint="eastAsia" w:ascii="仿宋_GB2312" w:hAnsi="仿宋_GB2312" w:eastAsia="仿宋_GB2312" w:cs="仿宋_GB2312"/>
                <w:b w:val="0"/>
                <w:i w:val="0"/>
                <w:color w:val="auto"/>
                <w:spacing w:val="0"/>
                <w:w w:val="100"/>
                <w:sz w:val="24"/>
                <w:szCs w:val="24"/>
                <w:highlight w:val="none"/>
                <w:vertAlign w:val="baseline"/>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本课程包括三大知识模块：一是思想政治教育，包括绪论、第一至四章，旨在引导帮助大学生树立正确的人生观，确立科学的理想信念，弘扬以爱国主义为核心的民族精神和以改革创新为核心的时代精神，积极培育和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通过教师的理论讲授和学生的实践体验，让大学生形成崇高的理想信念，弘扬伟大的爱国主义精神，确立正确的人生观和价值观，牢固树立社会主义核心价值观，培养良好的思想道德素质和法律素质，成长为德、智、体、美、劳全面发展的中国特色社会主义伟大事业的合格建设者和可靠接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形势与政策</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i w:val="0"/>
                <w:color w:val="auto"/>
                <w:spacing w:val="0"/>
                <w:w w:val="100"/>
                <w:sz w:val="24"/>
                <w:szCs w:val="24"/>
                <w:highlight w:val="none"/>
                <w:vertAlign w:val="baseline"/>
              </w:rPr>
              <w:t>知识目标</w:t>
            </w:r>
            <w:r>
              <w:rPr>
                <w:rFonts w:hint="eastAsia" w:ascii="仿宋_GB2312" w:hAnsi="仿宋_GB2312" w:eastAsia="仿宋_GB2312" w:cs="仿宋_GB2312"/>
                <w:b w:val="0"/>
                <w:i w:val="0"/>
                <w:color w:val="auto"/>
                <w:spacing w:val="0"/>
                <w:w w:val="100"/>
                <w:sz w:val="24"/>
                <w:szCs w:val="24"/>
                <w:highlight w:val="none"/>
                <w:vertAlign w:val="baseline"/>
              </w:rPr>
              <w:t>：引导和帮助学生掌握认识形势与政策问题的基本理论和基础知识，包括科学分析形势与政策的方法论、形势发展变化的规律、政策的产生和发展、政策的本质和特征等基础知识；了解国内外重大事件和热点、难点问题，紧跟时代脉搏，融入变革潮流；重点是了解党的二十大以来形成的一系列政策体系，理解党的路线、方针、政策的正确性。</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i w:val="0"/>
                <w:color w:val="auto"/>
                <w:spacing w:val="0"/>
                <w:w w:val="100"/>
                <w:sz w:val="24"/>
                <w:szCs w:val="24"/>
                <w:highlight w:val="none"/>
                <w:vertAlign w:val="baseline"/>
              </w:rPr>
              <w:t>能力目标：</w:t>
            </w:r>
            <w:r>
              <w:rPr>
                <w:rFonts w:hint="eastAsia" w:ascii="仿宋_GB2312" w:hAnsi="仿宋_GB2312" w:eastAsia="仿宋_GB2312" w:cs="仿宋_GB2312"/>
                <w:b w:val="0"/>
                <w:i w:val="0"/>
                <w:color w:val="auto"/>
                <w:spacing w:val="0"/>
                <w:w w:val="100"/>
                <w:sz w:val="24"/>
                <w:szCs w:val="24"/>
                <w:highlight w:val="none"/>
                <w:vertAlign w:val="baseline"/>
              </w:rPr>
              <w:t>培养学生掌握正确分析形势和理解政策的能力，特别是对国内外重大事件、敏感问题、社会热点、难点、疑点问题的思考、分析和判断能力。</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auto"/>
                <w:spacing w:val="0"/>
                <w:w w:val="100"/>
                <w:sz w:val="24"/>
                <w:szCs w:val="24"/>
                <w:highlight w:val="none"/>
                <w:vertAlign w:val="baseline"/>
              </w:rPr>
              <w:t>素质目标：</w:t>
            </w:r>
            <w:r>
              <w:rPr>
                <w:rFonts w:hint="eastAsia" w:ascii="仿宋_GB2312" w:hAnsi="仿宋_GB2312" w:eastAsia="仿宋_GB2312" w:cs="仿宋_GB2312"/>
                <w:b w:val="0"/>
                <w:i w:val="0"/>
                <w:color w:val="auto"/>
                <w:spacing w:val="0"/>
                <w:w w:val="100"/>
                <w:sz w:val="24"/>
                <w:szCs w:val="24"/>
                <w:highlight w:val="none"/>
                <w:vertAlign w:val="baseline"/>
              </w:rPr>
              <w:t>使学生感知国情民意，体会党的路线方针政策的正确，把对形势与政策的认识统一到党和国家的科学判断上和正确决策上，不断增强“四个意识”、坚定“四个自信”、做到“两个维护”，为实现中华民族伟大复兴而发奋学习。</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根据新时代面临的新情况新问题，针对学生关注的热点问题和思想特点，涵盖国际形势、国内形势、社会热点、国家政策等内容。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按照中宣部、教育部每年每学期颁发的形势与政策课教学要点、要求和内容，对指定的专题进行教学。教师采取混合式教学和学生研讨，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3</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国家安全教育</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i w:val="0"/>
                <w:color w:val="auto"/>
                <w:spacing w:val="0"/>
                <w:w w:val="100"/>
                <w:sz w:val="24"/>
                <w:szCs w:val="24"/>
                <w:highlight w:val="none"/>
                <w:vertAlign w:val="baseline"/>
                <w:lang w:val="en-US"/>
              </w:rPr>
              <w:t> </w:t>
            </w:r>
            <w:r>
              <w:rPr>
                <w:rFonts w:hint="eastAsia" w:ascii="仿宋_GB2312" w:hAnsi="仿宋_GB2312" w:eastAsia="仿宋_GB2312" w:cs="仿宋_GB2312"/>
                <w:b/>
                <w:i w:val="0"/>
                <w:color w:val="auto"/>
                <w:spacing w:val="0"/>
                <w:w w:val="100"/>
                <w:sz w:val="24"/>
                <w:szCs w:val="24"/>
                <w:highlight w:val="none"/>
                <w:vertAlign w:val="baseline"/>
              </w:rPr>
              <w:t>知识目标：</w:t>
            </w:r>
            <w:r>
              <w:rPr>
                <w:rFonts w:hint="eastAsia" w:ascii="仿宋_GB2312" w:hAnsi="仿宋_GB2312" w:eastAsia="仿宋_GB2312" w:cs="仿宋_GB2312"/>
                <w:b w:val="0"/>
                <w:i w:val="0"/>
                <w:color w:val="auto"/>
                <w:spacing w:val="0"/>
                <w:w w:val="100"/>
                <w:sz w:val="24"/>
                <w:szCs w:val="24"/>
                <w:highlight w:val="none"/>
                <w:vertAlign w:val="baseline"/>
              </w:rPr>
              <w:t>让学生系统掌握总体国家安全观的内涵和精神实质，理解中国特色国家安全体系，新时代我国国家安全面临的复杂形势，掌握筑牢其他各领域国家安全屏障的具体方法和途径。</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i w:val="0"/>
                <w:color w:val="auto"/>
                <w:spacing w:val="0"/>
                <w:w w:val="100"/>
                <w:sz w:val="24"/>
                <w:szCs w:val="24"/>
                <w:highlight w:val="none"/>
                <w:vertAlign w:val="baseline"/>
              </w:rPr>
              <w:t>能力目标：</w:t>
            </w:r>
            <w:r>
              <w:rPr>
                <w:rFonts w:hint="eastAsia" w:ascii="仿宋_GB2312" w:hAnsi="仿宋_GB2312" w:eastAsia="仿宋_GB2312" w:cs="仿宋_GB2312"/>
                <w:b w:val="0"/>
                <w:i w:val="0"/>
                <w:color w:val="auto"/>
                <w:spacing w:val="0"/>
                <w:w w:val="100"/>
                <w:sz w:val="24"/>
                <w:szCs w:val="24"/>
                <w:highlight w:val="none"/>
                <w:vertAlign w:val="baseline"/>
              </w:rPr>
              <w:t>能够建立总体国家安全观，树立中国特色社会主义理想信念，能够做到国家利益至上，维护国家主权、安全和发展利益，能够维护国家正当权益，绝不牺牲国家核心利益；能够增强政治认同，不信谣、不传谣，能够对危害政治安全的违法行为进行举报；能够以实际行动维护国家安全；</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i w:val="0"/>
                <w:color w:val="auto"/>
                <w:spacing w:val="0"/>
                <w:w w:val="100"/>
                <w:sz w:val="24"/>
                <w:szCs w:val="24"/>
                <w:highlight w:val="none"/>
                <w:vertAlign w:val="baseline"/>
              </w:rPr>
              <w:t>素质目标：</w:t>
            </w:r>
            <w:r>
              <w:rPr>
                <w:rFonts w:hint="eastAsia" w:ascii="仿宋_GB2312" w:hAnsi="仿宋_GB2312" w:eastAsia="仿宋_GB2312" w:cs="仿宋_GB2312"/>
                <w:b w:val="0"/>
                <w:i w:val="0"/>
                <w:color w:val="auto"/>
                <w:spacing w:val="0"/>
                <w:w w:val="100"/>
                <w:sz w:val="24"/>
                <w:szCs w:val="24"/>
                <w:highlight w:val="none"/>
                <w:vertAlign w:val="baseline"/>
              </w:rPr>
              <w:t>能够自觉遵守法律，做到诚实守信、廉洁自律；学会合作，为人正派，具有良好的协作、沟通能力和团队精神；严守法纪，坚持原则，自觉践行社会主义核心价值观。树立国家安全意识，培养爱国精神，使其矢志不渝听党话、跟党走，不断成为社会主义合格建设者和可靠接班人。</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auto"/>
                <w:spacing w:val="0"/>
                <w:w w:val="100"/>
                <w:sz w:val="24"/>
                <w:szCs w:val="24"/>
                <w:highlight w:val="none"/>
                <w:vertAlign w:val="baseline"/>
              </w:rPr>
              <w:t>课程思政育人目标：</w:t>
            </w:r>
            <w:r>
              <w:rPr>
                <w:rFonts w:hint="eastAsia" w:ascii="仿宋_GB2312" w:hAnsi="仿宋_GB2312" w:eastAsia="仿宋_GB2312" w:cs="仿宋_GB2312"/>
                <w:b w:val="0"/>
                <w:i w:val="0"/>
                <w:color w:val="auto"/>
                <w:spacing w:val="0"/>
                <w:w w:val="100"/>
                <w:sz w:val="24"/>
                <w:szCs w:val="24"/>
                <w:highlight w:val="none"/>
                <w:vertAlign w:val="baseline"/>
              </w:rPr>
              <w:t>提升学生的国家安全意识，培养学生将理论知识与实践相结合的能力，引导学生运用马克思主义的立场、观点、方法以及总体国家安全观</w:t>
            </w:r>
            <w:r>
              <w:rPr>
                <w:rFonts w:hint="eastAsia" w:ascii="仿宋_GB2312" w:hAnsi="仿宋_GB2312" w:eastAsia="仿宋_GB2312" w:cs="仿宋_GB2312"/>
                <w:b w:val="0"/>
                <w:i w:val="0"/>
                <w:color w:val="auto"/>
                <w:spacing w:val="0"/>
                <w:w w:val="100"/>
                <w:sz w:val="24"/>
                <w:szCs w:val="24"/>
                <w:highlight w:val="none"/>
                <w:vertAlign w:val="baseline"/>
                <w:lang w:val="en-US" w:eastAsia="zh-CN"/>
              </w:rPr>
              <w:t>分析和解决问题</w:t>
            </w:r>
            <w:r>
              <w:rPr>
                <w:rFonts w:hint="eastAsia" w:ascii="仿宋_GB2312" w:hAnsi="仿宋_GB2312" w:eastAsia="仿宋_GB2312" w:cs="仿宋_GB2312"/>
                <w:b w:val="0"/>
                <w:i w:val="0"/>
                <w:color w:val="auto"/>
                <w:spacing w:val="0"/>
                <w:w w:val="100"/>
                <w:sz w:val="24"/>
                <w:szCs w:val="24"/>
                <w:highlight w:val="none"/>
                <w:vertAlign w:val="baseline"/>
              </w:rPr>
              <w:t>，构建起维护国家安全的实践能力。使学生树立国家安全底线思维，将国家安全意识转化为自觉行动，强化责任担当。</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本课程包含国家安全绪论、政治安全、国土安全、军事安全、经济安全、文化安全、社会安全、科技安全。通过教学，使学生树立国家安全意识，培养学生爱国精神，使其矢志不渝听党话、跟党走，不断成为社会主义合格建设者和可靠接班人。</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本课程以坚持总体国家安全观为科学指导，坚持党对国家安全教育的绝对领导，坚持以构建国家安全教育体系为途径，重点围绕理解中华民族命运与国家关系，践行总体国家安全观。学生系统掌握总体国家安全观的内涵和精神实质，理解中国特色国家安全体系，树立国家安全底线思维，将国家安全意识转化为自觉行动，强化学生责任担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4</w:t>
            </w:r>
          </w:p>
        </w:tc>
        <w:tc>
          <w:tcPr>
            <w:tcW w:w="869"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rPr>
              <w:t>军事理论</w:t>
            </w:r>
          </w:p>
        </w:tc>
        <w:tc>
          <w:tcPr>
            <w:tcW w:w="321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lang w:val="en-US" w:eastAsia="zh-CN"/>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3304" w:type="dxa"/>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rPr>
            </w:pPr>
          </w:p>
        </w:tc>
        <w:tc>
          <w:tcPr>
            <w:tcW w:w="2876" w:type="dxa"/>
            <w:vAlign w:val="top"/>
          </w:tcPr>
          <w:p>
            <w:pPr>
              <w:pStyle w:val="9"/>
              <w:keepNext w:val="0"/>
              <w:keepLines w:val="0"/>
              <w:widowControl/>
              <w:suppressLineNumbers w:val="0"/>
              <w:jc w:val="both"/>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5</w:t>
            </w:r>
          </w:p>
        </w:tc>
        <w:tc>
          <w:tcPr>
            <w:tcW w:w="869"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军训</w:t>
            </w:r>
          </w:p>
        </w:tc>
        <w:tc>
          <w:tcPr>
            <w:tcW w:w="3217"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lang w:val="en-US" w:eastAsia="zh-CN"/>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3304" w:type="dxa"/>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rPr>
            </w:pPr>
          </w:p>
        </w:tc>
        <w:tc>
          <w:tcPr>
            <w:tcW w:w="2876" w:type="dxa"/>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shd w:val="clear" w:color="auto" w:fill="FFFFFF"/>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6</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计算机基础</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shd w:val="clear" w:fill="FFFFFF"/>
                <w:vertAlign w:val="baseline"/>
              </w:rPr>
              <w:t>知识目标：</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shd w:val="clear" w:fill="FFFFFF"/>
                <w:vertAlign w:val="baseline"/>
              </w:rPr>
              <w:t>能力目标：</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培养计算机基本操作能力，熟练使用办公软件处理文档。提升网络应用和信息检索水平，具备解决常见计算机问题的技能。</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shd w:val="clear" w:fill="FFFFFF"/>
                <w:vertAlign w:val="baseline"/>
              </w:rPr>
              <w:t>素质目标：</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培养信息素养和数字思维，提高自主学习新技术能力。树立信息安全意识，养成规范使用计算机的良好习惯。</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shd w:val="clear" w:fill="FFFFFF"/>
                <w:vertAlign w:val="baseline"/>
              </w:rPr>
              <w:t>课程思政育人目标：</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i w:val="0"/>
                <w:color w:val="000000"/>
                <w:spacing w:val="0"/>
                <w:w w:val="100"/>
                <w:sz w:val="24"/>
                <w:szCs w:val="24"/>
                <w:highlight w:val="none"/>
                <w:vertAlign w:val="baseline"/>
              </w:rPr>
              <w:t>最终实现“德才兼备、知行合一”的技术人才培养目标，为行业发展与社会进步输送兼具职业道德素养与专业技术能力的复合型人才。</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高等数学</w:t>
            </w:r>
          </w:p>
        </w:tc>
        <w:tc>
          <w:tcPr>
            <w:tcW w:w="321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Fonts w:hint="eastAsia" w:ascii="仿宋_GB2312" w:hAnsi="仿宋_GB2312" w:eastAsia="仿宋_GB2312" w:cs="仿宋_GB2312"/>
                <w:color w:val="auto"/>
                <w:kern w:val="2"/>
                <w:sz w:val="24"/>
                <w:szCs w:val="24"/>
                <w:highlight w:val="none"/>
                <w:shd w:val="clear" w:color="auto" w:fill="FFFFFF"/>
                <w:lang w:val="en-US" w:eastAsia="zh-CN" w:bidi="ar-SA"/>
              </w:rPr>
              <w:t>学习、理解和掌握函数与极限、一元函数微积分、微分方程、基本原理、基本运算等基础理论，了解数学科学的发展脉络、哲学思想、逻辑思维与方法论。</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Fonts w:hint="eastAsia" w:ascii="仿宋_GB2312" w:hAnsi="仿宋_GB2312" w:eastAsia="仿宋_GB2312" w:cs="仿宋_GB2312"/>
                <w:color w:val="auto"/>
                <w:kern w:val="2"/>
                <w:sz w:val="24"/>
                <w:szCs w:val="24"/>
                <w:highlight w:val="none"/>
                <w:shd w:val="clear" w:color="auto" w:fill="FFFFFF"/>
                <w:lang w:val="en-US" w:eastAsia="zh-CN" w:bidi="ar-SA"/>
              </w:rPr>
              <w:t>能够运用数学方法分析解决生活、学习、工作等领域中遇到的实际问题，如家庭理财与投资、专业学习辅助、工程定量计算、生产管理分析等，具有较好的数学应用能力。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Fonts w:hint="eastAsia" w:ascii="仿宋_GB2312" w:hAnsi="仿宋_GB2312" w:eastAsia="仿宋_GB2312" w:cs="仿宋_GB2312"/>
                <w:color w:val="auto"/>
                <w:kern w:val="2"/>
                <w:sz w:val="24"/>
                <w:szCs w:val="24"/>
                <w:highlight w:val="none"/>
                <w:shd w:val="clear" w:color="auto" w:fill="FFFFFF"/>
                <w:lang w:val="en-US" w:eastAsia="zh-CN" w:bidi="ar-SA"/>
              </w:rPr>
              <w:t>在传授知识的同时，培养学生严谨的工作态度和坚毅的品格，提升学生的数学文化素养，引导学生形成实事求是的工作作风和一定的吃苦精神。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lang w:val="en-US" w:eastAsia="zh-CN"/>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Fonts w:hint="eastAsia" w:ascii="仿宋_GB2312" w:hAnsi="仿宋_GB2312" w:eastAsia="仿宋_GB2312" w:cs="仿宋_GB2312"/>
                <w:color w:val="auto"/>
                <w:kern w:val="2"/>
                <w:sz w:val="24"/>
                <w:szCs w:val="24"/>
                <w:highlight w:val="none"/>
                <w:shd w:val="clear" w:color="auto" w:fill="FFFFFF"/>
                <w:lang w:val="en-US" w:eastAsia="zh-CN" w:bidi="ar-SA"/>
              </w:rPr>
              <w:t>夯实基础，传递数学文化自信；锤炼思维，塑造科学素养；立德树人，涵养家国情怀。</w:t>
            </w:r>
          </w:p>
        </w:tc>
        <w:tc>
          <w:tcPr>
            <w:tcW w:w="3304" w:type="dxa"/>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导数的应用、不定积分、定积分及其应用、常微分方程。通过本课程学习，使学生了解微积分思想，较系统地掌握应用高等数学的基础知识、基本理论和常用技巧，为学生学习后继基础专业课程、相关专业课程和分析、解决实际问题奠定数学基础。</w:t>
            </w:r>
          </w:p>
        </w:tc>
        <w:tc>
          <w:tcPr>
            <w:tcW w:w="2876" w:type="dxa"/>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sz w:val="24"/>
                <w:szCs w:val="24"/>
                <w:shd w:val="clear" w:color="auto" w:fill="FFFFFF"/>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大学英语</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shd w:val="clear" w:fill="FFFFFF"/>
                <w:vertAlign w:val="baseline"/>
              </w:rPr>
              <w:t>知识目标：</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掌握基础词汇和核心语法，学习职场英语表达。了解英语国家文化常识，熟悉专业相关术语。</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shd w:val="clear" w:fill="FFFFFF"/>
                <w:vertAlign w:val="baseline"/>
              </w:rPr>
              <w:t>能力目标：</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培养学生掌握语言基础知识和语言技能、具备基本的英语听、说、读、写、译能力，增强其跨文化交际意识和沟通能力，为适应未来职业需求。</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shd w:val="clear" w:fill="FFFFFF"/>
                <w:vertAlign w:val="baseline"/>
              </w:rPr>
              <w:t>素质目标：</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培养自主学习意识，增强跨文化理解能力。树立终身学习理念，提高团队协作和沟通能力。</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shd w:val="clear" w:fill="FFFFFF"/>
                <w:vertAlign w:val="baseline"/>
              </w:rPr>
              <w:t>课程思政育人目标：</w:t>
            </w:r>
            <w:r>
              <w:rPr>
                <w:rFonts w:hint="eastAsia" w:ascii="仿宋_GB2312" w:hAnsi="仿宋_GB2312" w:eastAsia="仿宋_GB2312" w:cs="仿宋_GB2312"/>
                <w:b w:val="0"/>
                <w:i w:val="0"/>
                <w:color w:val="000000"/>
                <w:spacing w:val="-11"/>
                <w:w w:val="100"/>
                <w:sz w:val="24"/>
                <w:szCs w:val="24"/>
                <w:highlight w:val="none"/>
                <w:shd w:val="clear" w:fill="FFFFFF"/>
                <w:vertAlign w:val="baseline"/>
              </w:rPr>
              <w:t>融入工匠精神教育，培养职业操守。</w:t>
            </w:r>
            <w:r>
              <w:rPr>
                <w:rFonts w:hint="eastAsia" w:ascii="仿宋_GB2312" w:hAnsi="仿宋_GB2312" w:eastAsia="仿宋_GB2312" w:cs="仿宋_GB2312"/>
                <w:b w:val="0"/>
                <w:i w:val="0"/>
                <w:color w:val="000000"/>
                <w:spacing w:val="-17"/>
                <w:w w:val="100"/>
                <w:sz w:val="24"/>
                <w:szCs w:val="24"/>
                <w:highlight w:val="none"/>
                <w:shd w:val="clear" w:fill="FFFFFF"/>
                <w:vertAlign w:val="baseline"/>
              </w:rPr>
              <w:t>通过中外文化对比，培</w:t>
            </w:r>
            <w:r>
              <w:rPr>
                <w:rFonts w:hint="eastAsia" w:ascii="仿宋_GB2312" w:hAnsi="仿宋_GB2312" w:eastAsia="仿宋_GB2312" w:cs="仿宋_GB2312"/>
                <w:b w:val="0"/>
                <w:i w:val="0"/>
                <w:color w:val="000000"/>
                <w:spacing w:val="-6"/>
                <w:w w:val="100"/>
                <w:sz w:val="24"/>
                <w:szCs w:val="24"/>
                <w:highlight w:val="none"/>
                <w:shd w:val="clear" w:fill="FFFFFF"/>
                <w:vertAlign w:val="baseline"/>
              </w:rPr>
              <w:t>养学生树立正确的世界</w:t>
            </w:r>
            <w:r>
              <w:rPr>
                <w:rFonts w:hint="eastAsia" w:ascii="仿宋_GB2312" w:hAnsi="仿宋_GB2312" w:eastAsia="仿宋_GB2312" w:cs="仿宋_GB2312"/>
                <w:b w:val="0"/>
                <w:i w:val="0"/>
                <w:color w:val="000000"/>
                <w:spacing w:val="-17"/>
                <w:w w:val="100"/>
                <w:sz w:val="24"/>
                <w:szCs w:val="24"/>
                <w:highlight w:val="none"/>
                <w:shd w:val="clear" w:fill="FFFFFF"/>
                <w:vertAlign w:val="baseline"/>
              </w:rPr>
              <w:t>观、人生观</w:t>
            </w:r>
            <w:r>
              <w:rPr>
                <w:rFonts w:hint="eastAsia" w:ascii="仿宋_GB2312" w:hAnsi="仿宋_GB2312" w:eastAsia="仿宋_GB2312" w:cs="仿宋_GB2312"/>
                <w:b w:val="0"/>
                <w:i w:val="0"/>
                <w:color w:val="000000"/>
                <w:spacing w:val="-17"/>
                <w:w w:val="100"/>
                <w:sz w:val="24"/>
                <w:szCs w:val="24"/>
                <w:highlight w:val="none"/>
                <w:shd w:val="clear" w:fill="FFFFFF"/>
                <w:vertAlign w:val="baseline"/>
                <w:lang w:eastAsia="zh-CN"/>
              </w:rPr>
              <w:t>、</w:t>
            </w:r>
            <w:r>
              <w:rPr>
                <w:rFonts w:hint="eastAsia" w:ascii="仿宋_GB2312" w:hAnsi="仿宋_GB2312" w:eastAsia="仿宋_GB2312" w:cs="仿宋_GB2312"/>
                <w:b w:val="0"/>
                <w:i w:val="0"/>
                <w:color w:val="000000"/>
                <w:spacing w:val="-17"/>
                <w:w w:val="100"/>
                <w:sz w:val="24"/>
                <w:szCs w:val="24"/>
                <w:highlight w:val="none"/>
                <w:shd w:val="clear" w:fill="FFFFFF"/>
                <w:vertAlign w:val="baseline"/>
              </w:rPr>
              <w:t>价值观</w:t>
            </w:r>
            <w:r>
              <w:rPr>
                <w:rFonts w:hint="eastAsia" w:ascii="仿宋_GB2312" w:hAnsi="仿宋_GB2312" w:eastAsia="仿宋_GB2312" w:cs="仿宋_GB2312"/>
                <w:b w:val="0"/>
                <w:i w:val="0"/>
                <w:color w:val="000000"/>
                <w:spacing w:val="-17"/>
                <w:w w:val="100"/>
                <w:sz w:val="24"/>
                <w:szCs w:val="24"/>
                <w:highlight w:val="none"/>
                <w:shd w:val="clear" w:fill="FFFFFF"/>
                <w:vertAlign w:val="baseline"/>
                <w:lang w:eastAsia="zh-CN"/>
              </w:rPr>
              <w:t>，</w:t>
            </w:r>
            <w:r>
              <w:rPr>
                <w:rFonts w:hint="eastAsia" w:ascii="仿宋_GB2312" w:hAnsi="仿宋_GB2312" w:eastAsia="仿宋_GB2312" w:cs="仿宋_GB2312"/>
                <w:b w:val="0"/>
                <w:i w:val="0"/>
                <w:color w:val="000000"/>
                <w:spacing w:val="-17"/>
                <w:w w:val="100"/>
                <w:sz w:val="24"/>
                <w:szCs w:val="24"/>
                <w:highlight w:val="none"/>
                <w:shd w:val="clear" w:fill="FFFFFF"/>
                <w:vertAlign w:val="baseline"/>
              </w:rPr>
              <w:t>明</w:t>
            </w:r>
            <w:r>
              <w:rPr>
                <w:rFonts w:hint="eastAsia" w:ascii="仿宋_GB2312" w:hAnsi="仿宋_GB2312" w:eastAsia="仿宋_GB2312" w:cs="仿宋_GB2312"/>
                <w:b w:val="0"/>
                <w:i w:val="0"/>
                <w:color w:val="000000"/>
                <w:spacing w:val="-6"/>
                <w:w w:val="100"/>
                <w:sz w:val="24"/>
                <w:szCs w:val="24"/>
                <w:highlight w:val="none"/>
                <w:shd w:val="clear" w:fill="FFFFFF"/>
                <w:vertAlign w:val="baseline"/>
              </w:rPr>
              <w:t>辨西方文化与价值观</w:t>
            </w:r>
            <w:r>
              <w:rPr>
                <w:rFonts w:hint="eastAsia" w:ascii="仿宋_GB2312" w:hAnsi="仿宋_GB2312" w:eastAsia="仿宋_GB2312" w:cs="仿宋_GB2312"/>
                <w:b w:val="0"/>
                <w:i w:val="0"/>
                <w:color w:val="000000"/>
                <w:spacing w:val="-23"/>
                <w:w w:val="100"/>
                <w:sz w:val="24"/>
                <w:szCs w:val="24"/>
                <w:highlight w:val="none"/>
                <w:shd w:val="clear" w:fill="FFFFFF"/>
                <w:vertAlign w:val="baseline"/>
              </w:rPr>
              <w:t>，</w:t>
            </w:r>
            <w:r>
              <w:rPr>
                <w:rFonts w:hint="eastAsia" w:ascii="仿宋_GB2312" w:hAnsi="仿宋_GB2312" w:eastAsia="仿宋_GB2312" w:cs="仿宋_GB2312"/>
                <w:b w:val="0"/>
                <w:i w:val="0"/>
                <w:color w:val="000000"/>
                <w:spacing w:val="-6"/>
                <w:w w:val="100"/>
                <w:sz w:val="24"/>
                <w:szCs w:val="24"/>
                <w:highlight w:val="none"/>
                <w:shd w:val="clear" w:fill="FFFFFF"/>
                <w:vertAlign w:val="baseline"/>
              </w:rPr>
              <w:t>增强文化自信和爱国情怀。</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采用情景教学法，设计职场情境任务。结合信息化手段，注重实践能力培养。参与课堂活动，完成实践任务。利用网络资源自主学习，提升应用能力。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9</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大学体育</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vertAlign w:val="baseline"/>
              </w:rPr>
              <w:t>掌握体育运动基本理论知识，了解常见运动项目的规则与要领。学习科学锻炼方法和运动损伤预防知识，为终身体育锻炼奠定理论基础。</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发展学生基础运动技能，提升速度、力量、耐力等身体素质。培养1-2项运动特长，提升体育运动能力，提高职业体能水平。增强团队协作能力和体育竞赛组织能力。</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遵守体育道德规范和行为准则，发扬体育精神，塑造良好的体育品格，增强责任意识、规则意识和团队意识。</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课程思政育人目标</w:t>
            </w:r>
            <w:r>
              <w:rPr>
                <w:rFonts w:hint="eastAsia" w:ascii="仿宋_GB2312" w:hAnsi="仿宋_GB2312" w:eastAsia="仿宋_GB2312" w:cs="仿宋_GB2312"/>
                <w:b w:val="0"/>
                <w:i w:val="0"/>
                <w:color w:val="000000"/>
                <w:spacing w:val="0"/>
                <w:w w:val="100"/>
                <w:sz w:val="24"/>
                <w:szCs w:val="24"/>
                <w:highlight w:val="none"/>
                <w:vertAlign w:val="baseli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基础体能训练提升身体素质；球类、田径等专项技能教学；特色项目如武术、健身操等。融入职业体能训练，结合专业特点设计教学内容。</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教师需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10</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大学生职业发展与就业指导</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vertAlign w:val="baseline"/>
              </w:rPr>
              <w:t>掌握职业生涯规划基本理论，了解就业政策与劳动法规。学习求职材料制作规范，熟悉职场礼仪与职业素养要求。</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培养职业规划与决策能力，提升简历制作与面试技巧，提高学生求职应职技巧，增强就业信息获取能力，掌握职场适应与职业发展方法。</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分析当前大学生面临的就业形势，帮助学生及时了解就业市场的需求形势和国家、地方有关大学生就业的政策，按照社会需求确立就业心理，树立正确的就业观念和就业取向。</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课程思政育人目标：</w:t>
            </w:r>
            <w:r>
              <w:rPr>
                <w:rFonts w:hint="eastAsia" w:ascii="仿宋_GB2312" w:hAnsi="仿宋_GB2312" w:eastAsia="仿宋_GB2312" w:cs="仿宋_GB2312"/>
                <w:b w:val="0"/>
                <w:i w:val="0"/>
                <w:color w:val="000000"/>
                <w:spacing w:val="0"/>
                <w:w w:val="100"/>
                <w:sz w:val="24"/>
                <w:szCs w:val="24"/>
                <w:highlight w:val="none"/>
                <w:vertAlign w:val="baseline"/>
              </w:rPr>
              <w:t>通过加强就业形势和政策的宣传教育，引导广大学生深刻认识到党和国家</w:t>
            </w:r>
            <w:r>
              <w:rPr>
                <w:rFonts w:hint="eastAsia" w:ascii="仿宋_GB2312" w:hAnsi="仿宋_GB2312" w:eastAsia="仿宋_GB2312" w:cs="仿宋_GB2312"/>
                <w:b w:val="0"/>
                <w:i w:val="0"/>
                <w:color w:val="000000"/>
                <w:spacing w:val="0"/>
                <w:w w:val="100"/>
                <w:sz w:val="24"/>
                <w:szCs w:val="24"/>
                <w:highlight w:val="none"/>
                <w:vertAlign w:val="baseline"/>
                <w:lang w:eastAsia="zh-CN"/>
              </w:rPr>
              <w:t>“</w:t>
            </w:r>
            <w:r>
              <w:rPr>
                <w:rFonts w:hint="eastAsia" w:ascii="仿宋_GB2312" w:hAnsi="仿宋_GB2312" w:eastAsia="仿宋_GB2312" w:cs="仿宋_GB2312"/>
                <w:b w:val="0"/>
                <w:i w:val="0"/>
                <w:color w:val="000000"/>
                <w:spacing w:val="0"/>
                <w:w w:val="100"/>
                <w:sz w:val="24"/>
                <w:szCs w:val="24"/>
                <w:highlight w:val="none"/>
                <w:vertAlign w:val="baseline"/>
              </w:rPr>
              <w:t>以人民为中心</w:t>
            </w:r>
            <w:r>
              <w:rPr>
                <w:rFonts w:hint="eastAsia" w:ascii="仿宋_GB2312" w:hAnsi="仿宋_GB2312" w:eastAsia="仿宋_GB2312" w:cs="仿宋_GB2312"/>
                <w:b w:val="0"/>
                <w:i w:val="0"/>
                <w:color w:val="000000"/>
                <w:spacing w:val="0"/>
                <w:w w:val="100"/>
                <w:sz w:val="24"/>
                <w:szCs w:val="24"/>
                <w:highlight w:val="none"/>
                <w:vertAlign w:val="baseline"/>
                <w:lang w:eastAsia="zh-CN"/>
              </w:rPr>
              <w:t>”</w:t>
            </w:r>
            <w:r>
              <w:rPr>
                <w:rFonts w:hint="eastAsia" w:ascii="仿宋_GB2312" w:hAnsi="仿宋_GB2312" w:eastAsia="仿宋_GB2312" w:cs="仿宋_GB2312"/>
                <w:b w:val="0"/>
                <w:i w:val="0"/>
                <w:color w:val="000000"/>
                <w:spacing w:val="0"/>
                <w:w w:val="100"/>
                <w:sz w:val="24"/>
                <w:szCs w:val="24"/>
                <w:highlight w:val="none"/>
                <w:vertAlign w:val="baseline"/>
              </w:rPr>
              <w:t>的发展理念，切实增强对国家保就业、稳增长工作的信心，充分感知国家在相关领域的坚实能力。</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11</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大学生心理健康教育</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vertAlign w:val="baseline"/>
              </w:rPr>
              <w:t>掌握心理健康基本概念和标准，了解常见心理问题表现及成因。掌握情绪管理、压力应对等心理调适方法，增强自我认知能力。</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培养学生情绪调节与压力管理能力，提升人际沟通与冲突解决水平。使学生掌握心理自助技巧，具备初步心理问题识别与求助能力。</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：培养学生积极乐观的人生态度，增强心理韧性和适应能力。树立正确的自我认知，形成健康的生活方式与行为习惯。</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课程思政育人目标：</w:t>
            </w:r>
            <w:r>
              <w:rPr>
                <w:rFonts w:hint="eastAsia" w:ascii="仿宋_GB2312" w:hAnsi="仿宋_GB2312" w:eastAsia="仿宋_GB2312" w:cs="仿宋_GB2312"/>
                <w:b w:val="0"/>
                <w:i w:val="0"/>
                <w:color w:val="000000"/>
                <w:spacing w:val="0"/>
                <w:w w:val="100"/>
                <w:sz w:val="24"/>
                <w:szCs w:val="24"/>
                <w:highlight w:val="none"/>
                <w:vertAlign w:val="baseli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12</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劳动教育</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vertAlign w:val="baseline"/>
              </w:rPr>
              <w:t>：培养基本劳动技能，提升实践操作能力。掌握团队协作方法，增强问题解决与创新应用能力，适应未来职业劳动需求。</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：培育吃苦耐劳精神，树立劳动光荣意识。增强责任担当，培养勤俭节约品质，形成尊重劳动、热爱劳动的良好品格。</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课程思政育人目标：</w:t>
            </w:r>
            <w:r>
              <w:rPr>
                <w:rFonts w:hint="eastAsia" w:ascii="仿宋_GB2312" w:hAnsi="仿宋_GB2312" w:eastAsia="仿宋_GB2312" w:cs="仿宋_GB2312"/>
                <w:b w:val="0"/>
                <w:i w:val="0"/>
                <w:color w:val="000000"/>
                <w:spacing w:val="0"/>
                <w:w w:val="100"/>
                <w:sz w:val="24"/>
                <w:szCs w:val="24"/>
                <w:highlight w:val="none"/>
                <w:vertAlign w:val="baseline"/>
              </w:rPr>
              <w:t>弘扬劳模精神与工匠精神，强化劳动育人功能。引导学生做社会主义核心价值观的积极践行者，培养新时代坚定的马克思主义者和具有工匠精神的社会主义建设者。</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13</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毛泽东思想和中国特色社会主义理论体系概论</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b w:val="0"/>
                <w:i w:val="0"/>
                <w:color w:val="000000"/>
                <w:spacing w:val="0"/>
                <w:w w:val="100"/>
                <w:sz w:val="24"/>
                <w:szCs w:val="24"/>
                <w:highlight w:val="none"/>
                <w:vertAlign w:val="baseli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vertAlign w:val="baseline"/>
              </w:rPr>
              <w:t>全面理解马克思主义中国化理论成果的科学内涵、理论体系、思想精髓、精神实质；系统把握马克思主义中国化理论成果所蕴含的马克思主义立场、观点和方法。</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学会用马克思主义中国化理论成果分析和解决现实问题，把理论与实践、理想与现实、主观与客观统一起来，自觉投身于中国特色社会主义伟大实践。</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引导大学生树立科学的世界观、历史观、大局观，深刻理解“中国共产党为什么能”“马克思主义为什么行”“中国特色社会主义为什么好”，自觉增强“四个意识”、坚定“四个自信”、做到“两个维护”，努力学习</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文化知识，增强自己的本领，</w:t>
            </w:r>
            <w:r>
              <w:rPr>
                <w:rFonts w:hint="eastAsia" w:ascii="仿宋_GB2312" w:hAnsi="仿宋_GB2312" w:eastAsia="仿宋_GB2312" w:cs="仿宋_GB2312"/>
                <w:b w:val="0"/>
                <w:i w:val="0"/>
                <w:color w:val="000000"/>
                <w:spacing w:val="0"/>
                <w:w w:val="100"/>
                <w:sz w:val="24"/>
                <w:szCs w:val="24"/>
                <w:highlight w:val="none"/>
                <w:vertAlign w:val="baseline"/>
              </w:rPr>
              <w:t>为实现中华民族伟大复兴中国梦而努力。</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 </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通过教师运用信息化技术进行史论结合、案例丰富的讲授，引导学生系统掌握马克思主义基本原理和马克思主义中国化理论成果，了解党史、新中国史、改革开放史、社会主义发展史，认识世情、国情、党情，培养运用马克思主义立场观点方法分析和解决问题的能力； 矢志不渝听党话、跟党走，争做社会主义合格建设者和 可靠接班人。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14</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创新创业教育</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vertAlign w:val="baseline"/>
              </w:rPr>
              <w:t>熟悉创新思维的内涵及其基本训练方法；了解商业模式设计要点，掌握常用的创新方法；掌握保护创新成果的方法；了解创新创业政策法规。</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 xml:space="preserve"> 培养创新思维与机会识别能力，提升商业计划书撰写水平。增强资源整合与项目管理能力，掌握创业风险防范与应对方法。</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培育开拓进取精神，树立正确的创业价值观。增强团队协作意识，培养抗压能力与责任担当，形成积极向上的创业心态。</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课程思政育人目标：</w:t>
            </w:r>
            <w:r>
              <w:rPr>
                <w:rFonts w:hint="eastAsia" w:ascii="仿宋_GB2312" w:hAnsi="仿宋_GB2312" w:eastAsia="仿宋_GB2312" w:cs="仿宋_GB2312"/>
                <w:b w:val="0"/>
                <w:i w:val="0"/>
                <w:color w:val="000000"/>
                <w:spacing w:val="0"/>
                <w:w w:val="100"/>
                <w:sz w:val="24"/>
                <w:szCs w:val="24"/>
                <w:highlight w:val="none"/>
                <w:vertAlign w:val="baseline"/>
              </w:rPr>
              <w:t>融入企业家精神教育，强化社会责任意识。通过创新创业案例培育家国情怀，引导学生将个人发展融入国家创新驱动发展战略。</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15</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习近平新时代中国特色社会主义思想概论</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vertAlign w:val="baseline"/>
              </w:rPr>
              <w:t>：深刻理解习近平新时代中国特色社会主义思想是马克思主义中国化的最新理论成果；系统把握习近平新时代中国特色社会主义思想的核心观点和基本方略。</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提升大学生运用所学新思想、新理论分析和解决现实问题的能力；增强大学生全面贯彻党的基本理论和基本方略的自觉性和主动性。</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 xml:space="preserve">引导大学生自觉运用习近平新时代中国特色社会主义思想武装头脑，积极投身到建设新时代中国特色社会主义的伟大历史进程中，实现中国梦。 帮助大学生增强“四个意识”、坚定“四个自信”、做到“两个维护”。 </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程主要的知识模块包括：习近平新时代中国特色社会主义思想及其历史地位、坚持和发展中国特色社会主义的总任务、“五位一体”总体布局、“四个全面”战略布局、实现中华民族伟大复兴的重要保障、中国特色大国外交、坚持和加强党的领导等内容。</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通过教师的混合式教学 、史论结合 、案例丰富的教学，让学生感悟党的创新理论的思想伟力，坚持用马克思主义理论指导实践，做“学思想、强党性、重实践、建新功”的新时代青年。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16</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中国民俗剪纸技法</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了解剪纸的历史与文化内涵和掌握剪纸的基本知识。</w:t>
            </w:r>
            <w:r>
              <w:rPr>
                <w:rFonts w:hint="eastAsia" w:ascii="仿宋_GB2312" w:hAnsi="仿宋_GB2312" w:eastAsia="仿宋_GB2312" w:cs="仿宋_GB2312"/>
                <w:b w:val="0"/>
                <w:i w:val="0"/>
                <w:color w:val="000000"/>
                <w:spacing w:val="0"/>
                <w:w w:val="100"/>
                <w:sz w:val="24"/>
                <w:szCs w:val="24"/>
                <w:highlight w:val="none"/>
                <w:vertAlign w:val="baseline"/>
              </w:rPr>
              <w:t>掌握剪纸艺术的历史渊源与文化内涵，了解不同地域的剪纸风格特点。学习传统剪纸纹样寓意，掌握基础剪纸工具使用方法与安全规范。</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学生能够熟练掌握剪纸的基本技法、剪纸的构图技巧，</w:t>
            </w:r>
            <w:r>
              <w:rPr>
                <w:rFonts w:hint="eastAsia" w:ascii="仿宋_GB2312" w:hAnsi="仿宋_GB2312" w:eastAsia="仿宋_GB2312" w:cs="仿宋_GB2312"/>
                <w:b w:val="0"/>
                <w:i w:val="0"/>
                <w:color w:val="000000"/>
                <w:spacing w:val="0"/>
                <w:w w:val="100"/>
                <w:sz w:val="24"/>
                <w:szCs w:val="24"/>
                <w:highlight w:val="none"/>
                <w:vertAlign w:val="baseline"/>
              </w:rPr>
              <w:t>培养图案设计与剪刀运用能力，掌握对称、连续等基础剪纸技法。</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学会运用多种剪纸技法进行创作，鼓励学生在传统剪纸技法的基础上进行创新，结合现代设计理念和元素，创作出具有时代感和个性的剪纸作品。</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培育耐心细致的工作态度，提升审美鉴赏能力。增强文化自信，传承非遗技艺，培养创新思维与艺术表现力。</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课程思政育人目标：</w:t>
            </w:r>
            <w:r>
              <w:rPr>
                <w:rFonts w:hint="eastAsia" w:ascii="仿宋_GB2312" w:hAnsi="仿宋_GB2312" w:eastAsia="仿宋_GB2312" w:cs="仿宋_GB2312"/>
                <w:b w:val="0"/>
                <w:i w:val="0"/>
                <w:color w:val="000000"/>
                <w:spacing w:val="0"/>
                <w:w w:val="100"/>
                <w:sz w:val="24"/>
                <w:szCs w:val="24"/>
                <w:highlight w:val="none"/>
                <w:vertAlign w:val="baseline"/>
              </w:rPr>
              <w:t>通过剪纸艺术，弘扬中华优秀传统文化，增强民族自豪感。在技艺传承中培育工匠精神，树立文化传承的责任意识。</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17</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影视与鉴赏</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b w:val="0"/>
                <w:i w:val="0"/>
                <w:color w:val="000000"/>
                <w:spacing w:val="0"/>
                <w:w w:val="100"/>
                <w:sz w:val="24"/>
                <w:szCs w:val="24"/>
                <w:highlight w:val="none"/>
                <w:vertAlign w:val="baseline"/>
              </w:rPr>
              <w:t>掌握影视创作基本流程。</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培养影视作品分析鉴赏能力，提升视听语言理解水平。掌握影视评论写作方法，具备基础影视审美判断能力。</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培育艺术审美情趣，提高文化修养水平。增强创新思维能力，树立正确的价值观和艺术观。</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课程思政育人目标：</w:t>
            </w:r>
            <w:r>
              <w:rPr>
                <w:rFonts w:hint="eastAsia" w:ascii="仿宋_GB2312" w:hAnsi="仿宋_GB2312" w:eastAsia="仿宋_GB2312" w:cs="仿宋_GB2312"/>
                <w:b w:val="0"/>
                <w:i w:val="0"/>
                <w:color w:val="000000"/>
                <w:spacing w:val="0"/>
                <w:w w:val="100"/>
                <w:sz w:val="24"/>
                <w:szCs w:val="24"/>
                <w:highlight w:val="none"/>
                <w:vertAlign w:val="baseline"/>
              </w:rPr>
              <w:t>通过优秀影视作品弘扬社会主义核心价值观。在艺术鉴赏中增强文化自信，培养家国情怀和人文精神。</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18</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中国共产党简史</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vertAlign w:val="baseline"/>
              </w:rPr>
              <w:t>把握中国共产党历史发展脉络，了解中国共产党百年奋斗的重大历史成就与历史经验；了解中国共产党是如何团结带领中国人民克服千难万险，创造了一个又一个彪炳史册的人间奇迹；了解一代又一代优秀中国共产党人的为民情怀与高尚情操。</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 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包括中国共产党的创建和投身大革命的洪流、掀起土地革命的风暴、全民族抗日战争的中流砥柱、夺取新民主主义革命的全国性胜利、中华人民共和国的成立和社会主义制度的建立、社会主义建设的探索和曲折发展、伟大历史转折和中国特色社会主义的开创、把中国特色社会主义全面推向21世纪、在新的形势下坚持和发展中国特色社会主义、中国特色社会主义进入新时代等。通过学习，学生将全面了解中国共产党领导中国人民进行革命、建设、改革的光辉历程，深刻认识党在各个历史时期的伟大成就和宝贵经验，为成为一名合格的共产党员、成为一名社会主义建设者奠定坚实的思想基础。</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通过教师的理论讲授和丰富的史料佐证，以及线上线下参观历史纪念馆，引导学生树立正确的历史观，做到“学史明理、学史增信、学史崇德、学史力行”，感悟党的伟大，做“青春心向党 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19</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中华人民共和国简史</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引导学生</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主要包括：新中国成立和社会主义基本制度的确立、社会主义建设的艰辛探索和曲折发展、改革开放与中国特色社会主义的开创、建立社会主义市场经济体制和把中国特色社会主义全面推向21世纪、全面建设小康社会与新的形势下坚持和发展中国特色社会主义、中国特色社会主义进入新时代和实现中华民族伟大复兴的中国梦、决胜全面建成小康社会和开启全面建成社会主义现代化强国新征程</w:t>
            </w: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等方面。通过学习，学生将深入了解中华人民共和国在各个历史阶段的发展变化，认识到中国特色社会主义道路的历史必然性和正确性，增强对国家的热爱和对未来的信心。</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通过课堂讲解、案例分析、小组讨论、模拟实践等方式，促进学生进一步增强民族自尊心、自信心和自豪感，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20</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改革开放简史</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vertAlign w:val="baseline"/>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使学生能够充分理解我国改革开放各个时期的路线、政策和目标，增强自觉执行党的路线、方针、政策的自觉性，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程内容涵盖改革开放拉开大幕、改革开放全面展开、改革开放开创新局面、改革开放在科学发展中深化、改革开放进入新时代、坚定不移推进全面深化改革、坚定不移扩大高水平对外开放等。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通过专题讲授法、情境教学法、案例教学法等，让学生能够系统把握中国改革开放事业的辉煌成就、重大贡献、重要经验和深刻启示。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21</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社会主义发展简史</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vertAlign w:val="baseline"/>
              </w:rPr>
              <w:t>帮助大学生重点了解空想社会主义的产生和发展，了解科学社会主义的产生和发展，了解世界和中国对社会主义道路和制度的探索和实践，了解新时代中国特色社会主义的理论创造和伟大实践，从而增强对社会主义制度的认识与信心。</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帮助大学生正确认识和理解社会主义制度的优越性，进一步增强大学生道路自信、理论自信、制度自信、文化自信，进一步提升大学生坚持和发展中国特色社会主义理论的自觉性和坚定性。</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程内容涵盖空想社会主义的产生与发展、科学社会主义的创立、社会主义从理论到实践、社会主义在多国发展、中国特色社会主义的开创与发展。通过学习，学生将了解社会主义思想的起源、发展和变革，掌握社会主义制度在不同国家的实践经验和教训，为理解和坚持中国特色社会主义提供历史依据和理论支持。</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课堂教学应采用启发式、研讨式、案例式、参与式、体验式、实践式等方法，充分调动学生的主体作用。在课程组织上应将理论讲授和社会实践融合在一起，贴近生活，贴近实际，使学生在现实生活中感受到历史的气息，既能激发学生的学习情趣，又有利于提高学生的认知、动手和研究能力，进而增强学生的爱国情怀、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22</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w:t>
            </w: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中华优秀传统文化</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vertAlign w:val="baseline"/>
              </w:rPr>
              <w:t>掌握并传承中华优秀传统文化的基本内涵、主要内容、基本精神，了解了中国传统哲学、文学、仪式文化精髓，扩大学生视野，读懂更多的经典名著名篇，熟悉中国古代的艺术、科技、文化成果，弘扬中国传统礼仪、风俗及美食文化。</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掌握鉴赏中华优秀传统文化及其载体的能力；养成传统美德、树立文化自信、掌握文化精粹；培养发掘中华优秀传统文化的生成规律和闪光点的能力；能坚持创造性转化、创新性发展中华优秀传统文化。</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培养学生具有对中华优秀传统文化的热爱敬畏之情；具有强烈的民族精神、人文精神和科学精神；弘扬中华优秀传统文化，树立中华优秀传统文化是我们每一个中国人的血脉和灵魂的情感；提升人格修养，培养文化情怀，具有较好的审美情趣和审美能力，具备一定的优秀传统文化素养。</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历史、哲学思想、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 </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23</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中华民族共同体概论</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vertAlign w:val="baseline"/>
              </w:rPr>
              <w:t>：</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w:t>
            </w:r>
            <w:r>
              <w:rPr>
                <w:rFonts w:hint="eastAsia" w:ascii="仿宋_GB2312" w:hAnsi="仿宋_GB2312" w:eastAsia="仿宋_GB2312" w:cs="仿宋_GB2312"/>
                <w:b w:val="0"/>
                <w:i w:val="0"/>
                <w:color w:val="000000"/>
                <w:spacing w:val="0"/>
                <w:w w:val="100"/>
                <w:sz w:val="24"/>
                <w:szCs w:val="24"/>
                <w:highlight w:val="none"/>
                <w:shd w:val="clear" w:fill="FFFFFF"/>
                <w:vertAlign w:val="baseline"/>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b w:val="0"/>
                <w:i w:val="0"/>
                <w:color w:val="000000"/>
                <w:spacing w:val="0"/>
                <w:w w:val="100"/>
                <w:sz w:val="24"/>
                <w:szCs w:val="24"/>
                <w:highlight w:val="none"/>
                <w:vertAlign w:val="baseline"/>
              </w:rPr>
              <w:t>紧扣铸牢中华民族共同体意识的基本任务，自觉推动中华民族共同体建设。</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 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w:t>
            </w: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24</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语文</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知识目标：</w:t>
            </w:r>
            <w:r>
              <w:rPr>
                <w:rFonts w:hint="eastAsia" w:ascii="仿宋_GB2312" w:hAnsi="仿宋_GB2312" w:eastAsia="仿宋_GB2312" w:cs="仿宋_GB2312"/>
                <w:b w:val="0"/>
                <w:i w:val="0"/>
                <w:color w:val="000000"/>
                <w:spacing w:val="0"/>
                <w:w w:val="100"/>
                <w:sz w:val="24"/>
                <w:szCs w:val="24"/>
                <w:highlight w:val="none"/>
                <w:vertAlign w:val="baseline"/>
              </w:rPr>
              <w:t>掌握现代汉语基础知识和常用文体特征，了解文学鉴赏基本方法。学习实用写作规范，提升语言表达准确性，培养基础文学素养。</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：培养阅读理解与书面表达能力，提升职场应用写作水平。增强口语交际能力，掌握专业文献阅读方法，适应职业发展需求。</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培育人文精神与审美情趣，提高文化修养。增强逻辑思维与创新意识，树立终身学习理念。</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课程思政育人目标：</w:t>
            </w:r>
            <w:r>
              <w:rPr>
                <w:rFonts w:hint="eastAsia" w:ascii="仿宋_GB2312" w:hAnsi="仿宋_GB2312" w:eastAsia="仿宋_GB2312" w:cs="仿宋_GB2312"/>
                <w:b w:val="0"/>
                <w:i w:val="0"/>
                <w:color w:val="000000"/>
                <w:spacing w:val="0"/>
                <w:w w:val="100"/>
                <w:sz w:val="24"/>
                <w:szCs w:val="24"/>
                <w:highlight w:val="none"/>
                <w:vertAlign w:val="baseline"/>
              </w:rPr>
              <w:t>通过经典作品传承中华优秀传统文化，培育文化自信。在语言训练中融入社会主义核心价值观教育。</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 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25</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物理</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bCs/>
                <w:i w:val="0"/>
                <w:iCs w:val="0"/>
                <w:color w:val="000000"/>
                <w:spacing w:val="0"/>
                <w:w w:val="100"/>
                <w:sz w:val="24"/>
                <w:szCs w:val="24"/>
                <w:highlight w:val="none"/>
                <w:vertAlign w:val="baseline"/>
              </w:rPr>
              <w:t>知识目标：</w:t>
            </w:r>
            <w:r>
              <w:rPr>
                <w:rFonts w:hint="eastAsia" w:ascii="仿宋_GB2312" w:hAnsi="仿宋_GB2312" w:eastAsia="仿宋_GB2312" w:cs="仿宋_GB2312"/>
                <w:b w:val="0"/>
                <w:bCs w:val="0"/>
                <w:i w:val="0"/>
                <w:iCs w:val="0"/>
                <w:color w:val="000000"/>
                <w:spacing w:val="0"/>
                <w:w w:val="100"/>
                <w:sz w:val="24"/>
                <w:szCs w:val="24"/>
                <w:highlight w:val="none"/>
                <w:vertAlign w:val="baseline"/>
              </w:rPr>
              <w:t>掌握力学、热学、电磁学等经典物理核心概念与规律，了解其在高新技术和工程实践中的具体应用，构建必要的物理知识体系。</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bCs/>
                <w:i w:val="0"/>
                <w:iCs w:val="0"/>
                <w:color w:val="000000"/>
                <w:spacing w:val="0"/>
                <w:w w:val="100"/>
                <w:sz w:val="24"/>
                <w:szCs w:val="24"/>
                <w:highlight w:val="none"/>
                <w:vertAlign w:val="baseline"/>
              </w:rPr>
              <w:t>能力目标：</w:t>
            </w:r>
            <w:r>
              <w:rPr>
                <w:rFonts w:hint="eastAsia" w:ascii="仿宋_GB2312" w:hAnsi="仿宋_GB2312" w:eastAsia="仿宋_GB2312" w:cs="仿宋_GB2312"/>
                <w:b w:val="0"/>
                <w:bCs w:val="0"/>
                <w:i w:val="0"/>
                <w:iCs w:val="0"/>
                <w:color w:val="000000"/>
                <w:spacing w:val="0"/>
                <w:w w:val="100"/>
                <w:sz w:val="24"/>
                <w:szCs w:val="24"/>
                <w:highlight w:val="none"/>
                <w:vertAlign w:val="baseline"/>
              </w:rPr>
              <w:t>能够运用物理原理分析和解决生产生活中的实际问题，具备基本的实验操作、数据处理和科学思维能力，提升技术应用与创新意识。</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bCs/>
                <w:i w:val="0"/>
                <w:iCs w:val="0"/>
                <w:color w:val="000000"/>
                <w:spacing w:val="0"/>
                <w:w w:val="100"/>
                <w:sz w:val="24"/>
                <w:szCs w:val="24"/>
                <w:highlight w:val="none"/>
                <w:vertAlign w:val="baseline"/>
              </w:rPr>
              <w:t>素质目标：</w:t>
            </w:r>
            <w:r>
              <w:rPr>
                <w:rFonts w:hint="eastAsia" w:ascii="仿宋_GB2312" w:hAnsi="仿宋_GB2312" w:eastAsia="仿宋_GB2312" w:cs="仿宋_GB2312"/>
                <w:b w:val="0"/>
                <w:bCs w:val="0"/>
                <w:i w:val="0"/>
                <w:iCs w:val="0"/>
                <w:color w:val="000000"/>
                <w:spacing w:val="0"/>
                <w:w w:val="100"/>
                <w:sz w:val="24"/>
                <w:szCs w:val="24"/>
                <w:highlight w:val="none"/>
                <w:vertAlign w:val="baseline"/>
              </w:rPr>
              <w:t>培养严谨求实的科学态度、精益求精的工匠精神和探索未知的好奇心，为未来职业发展和终身学习奠定坚实基础。</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i w:val="0"/>
                <w:iCs w:val="0"/>
                <w:color w:val="000000"/>
                <w:spacing w:val="0"/>
                <w:w w:val="100"/>
                <w:sz w:val="24"/>
                <w:szCs w:val="24"/>
                <w:highlight w:val="none"/>
                <w:vertAlign w:val="baseline"/>
              </w:rPr>
              <w:t>课程思政育人目标：</w:t>
            </w:r>
            <w:r>
              <w:rPr>
                <w:rFonts w:hint="eastAsia" w:ascii="仿宋_GB2312" w:hAnsi="仿宋_GB2312" w:eastAsia="仿宋_GB2312" w:cs="仿宋_GB2312"/>
                <w:b w:val="0"/>
                <w:bCs w:val="0"/>
                <w:i w:val="0"/>
                <w:iCs w:val="0"/>
                <w:color w:val="000000"/>
                <w:spacing w:val="0"/>
                <w:w w:val="100"/>
                <w:sz w:val="24"/>
                <w:szCs w:val="24"/>
                <w:highlight w:val="none"/>
                <w:vertAlign w:val="baseline"/>
              </w:rPr>
              <w:t>通过物理学史和科学家故事，弘扬科学精神和爱国情怀，培养职业道德、团队协作意识与社会责任感。</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26</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化学</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bCs/>
                <w:i w:val="0"/>
                <w:iCs w:val="0"/>
                <w:color w:val="000000"/>
                <w:spacing w:val="0"/>
                <w:w w:val="100"/>
                <w:sz w:val="24"/>
                <w:szCs w:val="24"/>
                <w:highlight w:val="none"/>
                <w:vertAlign w:val="baseline"/>
              </w:rPr>
              <w:t>知识目标：</w:t>
            </w:r>
            <w:r>
              <w:rPr>
                <w:rFonts w:hint="eastAsia" w:ascii="仿宋_GB2312" w:hAnsi="仿宋_GB2312" w:eastAsia="仿宋_GB2312" w:cs="仿宋_GB2312"/>
                <w:b w:val="0"/>
                <w:bCs w:val="0"/>
                <w:i w:val="0"/>
                <w:iCs w:val="0"/>
                <w:color w:val="000000"/>
                <w:spacing w:val="0"/>
                <w:w w:val="100"/>
                <w:sz w:val="24"/>
                <w:szCs w:val="24"/>
                <w:highlight w:val="none"/>
                <w:vertAlign w:val="baseline"/>
              </w:rPr>
              <w:t>掌握物质结构、溶液化学、反应速率、电解质溶液等基本化学原理，熟悉常见元素及其化合物的性质与重要反应律。</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bCs/>
                <w:i w:val="0"/>
                <w:iCs w:val="0"/>
                <w:color w:val="000000"/>
                <w:spacing w:val="0"/>
                <w:w w:val="100"/>
                <w:sz w:val="24"/>
                <w:szCs w:val="24"/>
                <w:highlight w:val="none"/>
                <w:vertAlign w:val="baseline"/>
              </w:rPr>
              <w:t>能力目标：</w:t>
            </w:r>
            <w:r>
              <w:rPr>
                <w:rFonts w:hint="eastAsia" w:ascii="仿宋_GB2312" w:hAnsi="仿宋_GB2312" w:eastAsia="仿宋_GB2312" w:cs="仿宋_GB2312"/>
                <w:b w:val="0"/>
                <w:bCs w:val="0"/>
                <w:i w:val="0"/>
                <w:iCs w:val="0"/>
                <w:color w:val="000000"/>
                <w:spacing w:val="0"/>
                <w:w w:val="100"/>
                <w:sz w:val="24"/>
                <w:szCs w:val="24"/>
                <w:highlight w:val="none"/>
                <w:vertAlign w:val="baseline"/>
              </w:rPr>
              <w:t>能够规范进行基础化学实验操作，具备分析处理实验数据、鉴别常见物质及解决化工生产中一般性化学问题的实践能力。</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bCs/>
                <w:i w:val="0"/>
                <w:iCs w:val="0"/>
                <w:color w:val="000000"/>
                <w:spacing w:val="0"/>
                <w:w w:val="100"/>
                <w:sz w:val="24"/>
                <w:szCs w:val="24"/>
                <w:highlight w:val="none"/>
                <w:vertAlign w:val="baseline"/>
              </w:rPr>
              <w:t>素质目标：</w:t>
            </w:r>
            <w:r>
              <w:rPr>
                <w:rFonts w:hint="eastAsia" w:ascii="仿宋_GB2312" w:hAnsi="仿宋_GB2312" w:eastAsia="仿宋_GB2312" w:cs="仿宋_GB2312"/>
                <w:b w:val="0"/>
                <w:bCs w:val="0"/>
                <w:i w:val="0"/>
                <w:iCs w:val="0"/>
                <w:color w:val="000000"/>
                <w:spacing w:val="0"/>
                <w:w w:val="100"/>
                <w:sz w:val="24"/>
                <w:szCs w:val="24"/>
                <w:highlight w:val="none"/>
                <w:vertAlign w:val="baseline"/>
              </w:rPr>
              <w:t>培养严谨细致、实事求是的科学作风，树立环保、安全、节约的意识，为未来从事相关技术工作奠定良好的职业素养基础。</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i w:val="0"/>
                <w:iCs w:val="0"/>
                <w:color w:val="000000"/>
                <w:spacing w:val="0"/>
                <w:w w:val="100"/>
                <w:sz w:val="24"/>
                <w:szCs w:val="24"/>
                <w:highlight w:val="none"/>
                <w:vertAlign w:val="baseline"/>
              </w:rPr>
              <w:t>课程思政育人目标：</w:t>
            </w:r>
            <w:r>
              <w:rPr>
                <w:rFonts w:hint="eastAsia" w:ascii="仿宋_GB2312" w:hAnsi="仿宋_GB2312" w:eastAsia="仿宋_GB2312" w:cs="仿宋_GB2312"/>
                <w:b w:val="0"/>
                <w:bCs w:val="0"/>
                <w:i w:val="0"/>
                <w:iCs w:val="0"/>
                <w:color w:val="000000"/>
                <w:spacing w:val="0"/>
                <w:w w:val="100"/>
                <w:sz w:val="24"/>
                <w:szCs w:val="24"/>
                <w:highlight w:val="none"/>
                <w:vertAlign w:val="baseline"/>
              </w:rPr>
              <w:t>通过我国古代化工成就与现代科技发展案例，增强民族自豪感，培养绿色化学理念、社会责任感和职业道德。</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27</w:t>
            </w:r>
          </w:p>
        </w:tc>
        <w:tc>
          <w:tcPr>
            <w:tcW w:w="86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职业素养</w:t>
            </w:r>
          </w:p>
        </w:tc>
        <w:tc>
          <w:tcPr>
            <w:tcW w:w="3217" w:type="dxa"/>
            <w:vAlign w:val="top"/>
          </w:tcPr>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b w:val="0"/>
                <w:i w:val="0"/>
                <w:color w:val="000000"/>
                <w:spacing w:val="0"/>
                <w:w w:val="100"/>
                <w:sz w:val="24"/>
                <w:szCs w:val="24"/>
                <w:highlight w:val="none"/>
                <w:vertAlign w:val="baseline"/>
              </w:rPr>
              <w:t>系统的了解职业道德、职业礼仪、沟通协作、时间管理等基本规范与要求，理解职业角色定位与责任。</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能力目标：</w:t>
            </w:r>
            <w:r>
              <w:rPr>
                <w:rFonts w:hint="eastAsia" w:ascii="仿宋_GB2312" w:hAnsi="仿宋_GB2312" w:eastAsia="仿宋_GB2312" w:cs="仿宋_GB2312"/>
                <w:b w:val="0"/>
                <w:i w:val="0"/>
                <w:color w:val="000000"/>
                <w:spacing w:val="0"/>
                <w:w w:val="100"/>
                <w:sz w:val="24"/>
                <w:szCs w:val="24"/>
                <w:highlight w:val="none"/>
                <w:vertAlign w:val="baseline"/>
              </w:rPr>
              <w:t>能够有效进行职场沟通与团队协作，具备解决职场常见矛盾、管理情绪与压力及进行职业规划的实践能力。</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right="0"/>
              <w:jc w:val="both"/>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i w:val="0"/>
                <w:color w:val="000000"/>
                <w:spacing w:val="0"/>
                <w:w w:val="100"/>
                <w:sz w:val="24"/>
                <w:szCs w:val="24"/>
                <w:highlight w:val="none"/>
                <w:vertAlign w:val="baseline"/>
              </w:rPr>
              <w:t>素质目标：</w:t>
            </w:r>
            <w:r>
              <w:rPr>
                <w:rFonts w:hint="eastAsia" w:ascii="仿宋_GB2312" w:hAnsi="仿宋_GB2312" w:eastAsia="仿宋_GB2312" w:cs="仿宋_GB2312"/>
                <w:b w:val="0"/>
                <w:i w:val="0"/>
                <w:color w:val="000000"/>
                <w:spacing w:val="0"/>
                <w:w w:val="100"/>
                <w:sz w:val="24"/>
                <w:szCs w:val="24"/>
                <w:highlight w:val="none"/>
                <w:vertAlign w:val="baseline"/>
              </w:rPr>
              <w:t>内化敬业、诚信、责任、专注的工匠精神，塑造阳光积极的职业心态，实现从“学生”到“职业人”的角色转变。</w:t>
            </w:r>
          </w:p>
          <w:p>
            <w:pPr>
              <w:pStyle w:val="9"/>
              <w:keepNext w:val="0"/>
              <w:keepLines w:val="0"/>
              <w:pageBreakBefore w:val="0"/>
              <w:widowControl/>
              <w:suppressLineNumbers w:val="0"/>
              <w:kinsoku/>
              <w:wordWrap/>
              <w:topLinePunct w:val="0"/>
              <w:autoSpaceDE/>
              <w:autoSpaceDN/>
              <w:bidi w:val="0"/>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i w:val="0"/>
                <w:color w:val="000000"/>
                <w:spacing w:val="0"/>
                <w:w w:val="100"/>
                <w:sz w:val="24"/>
                <w:szCs w:val="24"/>
                <w:highlight w:val="none"/>
                <w:vertAlign w:val="baseline"/>
              </w:rPr>
              <w:t>课程思政育人目标：</w:t>
            </w:r>
            <w:r>
              <w:rPr>
                <w:rFonts w:hint="eastAsia" w:ascii="仿宋_GB2312" w:hAnsi="仿宋_GB2312" w:eastAsia="仿宋_GB2312" w:cs="仿宋_GB2312"/>
                <w:b w:val="0"/>
                <w:i w:val="0"/>
                <w:color w:val="000000"/>
                <w:spacing w:val="0"/>
                <w:w w:val="100"/>
                <w:sz w:val="24"/>
                <w:szCs w:val="24"/>
                <w:highlight w:val="none"/>
                <w:vertAlign w:val="baseline"/>
              </w:rPr>
              <w:t>培育社会主义核心价值观，强化劳动精神、劳模精神和工匠精神教育，树立正确的职业观、事业观和成才观。</w:t>
            </w:r>
          </w:p>
        </w:tc>
        <w:tc>
          <w:tcPr>
            <w:tcW w:w="3304"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 课程涵盖职业意识与角色转换；职业道德与职业行为规范；职业礼仪与形象塑造；高效沟通与团队协作技巧；情绪管理与压力应对；时间管理与执行力培养；创新思维与解决问题能力；职业规划与终身学习。内容融合大量企业案例、情景模拟和项目任务。</w:t>
            </w:r>
          </w:p>
        </w:tc>
        <w:tc>
          <w:tcPr>
            <w:tcW w:w="287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lang w:val="en-US" w:eastAsia="zh-CN"/>
              </w:rPr>
              <w:t>以学生为中心，采用角色扮演、案例分析、小组讨论等互动方法，创设真实职场情境。邀请企业专家、优秀校友进课堂，分享实战经验。强化过程体验与反思，鼓励学生在实践活动中领悟并践行职业素养要求，注重行为习惯的养成教育。</w:t>
            </w:r>
          </w:p>
        </w:tc>
      </w:tr>
    </w:tbl>
    <w:p>
      <w:pPr>
        <w:pStyle w:val="2"/>
        <w:keepNext/>
        <w:keepLines/>
        <w:pageBreakBefore w:val="0"/>
        <w:widowControl/>
        <w:kinsoku/>
        <w:wordWrap/>
        <w:overflowPunct/>
        <w:topLinePunct w:val="0"/>
        <w:autoSpaceDE/>
        <w:autoSpaceDN/>
        <w:bidi w:val="0"/>
        <w:adjustRightInd/>
        <w:snapToGrid/>
        <w:spacing w:before="0" w:beforeAutospacing="0" w:after="0" w:afterAutospacing="0" w:line="520" w:lineRule="exact"/>
        <w:ind w:left="0" w:firstLine="640" w:firstLineChars="200"/>
        <w:jc w:val="left"/>
        <w:textAlignment w:val="auto"/>
        <w:outlineLvl w:val="1"/>
        <w:rPr>
          <w:rFonts w:hint="eastAsia" w:ascii="楷体" w:hAnsi="楷体" w:eastAsia="楷体" w:cs="楷体"/>
          <w:b w:val="0"/>
          <w:bCs w:val="0"/>
          <w:color w:val="auto"/>
          <w:sz w:val="32"/>
          <w:szCs w:val="32"/>
        </w:rPr>
      </w:pPr>
      <w:bookmarkStart w:id="30" w:name="_Toc17624"/>
      <w:bookmarkStart w:id="31" w:name="_Toc31117"/>
      <w:r>
        <w:rPr>
          <w:rFonts w:hint="eastAsia" w:ascii="楷体" w:hAnsi="楷体" w:eastAsia="楷体" w:cs="楷体"/>
          <w:b w:val="0"/>
          <w:bCs w:val="0"/>
          <w:color w:val="auto"/>
          <w:sz w:val="32"/>
          <w:szCs w:val="32"/>
        </w:rPr>
        <w:t>（二）专业课程</w:t>
      </w:r>
      <w:bookmarkEnd w:id="30"/>
      <w:bookmarkEnd w:id="31"/>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rPr>
        <w:t>一般包括专业基础课程、专业核心课程和专业拓展课程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960" w:firstLineChars="300"/>
        <w:textAlignment w:val="auto"/>
        <w:rPr>
          <w:rFonts w:hint="eastAsia" w:ascii="仿宋_GB2312" w:hAnsi="仿宋_GB2312" w:eastAsia="仿宋_GB2312" w:cs="仿宋_GB2312"/>
          <w:b w:val="0"/>
          <w:bCs w:val="0"/>
          <w:color w:val="auto"/>
          <w:sz w:val="32"/>
          <w:szCs w:val="32"/>
        </w:rPr>
      </w:pPr>
      <w:bookmarkStart w:id="32" w:name="_Toc90734975"/>
      <w:r>
        <w:rPr>
          <w:rFonts w:hint="eastAsia" w:ascii="仿宋_GB2312" w:hAnsi="仿宋_GB2312" w:eastAsia="仿宋_GB2312" w:cs="仿宋_GB2312"/>
          <w:b w:val="0"/>
          <w:bCs w:val="0"/>
          <w:color w:val="auto"/>
          <w:sz w:val="32"/>
          <w:szCs w:val="32"/>
        </w:rPr>
        <w:t>1.专业基础课程</w:t>
      </w:r>
      <w:bookmarkEnd w:id="32"/>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专业基础课程</w:t>
      </w:r>
      <w:r>
        <w:rPr>
          <w:rFonts w:hint="eastAsia" w:ascii="仿宋_GB2312" w:hAnsi="仿宋_GB2312" w:eastAsia="仿宋_GB2312" w:cs="仿宋_GB2312"/>
          <w:color w:val="auto"/>
          <w:sz w:val="32"/>
          <w:szCs w:val="32"/>
          <w:highlight w:val="none"/>
          <w:lang w:val="en-US" w:eastAsia="zh-CN"/>
        </w:rPr>
        <w:t>是</w:t>
      </w:r>
      <w:r>
        <w:rPr>
          <w:rFonts w:hint="eastAsia" w:ascii="仿宋_GB2312" w:hAnsi="仿宋_GB2312" w:eastAsia="仿宋_GB2312" w:cs="仿宋_GB2312"/>
          <w:color w:val="auto"/>
          <w:kern w:val="2"/>
          <w:sz w:val="32"/>
          <w:szCs w:val="32"/>
          <w:highlight w:val="none"/>
          <w:lang w:val="en-US" w:eastAsia="zh-CN" w:bidi="ar-SA"/>
        </w:rPr>
        <w:t>为后续专业课程学习打基础的课程。</w:t>
      </w:r>
      <w:r>
        <w:rPr>
          <w:rFonts w:hint="eastAsia" w:ascii="仿宋_GB2312" w:hAnsi="仿宋_GB2312" w:eastAsia="仿宋_GB2312" w:cs="仿宋_GB2312"/>
          <w:color w:val="auto"/>
          <w:sz w:val="32"/>
          <w:szCs w:val="32"/>
          <w:highlight w:val="none"/>
        </w:rPr>
        <w:t>包括：</w:t>
      </w:r>
      <w:r>
        <w:rPr>
          <w:rFonts w:hint="eastAsia" w:ascii="仿宋_GB2312" w:hAnsi="仿宋_GB2312" w:eastAsia="仿宋_GB2312" w:cs="仿宋_GB2312"/>
          <w:color w:val="auto"/>
          <w:kern w:val="2"/>
          <w:sz w:val="32"/>
          <w:szCs w:val="32"/>
          <w:highlight w:val="none"/>
          <w:lang w:val="en-US" w:eastAsia="zh-CN" w:bidi="ar-SA"/>
        </w:rPr>
        <w:t>管理学基础、建筑识图与CAD、物业电工电子技术、物业管理法律法规、物业财务管理、物业信息化管理、物业档案管理、物业统计技术、工程建设法规等课</w:t>
      </w:r>
      <w:r>
        <w:rPr>
          <w:rFonts w:hint="eastAsia" w:ascii="仿宋_GB2312" w:hAnsi="仿宋_GB2312" w:eastAsia="仿宋_GB2312" w:cs="仿宋_GB2312"/>
          <w:color w:val="auto"/>
          <w:spacing w:val="-4"/>
          <w:sz w:val="32"/>
          <w:szCs w:val="32"/>
          <w:highlight w:val="none"/>
        </w:rPr>
        <w:t>程</w:t>
      </w:r>
      <w:r>
        <w:rPr>
          <w:rFonts w:hint="eastAsia" w:ascii="仿宋_GB2312" w:hAnsi="仿宋_GB2312" w:eastAsia="仿宋_GB2312" w:cs="仿宋_GB2312"/>
          <w:color w:val="auto"/>
          <w:spacing w:val="-4"/>
          <w:sz w:val="32"/>
          <w:szCs w:val="32"/>
          <w:highlight w:val="none"/>
          <w:lang w:eastAsia="zh-CN"/>
        </w:rPr>
        <w:t>。</w:t>
      </w:r>
    </w:p>
    <w:p>
      <w:pPr>
        <w:pageBreakBefore w:val="0"/>
        <w:kinsoku/>
        <w:wordWrap/>
        <w:overflowPunct w:val="0"/>
        <w:topLinePunct w:val="0"/>
        <w:autoSpaceDE/>
        <w:autoSpaceDN/>
        <w:bidi w:val="0"/>
        <w:adjustRightInd w:val="0"/>
        <w:spacing w:after="0" w:line="520" w:lineRule="exact"/>
        <w:ind w:left="0"/>
        <w:jc w:val="center"/>
        <w:rPr>
          <w:rFonts w:hint="default"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rPr>
        <w:t>表3专业</w:t>
      </w:r>
      <w:r>
        <w:rPr>
          <w:rFonts w:hint="eastAsia" w:ascii="仿宋_GB2312" w:hAnsi="仿宋_GB2312" w:eastAsia="仿宋_GB2312" w:cs="仿宋_GB2312"/>
          <w:color w:val="auto"/>
          <w:sz w:val="32"/>
          <w:szCs w:val="32"/>
          <w:highlight w:val="none"/>
        </w:rPr>
        <w:t>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896"/>
        <w:gridCol w:w="3470"/>
        <w:gridCol w:w="2278"/>
        <w:gridCol w:w="3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序号</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rPr>
              <w:t>课程名称</w:t>
            </w:r>
          </w:p>
        </w:tc>
        <w:tc>
          <w:tcPr>
            <w:tcW w:w="3470"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课程</w:t>
            </w:r>
            <w:r>
              <w:rPr>
                <w:rFonts w:hint="eastAsia" w:ascii="仿宋_GB2312" w:hAnsi="仿宋_GB2312" w:eastAsia="仿宋_GB2312" w:cs="仿宋_GB2312"/>
                <w:b w:val="0"/>
                <w:bCs w:val="0"/>
                <w:color w:val="auto"/>
                <w:sz w:val="24"/>
                <w:szCs w:val="24"/>
              </w:rPr>
              <w:t>目标</w:t>
            </w:r>
          </w:p>
        </w:tc>
        <w:tc>
          <w:tcPr>
            <w:tcW w:w="2278"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主要</w:t>
            </w:r>
            <w:r>
              <w:rPr>
                <w:rFonts w:hint="eastAsia" w:ascii="仿宋_GB2312" w:hAnsi="仿宋_GB2312" w:eastAsia="仿宋_GB2312" w:cs="仿宋_GB2312"/>
                <w:b w:val="0"/>
                <w:bCs w:val="0"/>
                <w:color w:val="auto"/>
                <w:sz w:val="24"/>
                <w:szCs w:val="24"/>
              </w:rPr>
              <w:t>教学内容</w:t>
            </w:r>
          </w:p>
        </w:tc>
        <w:tc>
          <w:tcPr>
            <w:tcW w:w="3164"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1</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管理学基础</w:t>
            </w:r>
          </w:p>
        </w:tc>
        <w:tc>
          <w:tcPr>
            <w:tcW w:w="347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了解管理学概念、历程及流派，掌握管理职能与相关理论方法。​</w:t>
            </w:r>
          </w:p>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能运用原理分析解决问题，具备计划制定等初步管理能力</w:t>
            </w: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培养科学管理思维与系统观，增强责任、大局和服务意识。</w:t>
            </w:r>
          </w:p>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引导树立正确管理伦理，融社会责任，明公平诚信担当重要。</w:t>
            </w:r>
          </w:p>
        </w:tc>
        <w:tc>
          <w:tcPr>
            <w:tcW w:w="22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掌握管理与管理学；管理理论的演化；组织的概论；计划工作概述；决策在管理中的战略；</w:t>
            </w:r>
          </w:p>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lang w:val="en-US" w:eastAsia="zh-CN"/>
              </w:rPr>
              <w:t>领导艺术；激励。</w:t>
            </w:r>
          </w:p>
        </w:tc>
        <w:tc>
          <w:tcPr>
            <w:tcW w:w="31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lang w:val="en-US" w:eastAsia="zh-CN"/>
              </w:rPr>
              <w:t>通过多媒体教学设备展示管理学的相关图片、视频和音频资料，帮助学生更好理解内容。其次组织课堂讨论、小组合作等教学活动，鼓励学生积极参与，培养其合作意识和创新能力。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bookmarkStart w:id="33" w:name="_Hlk194587108"/>
            <w:r>
              <w:rPr>
                <w:rFonts w:hint="eastAsia" w:ascii="仿宋_GB2312" w:hAnsi="仿宋_GB2312" w:eastAsia="仿宋_GB2312" w:cs="仿宋_GB2312"/>
                <w:color w:val="auto"/>
                <w:sz w:val="24"/>
                <w:szCs w:val="24"/>
                <w:highlight w:val="none"/>
                <w:lang w:val="en-US" w:eastAsia="zh-CN"/>
              </w:rPr>
              <w:t>2</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建筑识图与CAD</w:t>
            </w:r>
          </w:p>
        </w:tc>
        <w:tc>
          <w:tcPr>
            <w:tcW w:w="347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了解制图规范、符号，掌握各类建筑图纸构成与表达方法。​</w:t>
            </w:r>
          </w:p>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能熟练用CAD绘改标图纸，具备按规范完成基础绘图能力。</w:t>
            </w:r>
          </w:p>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培养严谨态度与空间想象力，形成规范习惯，提升设计理解。​</w:t>
            </w:r>
          </w:p>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引导认识行业责任，树质量理念，融工匠精神于专业学习。</w:t>
            </w:r>
          </w:p>
        </w:tc>
        <w:tc>
          <w:tcPr>
            <w:tcW w:w="22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lang w:val="en-US" w:eastAsia="zh-CN"/>
              </w:rPr>
              <w:t>认知CAD；了解AutoCAD的地位现状与发展；掌握AutoCAD的基本操作；掌握图形精确定形和定位；掌握建筑总图、平面图、立面图、剖面图及详图的绘制；掌握门窗的构造；认识房屋维护管理；掌握房屋基础的维护与加固。</w:t>
            </w:r>
          </w:p>
        </w:tc>
        <w:tc>
          <w:tcPr>
            <w:tcW w:w="31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lang w:val="en-US" w:eastAsia="zh-CN"/>
              </w:rPr>
              <w:t>在教学中主要采用讲授法、讨论法、案例教学法，以充分调动学生进行思考，激发学生主动性和参与性，增加学生在课堂中的获得感，提高教学实效。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bookmarkStart w:id="34" w:name="_Toc90734977"/>
            <w:r>
              <w:rPr>
                <w:rFonts w:hint="eastAsia" w:ascii="仿宋_GB2312" w:hAnsi="仿宋_GB2312" w:eastAsia="仿宋_GB2312" w:cs="仿宋_GB2312"/>
                <w:color w:val="auto"/>
                <w:sz w:val="24"/>
                <w:szCs w:val="24"/>
                <w:highlight w:val="none"/>
                <w:lang w:val="en-US" w:eastAsia="zh-CN"/>
              </w:rPr>
              <w:t>3</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物业电工电子技术</w:t>
            </w:r>
          </w:p>
        </w:tc>
        <w:tc>
          <w:tcPr>
            <w:tcW w:w="347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知晓电气安全规程、操作规范及电子电路基本分析方法。</w:t>
            </w:r>
          </w:p>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能识别检测元器件、看懂电气图，具备简单电路操作能力。</w:t>
            </w: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培养规范操作与安全意识，形成耐心态度，提升预判应对力。</w:t>
            </w:r>
          </w:p>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铸工匠精神，强安全责任，育社区服务初心，树技术惠民与担当意识。</w:t>
            </w:r>
          </w:p>
        </w:tc>
        <w:tc>
          <w:tcPr>
            <w:tcW w:w="22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lang w:val="en-US" w:eastAsia="zh-CN"/>
              </w:rPr>
              <w:t>掌握电路基本定律及直流/交流电路分析；三相异步电动机原理及物业设备中的应用；物业配电系统操作；常用电子元器件识别与检测；楼宇智能化设备基础；典型故障案例分析；节能技术应用。</w:t>
            </w:r>
          </w:p>
        </w:tc>
        <w:tc>
          <w:tcPr>
            <w:tcW w:w="31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lang w:val="en-US" w:eastAsia="zh-CN"/>
              </w:rPr>
              <w:t>通过多媒体教学设备展示管理学的相关图片、视频和音频资料，帮助学生更好理解内容。组织课堂讨论、小组合作等教学活动，鼓励学生积极参与，培养其合作意识和创新能力。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4</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物业管理法律法规</w:t>
            </w:r>
          </w:p>
        </w:tc>
        <w:tc>
          <w:tcPr>
            <w:tcW w:w="347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了解物业法规体系，掌握《物业管理条例》等核心规定。</w:t>
            </w:r>
          </w:p>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能运用法规分析解决物业收费、维修责任等实际问题。​</w:t>
            </w:r>
          </w:p>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培养法治思维与规则意识，养成依法办事习惯。</w:t>
            </w:r>
          </w:p>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认识物业法规意义，增强对国家法治建设的认同。</w:t>
            </w:r>
          </w:p>
        </w:tc>
        <w:tc>
          <w:tcPr>
            <w:tcW w:w="22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lang w:val="en-US" w:eastAsia="zh-CN"/>
              </w:rPr>
              <w:t>掌握物业管理相关法律法规、规章制度、政策、标准；物业管理基本概念、职能、流程、模式等方面的知识。</w:t>
            </w:r>
          </w:p>
        </w:tc>
        <w:tc>
          <w:tcPr>
            <w:tcW w:w="31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lang w:val="en-US" w:eastAsia="zh-CN"/>
              </w:rPr>
              <w:t>通过多媒体教学设备管理心理学的相关图片、视频和音频资料，帮助学生更好理解管理心理学的基础知识。其次组织课堂讨论、小组合作等教学活动，鼓励学生积极参与，培养其合作意识和创新能力。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5</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物业财务管理</w:t>
            </w:r>
          </w:p>
        </w:tc>
        <w:tc>
          <w:tcPr>
            <w:tcW w:w="347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了解物业财务管理概念、原则及流程，掌握核心内容知识。</w:t>
            </w:r>
          </w:p>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能进行成本测算等，规范处理财务往来，识别基础财务风险。​</w:t>
            </w:r>
          </w:p>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培养严谨态度与廉洁操守，形成成本意识和规范财务思维。</w:t>
            </w:r>
          </w:p>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树立正确金钱观，明财务诚信重要性，坚守职业道德底线。</w:t>
            </w:r>
          </w:p>
        </w:tc>
        <w:tc>
          <w:tcPr>
            <w:tcW w:w="22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lang w:val="en-US" w:eastAsia="zh-CN"/>
              </w:rPr>
              <w:t>掌握财务管理的概念；物业财务管理的特点；财务记录与核算、财务分析、财务预算管理；资金筹集与管理；成本控制与管理；熟悉与物业企业财务管理相关的法律法规。</w:t>
            </w:r>
          </w:p>
        </w:tc>
        <w:tc>
          <w:tcPr>
            <w:tcW w:w="31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lang w:val="en-US" w:eastAsia="zh-CN"/>
              </w:rPr>
              <w:t>在教学中主要采用讲授法、讨论法、案例教学法，以充分调动学生进行思考，激发学生主动性和参与性，增加学生在课堂中的获得感，提高教学实效。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6</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物业信息化管理</w:t>
            </w:r>
          </w:p>
        </w:tc>
        <w:tc>
          <w:tcPr>
            <w:tcW w:w="347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掌握物业信息化理论、技术及法规，理解其提升效率的作用机制。​</w:t>
            </w:r>
          </w:p>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能操作维护信息系统，处理数据与故障，优化服务和沟通。</w:t>
            </w:r>
          </w:p>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塑造信息化思维与责任意识，提升学习、协作及创新能力。</w:t>
            </w:r>
          </w:p>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融入诚信与法治观念，守道德底线，助力智慧和谐社区建设。</w:t>
            </w:r>
          </w:p>
        </w:tc>
        <w:tc>
          <w:tcPr>
            <w:tcW w:w="22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lang w:val="en-US" w:eastAsia="zh-CN"/>
              </w:rPr>
              <w:t>了解信息化技术在物业管理各环节的应用现状和发展趋势；理解物业信息化管理的基本概念和理论；掌握物业管理信息系统的功能和作用。学会运用物业信息系统进行操作与维护。</w:t>
            </w:r>
          </w:p>
        </w:tc>
        <w:tc>
          <w:tcPr>
            <w:tcW w:w="31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lang w:val="en-US" w:eastAsia="zh-CN"/>
              </w:rPr>
              <w:t>在教学中主要采用讲授法、讨论法、案例教学法，以充分调动学生进行思考，激发学生主动性和参与性，增加学生在课堂中的获得感，提高教学实效。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物业档案管理</w:t>
            </w:r>
          </w:p>
        </w:tc>
        <w:tc>
          <w:tcPr>
            <w:tcW w:w="347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lang w:val="en-US" w:eastAsia="zh-CN"/>
              </w:rPr>
              <w:t>知识目标：</w:t>
            </w:r>
            <w:r>
              <w:rPr>
                <w:rFonts w:hint="eastAsia" w:ascii="仿宋_GB2312" w:hAnsi="仿宋_GB2312" w:eastAsia="仿宋_GB2312" w:cs="仿宋_GB2312"/>
                <w:color w:val="auto"/>
                <w:sz w:val="24"/>
                <w:szCs w:val="24"/>
                <w:highlight w:val="none"/>
                <w:shd w:val="clear" w:color="auto" w:fill="auto"/>
                <w:lang w:val="en-US" w:eastAsia="zh-CN"/>
              </w:rPr>
              <w:t>了解物业档案管理基础知识，理解其基本工作原理，熟练掌握物业档案管理与维护的核心知识，明晰档案管理在物业管理岗位中的作用逻辑，为专业学习与就业筑牢知</w:t>
            </w:r>
            <w:r>
              <w:rPr>
                <w:rFonts w:hint="eastAsia" w:ascii="仿宋_GB2312" w:hAnsi="仿宋_GB2312" w:eastAsia="仿宋_GB2312" w:cs="仿宋_GB2312"/>
                <w:i w:val="0"/>
                <w:iCs w:val="0"/>
                <w:caps w:val="0"/>
                <w:color w:val="1F2329"/>
                <w:spacing w:val="0"/>
                <w:sz w:val="24"/>
                <w:szCs w:val="24"/>
                <w:highlight w:val="none"/>
                <w:shd w:val="clear" w:color="auto" w:fill="auto"/>
              </w:rPr>
              <w:t>识基础。</w:t>
            </w:r>
            <w:r>
              <w:rPr>
                <w:rFonts w:hint="eastAsia" w:ascii="仿宋_GB2312" w:hAnsi="仿宋_GB2312" w:eastAsia="仿宋_GB2312" w:cs="仿宋_GB2312"/>
                <w:color w:val="auto"/>
                <w:sz w:val="24"/>
                <w:szCs w:val="24"/>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lang w:val="en-US" w:eastAsia="zh-CN"/>
              </w:rPr>
              <w:t>能力目标：</w:t>
            </w:r>
            <w:r>
              <w:rPr>
                <w:rFonts w:hint="eastAsia" w:ascii="仿宋_GB2312" w:hAnsi="仿宋_GB2312" w:eastAsia="仿宋_GB2312" w:cs="仿宋_GB2312"/>
                <w:i w:val="0"/>
                <w:iCs w:val="0"/>
                <w:caps w:val="0"/>
                <w:color w:val="1F2329"/>
                <w:spacing w:val="0"/>
                <w:sz w:val="24"/>
                <w:szCs w:val="24"/>
                <w:highlight w:val="none"/>
                <w:shd w:val="clear" w:color="auto" w:fill="auto"/>
              </w:rPr>
              <w:t>能运用所学解决物业档案管理基本问题，具备档案收集、整理、维护的实操能力，形成适配岗位需求的档案管理技能，助力履行物业管理相关岗位职责。</w:t>
            </w:r>
          </w:p>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shd w:val="clear" w:color="auto" w:fill="auto"/>
                <w:lang w:val="en-US" w:eastAsia="zh-CN"/>
              </w:rPr>
            </w:pPr>
            <w:r>
              <w:rPr>
                <w:rFonts w:hint="eastAsia" w:ascii="仿宋_GB2312" w:hAnsi="仿宋_GB2312" w:eastAsia="仿宋_GB2312" w:cs="仿宋_GB2312"/>
                <w:b/>
                <w:bCs/>
                <w:color w:val="auto"/>
                <w:sz w:val="24"/>
                <w:szCs w:val="24"/>
                <w:highlight w:val="none"/>
                <w:shd w:val="clear" w:color="auto" w:fill="auto"/>
                <w:lang w:val="en-US" w:eastAsia="zh-CN"/>
              </w:rPr>
              <w:t>素质目标：</w:t>
            </w:r>
            <w:r>
              <w:rPr>
                <w:rFonts w:hint="eastAsia" w:ascii="仿宋_GB2312" w:hAnsi="仿宋_GB2312" w:eastAsia="仿宋_GB2312" w:cs="仿宋_GB2312"/>
                <w:i w:val="0"/>
                <w:iCs w:val="0"/>
                <w:caps w:val="0"/>
                <w:color w:val="1F2329"/>
                <w:spacing w:val="0"/>
                <w:sz w:val="24"/>
                <w:szCs w:val="24"/>
                <w:highlight w:val="none"/>
                <w:shd w:val="clear" w:color="auto" w:fill="auto"/>
              </w:rPr>
              <w:t>激发学习物业管理专业的兴趣，强化专业知识与岗位能力的融合素养，提升职业适配力，为今后从事物业管理相关工作打下坚实基础，增强行业竞争力。</w:t>
            </w:r>
          </w:p>
          <w:p>
            <w:pPr>
              <w:keepNext w:val="0"/>
              <w:keepLines w:val="0"/>
              <w:pageBreakBefore w:val="0"/>
              <w:widowControl w:val="0"/>
              <w:kinsoku/>
              <w:wordWrap/>
              <w:overflowPunct w:val="0"/>
              <w:topLinePunct w:val="0"/>
              <w:autoSpaceDE/>
              <w:autoSpaceDN/>
              <w:bidi w:val="0"/>
              <w:adjustRightInd w:val="0"/>
              <w:snapToGrid/>
              <w:spacing w:line="320" w:lineRule="exact"/>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highlight w:val="none"/>
                <w:shd w:val="clear" w:color="auto" w:fill="auto"/>
                <w:lang w:val="en-US" w:eastAsia="zh-CN"/>
              </w:rPr>
              <w:t>课程思政育人目标：</w:t>
            </w:r>
            <w:r>
              <w:rPr>
                <w:rFonts w:hint="eastAsia" w:ascii="仿宋_GB2312" w:hAnsi="仿宋_GB2312" w:eastAsia="仿宋_GB2312" w:cs="仿宋_GB2312"/>
                <w:i w:val="0"/>
                <w:iCs w:val="0"/>
                <w:caps w:val="0"/>
                <w:color w:val="1F2329"/>
                <w:spacing w:val="0"/>
                <w:sz w:val="24"/>
                <w:szCs w:val="24"/>
                <w:highlight w:val="none"/>
                <w:shd w:val="clear" w:color="auto" w:fill="auto"/>
              </w:rPr>
              <w:t>树立严谨细致的职业态度，培养档案保密意识与责任担当，坚守档案管理的真实性、规范性底线，助力构建规范有序的物业管理工作环境，促进行业健康发展。</w:t>
            </w:r>
          </w:p>
        </w:tc>
        <w:tc>
          <w:tcPr>
            <w:tcW w:w="2278"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shd w:val="clear" w:color="auto" w:fill="auto"/>
                <w:lang w:val="en-US" w:eastAsia="zh-CN"/>
              </w:rPr>
              <w:t>掌握业主档案管理，物业项目档案的管理，物业档案管理的程序，物业档案整理的具体实施，物业管理立卷类别。</w:t>
            </w:r>
          </w:p>
        </w:tc>
        <w:tc>
          <w:tcPr>
            <w:tcW w:w="31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i w:val="0"/>
                <w:iCs w:val="0"/>
                <w:caps w:val="0"/>
                <w:color w:val="1F2329"/>
                <w:spacing w:val="0"/>
                <w:sz w:val="24"/>
                <w:szCs w:val="24"/>
                <w:highlight w:val="none"/>
                <w:shd w:val="clear" w:color="auto" w:fill="auto"/>
              </w:rPr>
              <w:t>采用理论讲授 + 实操演练，通过案例教学引导学生解决档案管理实际问题。聚焦物业档案管理基础、原理及维护核心知识，结合岗位场景解析作用逻辑。注重知识掌握与实操能力考核，融入保密教育与职业素养引导，强化严谨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89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物业统计技术</w:t>
            </w:r>
          </w:p>
        </w:tc>
        <w:tc>
          <w:tcPr>
            <w:tcW w:w="3470"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掌握物业统计理论、方法及工具，理解其在运营等场景的应用。​</w:t>
            </w:r>
          </w:p>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能采集清洗数据，分析总结并转化为管理建议，助力决策。​</w:t>
            </w:r>
          </w:p>
          <w:p>
            <w:pPr>
              <w:keepNext w:val="0"/>
              <w:keepLines w:val="0"/>
              <w:pageBreakBefore w:val="0"/>
              <w:widowControl w:val="0"/>
              <w:kinsoku/>
              <w:wordWrap/>
              <w:overflowPunct/>
              <w:topLinePunct w:val="0"/>
              <w:autoSpaceDE/>
              <w:autoSpaceDN/>
              <w:bidi w:val="0"/>
              <w:adjustRightInd/>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培养严谨精神与逻辑分析能力，具备数据敏感性和合作素质。​</w:t>
            </w:r>
          </w:p>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融入求真务实操守与法治观念，严守数据真实，助建公平环境。</w:t>
            </w:r>
          </w:p>
        </w:tc>
        <w:tc>
          <w:tcPr>
            <w:tcW w:w="2278"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lang w:val="en-US" w:eastAsia="zh-CN"/>
              </w:rPr>
              <w:t>掌握物业统计的特点、物业统计工作过程、物业统计学中的几个基本概念；熟练掌握物业统计的对象和物业管理企业基本情况统计；掌握物业统计调查；理解统计整理的步骤；掌握统计分组的基本理论与方法；学会静态分析指标、动态数列分析等。</w:t>
            </w:r>
          </w:p>
        </w:tc>
        <w:tc>
          <w:tcPr>
            <w:tcW w:w="31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color w:val="auto"/>
                <w:sz w:val="24"/>
                <w:szCs w:val="24"/>
                <w:highlight w:val="none"/>
                <w:lang w:val="en-US" w:eastAsia="zh-CN"/>
              </w:rPr>
              <w:t>在教学中主要采用讲授法、讨论法、案例教学法，以充分调动学生进行思考，激发学生主动性和参与性，增加学生在课堂中的获得感，提高教学实效。</w:t>
            </w:r>
          </w:p>
        </w:tc>
      </w:tr>
      <w:bookmarkEnd w:id="33"/>
    </w:tbl>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2.专业核心课程</w:t>
      </w:r>
      <w:bookmarkEnd w:id="34"/>
    </w:p>
    <w:p>
      <w:pPr>
        <w:keepNext w:val="0"/>
        <w:keepLines w:val="0"/>
        <w:pageBreakBefore w:val="0"/>
        <w:widowControl w:val="0"/>
        <w:kinsoku/>
        <w:wordWrap/>
        <w:overflowPunct/>
        <w:topLinePunct w:val="0"/>
        <w:autoSpaceDE/>
        <w:autoSpaceDN/>
        <w:bidi w:val="0"/>
        <w:adjustRightInd w:val="0"/>
        <w:snapToGrid w:val="0"/>
        <w:spacing w:after="0" w:line="520" w:lineRule="exact"/>
        <w:ind w:left="0" w:firstLine="640" w:firstLineChars="200"/>
        <w:textAlignment w:val="auto"/>
        <w:rPr>
          <w:rFonts w:hint="eastAsia" w:ascii="仿宋_GB2312" w:hAnsi="仿宋_GB2312" w:eastAsia="仿宋_GB2312" w:cs="仿宋_GB2312"/>
          <w:color w:val="auto"/>
          <w:spacing w:val="-4"/>
          <w:sz w:val="32"/>
          <w:szCs w:val="32"/>
          <w:highlight w:val="none"/>
        </w:rPr>
      </w:pPr>
      <w:bookmarkStart w:id="35" w:name="OLE_LINK7"/>
      <w:r>
        <w:rPr>
          <w:rFonts w:hint="eastAsia" w:ascii="仿宋_GB2312" w:hAnsi="仿宋_GB2312" w:eastAsia="仿宋_GB2312" w:cs="仿宋_GB2312"/>
          <w:color w:val="auto"/>
          <w:sz w:val="32"/>
          <w:szCs w:val="32"/>
          <w:highlight w:val="none"/>
        </w:rPr>
        <w:t>专业核心课是</w:t>
      </w:r>
      <w:bookmarkEnd w:id="35"/>
      <w:r>
        <w:rPr>
          <w:rFonts w:hint="eastAsia" w:ascii="仿宋_GB2312" w:hAnsi="仿宋_GB2312" w:eastAsia="仿宋_GB2312" w:cs="仿宋_GB2312"/>
          <w:color w:val="auto"/>
          <w:sz w:val="32"/>
          <w:szCs w:val="32"/>
          <w:highlight w:val="none"/>
          <w:lang w:val="en-US" w:eastAsia="zh-CN"/>
        </w:rPr>
        <w:t>面向客户服务、空间营造管理、设备设施管理、经营管理、数字化管理等岗位（群），结合物业管理员、客户服务管理员、智能楼宇管理员、管理咨询专业人员、物业经营管理专业人员的就业岗位，建立现代物业管理专业核心课程，培养学生物业管理等方面的能力。</w:t>
      </w:r>
      <w:r>
        <w:rPr>
          <w:rFonts w:hint="eastAsia" w:ascii="仿宋_GB2312" w:hAnsi="仿宋_GB2312" w:eastAsia="仿宋_GB2312" w:cs="仿宋_GB2312"/>
          <w:color w:val="auto"/>
          <w:sz w:val="32"/>
          <w:szCs w:val="32"/>
          <w:highlight w:val="none"/>
        </w:rPr>
        <w:t>包括</w:t>
      </w:r>
      <w:r>
        <w:rPr>
          <w:rFonts w:hint="eastAsia" w:ascii="仿宋_GB2312" w:hAnsi="仿宋_GB2312" w:eastAsia="仿宋_GB2312" w:cs="仿宋_GB2312"/>
          <w:color w:val="auto"/>
          <w:sz w:val="32"/>
          <w:szCs w:val="32"/>
          <w:highlight w:val="none"/>
          <w:lang w:val="en-US" w:eastAsia="zh-CN"/>
        </w:rPr>
        <w:t>物业管理招投标技术、房屋建筑结构与维护管理、现代物业管理实务、物业设施设备管理、物业客户服务与管理、物业空间与营造管理、物业经营管理、楼宇智能化管理等课程。</w:t>
      </w: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3765"/>
        <w:gridCol w:w="2604"/>
        <w:gridCol w:w="2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775"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课程名称</w:t>
            </w:r>
          </w:p>
        </w:tc>
        <w:tc>
          <w:tcPr>
            <w:tcW w:w="3765"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604"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83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1</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物业管理招投标技术</w:t>
            </w:r>
          </w:p>
        </w:tc>
        <w:tc>
          <w:tcPr>
            <w:tcW w:w="3765"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掌握招投标制度、流程及要素，理解其对规范市场的作用。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培养制定方案、编制文件等能力，能识别风险并合规操作。</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树立公平诚信意识，秉持严谨作风，提升应变与协作能力。</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融入廉洁诚信操守，守公正，助力构建健康市场生态。</w:t>
            </w:r>
          </w:p>
        </w:tc>
        <w:tc>
          <w:tcPr>
            <w:tcW w:w="2604"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课程围绕物业管理招投标全流程展开。先讲解行业法规与基本概念，再深入介绍招标策划、文件编制，剖析投标策略、标书制作。接着开展评标环节教学，最后辅以案例实操，帮助学生巩固知识，提升实战能力。</w:t>
            </w:r>
          </w:p>
        </w:tc>
        <w:tc>
          <w:tcPr>
            <w:tcW w:w="2830"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要求学生全程参与课堂互动，扎实掌握理论知识；能独立完成招投标文件制作，模拟项目精准把控流程；课后持续关注行业动态，提升综合运用知识解决复杂问题的能力。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房屋建筑结构与维护管理</w:t>
            </w:r>
          </w:p>
        </w:tc>
        <w:tc>
          <w:tcPr>
            <w:tcW w:w="3765"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掌握建筑结构类型、构造原理及维护法规，理解其对安全的作用。能力目标：培养识别病害、制定方案等能力，能评估质量成本与分析数据。​</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树立安全责任意识，秉持严谨作风，提升问题解决与协作能力。​</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融入生命至上理念，守底线，保障居住安全助力宜居环境。</w:t>
            </w:r>
          </w:p>
        </w:tc>
        <w:tc>
          <w:tcPr>
            <w:tcW w:w="2604"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涵盖房屋建筑结构类型、组成与受力特点，讲解结构检测、评估方法，传授日常维护、修缮技术，辅以案例剖析和实践操作，加深学生对知识的理解与运用。</w:t>
            </w:r>
          </w:p>
        </w:tc>
        <w:tc>
          <w:tcPr>
            <w:tcW w:w="2830"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要求学生认真学习理论知识，主动参与实践环节，能够准确判断建筑结构问题，合理制定维护方案，在实践中积累经验，提升房屋建筑维护实操技能。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bookmarkStart w:id="36" w:name="_Toc90734991"/>
            <w:r>
              <w:rPr>
                <w:rFonts w:hint="eastAsia" w:ascii="仿宋_GB2312" w:hAnsi="仿宋_GB2312" w:eastAsia="仿宋_GB2312" w:cs="仿宋_GB2312"/>
                <w:color w:val="auto"/>
                <w:sz w:val="24"/>
                <w:szCs w:val="24"/>
                <w:highlight w:val="none"/>
                <w:lang w:val="en-US" w:eastAsia="zh-CN"/>
              </w:rPr>
              <w:t>3</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现代物业</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管理实务</w:t>
            </w:r>
          </w:p>
        </w:tc>
        <w:tc>
          <w:tcPr>
            <w:tcW w:w="3765"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掌握管理理论、核心内容及法规，理解信息化智能化应用逻辑。​</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培养解决实际问题能力，能操作系统、协调资源、优化流程。</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塑造服务意识与沟通执行能力，培养创新思维和职业韧性。</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融入服务理念与操守，助建和谐有温度有活力的居住环境。</w:t>
            </w:r>
          </w:p>
        </w:tc>
        <w:tc>
          <w:tcPr>
            <w:tcW w:w="2604"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围绕物业管理全流程，讲解物业项目承接查验、客户服务、设施设备管理、经营策划等内容，融入智能化技术与法规政策解读，并通过案例分析与模拟实训，提升学生实践应用能力。</w:t>
            </w:r>
          </w:p>
        </w:tc>
        <w:tc>
          <w:tcPr>
            <w:tcW w:w="2830"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要求学生课堂认真学习理论知识，主动参与实训，能运用所学分析并解决实际问题，课后关注行业动态，持续提升职业素养与综合能力。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4</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物业设施</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设备管理</w:t>
            </w:r>
          </w:p>
        </w:tc>
        <w:tc>
          <w:tcPr>
            <w:tcW w:w="3765"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掌握设施设备类型、原理及维保标准法规，理解智能化应用。​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培养巡检评估、故障处理等能力，能制定全生命周期管理计划。​</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树立安全意识，秉持严谨作风与工匠精神，提升协作应急素养。​</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融入安全责任理念，守操守，助力构建安全节能社区环境。</w:t>
            </w:r>
          </w:p>
        </w:tc>
        <w:tc>
          <w:tcPr>
            <w:tcW w:w="2604" w:type="dxa"/>
            <w:vAlign w:val="top"/>
          </w:tcPr>
          <w:p>
            <w:pPr>
              <w:keepNext w:val="0"/>
              <w:keepLines w:val="0"/>
              <w:pageBreakBefore w:val="0"/>
              <w:widowControl w:val="0"/>
              <w:kinsoku/>
              <w:wordWrap/>
              <w:overflowPunct/>
              <w:topLinePunct w:val="0"/>
              <w:autoSpaceDE/>
              <w:autoSpaceDN/>
              <w:bidi w:val="0"/>
              <w:adjustRightInd/>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系统讲解物业设施设备的分类和构成，阐述设备的日常巡检、维护保养、故障维修、更新改造的技术和方法，融入智能管理技术，借助案例分析与实操演练，强化知识应用。</w:t>
            </w:r>
          </w:p>
        </w:tc>
        <w:tc>
          <w:tcPr>
            <w:tcW w:w="2830"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学生需在课堂上掌握理论知识，主动参与实验和实习活动，能独立完成设施设备巡检和常见故障处理，课后持续学习，提升设施设备全周期管理能力。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5</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物业客户</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服务与管理</w:t>
            </w:r>
          </w:p>
        </w:tc>
        <w:tc>
          <w:tcPr>
            <w:tcW w:w="3765"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掌握客户服务管理理论、法规，理解客户需求差异及应对策略。​</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培养沟通、处理投诉等能力，能优化服务流程与提升效率。</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树立主动服务意识，培养同理心与情绪管理、团队协作素养。​</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融入以业主为中心理念，守诚信，助建和睦友爱的社区。</w:t>
            </w:r>
          </w:p>
        </w:tc>
        <w:tc>
          <w:tcPr>
            <w:tcW w:w="2604"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系统讲解物业客户服务基础理论，包含客户沟通流程与技巧、投诉处理策略，以及客户关系维护、服务品质管理方法。同时，引入大量真实案例，组织模拟实践，加深学生对知识的运用。</w:t>
            </w:r>
          </w:p>
        </w:tc>
        <w:tc>
          <w:tcPr>
            <w:tcW w:w="2830"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学生需积极参与课堂互动，深入理解理论知识，主动投身实践训练。能够熟练运用服务技巧，妥善处理各类客户问题，不断提升服务意识和团队协作能力。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6</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物业空间与营造管理</w:t>
            </w:r>
          </w:p>
        </w:tc>
        <w:tc>
          <w:tcPr>
            <w:tcW w:w="3765"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掌握物业空间类型、规划原则及法规，理解其对价值的作用。​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培养空间规划、改造实施等能力，能评估调整并提升环境品质。​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树立人本理念与节约意识，提升沟通协作能力以满足需求。</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融入共建共享理念，兼顾功能与人文，助力美好社区建设。</w:t>
            </w:r>
          </w:p>
        </w:tc>
        <w:tc>
          <w:tcPr>
            <w:tcW w:w="2604"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系统讲解物业空间基础理论，涵盖规划设计原理、营造施工流程、空间评估方法。结合实际项目案例，开展空间规划与营造方案设计实训，强化学生实践应用能力。</w:t>
            </w:r>
          </w:p>
        </w:tc>
        <w:tc>
          <w:tcPr>
            <w:tcW w:w="2830"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学生需理解理论知识，参与课堂讨论与案例分析。主动投身实践项目，完成物业空间规划与营造方案，在实操中积累经验，提升解决复杂问题的能力。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物业经营</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管理</w:t>
            </w:r>
          </w:p>
        </w:tc>
        <w:tc>
          <w:tcPr>
            <w:tcW w:w="3765"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系统掌握物业经营管理基础理论、核心知识及前沿，形成全面认知。能力目标：培养项目运营等实践能力，具备数据分析、市场研判等综合能力。</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提升职业素养，强调诚信担当与协作，培养终身学习和创新思维。</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融入核心价值观，树立正确职业观，培育专业能力与高尚品德人才。</w:t>
            </w:r>
          </w:p>
        </w:tc>
        <w:tc>
          <w:tcPr>
            <w:tcW w:w="2604"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涵盖物业市场调研、项目定位、资产运营策略、租赁营销、成本管控等知识模块，融入商业物业、写字楼等多元业态案例，配合模拟经营与实地考察，提升学生实操水平。</w:t>
            </w:r>
          </w:p>
        </w:tc>
        <w:tc>
          <w:tcPr>
            <w:tcW w:w="2830"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要求学生理论联系实际，课堂积极参与案例讨论，课后完成模拟经营任务，深入调研分析行业案例，掌握物业经营管理核心技能，培养创新与应变能力。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77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楼宇智能化管理</w:t>
            </w:r>
          </w:p>
        </w:tc>
        <w:tc>
          <w:tcPr>
            <w:tcW w:w="3765"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掌握智能楼宇核心理论与技术标准，了解法规及趋势，构建体系。能力目标：培养系统操作、故障排查等能力，具备协同管理与应急处置能力。</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强调严谨素养，注重创新与协作，能与多领域人员有效配合。​</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以核心价值观引领，强化担当，守道德提供安全高效服务。</w:t>
            </w:r>
          </w:p>
        </w:tc>
        <w:tc>
          <w:tcPr>
            <w:tcW w:w="2604"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系统介绍楼宇自动化、安防、通信等智能化系统，阐释系统原理、设备组成与安装调试方法，融入行业前沿技术与案例，安排实操项目，强化学生对知识的理解与运用。</w:t>
            </w:r>
          </w:p>
        </w:tc>
        <w:tc>
          <w:tcPr>
            <w:tcW w:w="2830"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要求学生认真学习理论知识，积极参与实验、实训，熟练掌握系统操作与维护技能，能在模拟场景中排查与解决问题，课后关注行业动态，提升综合素养。</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firstLine="320" w:firstLineChars="1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36"/>
    </w:p>
    <w:p>
      <w:pPr>
        <w:keepNext w:val="0"/>
        <w:keepLines w:val="0"/>
        <w:pageBreakBefore w:val="0"/>
        <w:widowControl w:val="0"/>
        <w:kinsoku/>
        <w:wordWrap/>
        <w:overflowPunct w:val="0"/>
        <w:topLinePunct w:val="0"/>
        <w:autoSpaceDE/>
        <w:autoSpaceDN/>
        <w:bidi w:val="0"/>
        <w:adjustRightInd w:val="0"/>
        <w:spacing w:after="0"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专业拓展课程是按照岗位迁移，根据现代物业管理行业发展的趋势，依据企业用人需求调研，企业对物业管理等方面日益增加的需求，建立了现代物业管理专业拓展课，并将辅修方向课程纳入其中。由BIM技术运维管理、物业服务营销、物业价值评估技术、现代社区服务、物联网技术与应用、绿色建筑运维管理、物业服务质量管理、物业风险识别与管理、物业消防管理、中西方建筑文化、工程制图等课程构成专业拓展课。</w:t>
      </w:r>
    </w:p>
    <w:p>
      <w:pPr>
        <w:pageBreakBefore w:val="0"/>
        <w:kinsoku/>
        <w:wordWrap/>
        <w:overflowPunct w:val="0"/>
        <w:topLinePunct w:val="0"/>
        <w:autoSpaceDE/>
        <w:autoSpaceDN/>
        <w:bidi w:val="0"/>
        <w:adjustRightInd w:val="0"/>
        <w:spacing w:after="0" w:line="520" w:lineRule="exact"/>
        <w:ind w:left="0"/>
        <w:jc w:val="center"/>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000000" w:themeColor="text1"/>
          <w:sz w:val="32"/>
          <w:szCs w:val="32"/>
          <w:highlight w:val="none"/>
          <w14:textFill>
            <w14:solidFill>
              <w14:schemeClr w14:val="tx1"/>
            </w14:solidFill>
          </w14:textFill>
        </w:rPr>
        <w:t>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1"/>
        <w:tblW w:w="10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1052"/>
        <w:gridCol w:w="3062"/>
        <w:gridCol w:w="2502"/>
        <w:gridCol w:w="3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05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50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3236"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1</w:t>
            </w:r>
          </w:p>
        </w:tc>
        <w:tc>
          <w:tcPr>
            <w:tcW w:w="10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BIM技术运维管理</w:t>
            </w:r>
          </w:p>
        </w:tc>
        <w:tc>
          <w:tcPr>
            <w:tcW w:w="306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掌握BIM基础理论与运维知识，熟悉标准工具及融合趋势，搭建框架。</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培养BIM实践与跨专业协同能力，借平台提升运维管理效率。</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强调严谨规范，培养创新与责任意识，保障建筑安全与体验。</w:t>
            </w: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以核心价值观引导，增强责任感，守伦理助行业发展。</w:t>
            </w:r>
          </w:p>
        </w:tc>
        <w:tc>
          <w:tcPr>
            <w:tcW w:w="25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围绕BIM运维基础，讲解模型搭建与整合、数据录入关联；介绍运维管理核心，如设备全生命周期管理、空间运维调度；通过项目实践，引导学生基于BIM平台解决运维难题。</w:t>
            </w:r>
          </w:p>
        </w:tc>
        <w:tc>
          <w:tcPr>
            <w:tcW w:w="323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要求学生课前做好预习，课上积极互动，掌握软件操作与理论知识。教师要融合案例与实操教学，提供丰富项目场景，定期更新教学资源，保障知识的时效性。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10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物业服务营销</w:t>
            </w:r>
          </w:p>
        </w:tc>
        <w:tc>
          <w:tcPr>
            <w:tcW w:w="306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掌握物业服务营销基础理论与核心知识</w:t>
            </w:r>
            <w:r>
              <w:rPr>
                <w:rFonts w:hint="eastAsia" w:ascii="仿宋_GB2312" w:hAnsi="仿宋_GB2312" w:eastAsia="仿宋_GB2312" w:cs="仿宋_GB2312"/>
                <w:color w:val="auto"/>
                <w:spacing w:val="-11"/>
                <w:sz w:val="24"/>
                <w:szCs w:val="24"/>
                <w:highlight w:val="none"/>
                <w:lang w:val="en-US" w:eastAsia="zh-CN"/>
              </w:rPr>
              <w:t>，熟悉法规，了解竞争态势与数字化工具，构建系统知识体系。</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培养挖掘需求、优化策略等能力，具备危机公关能力，妥善处理问题，提升客户满意度。</w:t>
            </w:r>
          </w:p>
          <w:p>
            <w:pPr>
              <w:keepNext w:val="0"/>
              <w:keepLines w:val="0"/>
              <w:pageBreakBefore w:val="0"/>
              <w:widowControl w:val="0"/>
              <w:kinsoku/>
              <w:wordWrap/>
              <w:overflowPunct w:val="0"/>
              <w:topLinePunct w:val="0"/>
              <w:autoSpaceDE/>
              <w:autoSpaceDN/>
              <w:bidi w:val="0"/>
              <w:adjustRightInd w:val="0"/>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强调以客户为中心，注重诚信守诺，培养团队协作与抗压能力，适应行业节奏。</w:t>
            </w: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以核心价值观引领，树立“服务为民”理念，传递契约精神，推动行业良性发展。</w:t>
            </w:r>
          </w:p>
        </w:tc>
        <w:tc>
          <w:tcPr>
            <w:tcW w:w="25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工程建设法规的概念；工程建设法规的调整对象；工程建设法规的适用范围。</w:t>
            </w:r>
          </w:p>
        </w:tc>
        <w:tc>
          <w:tcPr>
            <w:tcW w:w="323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在教学中主要采用讲授法、讨论法、查阅法，以充分调动学生进行思考，激发学生主动性和参与性，增加学生在课堂中的获得感，提高教学实效。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3</w:t>
            </w:r>
          </w:p>
        </w:tc>
        <w:tc>
          <w:tcPr>
            <w:tcW w:w="10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物业价值评估技术</w:t>
            </w:r>
          </w:p>
        </w:tc>
        <w:tc>
          <w:tcPr>
            <w:tcW w:w="30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bCs/>
                <w:color w:val="auto"/>
                <w:spacing w:val="-11"/>
                <w:sz w:val="24"/>
                <w:szCs w:val="24"/>
                <w:highlight w:val="none"/>
                <w:lang w:val="en-US" w:eastAsia="zh-CN"/>
              </w:rPr>
              <w:t>：</w:t>
            </w:r>
            <w:r>
              <w:rPr>
                <w:rFonts w:hint="eastAsia" w:ascii="仿宋_GB2312" w:hAnsi="仿宋_GB2312" w:eastAsia="仿宋_GB2312" w:cs="仿宋_GB2312"/>
                <w:color w:val="auto"/>
                <w:spacing w:val="-11"/>
                <w:sz w:val="24"/>
                <w:szCs w:val="24"/>
                <w:highlight w:val="none"/>
                <w:lang w:val="en-US" w:eastAsia="zh-CN"/>
              </w:rPr>
              <w:t>掌握评估理论、方法及法规。</w:t>
            </w:r>
          </w:p>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具备实操、分析及风险把控能力。​</w:t>
            </w:r>
          </w:p>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秉持客观公正、严谨负责态度。​</w:t>
            </w:r>
          </w:p>
          <w:p>
            <w:pPr>
              <w:keepNext w:val="0"/>
              <w:keepLines w:val="0"/>
              <w:pageBreakBefore w:val="0"/>
              <w:widowControl w:val="0"/>
              <w:kinsoku/>
              <w:wordWrap/>
              <w:overflowPunct/>
              <w:topLinePunct w:val="0"/>
              <w:autoSpaceDE/>
              <w:autoSpaceDN/>
              <w:bidi w:val="0"/>
              <w:adjustRightInd/>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树立诚信执业、服务社会理念。</w:t>
            </w:r>
          </w:p>
        </w:tc>
        <w:tc>
          <w:tcPr>
            <w:tcW w:w="25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掌握计算机绘图环境、绘图与编辑命令，图形显示控制、文字输入和图形编辑辅助绘图工具及目标查询特性修改与夹点编辑。</w:t>
            </w:r>
          </w:p>
        </w:tc>
        <w:tc>
          <w:tcPr>
            <w:tcW w:w="323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学生要主动学习，参与课堂互动、案例研讨及实操练习。教师需采用理论讲授与实践指导相结合的方式，及时反馈学习问题，培养学生的综合评估能力。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4</w:t>
            </w:r>
          </w:p>
        </w:tc>
        <w:tc>
          <w:tcPr>
            <w:tcW w:w="10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现代社区服务</w:t>
            </w:r>
          </w:p>
        </w:tc>
        <w:tc>
          <w:tcPr>
            <w:tcW w:w="30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pacing w:val="-17"/>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bCs/>
                <w:color w:val="auto"/>
                <w:spacing w:val="-17"/>
                <w:sz w:val="24"/>
                <w:szCs w:val="24"/>
                <w:highlight w:val="none"/>
                <w:lang w:val="en-US" w:eastAsia="zh-CN"/>
              </w:rPr>
              <w:t>：</w:t>
            </w:r>
            <w:r>
              <w:rPr>
                <w:rFonts w:hint="eastAsia" w:ascii="仿宋_GB2312" w:hAnsi="仿宋_GB2312" w:eastAsia="仿宋_GB2312" w:cs="仿宋_GB2312"/>
                <w:color w:val="auto"/>
                <w:spacing w:val="-17"/>
                <w:sz w:val="24"/>
                <w:szCs w:val="24"/>
                <w:highlight w:val="none"/>
                <w:lang w:val="en-US" w:eastAsia="zh-CN"/>
              </w:rPr>
              <w:t>熟社区服务规范与需求特点。</w:t>
            </w:r>
          </w:p>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有统筹、沟通及应急处理能力。​</w:t>
            </w:r>
          </w:p>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素质目标：坚</w:t>
            </w:r>
            <w:r>
              <w:rPr>
                <w:rFonts w:hint="eastAsia" w:ascii="仿宋_GB2312" w:hAnsi="仿宋_GB2312" w:eastAsia="仿宋_GB2312" w:cs="仿宋_GB2312"/>
                <w:color w:val="auto"/>
                <w:sz w:val="24"/>
                <w:szCs w:val="24"/>
                <w:highlight w:val="none"/>
                <w:lang w:val="en-US" w:eastAsia="zh-CN"/>
              </w:rPr>
              <w:t>持热心奉献、耐心细致作风。​</w:t>
            </w:r>
          </w:p>
          <w:p>
            <w:pPr>
              <w:keepNext w:val="0"/>
              <w:keepLines w:val="0"/>
              <w:pageBreakBefore w:val="0"/>
              <w:widowControl w:val="0"/>
              <w:kinsoku/>
              <w:wordWrap/>
              <w:overflowPunct/>
              <w:topLinePunct w:val="0"/>
              <w:autoSpaceDE/>
              <w:autoSpaceDN/>
              <w:bidi w:val="0"/>
              <w:adjustRightInd/>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树立共建和谐社区的服务理念。</w:t>
            </w:r>
          </w:p>
        </w:tc>
        <w:tc>
          <w:tcPr>
            <w:tcW w:w="25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了解文献检索和论文的相互关系和重要意义；掌握文献概念、属性和；分类，掌握文献信息检；索的含义、类型和基本；原理，掌握文献信息检索的途径、方法和步骤；掌握中文全文数据库；的检索方法。</w:t>
            </w:r>
          </w:p>
        </w:tc>
        <w:tc>
          <w:tcPr>
            <w:tcW w:w="323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在教学中主要采用讲授法、讨论法、查阅法，以充分调动学生进行思考，激发学生主动性和参与性，增加学生在课堂中的获得感，提高教学实效。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5</w:t>
            </w:r>
          </w:p>
        </w:tc>
        <w:tc>
          <w:tcPr>
            <w:tcW w:w="10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物联网技术与应用</w:t>
            </w:r>
          </w:p>
        </w:tc>
        <w:tc>
          <w:tcPr>
            <w:tcW w:w="30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懂物联网架构、技术及应用场景。​</w:t>
            </w:r>
          </w:p>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具备搭建、运维及创新应用能力。​</w:t>
            </w:r>
          </w:p>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有严谨务实、协作创新精神。​</w:t>
            </w:r>
          </w:p>
          <w:p>
            <w:pPr>
              <w:keepNext w:val="0"/>
              <w:keepLines w:val="0"/>
              <w:pageBreakBefore w:val="0"/>
              <w:widowControl w:val="0"/>
              <w:kinsoku/>
              <w:wordWrap/>
              <w:overflowPunct/>
              <w:topLinePunct w:val="0"/>
              <w:autoSpaceDE/>
              <w:autoSpaceDN/>
              <w:bidi w:val="0"/>
              <w:adjustRightInd/>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立科技向善、服务社会信念。</w:t>
            </w:r>
          </w:p>
        </w:tc>
        <w:tc>
          <w:tcPr>
            <w:tcW w:w="25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涵盖物联网感知层、网络层、应用层的核心技术，包括传感器原理与应用、无线通信技术、物联网云平台搭建，以及智能家居、车联网等典型应用案例分析与项目实践。</w:t>
            </w:r>
          </w:p>
        </w:tc>
        <w:tc>
          <w:tcPr>
            <w:tcW w:w="323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要求学生理解物联网关键技术原理，熟练运用相关工具开发简单物联网应用。课堂积极参与讨论，按时完成实验与项目作业，通过小组协作，提升解决实际问题的综合能力。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6</w:t>
            </w:r>
          </w:p>
        </w:tc>
        <w:tc>
          <w:tcPr>
            <w:tcW w:w="10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绿色建筑运维管理</w:t>
            </w:r>
          </w:p>
        </w:tc>
        <w:tc>
          <w:tcPr>
            <w:tcW w:w="30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掌握绿色运维标准、节能技术及环保法规。能力目标：具备能耗管控、生态维护及优化改进能力。</w:t>
            </w:r>
          </w:p>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有低碳意识、严谨负责及持续学习态度。​</w:t>
            </w:r>
          </w:p>
          <w:p>
            <w:pPr>
              <w:keepNext w:val="0"/>
              <w:keepLines w:val="0"/>
              <w:pageBreakBefore w:val="0"/>
              <w:widowControl w:val="0"/>
              <w:kinsoku/>
              <w:wordWrap/>
              <w:overflowPunct/>
              <w:topLinePunct w:val="0"/>
              <w:autoSpaceDE/>
              <w:autoSpaceDN/>
              <w:bidi w:val="0"/>
              <w:adjustRightInd/>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树立绿色发展、守护生态的责任理念。</w:t>
            </w:r>
          </w:p>
        </w:tc>
        <w:tc>
          <w:tcPr>
            <w:tcW w:w="25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涵盖绿色建筑运维管理体系、能源管理策略，照明、暖通空调等设备运维要点，以及智能化运维技术应用、绿色建筑认证与评估等内容，融入实际案例与前沿行业动态。</w:t>
            </w:r>
          </w:p>
        </w:tc>
        <w:tc>
          <w:tcPr>
            <w:tcW w:w="323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理论学习环节，学生需深刻理解绿色建筑运维的原理与方法；实践操作中，要求学生能够独立完成运维方案的策划与实施，并且能够结合行业发展持续更新知识体系。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10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物业服务质量管理</w:t>
            </w:r>
          </w:p>
        </w:tc>
        <w:tc>
          <w:tcPr>
            <w:tcW w:w="30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熟服务标准、质量体系及相关法规要求。​</w:t>
            </w:r>
          </w:p>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具备质量管控、问题改进及客户沟通能力。</w:t>
            </w:r>
          </w:p>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有精益求精、诚信服务的职业态度。​</w:t>
            </w:r>
          </w:p>
          <w:p>
            <w:pPr>
              <w:keepNext w:val="0"/>
              <w:keepLines w:val="0"/>
              <w:pageBreakBefore w:val="0"/>
              <w:widowControl w:val="0"/>
              <w:kinsoku/>
              <w:wordWrap/>
              <w:overflowPunct/>
              <w:topLinePunct w:val="0"/>
              <w:autoSpaceDE/>
              <w:autoSpaceDN/>
              <w:bidi w:val="0"/>
              <w:adjustRightInd/>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树立以客户为中心、担当社会责任理念。</w:t>
            </w:r>
          </w:p>
        </w:tc>
        <w:tc>
          <w:tcPr>
            <w:tcW w:w="25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课程涵盖物业服务质量管理体系搭建、质量标准制定，服务流程优化与质量改进方法。同时结合物业行业数字化转型，引入智能设备在服务质量管理中的应用案例，提升知识实用性。</w:t>
            </w:r>
          </w:p>
        </w:tc>
        <w:tc>
          <w:tcPr>
            <w:tcW w:w="323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要求学生按时参与课堂学习，认真完成课后作业。在项目实践中，需熟练运用所学知识，进行方案设计与执行，定期汇报进展，积极参与小组讨论，培养团队协作和沟通能力。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10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物业风险识别与管理</w:t>
            </w:r>
          </w:p>
        </w:tc>
        <w:tc>
          <w:tcPr>
            <w:tcW w:w="30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掌握风险类型、评估方法及防控法规。​</w:t>
            </w:r>
          </w:p>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具备风险预判、处置及预案制定能力。​</w:t>
            </w:r>
          </w:p>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有审慎敏锐、责任担当的职业素养。​</w:t>
            </w:r>
          </w:p>
          <w:p>
            <w:pPr>
              <w:keepNext w:val="0"/>
              <w:keepLines w:val="0"/>
              <w:pageBreakBefore w:val="0"/>
              <w:widowControl w:val="0"/>
              <w:kinsoku/>
              <w:wordWrap/>
              <w:overflowPunct/>
              <w:topLinePunct w:val="0"/>
              <w:autoSpaceDE/>
              <w:autoSpaceDN/>
              <w:bidi w:val="0"/>
              <w:adjustRightInd/>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树立安全第一、守护民生的责任理念。</w:t>
            </w:r>
          </w:p>
        </w:tc>
        <w:tc>
          <w:tcPr>
            <w:tcW w:w="25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从物业行业特点出发，系统讲解风险识别的方法、常用评估模型以及应对策略。引入政策法规解读，结合经典案例分析，通过模拟演练让学生在实操中掌握风险全周期管理要点。</w:t>
            </w:r>
          </w:p>
        </w:tc>
        <w:tc>
          <w:tcPr>
            <w:tcW w:w="323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学生要全程参与课堂讨论，课后按时完成作业和实践项目。教师应借助多媒体教学、实地考察等手段，丰富教学形式，定期更新教学内容，保持与行业前沿同步。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9</w:t>
            </w:r>
          </w:p>
        </w:tc>
        <w:tc>
          <w:tcPr>
            <w:tcW w:w="10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物业消防管理</w:t>
            </w:r>
          </w:p>
        </w:tc>
        <w:tc>
          <w:tcPr>
            <w:tcW w:w="30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熟知消防规范、设施原理及应急法规。​</w:t>
            </w:r>
          </w:p>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具备检查、扑救初期火灾及疏散能力。​</w:t>
            </w:r>
          </w:p>
          <w:p>
            <w:pPr>
              <w:keepNext w:val="0"/>
              <w:keepLines w:val="0"/>
              <w:pageBreakBefore w:val="0"/>
              <w:widowControl w:val="0"/>
              <w:kinsoku/>
              <w:wordWrap/>
              <w:overflowPunct/>
              <w:topLinePunct w:val="0"/>
              <w:autoSpaceDE/>
              <w:autoSpaceDN/>
              <w:bidi w:val="0"/>
              <w:adjustRightInd/>
              <w:snapToGrid/>
              <w:spacing w:after="0" w:line="300" w:lineRule="exact"/>
              <w:ind w:left="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有警惕性、果敢性及严谨细致作风。​</w:t>
            </w:r>
          </w:p>
          <w:p>
            <w:pPr>
              <w:keepNext w:val="0"/>
              <w:keepLines w:val="0"/>
              <w:pageBreakBefore w:val="0"/>
              <w:widowControl w:val="0"/>
              <w:kinsoku/>
              <w:wordWrap/>
              <w:overflowPunct/>
              <w:topLinePunct w:val="0"/>
              <w:autoSpaceDE/>
              <w:autoSpaceDN/>
              <w:bidi w:val="0"/>
              <w:adjustRightInd/>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树立生命至上、防患未然的责任意识。</w:t>
            </w:r>
          </w:p>
        </w:tc>
        <w:tc>
          <w:tcPr>
            <w:tcW w:w="25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涵盖物业消防管理理论，消防设施实操与维护，火灾预防策略，火灾应急预案制定与演练等。结合真实火灾案例，系统梳理各环节重点，加深知识理解与应用。</w:t>
            </w:r>
          </w:p>
        </w:tc>
        <w:tc>
          <w:tcPr>
            <w:tcW w:w="323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学生要主动参与理论学习、模拟演练，认真完成课后作业。教师要整合理论与实操，借助多媒体、现场教学等方法，保证教学内容准确且贴合行业最新动态。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10</w:t>
            </w:r>
          </w:p>
        </w:tc>
        <w:tc>
          <w:tcPr>
            <w:tcW w:w="10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中西方建筑文化</w:t>
            </w:r>
          </w:p>
        </w:tc>
        <w:tc>
          <w:tcPr>
            <w:tcW w:w="30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掌握中西方建筑文化特征与差异，了解其发展脉络及影响因素。</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能分析建筑文化现象，比较异同，具备解读建筑文化内涵的能力。</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培养文化包容与审美素养，尊重多元建筑文化，增强文化自信。</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以文化自信为引领，传承优秀建筑文化，树立文明互鉴理念。</w:t>
            </w:r>
          </w:p>
        </w:tc>
        <w:tc>
          <w:tcPr>
            <w:tcW w:w="25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梳理中西方建筑从古代到现代的演变历程，解析宫殿、宗教、民居等不同建筑类型的风格特征，探讨建筑与哲学、艺术等文化要素的内在联系，结合实地考察与案例研讨展开教学。</w:t>
            </w:r>
          </w:p>
        </w:tc>
        <w:tc>
          <w:tcPr>
            <w:tcW w:w="323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学生需按时完成阅读与作业，积极参与课堂讨论和实地调研。教师应采用图片、影像等多元素材，开展启发式教学，引导学生主动探究，定期评估教学效果并优化内容。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11</w:t>
            </w:r>
          </w:p>
        </w:tc>
        <w:tc>
          <w:tcPr>
            <w:tcW w:w="10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ind w:left="0"/>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工程</w:t>
            </w:r>
          </w:p>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制图</w:t>
            </w:r>
          </w:p>
        </w:tc>
        <w:tc>
          <w:tcPr>
            <w:tcW w:w="3062" w:type="dxa"/>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掌握工程制图规范与方法，熟悉图形表达及识读技巧。</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能规范绘制、识读工程图纸，具备空间想象与表达能力。</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培养严谨细致的作风，注重规范精准，强化责任意识。</w:t>
            </w:r>
            <w:r>
              <w:rPr>
                <w:rFonts w:hint="eastAsia" w:ascii="仿宋_GB2312" w:hAnsi="仿宋_GB2312" w:eastAsia="仿宋_GB2312" w:cs="仿宋_GB2312"/>
                <w:color w:val="auto"/>
                <w:sz w:val="24"/>
                <w:szCs w:val="24"/>
                <w:highlight w:val="none"/>
                <w:lang w:val="en-US" w:eastAsia="zh-CN"/>
              </w:rPr>
              <w:br w:type="textWrapping"/>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以工匠精神为核心，强调规范诚信，助力工程质量提升。</w:t>
            </w:r>
          </w:p>
        </w:tc>
        <w:tc>
          <w:tcPr>
            <w:tcW w:w="250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讲授投影原理，引入机械、建筑等工程图样的绘制规范。安排绘图实践，借助手工和计算机绘图软件，让学生掌握绘制和阅读工程图的实用技能。</w:t>
            </w:r>
          </w:p>
        </w:tc>
        <w:tc>
          <w:tcPr>
            <w:tcW w:w="323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ind w:left="0" w:leftChars="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学生要按时完成绘图作业，积极参与课堂讨论；教师应借助模型、多媒体辅助教学，严格要求绘图规范，着重培养学生的绘图实操与创新能力。</w:t>
            </w:r>
          </w:p>
        </w:tc>
      </w:tr>
    </w:tbl>
    <w:p>
      <w:pPr>
        <w:keepNext w:val="0"/>
        <w:keepLines w:val="0"/>
        <w:pageBreakBefore w:val="0"/>
        <w:widowControl w:val="0"/>
        <w:kinsoku/>
        <w:wordWrap/>
        <w:topLinePunct w:val="0"/>
        <w:autoSpaceDE/>
        <w:autoSpaceDN/>
        <w:bidi w:val="0"/>
        <w:adjustRightInd w:val="0"/>
        <w:snapToGrid w:val="0"/>
        <w:spacing w:after="0" w:line="520" w:lineRule="exact"/>
        <w:ind w:left="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.实践</w:t>
      </w:r>
      <w:r>
        <w:rPr>
          <w:rFonts w:hint="eastAsia" w:ascii="仿宋_GB2312" w:hAnsi="仿宋_GB2312" w:eastAsia="仿宋_GB2312" w:cs="仿宋_GB2312"/>
          <w:color w:val="auto"/>
          <w:sz w:val="32"/>
          <w:szCs w:val="32"/>
          <w:lang w:val="en-US" w:eastAsia="zh-CN"/>
        </w:rPr>
        <w:t>性</w:t>
      </w:r>
      <w:r>
        <w:rPr>
          <w:rFonts w:hint="eastAsia" w:ascii="仿宋_GB2312" w:hAnsi="仿宋_GB2312" w:eastAsia="仿宋_GB2312" w:cs="仿宋_GB2312"/>
          <w:color w:val="auto"/>
          <w:sz w:val="32"/>
          <w:szCs w:val="32"/>
        </w:rPr>
        <w:t>教学环节 ：</w:t>
      </w:r>
      <w:r>
        <w:rPr>
          <w:rFonts w:hint="eastAsia" w:ascii="仿宋_GB2312" w:hAnsi="仿宋_GB2312" w:eastAsia="仿宋_GB2312" w:cs="仿宋_GB2312"/>
          <w:color w:val="auto"/>
          <w:sz w:val="32"/>
          <w:szCs w:val="32"/>
          <w:highlight w:val="none"/>
          <w:lang w:val="en-US" w:eastAsia="zh-CN"/>
        </w:rPr>
        <w:t>毕业设计、岗位实习。</w:t>
      </w:r>
    </w:p>
    <w:p>
      <w:pPr>
        <w:keepNext w:val="0"/>
        <w:keepLines w:val="0"/>
        <w:pageBreakBefore w:val="0"/>
        <w:widowControl w:val="0"/>
        <w:kinsoku/>
        <w:wordWrap/>
        <w:overflowPunct w:val="0"/>
        <w:topLinePunct w:val="0"/>
        <w:autoSpaceDE/>
        <w:autoSpaceDN/>
        <w:bidi w:val="0"/>
        <w:adjustRightInd w:val="0"/>
        <w:spacing w:after="0" w:line="520" w:lineRule="exact"/>
        <w:ind w:lef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9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856"/>
        <w:gridCol w:w="2828"/>
        <w:gridCol w:w="2480"/>
        <w:gridCol w:w="2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bookmarkStart w:id="37" w:name="OLE_LINK21"/>
            <w:r>
              <w:rPr>
                <w:rFonts w:hint="eastAsia" w:ascii="仿宋_GB2312" w:hAnsi="仿宋_GB2312" w:eastAsia="仿宋_GB2312" w:cs="仿宋_GB2312"/>
                <w:color w:val="auto"/>
                <w:sz w:val="24"/>
              </w:rPr>
              <w:t>序号</w:t>
            </w:r>
          </w:p>
        </w:tc>
        <w:tc>
          <w:tcPr>
            <w:tcW w:w="85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2828"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48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90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6" w:type="dxa"/>
            <w:vAlign w:val="center"/>
          </w:tcPr>
          <w:p>
            <w:pPr>
              <w:pageBreakBefore w:val="0"/>
              <w:kinsoku/>
              <w:wordWrap/>
              <w:overflowPunct w:val="0"/>
              <w:topLinePunct w:val="0"/>
              <w:autoSpaceDE/>
              <w:autoSpaceDN/>
              <w:bidi w:val="0"/>
              <w:adjustRightInd w:val="0"/>
              <w:spacing w:after="0" w:line="360" w:lineRule="exact"/>
              <w:ind w:left="0" w:left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1</w:t>
            </w:r>
          </w:p>
        </w:tc>
        <w:tc>
          <w:tcPr>
            <w:tcW w:w="856" w:type="dxa"/>
            <w:vAlign w:val="center"/>
          </w:tcPr>
          <w:p>
            <w:pPr>
              <w:pageBreakBefore w:val="0"/>
              <w:kinsoku/>
              <w:wordWrap/>
              <w:topLinePunct w:val="0"/>
              <w:autoSpaceDE/>
              <w:autoSpaceDN/>
              <w:bidi w:val="0"/>
              <w:spacing w:after="0" w:line="360" w:lineRule="exact"/>
              <w:ind w:left="0" w:leftChars="0"/>
              <w:jc w:val="lef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毕业设计</w:t>
            </w:r>
          </w:p>
        </w:tc>
        <w:tc>
          <w:tcPr>
            <w:tcW w:w="2828"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掌握物业项目调研、方案设计及报告撰写等专业知识与规范。​</w:t>
            </w:r>
          </w:p>
          <w:p>
            <w:pPr>
              <w:keepNext w:val="0"/>
              <w:keepLines w:val="0"/>
              <w:pageBreakBefore w:val="0"/>
              <w:widowControl w:val="0"/>
              <w:kinsoku/>
              <w:wordWrap/>
              <w:overflowPunct w:val="0"/>
              <w:topLinePunct w:val="0"/>
              <w:autoSpaceDE/>
              <w:autoSpaceDN/>
              <w:bidi w:val="0"/>
              <w:adjustRightInd w:val="0"/>
              <w:snapToGrid/>
              <w:spacing w:after="0" w:line="36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能独立完成物业课题研究、方案制定及成果展示与答辩。​</w:t>
            </w:r>
          </w:p>
          <w:p>
            <w:pPr>
              <w:keepNext w:val="0"/>
              <w:keepLines w:val="0"/>
              <w:pageBreakBefore w:val="0"/>
              <w:widowControl w:val="0"/>
              <w:kinsoku/>
              <w:wordWrap/>
              <w:overflowPunct w:val="0"/>
              <w:topLinePunct w:val="0"/>
              <w:autoSpaceDE/>
              <w:autoSpaceDN/>
              <w:bidi w:val="0"/>
              <w:adjustRightInd w:val="0"/>
              <w:snapToGrid/>
              <w:spacing w:after="0" w:line="360" w:lineRule="exact"/>
              <w:ind w:left="0"/>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培养专业综合应用能力、严谨态度与创新思维及责任意识。​</w:t>
            </w:r>
          </w:p>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树立学术诚信，强化专业担当，助力解决实际物业问题。</w:t>
            </w:r>
          </w:p>
        </w:tc>
        <w:tc>
          <w:tcPr>
            <w:tcW w:w="2480" w:type="dxa"/>
            <w:vAlign w:val="top"/>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选题和资料收集；分析和计划；开题报告；撰写初稿；修改定稿；答辩。</w:t>
            </w:r>
          </w:p>
        </w:tc>
        <w:tc>
          <w:tcPr>
            <w:tcW w:w="2906" w:type="dxa"/>
            <w:vAlign w:val="top"/>
          </w:tcPr>
          <w:p>
            <w:pPr>
              <w:keepNext w:val="0"/>
              <w:keepLines w:val="0"/>
              <w:pageBreakBefore w:val="0"/>
              <w:widowControl w:val="0"/>
              <w:kinsoku/>
              <w:wordWrap/>
              <w:overflowPunct/>
              <w:topLinePunct w:val="0"/>
              <w:autoSpaceDE/>
              <w:autoSpaceDN/>
              <w:bidi w:val="0"/>
              <w:adjustRightInd/>
              <w:snapToGrid/>
              <w:spacing w:after="0" w:line="360" w:lineRule="atLeas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选题需紧扣物业实际问题，需完成实地调研与数据支撑；方案设计要符合行业规范，体现专业知识综合应用；成果需结构完整、逻辑清晰，通过答辩展示研究价值；全程坚守学术诚信，杜绝抄袭。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pPr>
              <w:pageBreakBefore w:val="0"/>
              <w:kinsoku/>
              <w:wordWrap/>
              <w:overflowPunct w:val="0"/>
              <w:topLinePunct w:val="0"/>
              <w:autoSpaceDE/>
              <w:autoSpaceDN/>
              <w:bidi w:val="0"/>
              <w:adjustRightInd w:val="0"/>
              <w:spacing w:after="0" w:line="360" w:lineRule="exact"/>
              <w:ind w:left="0" w:leftChars="0"/>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856" w:type="dxa"/>
            <w:vAlign w:val="center"/>
          </w:tcPr>
          <w:p>
            <w:pPr>
              <w:pageBreakBefore w:val="0"/>
              <w:kinsoku/>
              <w:wordWrap/>
              <w:topLinePunct w:val="0"/>
              <w:autoSpaceDE/>
              <w:autoSpaceDN/>
              <w:bidi w:val="0"/>
              <w:spacing w:after="0" w:line="360" w:lineRule="exact"/>
              <w:ind w:left="0" w:leftChars="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岗位实习</w:t>
            </w:r>
          </w:p>
        </w:tc>
        <w:tc>
          <w:tcPr>
            <w:tcW w:w="2828" w:type="dxa"/>
            <w:vAlign w:val="top"/>
          </w:tcPr>
          <w:p>
            <w:pPr>
              <w:keepNext w:val="0"/>
              <w:keepLines w:val="0"/>
              <w:pageBreakBefore w:val="0"/>
              <w:widowControl w:val="0"/>
              <w:kinsoku/>
              <w:wordWrap/>
              <w:overflowPunct/>
              <w:topLinePunct w:val="0"/>
              <w:autoSpaceDE/>
              <w:autoSpaceDN/>
              <w:bidi w:val="0"/>
              <w:adjustRightInd/>
              <w:snapToGrid/>
              <w:spacing w:after="0" w:line="360" w:lineRule="atLeas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掌握物业岗位业务流程、服务标准及应急处理规范，理解运营逻辑。​</w:t>
            </w:r>
          </w:p>
          <w:p>
            <w:pPr>
              <w:keepNext w:val="0"/>
              <w:keepLines w:val="0"/>
              <w:pageBreakBefore w:val="0"/>
              <w:widowControl w:val="0"/>
              <w:kinsoku/>
              <w:wordWrap/>
              <w:overflowPunct/>
              <w:topLinePunct w:val="0"/>
              <w:autoSpaceDE/>
              <w:autoSpaceDN/>
              <w:bidi w:val="0"/>
              <w:adjustRightInd/>
              <w:snapToGrid/>
              <w:spacing w:after="0" w:line="360" w:lineRule="atLeas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能独立开展客户服务、设施巡检等工作，解决现场实际问题。</w:t>
            </w:r>
          </w:p>
          <w:p>
            <w:pPr>
              <w:keepNext w:val="0"/>
              <w:keepLines w:val="0"/>
              <w:pageBreakBefore w:val="0"/>
              <w:widowControl w:val="0"/>
              <w:kinsoku/>
              <w:wordWrap/>
              <w:overflowPunct/>
              <w:topLinePunct w:val="0"/>
              <w:autoSpaceDE/>
              <w:autoSpaceDN/>
              <w:bidi w:val="0"/>
              <w:adjustRightInd/>
              <w:snapToGrid/>
              <w:spacing w:after="0" w:line="360" w:lineRule="atLeast"/>
              <w:ind w:left="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培养职业责任感与服务意识，提升岗位适应力和团队协作力。​</w:t>
            </w:r>
          </w:p>
          <w:p>
            <w:pPr>
              <w:keepNext w:val="0"/>
              <w:keepLines w:val="0"/>
              <w:pageBreakBefore w:val="0"/>
              <w:widowControl w:val="0"/>
              <w:kinsoku/>
              <w:wordWrap/>
              <w:overflowPunct/>
              <w:topLinePunct w:val="0"/>
              <w:autoSpaceDE/>
              <w:autoSpaceDN/>
              <w:bidi w:val="0"/>
              <w:adjustRightInd/>
              <w:snapToGrid/>
              <w:spacing w:after="0" w:line="360" w:lineRule="atLeast"/>
              <w:ind w:left="0" w:leftChars="0"/>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树立诚信服务理念，强化社会责任，践行物业人的担当精神。</w:t>
            </w:r>
          </w:p>
        </w:tc>
        <w:tc>
          <w:tcPr>
            <w:tcW w:w="2480" w:type="dxa"/>
            <w:vAlign w:val="top"/>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物业管理员岗位实习、客户服务管理员岗位实习、智能楼宇管理员岗位实习、管理咨询专业人员岗位实习。</w:t>
            </w:r>
          </w:p>
        </w:tc>
        <w:tc>
          <w:tcPr>
            <w:tcW w:w="2906" w:type="dxa"/>
            <w:vAlign w:val="top"/>
          </w:tcPr>
          <w:p>
            <w:pPr>
              <w:keepNext w:val="0"/>
              <w:keepLines w:val="0"/>
              <w:pageBreakBefore w:val="0"/>
              <w:widowControl w:val="0"/>
              <w:kinsoku/>
              <w:wordWrap/>
              <w:overflowPunct/>
              <w:topLinePunct w:val="0"/>
              <w:autoSpaceDE/>
              <w:autoSpaceDN/>
              <w:bidi w:val="0"/>
              <w:adjustRightInd/>
              <w:snapToGrid/>
              <w:spacing w:after="0" w:line="360" w:lineRule="atLeast"/>
              <w:ind w:left="0" w:leftChars="0"/>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选题需结合物业实际，调研要真实充分；方案设计需符合法规与行业标准，体现专业融合；成果需论点明确、论据可靠，通过答辩；全程严守学术道德，禁止弄虚作假。</w:t>
            </w:r>
          </w:p>
        </w:tc>
      </w:tr>
      <w:bookmarkEnd w:id="37"/>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38" w:name="_Toc21141"/>
      <w:bookmarkStart w:id="39" w:name="_Toc6104"/>
      <w:r>
        <w:rPr>
          <w:rFonts w:hint="eastAsia" w:ascii="楷体" w:hAnsi="楷体" w:eastAsia="楷体" w:cs="楷体"/>
          <w:color w:val="auto"/>
          <w:sz w:val="32"/>
          <w:szCs w:val="32"/>
        </w:rPr>
        <w:t>（三）第二课堂</w:t>
      </w:r>
      <w:r>
        <w:rPr>
          <w:rFonts w:hint="eastAsia" w:ascii="楷体" w:hAnsi="楷体" w:eastAsia="楷体" w:cs="楷体"/>
          <w:color w:val="auto"/>
          <w:sz w:val="32"/>
          <w:szCs w:val="32"/>
          <w:lang w:val="en-US" w:eastAsia="zh-CN"/>
        </w:rPr>
        <w:t>素质教育课</w:t>
      </w:r>
      <w:bookmarkEnd w:id="38"/>
      <w:bookmarkEnd w:id="39"/>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第二课堂</w:t>
      </w:r>
      <w:r>
        <w:rPr>
          <w:rFonts w:hint="eastAsia" w:ascii="仿宋_GB2312" w:hAnsi="仿宋_GB2312" w:eastAsia="仿宋_GB2312" w:cs="仿宋_GB2312"/>
          <w:color w:val="auto"/>
          <w:sz w:val="32"/>
          <w:szCs w:val="32"/>
          <w:lang w:val="en-US" w:eastAsia="zh-CN"/>
        </w:rPr>
        <w:t>素质教育课</w:t>
      </w:r>
      <w:r>
        <w:rPr>
          <w:rFonts w:hint="eastAsia" w:ascii="仿宋_GB2312" w:hAnsi="仿宋_GB2312" w:eastAsia="仿宋_GB2312" w:cs="仿宋_GB2312"/>
          <w:color w:val="auto"/>
          <w:sz w:val="32"/>
          <w:szCs w:val="32"/>
        </w:rPr>
        <w:t>包括思想成长、</w:t>
      </w:r>
      <w:r>
        <w:rPr>
          <w:rFonts w:hint="eastAsia" w:ascii="仿宋_GB2312" w:hAnsi="仿宋_GB2312" w:eastAsia="仿宋_GB2312" w:cs="仿宋_GB2312"/>
          <w:color w:val="auto"/>
          <w:sz w:val="32"/>
          <w:szCs w:val="32"/>
          <w:lang w:val="en-US" w:eastAsia="zh-CN"/>
        </w:rPr>
        <w:t>实践实习</w:t>
      </w:r>
      <w:r>
        <w:rPr>
          <w:rFonts w:hint="eastAsia" w:ascii="仿宋_GB2312" w:hAnsi="仿宋_GB2312" w:eastAsia="仿宋_GB2312" w:cs="仿宋_GB2312"/>
          <w:color w:val="auto"/>
          <w:sz w:val="32"/>
          <w:szCs w:val="32"/>
        </w:rPr>
        <w:t>、创新创业、</w:t>
      </w:r>
      <w:r>
        <w:rPr>
          <w:rFonts w:hint="eastAsia" w:ascii="仿宋_GB2312" w:hAnsi="仿宋_GB2312" w:eastAsia="仿宋_GB2312" w:cs="仿宋_GB2312"/>
          <w:color w:val="auto"/>
          <w:sz w:val="32"/>
          <w:szCs w:val="32"/>
          <w:lang w:val="en-US" w:eastAsia="zh-CN"/>
        </w:rPr>
        <w:t>志愿公益、</w:t>
      </w:r>
      <w:r>
        <w:rPr>
          <w:rFonts w:hint="eastAsia" w:ascii="仿宋_GB2312" w:hAnsi="仿宋_GB2312" w:eastAsia="仿宋_GB2312" w:cs="仿宋_GB2312"/>
          <w:color w:val="auto"/>
          <w:sz w:val="32"/>
          <w:szCs w:val="32"/>
        </w:rPr>
        <w:t>文体</w:t>
      </w:r>
      <w:r>
        <w:rPr>
          <w:rFonts w:hint="eastAsia" w:ascii="仿宋_GB2312" w:hAnsi="仿宋_GB2312" w:eastAsia="仿宋_GB2312" w:cs="仿宋_GB2312"/>
          <w:color w:val="auto"/>
          <w:sz w:val="32"/>
          <w:szCs w:val="32"/>
          <w:lang w:val="en-US" w:eastAsia="zh-CN"/>
        </w:rPr>
        <w:t>活动</w:t>
      </w:r>
      <w:r>
        <w:rPr>
          <w:rFonts w:hint="eastAsia" w:ascii="仿宋_GB2312" w:hAnsi="仿宋_GB2312" w:eastAsia="仿宋_GB2312" w:cs="仿宋_GB2312"/>
          <w:color w:val="auto"/>
          <w:sz w:val="32"/>
          <w:szCs w:val="32"/>
        </w:rPr>
        <w:t>、工作履历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专业技能特长等其他各类课程及活动。</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第二课堂素质教育课安排表</w:t>
      </w:r>
    </w:p>
    <w:tbl>
      <w:tblPr>
        <w:tblStyle w:val="11"/>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57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88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01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4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1.思想政治教育</w:t>
            </w:r>
            <w:r>
              <w:rPr>
                <w:rFonts w:hint="eastAsia" w:ascii="仿宋_GB2312" w:hAnsi="仿宋_GB2312" w:eastAsia="仿宋_GB2312" w:cs="仿宋_GB2312"/>
                <w:b w:val="0"/>
                <w:bCs w:val="0"/>
                <w:color w:val="auto"/>
                <w:sz w:val="24"/>
                <w:szCs w:val="24"/>
              </w:rPr>
              <w:t>主题</w:t>
            </w:r>
            <w:r>
              <w:rPr>
                <w:rFonts w:hint="eastAsia" w:ascii="仿宋_GB2312" w:hAnsi="仿宋_GB2312" w:eastAsia="仿宋_GB2312" w:cs="仿宋_GB2312"/>
                <w:b w:val="0"/>
                <w:bCs w:val="0"/>
                <w:color w:val="auto"/>
                <w:sz w:val="24"/>
                <w:szCs w:val="24"/>
                <w:lang w:val="en-US" w:eastAsia="zh-CN"/>
              </w:rPr>
              <w:t>讲</w:t>
            </w:r>
            <w:r>
              <w:rPr>
                <w:rFonts w:hint="eastAsia" w:ascii="仿宋_GB2312" w:hAnsi="仿宋_GB2312" w:eastAsia="仿宋_GB2312" w:cs="仿宋_GB2312"/>
                <w:b w:val="0"/>
                <w:bCs w:val="0"/>
                <w:color w:val="auto"/>
                <w:sz w:val="24"/>
                <w:szCs w:val="24"/>
              </w:rPr>
              <w:t>座、形势与政策报告会</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爱国主义教育活动</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党团组织生活</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青年大学习</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default" w:ascii="仿宋_GB2312" w:hAnsi="仿宋_GB2312" w:eastAsia="仿宋_GB2312" w:cs="仿宋_GB2312"/>
                <w:color w:val="auto"/>
                <w:sz w:val="24"/>
                <w:szCs w:val="24"/>
                <w:lang w:val="en-US" w:eastAsia="zh-CN"/>
              </w:rPr>
            </w:pPr>
            <w:bookmarkStart w:id="40" w:name="OLE_LINK4"/>
            <w:r>
              <w:rPr>
                <w:rFonts w:hint="eastAsia" w:ascii="仿宋_GB2312" w:hAnsi="仿宋_GB2312" w:eastAsia="仿宋_GB2312" w:cs="仿宋_GB2312"/>
                <w:color w:val="auto"/>
                <w:sz w:val="24"/>
                <w:szCs w:val="24"/>
                <w:lang w:val="en-US" w:eastAsia="zh-CN"/>
              </w:rPr>
              <w:t>经济管理学院党支部、经济管理学院分团委</w:t>
            </w:r>
            <w:bookmarkEnd w:id="40"/>
            <w:r>
              <w:rPr>
                <w:rFonts w:hint="eastAsia" w:ascii="仿宋_GB2312" w:hAnsi="仿宋_GB2312" w:eastAsia="仿宋_GB2312" w:cs="仿宋_GB2312"/>
                <w:color w:val="auto"/>
                <w:sz w:val="24"/>
                <w:szCs w:val="24"/>
                <w:lang w:val="en-US" w:eastAsia="zh-CN"/>
              </w:rPr>
              <w:t>、经济管理学院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第二课堂成绩</w:t>
            </w:r>
            <w:r>
              <w:rPr>
                <w:rFonts w:hint="eastAsia" w:ascii="仿宋_GB2312" w:hAnsi="仿宋_GB2312" w:eastAsia="仿宋_GB2312" w:cs="仿宋_GB2312"/>
                <w:b w:val="0"/>
                <w:bCs w:val="0"/>
                <w:color w:val="auto"/>
                <w:sz w:val="24"/>
                <w:szCs w:val="24"/>
                <w:lang w:val="en-US" w:eastAsia="zh-CN"/>
              </w:rPr>
              <w:t>由</w:t>
            </w:r>
            <w:r>
              <w:rPr>
                <w:rFonts w:hint="eastAsia" w:ascii="仿宋_GB2312" w:hAnsi="仿宋_GB2312" w:eastAsia="仿宋_GB2312" w:cs="仿宋_GB2312"/>
                <w:b w:val="0"/>
                <w:bCs w:val="0"/>
                <w:color w:val="auto"/>
                <w:sz w:val="24"/>
                <w:szCs w:val="24"/>
              </w:rPr>
              <w:t xml:space="preserve">网络管理系 统（到梦 空间）实 时记录，学生在大一、 </w:t>
            </w:r>
            <w:r>
              <w:rPr>
                <w:rFonts w:hint="eastAsia" w:ascii="仿宋_GB2312" w:hAnsi="仿宋_GB2312" w:eastAsia="仿宋_GB2312" w:cs="仿宋_GB2312"/>
                <w:b w:val="0"/>
                <w:bCs w:val="0"/>
                <w:color w:val="auto"/>
                <w:sz w:val="24"/>
                <w:szCs w:val="24"/>
                <w:lang w:val="en-US" w:eastAsia="zh-CN"/>
              </w:rPr>
              <w:t>大</w:t>
            </w:r>
            <w:r>
              <w:rPr>
                <w:rFonts w:hint="eastAsia" w:ascii="仿宋_GB2312" w:hAnsi="仿宋_GB2312" w:eastAsia="仿宋_GB2312" w:cs="仿宋_GB2312"/>
                <w:b w:val="0"/>
                <w:bCs w:val="0"/>
                <w:color w:val="auto"/>
                <w:sz w:val="24"/>
                <w:szCs w:val="24"/>
              </w:rPr>
              <w:t>二期间</w:t>
            </w:r>
            <w:r>
              <w:rPr>
                <w:rFonts w:hint="eastAsia" w:ascii="仿宋_GB2312" w:hAnsi="仿宋_GB2312" w:eastAsia="仿宋_GB2312" w:cs="仿宋_GB2312"/>
                <w:b w:val="0"/>
                <w:bCs w:val="0"/>
                <w:color w:val="auto"/>
                <w:sz w:val="24"/>
                <w:szCs w:val="24"/>
                <w:lang w:val="en-US" w:eastAsia="zh-CN"/>
              </w:rPr>
              <w:t>积分达60分及以上，可获4</w:t>
            </w:r>
            <w:r>
              <w:rPr>
                <w:rFonts w:hint="eastAsia" w:ascii="仿宋_GB2312" w:hAnsi="仿宋_GB2312" w:eastAsia="仿宋_GB2312" w:cs="仿宋_GB2312"/>
                <w:b w:val="0"/>
                <w:bCs w:val="0"/>
                <w:color w:val="auto"/>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w:t>
            </w:r>
            <w:r>
              <w:rPr>
                <w:rFonts w:hint="eastAsia" w:ascii="仿宋_GB2312" w:hAnsi="仿宋_GB2312" w:eastAsia="仿宋_GB2312" w:cs="仿宋_GB2312"/>
                <w:b w:val="0"/>
                <w:bCs w:val="0"/>
                <w:color w:val="auto"/>
                <w:sz w:val="24"/>
                <w:szCs w:val="24"/>
              </w:rPr>
              <w:t xml:space="preserve">暑期“三下乡”社会实践活动 </w:t>
            </w: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7</w:t>
            </w:r>
            <w:r>
              <w:rPr>
                <w:rFonts w:hint="eastAsia" w:ascii="仿宋_GB2312" w:hAnsi="仿宋_GB2312" w:eastAsia="仿宋_GB2312" w:cs="仿宋_GB2312"/>
                <w:b w:val="0"/>
                <w:bCs w:val="0"/>
                <w:color w:val="auto"/>
                <w:sz w:val="24"/>
                <w:szCs w:val="24"/>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8.</w:t>
            </w:r>
            <w:r>
              <w:rPr>
                <w:rFonts w:hint="eastAsia" w:ascii="仿宋_GB2312" w:hAnsi="仿宋_GB2312" w:eastAsia="仿宋_GB2312" w:cs="仿宋_GB2312"/>
                <w:b w:val="0"/>
                <w:bCs w:val="0"/>
                <w:color w:val="auto"/>
                <w:sz w:val="24"/>
                <w:szCs w:val="24"/>
              </w:rPr>
              <w:t>实践活动的相关荣誉</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招生就业处、经济管理学院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公益劳动 </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 xml:space="preserve">文体活动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5.文体讲座</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工作履历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5.退伍军人</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学生工作处、校团委、经济管理学院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继续教育学院、经济管理学院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3.升旗仪式工作人员</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olor w:val="auto"/>
          <w:sz w:val="32"/>
          <w:szCs w:val="32"/>
        </w:rPr>
      </w:pPr>
      <w:bookmarkStart w:id="41" w:name="_Toc15206"/>
      <w:bookmarkStart w:id="42" w:name="_Toc13488"/>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bookmarkEnd w:id="41"/>
      <w:bookmarkEnd w:id="42"/>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43" w:name="_Toc5960"/>
      <w:bookmarkStart w:id="44" w:name="_Toc30317"/>
      <w:r>
        <w:rPr>
          <w:rFonts w:hint="eastAsia" w:ascii="楷体" w:hAnsi="楷体" w:eastAsia="楷体" w:cs="楷体"/>
          <w:color w:val="auto"/>
          <w:sz w:val="32"/>
          <w:szCs w:val="32"/>
        </w:rPr>
        <w:t>（一）教学环节分配表</w:t>
      </w:r>
      <w:bookmarkEnd w:id="43"/>
      <w:bookmarkEnd w:id="44"/>
      <w:r>
        <w:rPr>
          <w:rFonts w:hint="eastAsia" w:ascii="楷体" w:hAnsi="楷体" w:eastAsia="楷体" w:cs="楷体"/>
          <w:color w:val="auto"/>
          <w:sz w:val="32"/>
          <w:szCs w:val="32"/>
        </w:rPr>
        <w:t xml:space="preserve"> </w:t>
      </w:r>
    </w:p>
    <w:p>
      <w:pPr>
        <w:keepNext w:val="0"/>
        <w:keepLines w:val="0"/>
        <w:pageBreakBefore w:val="0"/>
        <w:widowControl w:val="0"/>
        <w:kinsoku/>
        <w:wordWrap/>
        <w:topLinePunct w:val="0"/>
        <w:autoSpaceDE/>
        <w:autoSpaceDN/>
        <w:bidi w:val="0"/>
        <w:snapToGrid/>
        <w:spacing w:after="0" w:line="520" w:lineRule="exact"/>
        <w:ind w:left="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pPr>
        <w:keepNext w:val="0"/>
        <w:keepLines w:val="0"/>
        <w:pageBreakBefore w:val="0"/>
        <w:widowControl w:val="0"/>
        <w:kinsoku/>
        <w:wordWrap/>
        <w:topLinePunct w:val="0"/>
        <w:autoSpaceDE/>
        <w:autoSpaceDN/>
        <w:bidi w:val="0"/>
        <w:snapToGrid/>
        <w:spacing w:after="0" w:line="520" w:lineRule="exact"/>
        <w:ind w:left="0"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 xml:space="preserve"> 教育活动时间分配表（单位：周）</w:t>
      </w:r>
    </w:p>
    <w:tbl>
      <w:tblPr>
        <w:tblStyle w:val="11"/>
        <w:tblW w:w="51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lang w:val="en-US" w:eastAsia="zh-CN"/>
              </w:rPr>
            </w:pPr>
          </w:p>
          <w:p>
            <w:pPr>
              <w:spacing w:after="0" w:line="240" w:lineRule="auto"/>
              <mc:AlternateContent>
                <mc:Choice Requires="wpsCustomData">
                  <wpsCustomData:diagonalParaType/>
                </mc:Choice>
              </mc:AlternateContent>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项目</w:t>
            </w:r>
          </w:p>
          <w:p>
            <w:pPr>
              <w:spacing w:after="0" w:line="240" w:lineRule="auto"/>
              <w:rPr>
                <w:rFonts w:hint="eastAsia" w:ascii="仿宋_GB2312" w:hAnsi="仿宋_GB2312" w:eastAsia="仿宋_GB2312" w:cs="仿宋_GB2312"/>
                <w:color w:val="auto"/>
                <w:sz w:val="24"/>
                <w:szCs w:val="24"/>
                <w:lang w:val="en-US" w:eastAsia="zh-CN"/>
              </w:rPr>
            </w:pPr>
          </w:p>
          <w:p>
            <w:pPr>
              <w:spacing w:after="0" w:line="240" w:lineRule="auto"/>
              <w:ind w:firstLine="240" w:firstLineChars="100"/>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pPr>
              <w:spacing w:after="0" w:line="240" w:lineRule="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65"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67" w:type="pct"/>
            <w:gridSpan w:val="2"/>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2" w:hRule="atLeast"/>
          <w:jc w:val="center"/>
        </w:trPr>
        <w:tc>
          <w:tcPr>
            <w:tcW w:w="1437" w:type="pct"/>
            <w:vMerge w:val="continue"/>
          </w:tcPr>
          <w:p>
            <w:pPr>
              <w:keepNext w:val="0"/>
              <w:keepLines w:val="0"/>
              <w:pageBreakBefore w:val="0"/>
              <w:widowControl w:val="0"/>
              <w:kinsoku/>
              <w:wordWrap/>
              <w:overflowPunct/>
              <w:topLinePunct w:val="0"/>
              <w:autoSpaceDE/>
              <w:autoSpaceDN/>
              <w:bidi w:val="0"/>
              <w:adjustRightInd/>
              <w:snapToGrid/>
              <w:spacing w:after="0" w:line="320" w:lineRule="exact"/>
              <w:ind w:left="0"/>
              <w:textAlignment w:val="auto"/>
              <w:rPr>
                <w:rFonts w:hint="eastAsia" w:ascii="仿宋_GB2312" w:hAnsi="仿宋_GB2312" w:eastAsia="仿宋_GB2312" w:cs="仿宋_GB2312"/>
                <w:sz w:val="24"/>
                <w:szCs w:val="24"/>
              </w:rPr>
            </w:pP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课堂教学</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考试</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军训</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入学教育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3-8</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rPr>
              <w:t>毕业设计</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岗位实习</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000000"/>
                <w:sz w:val="24"/>
                <w:szCs w:val="24"/>
                <w:highlight w:val="green"/>
                <w:lang w:val="en-US" w:eastAsia="zh-CN"/>
              </w:rPr>
            </w:pPr>
            <w:r>
              <w:rPr>
                <w:rFonts w:hint="eastAsia" w:ascii="仿宋_GB2312" w:hAnsi="仿宋_GB2312" w:eastAsia="仿宋_GB2312" w:cs="仿宋_GB2312"/>
                <w:b w:val="0"/>
                <w:bCs w:val="0"/>
                <w:color w:val="000000"/>
                <w:sz w:val="24"/>
                <w:szCs w:val="24"/>
                <w:highlight w:val="none"/>
                <w:lang w:val="en-US" w:eastAsia="zh-CN"/>
              </w:rPr>
              <w:t>社会实践</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毕业教育</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rPr>
            </w:pP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37"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val="0"/>
                <w:bCs w:val="0"/>
                <w:color w:val="000000"/>
                <w:sz w:val="24"/>
                <w:szCs w:val="24"/>
              </w:rPr>
              <w:t>学期教学总周数</w:t>
            </w:r>
          </w:p>
        </w:tc>
        <w:tc>
          <w:tcPr>
            <w:tcW w:w="646"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2"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c>
          <w:tcPr>
            <w:tcW w:w="584" w:type="pct"/>
            <w:vAlign w:val="center"/>
          </w:tcPr>
          <w:p>
            <w:pPr>
              <w:keepNext w:val="0"/>
              <w:keepLines w:val="0"/>
              <w:pageBreakBefore w:val="0"/>
              <w:widowControl w:val="0"/>
              <w:kinsoku/>
              <w:wordWrap/>
              <w:overflowPunct/>
              <w:topLinePunct w:val="0"/>
              <w:autoSpaceDE/>
              <w:autoSpaceDN/>
              <w:bidi w:val="0"/>
              <w:adjustRightInd/>
              <w:snapToGrid/>
              <w:spacing w:after="0" w:line="38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sz w:val="24"/>
                <w:szCs w:val="24"/>
                <w:lang w:val="en-US" w:eastAsia="zh-CN"/>
              </w:rPr>
              <w:t>20周</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1"/>
        <w:rPr>
          <w:rFonts w:hint="eastAsia" w:ascii="楷体" w:hAnsi="楷体" w:eastAsia="楷体" w:cs="楷体"/>
          <w:bCs/>
          <w:color w:val="auto"/>
          <w:sz w:val="32"/>
          <w:szCs w:val="32"/>
        </w:rPr>
      </w:pPr>
      <w:bookmarkStart w:id="45" w:name="_Toc10777"/>
      <w:bookmarkStart w:id="46" w:name="_Toc6992"/>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bCs/>
          <w:color w:val="auto"/>
          <w:sz w:val="32"/>
          <w:szCs w:val="32"/>
        </w:rPr>
        <w:t>课程结构与学时、学分分配</w:t>
      </w:r>
      <w:bookmarkEnd w:id="45"/>
      <w:bookmarkEnd w:id="46"/>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highlight w:val="none"/>
          <w:lang w:eastAsia="zh-CN"/>
        </w:rPr>
        <w:t>本专业教学总学时为</w:t>
      </w:r>
      <w:r>
        <w:rPr>
          <w:rFonts w:hint="eastAsia" w:ascii="仿宋_GB2312" w:hAnsi="仿宋_GB2312" w:eastAsia="仿宋_GB2312" w:cs="仿宋_GB2312"/>
          <w:bCs/>
          <w:color w:val="auto"/>
          <w:sz w:val="32"/>
          <w:szCs w:val="32"/>
          <w:highlight w:val="none"/>
          <w:lang w:val="en-US" w:eastAsia="zh-CN"/>
        </w:rPr>
        <w:t>2834</w:t>
      </w:r>
      <w:r>
        <w:rPr>
          <w:rFonts w:hint="eastAsia" w:ascii="仿宋_GB2312" w:hAnsi="仿宋_GB2312" w:eastAsia="仿宋_GB2312" w:cs="仿宋_GB2312"/>
          <w:bCs/>
          <w:color w:val="auto"/>
          <w:sz w:val="32"/>
          <w:szCs w:val="32"/>
          <w:highlight w:val="none"/>
          <w:lang w:eastAsia="zh-CN"/>
        </w:rPr>
        <w:t>学时。其中理论教学</w:t>
      </w:r>
      <w:r>
        <w:rPr>
          <w:rFonts w:hint="eastAsia" w:ascii="仿宋_GB2312" w:hAnsi="仿宋_GB2312" w:eastAsia="仿宋_GB2312" w:cs="仿宋_GB2312"/>
          <w:bCs/>
          <w:color w:val="auto"/>
          <w:sz w:val="32"/>
          <w:szCs w:val="32"/>
          <w:highlight w:val="none"/>
          <w:lang w:val="en-US" w:eastAsia="zh-CN"/>
        </w:rPr>
        <w:t>1312</w:t>
      </w:r>
      <w:r>
        <w:rPr>
          <w:rFonts w:hint="eastAsia" w:ascii="仿宋_GB2312" w:hAnsi="仿宋_GB2312" w:eastAsia="仿宋_GB2312" w:cs="仿宋_GB2312"/>
          <w:bCs/>
          <w:color w:val="auto"/>
          <w:sz w:val="32"/>
          <w:szCs w:val="32"/>
          <w:highlight w:val="none"/>
          <w:lang w:eastAsia="zh-CN"/>
        </w:rPr>
        <w:t>学时，占</w:t>
      </w:r>
      <w:r>
        <w:rPr>
          <w:rFonts w:hint="eastAsia" w:ascii="仿宋_GB2312" w:hAnsi="仿宋_GB2312" w:eastAsia="仿宋_GB2312" w:cs="仿宋_GB2312"/>
          <w:color w:val="auto"/>
          <w:spacing w:val="-2"/>
          <w:sz w:val="32"/>
          <w:szCs w:val="32"/>
          <w:highlight w:val="none"/>
          <w:lang w:val="en-US" w:eastAsia="zh-CN"/>
        </w:rPr>
        <w:t>46.29</w:t>
      </w:r>
      <w:r>
        <w:rPr>
          <w:rFonts w:hint="eastAsia" w:ascii="仿宋_GB2312" w:hAnsi="仿宋_GB2312" w:eastAsia="仿宋_GB2312" w:cs="仿宋_GB2312"/>
          <w:bCs/>
          <w:color w:val="auto"/>
          <w:sz w:val="32"/>
          <w:szCs w:val="32"/>
          <w:highlight w:val="none"/>
          <w:lang w:eastAsia="zh-CN"/>
        </w:rPr>
        <w:t>%；实践教学</w:t>
      </w:r>
      <w:r>
        <w:rPr>
          <w:rFonts w:hint="eastAsia" w:ascii="仿宋_GB2312" w:hAnsi="仿宋_GB2312" w:eastAsia="仿宋_GB2312" w:cs="仿宋_GB2312"/>
          <w:bCs/>
          <w:color w:val="auto"/>
          <w:sz w:val="32"/>
          <w:szCs w:val="32"/>
          <w:highlight w:val="none"/>
          <w:lang w:val="en-US" w:eastAsia="zh-CN"/>
        </w:rPr>
        <w:t>1522</w:t>
      </w:r>
      <w:r>
        <w:rPr>
          <w:rFonts w:hint="eastAsia" w:ascii="仿宋_GB2312" w:hAnsi="仿宋_GB2312" w:eastAsia="仿宋_GB2312" w:cs="仿宋_GB2312"/>
          <w:bCs/>
          <w:color w:val="auto"/>
          <w:sz w:val="32"/>
          <w:szCs w:val="32"/>
          <w:highlight w:val="none"/>
          <w:lang w:eastAsia="zh-CN"/>
        </w:rPr>
        <w:t>学时，占</w:t>
      </w:r>
      <w:r>
        <w:rPr>
          <w:rFonts w:hint="eastAsia" w:ascii="仿宋_GB2312" w:hAnsi="仿宋_GB2312" w:eastAsia="仿宋_GB2312" w:cs="仿宋_GB2312"/>
          <w:bCs/>
          <w:color w:val="auto"/>
          <w:sz w:val="32"/>
          <w:szCs w:val="32"/>
          <w:highlight w:val="none"/>
          <w:lang w:val="en-US" w:eastAsia="zh-CN"/>
        </w:rPr>
        <w:t>53.71%，其中岗位实习累计时间6个月。</w:t>
      </w:r>
      <w:r>
        <w:rPr>
          <w:rFonts w:hint="eastAsia" w:ascii="仿宋_GB2312" w:hAnsi="仿宋_GB2312" w:eastAsia="仿宋_GB2312" w:cs="仿宋_GB2312"/>
          <w:bCs/>
          <w:color w:val="auto"/>
          <w:sz w:val="32"/>
          <w:szCs w:val="32"/>
          <w:highlight w:val="none"/>
          <w:lang w:eastAsia="zh-CN"/>
        </w:rPr>
        <w:t>公共基础课</w:t>
      </w:r>
      <w:r>
        <w:rPr>
          <w:rFonts w:hint="eastAsia" w:ascii="仿宋_GB2312" w:hAnsi="仿宋_GB2312" w:eastAsia="仿宋_GB2312" w:cs="仿宋_GB2312"/>
          <w:bCs/>
          <w:color w:val="auto"/>
          <w:sz w:val="32"/>
          <w:szCs w:val="32"/>
          <w:highlight w:val="none"/>
          <w:lang w:val="en-US" w:eastAsia="zh-CN"/>
        </w:rPr>
        <w:t>954</w:t>
      </w:r>
      <w:r>
        <w:rPr>
          <w:rFonts w:hint="eastAsia" w:ascii="仿宋_GB2312" w:hAnsi="仿宋_GB2312" w:eastAsia="仿宋_GB2312" w:cs="仿宋_GB2312"/>
          <w:bCs/>
          <w:color w:val="auto"/>
          <w:sz w:val="32"/>
          <w:szCs w:val="32"/>
          <w:highlight w:val="none"/>
          <w:lang w:eastAsia="zh-CN"/>
        </w:rPr>
        <w:t>学时，占</w:t>
      </w:r>
      <w:r>
        <w:rPr>
          <w:rFonts w:hint="eastAsia" w:ascii="仿宋_GB2312" w:hAnsi="仿宋_GB2312" w:eastAsia="仿宋_GB2312" w:cs="仿宋_GB2312"/>
          <w:bCs/>
          <w:color w:val="auto"/>
          <w:sz w:val="32"/>
          <w:szCs w:val="32"/>
          <w:highlight w:val="none"/>
          <w:lang w:val="en-US" w:eastAsia="zh-CN"/>
        </w:rPr>
        <w:t>33.67</w:t>
      </w:r>
      <w:r>
        <w:rPr>
          <w:rFonts w:hint="eastAsia" w:ascii="仿宋_GB2312" w:hAnsi="仿宋_GB2312" w:eastAsia="仿宋_GB2312" w:cs="仿宋_GB2312"/>
          <w:bCs/>
          <w:color w:val="auto"/>
          <w:sz w:val="32"/>
          <w:szCs w:val="32"/>
          <w:highlight w:val="none"/>
          <w:lang w:eastAsia="zh-CN"/>
        </w:rPr>
        <w:t>%；选修课</w:t>
      </w:r>
      <w:r>
        <w:rPr>
          <w:rFonts w:hint="eastAsia" w:ascii="仿宋_GB2312" w:hAnsi="仿宋_GB2312" w:eastAsia="仿宋_GB2312" w:cs="仿宋_GB2312"/>
          <w:bCs/>
          <w:color w:val="auto"/>
          <w:sz w:val="32"/>
          <w:szCs w:val="32"/>
          <w:highlight w:val="none"/>
          <w:lang w:val="en-US" w:eastAsia="zh-CN"/>
        </w:rPr>
        <w:t>308</w:t>
      </w:r>
      <w:r>
        <w:rPr>
          <w:rFonts w:hint="eastAsia" w:ascii="仿宋_GB2312" w:hAnsi="仿宋_GB2312" w:eastAsia="仿宋_GB2312" w:cs="仿宋_GB2312"/>
          <w:bCs/>
          <w:color w:val="auto"/>
          <w:sz w:val="32"/>
          <w:szCs w:val="32"/>
          <w:highlight w:val="none"/>
          <w:lang w:eastAsia="zh-CN"/>
        </w:rPr>
        <w:t>学时，占</w:t>
      </w:r>
      <w:r>
        <w:rPr>
          <w:rFonts w:hint="eastAsia" w:ascii="仿宋_GB2312" w:hAnsi="仿宋_GB2312" w:eastAsia="仿宋_GB2312" w:cs="仿宋_GB2312"/>
          <w:bCs/>
          <w:color w:val="auto"/>
          <w:sz w:val="32"/>
          <w:szCs w:val="32"/>
          <w:highlight w:val="none"/>
          <w:lang w:val="en-US" w:eastAsia="zh-CN"/>
        </w:rPr>
        <w:t>10.87</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after="0" w:line="520" w:lineRule="exact"/>
        <w:ind w:left="0"/>
        <w:jc w:val="center"/>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pacing w:val="-2"/>
          <w:sz w:val="32"/>
          <w:szCs w:val="32"/>
        </w:rPr>
        <w:t>课程学时、学分分配表</w:t>
      </w:r>
    </w:p>
    <w:tbl>
      <w:tblPr>
        <w:tblStyle w:val="10"/>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1731"/>
        <w:gridCol w:w="900"/>
        <w:gridCol w:w="927"/>
        <w:gridCol w:w="1118"/>
        <w:gridCol w:w="896"/>
        <w:gridCol w:w="759"/>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27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课程类别</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课程性质</w:t>
            </w: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4"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7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公共基础课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29.14%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15.74%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13.41%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选修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5.30%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2.82%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7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小计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34.44%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18.56%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15.10%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专业课</w:t>
            </w: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专业基础课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34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22.52%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612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408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14.40%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204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7.20%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专业核心课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21.19%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268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9.46%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308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10.87%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p>
        </w:tc>
        <w:tc>
          <w:tcPr>
            <w:tcW w:w="1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专业拓展课</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选修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6.62%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180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90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3.18%</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90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3.18%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731"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rPr>
              <w:t>实践教学环节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必修</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15.23%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0.71%</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17.36%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21"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263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小计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99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65.56%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1880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786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27.73%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1094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38.60%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6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80" w:lineRule="exact"/>
              <w:ind w:left="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合计</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151</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2834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1312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46.29%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1522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ind w:left="0"/>
              <w:jc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sz w:val="24"/>
                <w:szCs w:val="24"/>
                <w:u w:val="none"/>
                <w:lang w:val="en-US" w:eastAsia="zh-CN"/>
              </w:rPr>
              <w:t>53.71%</w:t>
            </w:r>
          </w:p>
        </w:tc>
      </w:tr>
    </w:tbl>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47" w:name="_Toc30758"/>
      <w:bookmarkStart w:id="48" w:name="_Toc8030"/>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教学计划进程</w:t>
      </w:r>
      <w:bookmarkEnd w:id="47"/>
      <w:bookmarkEnd w:id="48"/>
    </w:p>
    <w:p>
      <w:pPr>
        <w:pStyle w:val="9"/>
        <w:keepNext w:val="0"/>
        <w:keepLines w:val="0"/>
        <w:pageBreakBefore w:val="0"/>
        <w:shd w:val="clear" w:color="auto" w:fill="FFFFFF"/>
        <w:kinsoku/>
        <w:wordWrap/>
        <w:topLinePunct w:val="0"/>
        <w:autoSpaceDE/>
        <w:autoSpaceDN/>
        <w:bidi w:val="0"/>
        <w:snapToGrid/>
        <w:spacing w:before="0" w:beforeAutospacing="0" w:after="0" w:afterAutospacing="0" w:line="520" w:lineRule="exact"/>
        <w:ind w:left="0"/>
        <w:jc w:val="center"/>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shd w:val="clear" w:color="auto" w:fill="FFFFFF"/>
          <w:lang w:bidi="ar"/>
        </w:rPr>
        <w:t>教学计划进程安排表</w:t>
      </w:r>
    </w:p>
    <w:tbl>
      <w:tblPr>
        <w:tblStyle w:val="10"/>
        <w:tblW w:w="5924" w:type="pct"/>
        <w:jc w:val="center"/>
        <w:shd w:val="clear" w:color="auto" w:fill="auto"/>
        <w:tblLayout w:type="fixed"/>
        <w:tblCellMar>
          <w:top w:w="0" w:type="dxa"/>
          <w:left w:w="0" w:type="dxa"/>
          <w:bottom w:w="0" w:type="dxa"/>
          <w:right w:w="0" w:type="dxa"/>
        </w:tblCellMar>
      </w:tblPr>
      <w:tblGrid>
        <w:gridCol w:w="257"/>
        <w:gridCol w:w="536"/>
        <w:gridCol w:w="391"/>
        <w:gridCol w:w="382"/>
        <w:gridCol w:w="1079"/>
        <w:gridCol w:w="2035"/>
        <w:gridCol w:w="704"/>
        <w:gridCol w:w="638"/>
        <w:gridCol w:w="649"/>
        <w:gridCol w:w="638"/>
        <w:gridCol w:w="517"/>
        <w:gridCol w:w="517"/>
        <w:gridCol w:w="473"/>
        <w:gridCol w:w="462"/>
        <w:gridCol w:w="407"/>
        <w:gridCol w:w="426"/>
        <w:gridCol w:w="666"/>
      </w:tblGrid>
      <w:tr>
        <w:tblPrEx>
          <w:shd w:val="clear" w:color="auto" w:fill="auto"/>
          <w:tblCellMar>
            <w:top w:w="0" w:type="dxa"/>
            <w:left w:w="0" w:type="dxa"/>
            <w:bottom w:w="0" w:type="dxa"/>
            <w:right w:w="0" w:type="dxa"/>
          </w:tblCellMar>
        </w:tblPrEx>
        <w:trPr>
          <w:trHeight w:val="312" w:hRule="atLeast"/>
          <w:jc w:val="center"/>
        </w:trPr>
        <w:tc>
          <w:tcPr>
            <w:tcW w:w="549"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课程类型</w:t>
            </w:r>
          </w:p>
        </w:tc>
        <w:tc>
          <w:tcPr>
            <w:tcW w:w="177"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序号</w:t>
            </w:r>
          </w:p>
        </w:tc>
        <w:tc>
          <w:tcPr>
            <w:tcW w:w="500"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课程代码</w:t>
            </w:r>
          </w:p>
        </w:tc>
        <w:tc>
          <w:tcPr>
            <w:tcW w:w="944"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课程名称</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学分</w:t>
            </w:r>
          </w:p>
        </w:tc>
        <w:tc>
          <w:tcPr>
            <w:tcW w:w="893"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教学学时数</w:t>
            </w:r>
          </w:p>
        </w:tc>
        <w:tc>
          <w:tcPr>
            <w:tcW w:w="1299" w:type="pct"/>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开课学期和周学时</w:t>
            </w:r>
          </w:p>
        </w:tc>
        <w:tc>
          <w:tcPr>
            <w:tcW w:w="308"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考核</w:t>
            </w:r>
          </w:p>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类型</w:t>
            </w:r>
          </w:p>
        </w:tc>
      </w:tr>
      <w:tr>
        <w:tblPrEx>
          <w:tblCellMar>
            <w:top w:w="0" w:type="dxa"/>
            <w:left w:w="0" w:type="dxa"/>
            <w:bottom w:w="0" w:type="dxa"/>
            <w:right w:w="0" w:type="dxa"/>
          </w:tblCellMar>
        </w:tblPrEx>
        <w:trPr>
          <w:trHeight w:val="312" w:hRule="atLeast"/>
          <w:jc w:val="center"/>
        </w:trPr>
        <w:tc>
          <w:tcPr>
            <w:tcW w:w="549"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944"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893"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29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CellMar>
            <w:top w:w="0" w:type="dxa"/>
            <w:left w:w="0" w:type="dxa"/>
            <w:bottom w:w="0" w:type="dxa"/>
            <w:right w:w="0" w:type="dxa"/>
          </w:tblCellMar>
        </w:tblPrEx>
        <w:trPr>
          <w:trHeight w:val="57" w:hRule="atLeast"/>
          <w:jc w:val="center"/>
        </w:trPr>
        <w:tc>
          <w:tcPr>
            <w:tcW w:w="549"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944"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合计</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理论</w:t>
            </w:r>
          </w:p>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学时</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实践</w:t>
            </w:r>
          </w:p>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学时</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一</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二</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三</w:t>
            </w: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四</w:t>
            </w: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五</w:t>
            </w: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六</w:t>
            </w: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shd w:val="clear" w:color="auto" w:fill="auto"/>
          <w:tblCellMar>
            <w:top w:w="0" w:type="dxa"/>
            <w:left w:w="0" w:type="dxa"/>
            <w:bottom w:w="0" w:type="dxa"/>
            <w:right w:w="0" w:type="dxa"/>
          </w:tblCellMar>
        </w:tblPrEx>
        <w:trPr>
          <w:trHeight w:val="57" w:hRule="atLeast"/>
          <w:jc w:val="center"/>
        </w:trPr>
        <w:tc>
          <w:tcPr>
            <w:tcW w:w="36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公共基础课</w:t>
            </w:r>
          </w:p>
        </w:tc>
        <w:tc>
          <w:tcPr>
            <w:tcW w:w="181"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1B410101211</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思想道德与法治</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1B410101212</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形势与政策</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1299" w:type="pct"/>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1到4学期开课，每学期8学时。</w:t>
            </w: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shd w:val="clear" w:color="auto" w:fill="auto"/>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1A410101103</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国家安全教育</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shd w:val="clear" w:color="auto" w:fill="auto"/>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1A410101104</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军事理论</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1C410101105</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军训</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112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112</w:t>
            </w:r>
          </w:p>
        </w:tc>
        <w:tc>
          <w:tcPr>
            <w:tcW w:w="1299" w:type="pct"/>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第1学期，实际训练时间不少于14天</w:t>
            </w: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shd w:val="clear" w:color="auto" w:fill="auto"/>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1B410101106</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计算机基础</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64</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1B410101107</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高等数学</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64</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1B410101108</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大学英语</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128</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1C410101109</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大学体育</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144</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1B410101110</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大学生职业发展与就业指导</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38</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11</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1B410101111</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大学生心理健康教育</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20</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1C410101112</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劳动教育</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shd w:val="clear" w:color="auto" w:fill="auto"/>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13</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1B410101113</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毛泽东思想和中国特色社会主义理论体系概论</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90"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1B410101114</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创新创业教育</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shd w:val="clear" w:color="auto" w:fill="auto"/>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1B410101115</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习近平新时代中国特色社会主义思想概论</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17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1B410101201</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中国民俗剪纸技法</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1299" w:type="pct"/>
            <w:gridSpan w:val="6"/>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公共选修课最低学分要求为8学分，其中要求2个学分为思政选修课学分。</w:t>
            </w: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1B410101202</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影视与鉴赏</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129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1A410101203</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中华优秀传统文化</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129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90"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1A410101204</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中国共产党简史</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129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1A410101205</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改革开放简史</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129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1A410101206</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中华人民共和国简史</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129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1A410101207</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社会主义发展简史</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129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shd w:val="clear" w:color="auto" w:fill="auto"/>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07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1A410101208</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中华民族共同体</w:t>
            </w:r>
            <w:r>
              <w:rPr>
                <w:rFonts w:hint="eastAsia" w:ascii="仿宋_GB2312" w:hAnsi="仿宋_GB2312" w:eastAsia="仿宋_GB2312" w:cs="仿宋_GB2312"/>
                <w:i w:val="0"/>
                <w:color w:val="000000"/>
                <w:kern w:val="0"/>
                <w:sz w:val="20"/>
                <w:szCs w:val="20"/>
                <w:highlight w:val="none"/>
                <w:u w:val="none"/>
                <w:lang w:val="en-US" w:eastAsia="zh-CN" w:bidi="ar"/>
              </w:rPr>
              <w:br w:type="textWrapping"/>
            </w:r>
            <w:r>
              <w:rPr>
                <w:rFonts w:hint="eastAsia" w:ascii="仿宋_GB2312" w:hAnsi="仿宋_GB2312" w:eastAsia="仿宋_GB2312" w:cs="仿宋_GB2312"/>
                <w:i w:val="0"/>
                <w:color w:val="000000"/>
                <w:kern w:val="0"/>
                <w:sz w:val="20"/>
                <w:szCs w:val="20"/>
                <w:highlight w:val="none"/>
                <w:u w:val="none"/>
                <w:lang w:val="en-US" w:eastAsia="zh-CN" w:bidi="ar"/>
              </w:rPr>
              <w:t>概论</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129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nil"/>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w:t>
            </w:r>
          </w:p>
        </w:tc>
        <w:tc>
          <w:tcPr>
            <w:tcW w:w="1079"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1A410101210</w:t>
            </w:r>
          </w:p>
        </w:tc>
        <w:tc>
          <w:tcPr>
            <w:tcW w:w="944" w:type="pct"/>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语文</w:t>
            </w:r>
          </w:p>
        </w:tc>
        <w:tc>
          <w:tcPr>
            <w:tcW w:w="326" w:type="pct"/>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296" w:type="pct"/>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129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269"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w:t>
            </w:r>
          </w:p>
        </w:tc>
        <w:tc>
          <w:tcPr>
            <w:tcW w:w="107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1A410101211</w:t>
            </w:r>
          </w:p>
        </w:tc>
        <w:tc>
          <w:tcPr>
            <w:tcW w:w="944"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物理</w:t>
            </w:r>
          </w:p>
        </w:tc>
        <w:tc>
          <w:tcPr>
            <w:tcW w:w="326"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296"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1299" w:type="pct"/>
            <w:gridSpan w:val="6"/>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11</w:t>
            </w:r>
          </w:p>
        </w:tc>
        <w:tc>
          <w:tcPr>
            <w:tcW w:w="107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1A410101212</w:t>
            </w:r>
          </w:p>
        </w:tc>
        <w:tc>
          <w:tcPr>
            <w:tcW w:w="944"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化学</w:t>
            </w:r>
          </w:p>
        </w:tc>
        <w:tc>
          <w:tcPr>
            <w:tcW w:w="326"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296"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1299" w:type="pct"/>
            <w:gridSpan w:val="6"/>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shd w:val="clear" w:color="auto" w:fill="auto"/>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w:t>
            </w:r>
          </w:p>
        </w:tc>
        <w:tc>
          <w:tcPr>
            <w:tcW w:w="107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1A410101213</w:t>
            </w:r>
          </w:p>
        </w:tc>
        <w:tc>
          <w:tcPr>
            <w:tcW w:w="944"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职业素养</w:t>
            </w:r>
          </w:p>
        </w:tc>
        <w:tc>
          <w:tcPr>
            <w:tcW w:w="326"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301"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w:t>
            </w:r>
          </w:p>
        </w:tc>
        <w:tc>
          <w:tcPr>
            <w:tcW w:w="296" w:type="pc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1299" w:type="pct"/>
            <w:gridSpan w:val="6"/>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03" w:type="pct"/>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公共必修课程学分、学时小计</w:t>
            </w:r>
          </w:p>
        </w:tc>
        <w:tc>
          <w:tcPr>
            <w:tcW w:w="326"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44</w:t>
            </w:r>
          </w:p>
        </w:tc>
        <w:tc>
          <w:tcPr>
            <w:tcW w:w="296"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830</w:t>
            </w:r>
          </w:p>
        </w:tc>
        <w:tc>
          <w:tcPr>
            <w:tcW w:w="301"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454</w:t>
            </w:r>
          </w:p>
        </w:tc>
        <w:tc>
          <w:tcPr>
            <w:tcW w:w="296"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376</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03" w:type="pct"/>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公共必修课程学分、学时占比</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29.14%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29.25%</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16.00%</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13.25%</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03" w:type="pct"/>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公共选修课程学分、学时小计</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128</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80</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CellMar>
            <w:top w:w="0" w:type="dxa"/>
            <w:left w:w="0" w:type="dxa"/>
            <w:bottom w:w="0" w:type="dxa"/>
            <w:right w:w="0" w:type="dxa"/>
          </w:tblCellMar>
        </w:tblPrEx>
        <w:trPr>
          <w:trHeight w:val="57" w:hRule="atLeast"/>
          <w:jc w:val="center"/>
        </w:trPr>
        <w:tc>
          <w:tcPr>
            <w:tcW w:w="36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03" w:type="pct"/>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公共选修课程学分、学时占比</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5.30%</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4.51%</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2.82%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1.69%</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CellMar>
            <w:top w:w="0" w:type="dxa"/>
            <w:left w:w="0" w:type="dxa"/>
            <w:bottom w:w="0" w:type="dxa"/>
            <w:right w:w="0" w:type="dxa"/>
          </w:tblCellMar>
        </w:tblPrEx>
        <w:trPr>
          <w:trHeight w:val="57" w:hRule="atLeast"/>
          <w:jc w:val="center"/>
        </w:trPr>
        <w:tc>
          <w:tcPr>
            <w:tcW w:w="119" w:type="pct"/>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专业课</w:t>
            </w:r>
          </w:p>
        </w:tc>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专业基础课</w:t>
            </w:r>
          </w:p>
        </w:tc>
        <w:tc>
          <w:tcPr>
            <w:tcW w:w="181"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5A530701303</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管理学基础</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39"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5B440703302</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建筑识图与CAD</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239"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5B440703303</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物业管理法律法规</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56</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239"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nil"/>
              <w:left w:val="nil"/>
              <w:bottom w:val="nil"/>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5B440703304</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物业财务管理</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239"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5B440703305</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物业信息化管理</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239" w:type="pct"/>
            <w:tcBorders>
              <w:top w:val="single" w:color="000000" w:sz="4" w:space="0"/>
              <w:left w:val="nil"/>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19"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5B440703309</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物业档案管理</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20</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leftChars="0"/>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5B440703306</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left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物业统计技术</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left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left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left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left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left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left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leftChars="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5B440703307</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物业电工电子技术</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239"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5B440703308</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工程建设法规</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56</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restar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专业核心课</w:t>
            </w:r>
          </w:p>
        </w:tc>
        <w:tc>
          <w:tcPr>
            <w:tcW w:w="181" w:type="pct"/>
            <w:vMerge w:val="restar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5B440703401</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现代物业管理实务</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5B440703402</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物业管理招投标技术</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5B440703403</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房屋建筑结构与维护</w:t>
            </w:r>
          </w:p>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管理</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5B440703404</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物业设施设备管理</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5B440703405</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物业客户服务与管理</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239" w:type="pct"/>
            <w:tcBorders>
              <w:top w:val="nil"/>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14" w:type="pct"/>
            <w:tcBorders>
              <w:top w:val="nil"/>
              <w:left w:val="nil"/>
              <w:bottom w:val="nil"/>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5B440703406</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物业空间营造与管理</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239"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5B440703407</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物业经营管理</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56</w:t>
            </w:r>
          </w:p>
        </w:tc>
        <w:tc>
          <w:tcPr>
            <w:tcW w:w="239"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5B440703408</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楼宇智能化管理</w:t>
            </w:r>
          </w:p>
        </w:tc>
        <w:tc>
          <w:tcPr>
            <w:tcW w:w="326" w:type="pct"/>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239" w:type="pct"/>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考试</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专业拓展课</w:t>
            </w:r>
          </w:p>
        </w:tc>
        <w:tc>
          <w:tcPr>
            <w:tcW w:w="181"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5B440703501</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BIM技术运维管理</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default"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1299" w:type="pct"/>
            <w:gridSpan w:val="6"/>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专业拓展课最低学分要求为10学分。</w:t>
            </w: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5B440703502</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物业服务营销</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1299" w:type="pct"/>
            <w:gridSpan w:val="6"/>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5B440703503</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物业价值评估技术</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1299" w:type="pct"/>
            <w:gridSpan w:val="6"/>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5B440703504</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现代社区服务</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1299" w:type="pct"/>
            <w:gridSpan w:val="6"/>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5B440703505</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物联网技术与应用</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1299" w:type="pct"/>
            <w:gridSpan w:val="6"/>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5B440703506</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绿色建筑运维管理</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1299" w:type="pct"/>
            <w:gridSpan w:val="6"/>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5B440703507</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物业服务质量管理</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1299" w:type="pct"/>
            <w:gridSpan w:val="6"/>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5B440703508</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物业风险识别与管理</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1299" w:type="pct"/>
            <w:gridSpan w:val="6"/>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5B440703509</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物业消防管理</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1299" w:type="pct"/>
            <w:gridSpan w:val="6"/>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5B440703510</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中西方建筑文化</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1299" w:type="pct"/>
            <w:gridSpan w:val="6"/>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57"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11</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23"/>
                <w:w w:val="100"/>
                <w:kern w:val="0"/>
                <w:sz w:val="20"/>
                <w:szCs w:val="20"/>
                <w:highlight w:val="none"/>
                <w:u w:val="none"/>
                <w:lang w:val="en-US" w:eastAsia="zh-CN" w:bidi="ar"/>
              </w:rPr>
            </w:pPr>
            <w:r>
              <w:rPr>
                <w:rFonts w:hint="eastAsia" w:ascii="仿宋_GB2312" w:hAnsi="仿宋_GB2312" w:eastAsia="仿宋_GB2312" w:cs="仿宋_GB2312"/>
                <w:i w:val="0"/>
                <w:color w:val="000000"/>
                <w:spacing w:val="-23"/>
                <w:w w:val="100"/>
                <w:kern w:val="0"/>
                <w:sz w:val="20"/>
                <w:szCs w:val="20"/>
                <w:highlight w:val="none"/>
                <w:u w:val="none"/>
                <w:lang w:val="en-US" w:eastAsia="zh-CN" w:bidi="ar"/>
              </w:rPr>
              <w:t>6B500606508</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工程制图</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36</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1299" w:type="pct"/>
            <w:gridSpan w:val="6"/>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shd w:val="clear" w:color="auto" w:fill="auto"/>
          <w:tblCellMar>
            <w:top w:w="0" w:type="dxa"/>
            <w:left w:w="0" w:type="dxa"/>
            <w:bottom w:w="0" w:type="dxa"/>
            <w:right w:w="0" w:type="dxa"/>
          </w:tblCellMar>
        </w:tblPrEx>
        <w:trPr>
          <w:trHeight w:val="601" w:hRule="atLeast"/>
          <w:jc w:val="center"/>
        </w:trPr>
        <w:tc>
          <w:tcPr>
            <w:tcW w:w="119" w:type="pct"/>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实践性教学环节</w:t>
            </w:r>
          </w:p>
        </w:tc>
        <w:tc>
          <w:tcPr>
            <w:tcW w:w="181" w:type="pct"/>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11"/>
                <w:w w:val="100"/>
                <w:kern w:val="0"/>
                <w:sz w:val="20"/>
                <w:szCs w:val="20"/>
                <w:highlight w:val="none"/>
                <w:u w:val="none"/>
                <w:lang w:val="en-US" w:eastAsia="zh-CN" w:bidi="ar"/>
              </w:rPr>
            </w:pPr>
            <w:r>
              <w:rPr>
                <w:rFonts w:hint="eastAsia" w:ascii="仿宋_GB2312" w:hAnsi="仿宋_GB2312" w:eastAsia="仿宋_GB2312" w:cs="仿宋_GB2312"/>
                <w:i w:val="0"/>
                <w:color w:val="000000"/>
                <w:spacing w:val="-11"/>
                <w:w w:val="100"/>
                <w:kern w:val="0"/>
                <w:sz w:val="20"/>
                <w:szCs w:val="20"/>
                <w:highlight w:val="none"/>
                <w:u w:val="none"/>
                <w:lang w:val="en-US" w:eastAsia="zh-CN" w:bidi="ar"/>
              </w:rPr>
              <w:t>1B410101601</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毕业设计</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w:t>
            </w:r>
          </w:p>
        </w:tc>
        <w:tc>
          <w:tcPr>
            <w:tcW w:w="296"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80</w:t>
            </w:r>
          </w:p>
        </w:tc>
        <w:tc>
          <w:tcPr>
            <w:tcW w:w="301"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20</w:t>
            </w:r>
          </w:p>
        </w:tc>
        <w:tc>
          <w:tcPr>
            <w:tcW w:w="296"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60</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20</w:t>
            </w: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tblCellMar>
            <w:top w:w="0" w:type="dxa"/>
            <w:left w:w="0" w:type="dxa"/>
            <w:bottom w:w="0" w:type="dxa"/>
            <w:right w:w="0" w:type="dxa"/>
          </w:tblCellMar>
        </w:tblPrEx>
        <w:trPr>
          <w:trHeight w:val="675" w:hRule="atLeast"/>
          <w:jc w:val="center"/>
        </w:trPr>
        <w:tc>
          <w:tcPr>
            <w:tcW w:w="119" w:type="pct"/>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48"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7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spacing w:val="-11"/>
                <w:w w:val="100"/>
                <w:kern w:val="0"/>
                <w:sz w:val="20"/>
                <w:szCs w:val="20"/>
                <w:highlight w:val="none"/>
                <w:u w:val="none"/>
                <w:lang w:val="en-US" w:eastAsia="zh-CN" w:bidi="ar"/>
              </w:rPr>
            </w:pPr>
            <w:r>
              <w:rPr>
                <w:rFonts w:hint="eastAsia" w:ascii="仿宋_GB2312" w:hAnsi="仿宋_GB2312" w:eastAsia="仿宋_GB2312" w:cs="仿宋_GB2312"/>
                <w:i w:val="0"/>
                <w:color w:val="000000"/>
                <w:spacing w:val="-11"/>
                <w:w w:val="100"/>
                <w:kern w:val="0"/>
                <w:sz w:val="20"/>
                <w:szCs w:val="20"/>
                <w:highlight w:val="none"/>
                <w:u w:val="none"/>
                <w:lang w:val="en-US" w:eastAsia="zh-CN" w:bidi="ar"/>
              </w:rPr>
              <w:t>1C410101602</w:t>
            </w:r>
          </w:p>
        </w:tc>
        <w:tc>
          <w:tcPr>
            <w:tcW w:w="94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岗位实习</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432</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432</w:t>
            </w:r>
          </w:p>
        </w:tc>
        <w:tc>
          <w:tcPr>
            <w:tcW w:w="239" w:type="pct"/>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w:t>
            </w: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考查</w:t>
            </w:r>
          </w:p>
        </w:tc>
      </w:tr>
      <w:tr>
        <w:tblPrEx>
          <w:shd w:val="clear" w:color="auto" w:fill="auto"/>
          <w:tblCellMar>
            <w:top w:w="0" w:type="dxa"/>
            <w:left w:w="0" w:type="dxa"/>
            <w:bottom w:w="0" w:type="dxa"/>
            <w:right w:w="0" w:type="dxa"/>
          </w:tblCellMar>
        </w:tblPrEx>
        <w:trPr>
          <w:trHeight w:val="57" w:hRule="atLeast"/>
          <w:jc w:val="center"/>
        </w:trPr>
        <w:tc>
          <w:tcPr>
            <w:tcW w:w="2171" w:type="pct"/>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专业必修课程学分、学时小计</w:t>
            </w:r>
          </w:p>
        </w:tc>
        <w:tc>
          <w:tcPr>
            <w:tcW w:w="32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89</w:t>
            </w:r>
          </w:p>
        </w:tc>
        <w:tc>
          <w:tcPr>
            <w:tcW w:w="29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1700</w:t>
            </w: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696</w:t>
            </w:r>
          </w:p>
        </w:tc>
        <w:tc>
          <w:tcPr>
            <w:tcW w:w="29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1004</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CellMar>
            <w:top w:w="0" w:type="dxa"/>
            <w:left w:w="0" w:type="dxa"/>
            <w:bottom w:w="0" w:type="dxa"/>
            <w:right w:w="0" w:type="dxa"/>
          </w:tblCellMar>
        </w:tblPrEx>
        <w:trPr>
          <w:trHeight w:val="57" w:hRule="atLeast"/>
          <w:jc w:val="center"/>
        </w:trPr>
        <w:tc>
          <w:tcPr>
            <w:tcW w:w="2171" w:type="pct"/>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专业必修课程学分、学时占比</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58.94%</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59.90%</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24.52%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35.38%</w:t>
            </w:r>
          </w:p>
        </w:tc>
        <w:tc>
          <w:tcPr>
            <w:tcW w:w="239"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CellMar>
            <w:top w:w="0" w:type="dxa"/>
            <w:left w:w="0" w:type="dxa"/>
            <w:bottom w:w="0" w:type="dxa"/>
            <w:right w:w="0" w:type="dxa"/>
          </w:tblCellMar>
        </w:tblPrEx>
        <w:trPr>
          <w:trHeight w:val="57" w:hRule="atLeast"/>
          <w:jc w:val="center"/>
        </w:trPr>
        <w:tc>
          <w:tcPr>
            <w:tcW w:w="2171" w:type="pct"/>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专业拓展课程学分、学时小计</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180</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90</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90</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shd w:val="clear" w:color="auto" w:fill="auto"/>
          <w:tblCellMar>
            <w:top w:w="0" w:type="dxa"/>
            <w:left w:w="0" w:type="dxa"/>
            <w:bottom w:w="0" w:type="dxa"/>
            <w:right w:w="0" w:type="dxa"/>
          </w:tblCellMar>
        </w:tblPrEx>
        <w:trPr>
          <w:trHeight w:val="57" w:hRule="atLeast"/>
          <w:jc w:val="center"/>
        </w:trPr>
        <w:tc>
          <w:tcPr>
            <w:tcW w:w="2171" w:type="pct"/>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专业拓展课程学分、学时占比</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6.62%</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6.34%</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3.17%</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3.17%</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r>
        <w:tblPrEx>
          <w:tblCellMar>
            <w:top w:w="0" w:type="dxa"/>
            <w:left w:w="0" w:type="dxa"/>
            <w:bottom w:w="0" w:type="dxa"/>
            <w:right w:w="0" w:type="dxa"/>
          </w:tblCellMar>
        </w:tblPrEx>
        <w:trPr>
          <w:trHeight w:val="57" w:hRule="atLeast"/>
          <w:jc w:val="center"/>
        </w:trPr>
        <w:tc>
          <w:tcPr>
            <w:tcW w:w="2171" w:type="pct"/>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总学分、学时合计</w:t>
            </w:r>
          </w:p>
        </w:tc>
        <w:tc>
          <w:tcPr>
            <w:tcW w:w="32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151</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2838</w:t>
            </w:r>
          </w:p>
        </w:tc>
        <w:tc>
          <w:tcPr>
            <w:tcW w:w="30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1320</w:t>
            </w:r>
          </w:p>
        </w:tc>
        <w:tc>
          <w:tcPr>
            <w:tcW w:w="296"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1518</w:t>
            </w: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ind w:left="0"/>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default" w:ascii="黑体" w:hAnsi="黑体" w:eastAsia="黑体" w:cs="黑体"/>
          <w:color w:val="auto"/>
          <w:sz w:val="32"/>
          <w:szCs w:val="32"/>
          <w:lang w:val="en-US" w:eastAsia="zh-CN"/>
        </w:rPr>
      </w:pPr>
      <w:bookmarkStart w:id="49" w:name="_Toc24034"/>
      <w:bookmarkStart w:id="50" w:name="_Toc22280"/>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bookmarkEnd w:id="49"/>
      <w:bookmarkEnd w:id="50"/>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firstLine="640" w:firstLineChars="200"/>
        <w:textAlignment w:val="auto"/>
        <w:outlineLvl w:val="1"/>
        <w:rPr>
          <w:rFonts w:hint="default" w:ascii="楷体" w:hAnsi="楷体" w:eastAsia="楷体" w:cs="楷体"/>
          <w:b w:val="0"/>
          <w:bCs w:val="0"/>
          <w:color w:val="auto"/>
          <w:sz w:val="32"/>
          <w:szCs w:val="32"/>
          <w:highlight w:val="none"/>
          <w:lang w:val="en-US" w:eastAsia="zh-CN"/>
        </w:rPr>
      </w:pPr>
      <w:bookmarkStart w:id="51" w:name="_Toc6606"/>
      <w:bookmarkStart w:id="52" w:name="_Toc2467"/>
      <w:r>
        <w:rPr>
          <w:rFonts w:hint="eastAsia" w:ascii="楷体" w:hAnsi="楷体" w:eastAsia="楷体" w:cs="楷体"/>
          <w:b w:val="0"/>
          <w:bCs w:val="0"/>
          <w:color w:val="auto"/>
          <w:sz w:val="32"/>
          <w:szCs w:val="32"/>
          <w:highlight w:val="none"/>
          <w:lang w:val="en-US" w:eastAsia="zh-CN"/>
        </w:rPr>
        <w:t>队伍结构</w:t>
      </w:r>
      <w:bookmarkEnd w:id="51"/>
      <w:bookmarkEnd w:id="52"/>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 xml:space="preserve"> 学生数与本专业专任教师数比例不高于</w:t>
      </w:r>
      <w:r>
        <w:rPr>
          <w:rFonts w:hint="default" w:ascii="仿宋_GB2312" w:hAnsi="仿宋_GB2312" w:eastAsia="仿宋_GB2312" w:cs="仿宋_GB2312"/>
          <w:b w:val="0"/>
          <w:bCs w:val="0"/>
          <w:color w:val="auto"/>
          <w:sz w:val="32"/>
          <w:szCs w:val="32"/>
          <w:highlight w:val="none"/>
          <w:lang w:val="en-US" w:eastAsia="zh-CN"/>
        </w:rPr>
        <w:t>25</w:t>
      </w:r>
      <w:r>
        <w:rPr>
          <w:rFonts w:hint="eastAsia" w:ascii="仿宋_GB2312" w:hAnsi="仿宋_GB2312" w:eastAsia="仿宋_GB2312" w:cs="仿宋_GB2312"/>
          <w:b w:val="0"/>
          <w:bCs w:val="0"/>
          <w:color w:val="auto"/>
          <w:sz w:val="32"/>
          <w:szCs w:val="32"/>
          <w:highlight w:val="none"/>
          <w:lang w:val="en-US" w:eastAsia="zh-CN"/>
        </w:rPr>
        <w:t>∶</w:t>
      </w:r>
      <w:r>
        <w:rPr>
          <w:rFonts w:hint="default"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lang w:val="en-US" w:eastAsia="zh-CN"/>
        </w:rPr>
        <w:t>，“双师型”教师占专业课教师数比例一般不低于</w:t>
      </w:r>
      <w:r>
        <w:rPr>
          <w:rFonts w:hint="default" w:ascii="仿宋_GB2312" w:hAnsi="仿宋_GB2312" w:eastAsia="仿宋_GB2312" w:cs="仿宋_GB2312"/>
          <w:b w:val="0"/>
          <w:bCs w:val="0"/>
          <w:color w:val="auto"/>
          <w:sz w:val="32"/>
          <w:szCs w:val="32"/>
          <w:highlight w:val="none"/>
          <w:lang w:val="en-US" w:eastAsia="zh-CN"/>
        </w:rPr>
        <w:t>60%</w:t>
      </w:r>
      <w:r>
        <w:rPr>
          <w:rFonts w:hint="eastAsia" w:ascii="仿宋_GB2312" w:hAnsi="仿宋_GB2312" w:eastAsia="仿宋_GB2312" w:cs="仿宋_GB2312"/>
          <w:b w:val="0"/>
          <w:bCs w:val="0"/>
          <w:color w:val="auto"/>
          <w:sz w:val="32"/>
          <w:szCs w:val="32"/>
          <w:highlight w:val="none"/>
          <w:lang w:val="en-US" w:eastAsia="zh-CN"/>
        </w:rPr>
        <w:t>，高级职称专任教师的比例不低于</w:t>
      </w:r>
      <w:r>
        <w:rPr>
          <w:rFonts w:hint="default"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lang w:val="en-US" w:eastAsia="zh-CN"/>
        </w:rPr>
        <w:t>，专任教师队伍要考虑职称、年龄、工作 经验，形成合理的梯队结构。能够整合校内外优质人才资源，选聘企业高级技术人员担任行业导师，组建校企合作、专兼结合的教师团队，建立定期开展专业（学科）教研机制。</w:t>
      </w:r>
    </w:p>
    <w:p>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53" w:name="_Toc13758"/>
      <w:bookmarkStart w:id="54" w:name="_Toc18508"/>
      <w:r>
        <w:rPr>
          <w:rFonts w:hint="eastAsia" w:ascii="楷体" w:hAnsi="楷体" w:eastAsia="楷体" w:cs="楷体"/>
          <w:color w:val="auto"/>
          <w:sz w:val="32"/>
          <w:szCs w:val="32"/>
        </w:rPr>
        <w:t>专业带头人</w:t>
      </w:r>
      <w:bookmarkEnd w:id="53"/>
      <w:bookmarkEnd w:id="54"/>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原则上应具有本专业及相关专业副高及以上职称和较强的实践能力，能够较好地把握国内外物业管理行业、专业发展，能广泛联系行业企业，了解行业企业对本专业人才的需求实际，主持专业建设、开展教育教学改革、教科研工作和社会服务能力强，在本专业改革发展中起引领作用。</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lang w:val="en-US" w:eastAsia="zh-CN"/>
        </w:rPr>
      </w:pPr>
      <w:bookmarkStart w:id="55" w:name="_Toc4244"/>
      <w:bookmarkStart w:id="56" w:name="_Toc31745"/>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专任教师</w:t>
      </w:r>
      <w:bookmarkEnd w:id="55"/>
      <w:bookmarkEnd w:id="56"/>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具有高校教师资格；原则上具有房地产类、管理科学与工程类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w:t>
      </w:r>
      <w:r>
        <w:rPr>
          <w:rFonts w:hint="default"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lang w:val="en-US" w:eastAsia="zh-CN"/>
        </w:rPr>
        <w:t>个月在企业或生产性实训基地锻炼，每</w:t>
      </w:r>
      <w:r>
        <w:rPr>
          <w:rFonts w:hint="default"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lang w:val="en-US" w:eastAsia="zh-CN"/>
        </w:rPr>
        <w:t>年累计不少于</w:t>
      </w:r>
      <w:r>
        <w:rPr>
          <w:rFonts w:hint="default" w:ascii="仿宋_GB2312" w:hAnsi="仿宋_GB2312" w:eastAsia="仿宋_GB2312" w:cs="仿宋_GB2312"/>
          <w:b w:val="0"/>
          <w:bCs w:val="0"/>
          <w:color w:val="auto"/>
          <w:sz w:val="32"/>
          <w:szCs w:val="32"/>
          <w:highlight w:val="none"/>
          <w:lang w:val="en-US" w:eastAsia="zh-CN"/>
        </w:rPr>
        <w:t>6</w:t>
      </w:r>
      <w:r>
        <w:rPr>
          <w:rFonts w:hint="eastAsia" w:ascii="仿宋_GB2312" w:hAnsi="仿宋_GB2312" w:eastAsia="仿宋_GB2312" w:cs="仿宋_GB2312"/>
          <w:b w:val="0"/>
          <w:bCs w:val="0"/>
          <w:color w:val="auto"/>
          <w:sz w:val="32"/>
          <w:szCs w:val="32"/>
          <w:highlight w:val="none"/>
          <w:lang w:val="en-US" w:eastAsia="zh-CN"/>
        </w:rPr>
        <w:t>个月的企业实践经历。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57" w:name="_Toc8655"/>
      <w:bookmarkStart w:id="58" w:name="_Toc12680"/>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兼职教师</w:t>
      </w:r>
      <w:bookmarkEnd w:id="57"/>
      <w:bookmarkEnd w:id="58"/>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楷体" w:hAnsi="楷体" w:eastAsia="楷体" w:cs="楷体"/>
          <w:color w:val="auto"/>
          <w:sz w:val="32"/>
          <w:szCs w:val="32"/>
        </w:rPr>
      </w:pPr>
      <w:bookmarkStart w:id="59" w:name="_Toc2900"/>
      <w:bookmarkStart w:id="60" w:name="_Toc13424"/>
      <w:r>
        <w:rPr>
          <w:rFonts w:hint="eastAsia" w:ascii="黑体" w:hAnsi="黑体" w:eastAsia="黑体" w:cs="黑体"/>
          <w:color w:val="auto"/>
          <w:sz w:val="32"/>
          <w:szCs w:val="32"/>
          <w:lang w:val="en-US" w:eastAsia="zh-CN"/>
        </w:rPr>
        <w:t>十、教学条件</w:t>
      </w:r>
      <w:bookmarkEnd w:id="59"/>
      <w:bookmarkEnd w:id="60"/>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61" w:name="_Toc16626"/>
      <w:bookmarkStart w:id="62" w:name="_Toc12242"/>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）教学设施</w:t>
      </w:r>
      <w:bookmarkEnd w:id="61"/>
      <w:bookmarkEnd w:id="62"/>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1.专业教室要求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配有黑（白）板、多媒体计算机、投影设备、音响设备，安装应急照明装置并保持良好状态，符合紧急疏散要求，标志明显，逃生通道畅通无阻。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2.校内实训资源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11"/>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293"/>
        <w:gridCol w:w="1814"/>
        <w:gridCol w:w="2653"/>
        <w:gridCol w:w="2553"/>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实验实训室名称</w:t>
            </w:r>
          </w:p>
        </w:tc>
        <w:tc>
          <w:tcPr>
            <w:tcW w:w="181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实训适用</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课程</w:t>
            </w:r>
          </w:p>
        </w:tc>
        <w:tc>
          <w:tcPr>
            <w:tcW w:w="265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实训项目</w:t>
            </w:r>
          </w:p>
        </w:tc>
        <w:tc>
          <w:tcPr>
            <w:tcW w:w="255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主要设备名称</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及配置数量</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1</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计算机实验中心</w:t>
            </w:r>
          </w:p>
        </w:tc>
        <w:tc>
          <w:tcPr>
            <w:tcW w:w="1814"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建筑识图与CAD、物业信息化管理</w:t>
            </w:r>
          </w:p>
        </w:tc>
        <w:tc>
          <w:tcPr>
            <w:tcW w:w="2653"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left"/>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1.AutoCAD绘图实训；</w:t>
            </w:r>
          </w:p>
          <w:p>
            <w:pPr>
              <w:keepNext w:val="0"/>
              <w:keepLines w:val="0"/>
              <w:pageBreakBefore w:val="0"/>
              <w:widowControl/>
              <w:suppressLineNumbers w:val="0"/>
              <w:kinsoku/>
              <w:wordWrap/>
              <w:topLinePunct w:val="0"/>
              <w:autoSpaceDE/>
              <w:autoSpaceDN/>
              <w:bidi w:val="0"/>
              <w:snapToGrid/>
              <w:spacing w:before="0" w:beforeAutospacing="0" w:after="0" w:afterAutospacing="0" w:line="360" w:lineRule="exact"/>
              <w:ind w:left="0" w:right="0" w:firstLine="0"/>
              <w:textAlignment w:val="auto"/>
              <w:outlineLvl w:val="9"/>
              <w:rPr>
                <w:rFonts w:hint="eastAsia" w:ascii="仿宋_GB2312" w:hAnsi="仿宋_GB2312" w:eastAsia="仿宋_GB2312" w:cs="仿宋_GB2312"/>
                <w:b w:val="0"/>
                <w:bCs w:val="0"/>
                <w:color w:val="auto"/>
                <w:kern w:val="2"/>
                <w:sz w:val="24"/>
                <w:szCs w:val="24"/>
                <w:highlight w:val="none"/>
                <w:lang w:val="en-US" w:eastAsia="zh-CN" w:bidi="ar-SA"/>
              </w:rPr>
            </w:pPr>
            <w:bookmarkStart w:id="63" w:name="_Toc7339"/>
            <w:r>
              <w:rPr>
                <w:rFonts w:hint="eastAsia" w:ascii="仿宋_GB2312" w:hAnsi="仿宋_GB2312" w:eastAsia="仿宋_GB2312" w:cs="仿宋_GB2312"/>
                <w:b w:val="0"/>
                <w:bCs w:val="0"/>
                <w:color w:val="auto"/>
                <w:kern w:val="2"/>
                <w:sz w:val="24"/>
                <w:szCs w:val="24"/>
                <w:highlight w:val="none"/>
                <w:lang w:val="en-US" w:eastAsia="zh-CN" w:bidi="ar-SA"/>
              </w:rPr>
              <w:t>2.基础信息化操作实训；</w:t>
            </w:r>
            <w:bookmarkEnd w:id="63"/>
          </w:p>
          <w:p>
            <w:pPr>
              <w:keepNext w:val="0"/>
              <w:keepLines w:val="0"/>
              <w:pageBreakBefore w:val="0"/>
              <w:widowControl/>
              <w:suppressLineNumbers w:val="0"/>
              <w:shd w:val="clear" w:fill="FFFFFF"/>
              <w:kinsoku/>
              <w:wordWrap/>
              <w:topLinePunct w:val="0"/>
              <w:autoSpaceDE/>
              <w:autoSpaceDN/>
              <w:bidi w:val="0"/>
              <w:snapToGrid/>
              <w:spacing w:before="0" w:beforeAutospacing="0" w:after="0" w:afterAutospacing="0" w:line="360" w:lineRule="exact"/>
              <w:ind w:left="0" w:leftChars="0" w:right="0" w:rightChars="0" w:firstLine="0" w:firstLineChars="0"/>
              <w:textAlignment w:val="auto"/>
              <w:outlineLvl w:val="9"/>
              <w:rPr>
                <w:rFonts w:hint="eastAsia" w:ascii="仿宋_GB2312" w:hAnsi="仿宋_GB2312" w:eastAsia="仿宋_GB2312" w:cs="仿宋_GB2312"/>
                <w:color w:val="auto"/>
                <w:sz w:val="24"/>
              </w:rPr>
            </w:pPr>
            <w:bookmarkStart w:id="64" w:name="_Toc757"/>
            <w:r>
              <w:rPr>
                <w:rFonts w:hint="eastAsia" w:ascii="仿宋_GB2312" w:hAnsi="仿宋_GB2312" w:eastAsia="仿宋_GB2312" w:cs="仿宋_GB2312"/>
                <w:b w:val="0"/>
                <w:bCs w:val="0"/>
                <w:color w:val="auto"/>
                <w:kern w:val="2"/>
                <w:sz w:val="24"/>
                <w:szCs w:val="24"/>
                <w:highlight w:val="none"/>
                <w:lang w:val="en-US" w:eastAsia="zh-CN" w:bidi="ar-SA"/>
              </w:rPr>
              <w:t>3.客户服务信息化实训。</w:t>
            </w:r>
            <w:bookmarkEnd w:id="64"/>
          </w:p>
        </w:tc>
        <w:tc>
          <w:tcPr>
            <w:tcW w:w="2553"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微型计算机60台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both"/>
              <w:textAlignment w:val="auto"/>
              <w:outlineLvl w:val="9"/>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60个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2</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会计电算化实训室</w:t>
            </w:r>
          </w:p>
        </w:tc>
        <w:tc>
          <w:tcPr>
            <w:tcW w:w="1814"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jc w:val="center"/>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物业财务</w:t>
            </w:r>
          </w:p>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管理</w:t>
            </w:r>
          </w:p>
        </w:tc>
        <w:tc>
          <w:tcPr>
            <w:tcW w:w="2653" w:type="dxa"/>
            <w:vAlign w:val="center"/>
          </w:tcPr>
          <w:p>
            <w:pPr>
              <w:keepNext w:val="0"/>
              <w:keepLines w:val="0"/>
              <w:pageBreakBefore w:val="0"/>
              <w:widowControl/>
              <w:numPr>
                <w:ilvl w:val="0"/>
                <w:numId w:val="3"/>
              </w:numPr>
              <w:suppressLineNumbers w:val="0"/>
              <w:shd w:val="clear" w:fill="FFFFFF"/>
              <w:kinsoku/>
              <w:wordWrap/>
              <w:topLinePunct w:val="0"/>
              <w:autoSpaceDE/>
              <w:autoSpaceDN/>
              <w:bidi w:val="0"/>
              <w:snapToGrid/>
              <w:spacing w:before="0" w:beforeAutospacing="0" w:after="0" w:afterAutospacing="0" w:line="360" w:lineRule="exact"/>
              <w:ind w:left="0" w:right="0" w:firstLine="0"/>
              <w:textAlignment w:val="auto"/>
              <w:outlineLvl w:val="9"/>
              <w:rPr>
                <w:rFonts w:hint="eastAsia" w:ascii="仿宋_GB2312" w:hAnsi="仿宋_GB2312" w:eastAsia="仿宋_GB2312" w:cs="仿宋_GB2312"/>
                <w:b w:val="0"/>
                <w:bCs w:val="0"/>
                <w:color w:val="auto"/>
                <w:kern w:val="2"/>
                <w:sz w:val="24"/>
                <w:szCs w:val="24"/>
                <w:highlight w:val="none"/>
                <w:lang w:val="en-US" w:eastAsia="zh-CN" w:bidi="ar-SA"/>
              </w:rPr>
            </w:pPr>
            <w:bookmarkStart w:id="65" w:name="_Toc11298"/>
            <w:r>
              <w:rPr>
                <w:rFonts w:hint="eastAsia" w:ascii="仿宋_GB2312" w:hAnsi="仿宋_GB2312" w:eastAsia="仿宋_GB2312" w:cs="仿宋_GB2312"/>
                <w:b w:val="0"/>
                <w:bCs w:val="0"/>
                <w:color w:val="auto"/>
                <w:kern w:val="2"/>
                <w:sz w:val="24"/>
                <w:szCs w:val="24"/>
                <w:highlight w:val="none"/>
                <w:lang w:val="en-US" w:eastAsia="zh-CN" w:bidi="ar-SA"/>
              </w:rPr>
              <w:t>基本财务知识与技能实训；</w:t>
            </w:r>
            <w:bookmarkEnd w:id="65"/>
          </w:p>
          <w:p>
            <w:pPr>
              <w:keepNext w:val="0"/>
              <w:keepLines w:val="0"/>
              <w:pageBreakBefore w:val="0"/>
              <w:widowControl/>
              <w:suppressLineNumbers w:val="0"/>
              <w:shd w:val="clear" w:fill="FFFFFF"/>
              <w:kinsoku/>
              <w:wordWrap/>
              <w:topLinePunct w:val="0"/>
              <w:autoSpaceDE/>
              <w:autoSpaceDN/>
              <w:bidi w:val="0"/>
              <w:snapToGrid/>
              <w:spacing w:before="0" w:beforeAutospacing="0" w:after="0" w:afterAutospacing="0" w:line="360" w:lineRule="exact"/>
              <w:ind w:left="0" w:right="0" w:firstLine="0"/>
              <w:textAlignment w:val="auto"/>
              <w:outlineLvl w:val="9"/>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2.会计原理与财务报表实训</w:t>
            </w:r>
          </w:p>
          <w:p>
            <w:pPr>
              <w:keepNext w:val="0"/>
              <w:keepLines w:val="0"/>
              <w:pageBreakBefore w:val="0"/>
              <w:widowControl/>
              <w:suppressLineNumbers w:val="0"/>
              <w:shd w:val="clear" w:fill="FFFFFF"/>
              <w:kinsoku/>
              <w:wordWrap/>
              <w:topLinePunct w:val="0"/>
              <w:autoSpaceDE/>
              <w:autoSpaceDN/>
              <w:bidi w:val="0"/>
              <w:snapToGrid/>
              <w:spacing w:before="0" w:beforeAutospacing="0" w:after="0" w:afterAutospacing="0" w:line="360" w:lineRule="exact"/>
              <w:ind w:left="0" w:leftChars="0" w:right="0" w:rightChars="0" w:firstLine="0" w:firstLineChars="0"/>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b w:val="0"/>
                <w:bCs w:val="0"/>
                <w:color w:val="auto"/>
                <w:kern w:val="2"/>
                <w:sz w:val="24"/>
                <w:szCs w:val="24"/>
                <w:highlight w:val="none"/>
                <w:lang w:val="en-US" w:eastAsia="zh-CN" w:bidi="ar-SA"/>
              </w:rPr>
              <w:t>预算编制实训。</w:t>
            </w:r>
          </w:p>
        </w:tc>
        <w:tc>
          <w:tcPr>
            <w:tcW w:w="2553"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微型计算机60台</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60个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7"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3</w:t>
            </w:r>
          </w:p>
        </w:tc>
        <w:tc>
          <w:tcPr>
            <w:tcW w:w="1293"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洽谈签约室</w:t>
            </w:r>
          </w:p>
        </w:tc>
        <w:tc>
          <w:tcPr>
            <w:tcW w:w="1814"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物业客户服务与管理</w:t>
            </w:r>
          </w:p>
        </w:tc>
        <w:tc>
          <w:tcPr>
            <w:tcW w:w="2653" w:type="dxa"/>
            <w:vAlign w:val="center"/>
          </w:tcPr>
          <w:p>
            <w:pPr>
              <w:keepNext w:val="0"/>
              <w:keepLines w:val="0"/>
              <w:pageBreakBefore w:val="0"/>
              <w:widowControl w:val="0"/>
              <w:numPr>
                <w:ilvl w:val="0"/>
                <w:numId w:val="4"/>
              </w:numPr>
              <w:kinsoku/>
              <w:wordWrap/>
              <w:overflowPunct w:val="0"/>
              <w:topLinePunct w:val="0"/>
              <w:autoSpaceDE/>
              <w:autoSpaceDN/>
              <w:bidi w:val="0"/>
              <w:adjustRightInd w:val="0"/>
              <w:snapToGrid/>
              <w:spacing w:after="0" w:line="360" w:lineRule="exact"/>
              <w:ind w:left="0"/>
              <w:jc w:val="left"/>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沟通方式训练；</w:t>
            </w:r>
          </w:p>
          <w:p>
            <w:pPr>
              <w:keepNext w:val="0"/>
              <w:keepLines w:val="0"/>
              <w:pageBreakBefore w:val="0"/>
              <w:widowControl w:val="0"/>
              <w:numPr>
                <w:ilvl w:val="0"/>
                <w:numId w:val="4"/>
              </w:numPr>
              <w:kinsoku/>
              <w:wordWrap/>
              <w:overflowPunct w:val="0"/>
              <w:topLinePunct w:val="0"/>
              <w:autoSpaceDE/>
              <w:autoSpaceDN/>
              <w:bidi w:val="0"/>
              <w:adjustRightInd w:val="0"/>
              <w:snapToGrid/>
              <w:spacing w:after="0" w:line="360" w:lineRule="exact"/>
              <w:ind w:left="0"/>
              <w:jc w:val="left"/>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投诉和纠纷处理；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left="0" w:leftChars="0" w:firstLine="0" w:firstLineChars="0"/>
              <w:jc w:val="left"/>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3.安全管理实践。</w:t>
            </w:r>
          </w:p>
        </w:tc>
        <w:tc>
          <w:tcPr>
            <w:tcW w:w="2553"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多媒体1套、会议桌</w:t>
            </w:r>
          </w:p>
        </w:tc>
        <w:tc>
          <w:tcPr>
            <w:tcW w:w="1047"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ind w:left="0" w:leftChars="0"/>
              <w:jc w:val="center"/>
              <w:textAlignment w:val="auto"/>
              <w:outlineLvl w:val="9"/>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17个</w:t>
            </w:r>
          </w:p>
        </w:tc>
      </w:tr>
    </w:tbl>
    <w:p>
      <w:pPr>
        <w:keepNext/>
        <w:keepLines/>
        <w:pageBreakBefore w:val="0"/>
        <w:widowControl/>
        <w:kinsoku/>
        <w:wordWrap/>
        <w:overflowPunct/>
        <w:topLinePunct w:val="0"/>
        <w:autoSpaceDE/>
        <w:autoSpaceDN/>
        <w:bidi w:val="0"/>
        <w:adjustRightInd/>
        <w:snapToGrid/>
        <w:spacing w:before="0" w:after="0" w:line="520" w:lineRule="exact"/>
        <w:ind w:left="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3.校外实训资源</w:t>
      </w:r>
    </w:p>
    <w:p>
      <w:pPr>
        <w:pageBreakBefore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（1）校外实训基地基本要求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highlight w:val="none"/>
          <w:lang w:val="en-US" w:eastAsia="zh-CN"/>
        </w:rPr>
        <w:t>具有稳定的校外实训基地2个以上；能够开展</w:t>
      </w:r>
      <w:r>
        <w:rPr>
          <w:rFonts w:hint="eastAsia" w:ascii="仿宋_GB2312" w:hAnsi="仿宋_GB2312" w:cs="仿宋_GB2312"/>
          <w:color w:val="auto"/>
          <w:sz w:val="28"/>
          <w:szCs w:val="28"/>
          <w:highlight w:val="none"/>
        </w:rPr>
        <w:t>物业客户服务技巧</w:t>
      </w:r>
      <w:r>
        <w:rPr>
          <w:rFonts w:hint="eastAsia" w:ascii="仿宋_GB2312" w:hAnsi="仿宋_GB2312" w:eastAsia="仿宋_GB2312" w:cs="仿宋_GB2312"/>
          <w:b w:val="0"/>
          <w:bCs w:val="0"/>
          <w:color w:val="auto"/>
          <w:sz w:val="32"/>
          <w:szCs w:val="32"/>
          <w:highlight w:val="none"/>
          <w:lang w:val="en-US" w:eastAsia="zh-CN"/>
        </w:rPr>
        <w:t>等实训活动；实训设施齐备，实训岗位、实训指导教师确定，实训管理及实施规章制度齐全。</w:t>
      </w:r>
    </w:p>
    <w:p>
      <w:pPr>
        <w:pageBreakBefore w:val="0"/>
        <w:numPr>
          <w:ilvl w:val="0"/>
          <w:numId w:val="5"/>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学生实习基地基本要求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具有稳定的校外实习基地2个以上；能提供物业管理等相关实习岗位，能涵盖当前相关产业的主流技术，可接纳一定规模的学生实习；能够配备相应数量的指导教师对学生实习进行指导和管理；有保证实习生日常工作、学习、生活的规章制度，有安全、保险保障。</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p>
    <w:p>
      <w:pPr>
        <w:pageBreakBefore w:val="0"/>
        <w:kinsoku/>
        <w:wordWrap/>
        <w:overflowPunct w:val="0"/>
        <w:topLinePunct w:val="0"/>
        <w:autoSpaceDE/>
        <w:autoSpaceDN/>
        <w:bidi w:val="0"/>
        <w:adjustRightInd w:val="0"/>
        <w:snapToGrid/>
        <w:spacing w:after="0" w:line="520" w:lineRule="exact"/>
        <w:ind w:left="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校外实习基地一览表</w:t>
      </w:r>
    </w:p>
    <w:tbl>
      <w:tblPr>
        <w:tblStyle w:val="11"/>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854"/>
        <w:gridCol w:w="2356"/>
        <w:gridCol w:w="1998"/>
        <w:gridCol w:w="2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校外实习基地名称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合作企业名称</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合作</w:t>
            </w:r>
            <w:r>
              <w:rPr>
                <w:rFonts w:hint="eastAsia" w:ascii="仿宋_GB2312" w:hAnsi="仿宋_GB2312" w:eastAsia="仿宋_GB2312" w:cs="仿宋_GB2312"/>
                <w:color w:val="auto"/>
                <w:sz w:val="24"/>
                <w:lang w:val="en-US" w:eastAsia="zh-CN"/>
              </w:rPr>
              <w:t>内容</w:t>
            </w:r>
          </w:p>
        </w:tc>
        <w:tc>
          <w:tcPr>
            <w:tcW w:w="21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lang w:val="en-US" w:eastAsia="zh-CN"/>
              </w:rPr>
              <w:t>1</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lang w:eastAsia="zh-CN"/>
              </w:rPr>
              <w:t>广西工程职业学院</w:t>
            </w:r>
            <w:r>
              <w:rPr>
                <w:rFonts w:hint="eastAsia" w:ascii="仿宋_GB2312" w:hAnsi="仿宋_GB2312" w:eastAsia="仿宋_GB2312" w:cs="仿宋_GB2312"/>
                <w:color w:val="auto"/>
                <w:sz w:val="24"/>
                <w:szCs w:val="24"/>
                <w:highlight w:val="none"/>
                <w:shd w:val="clear" w:color="auto" w:fill="FFFFFF"/>
                <w:lang w:bidi="ar"/>
              </w:rPr>
              <w:t>现代物业管理</w:t>
            </w:r>
            <w:r>
              <w:rPr>
                <w:rFonts w:hint="eastAsia" w:ascii="仿宋_GB2312" w:hAnsi="仿宋_GB2312" w:eastAsia="仿宋_GB2312" w:cs="仿宋_GB2312"/>
                <w:b w:val="0"/>
                <w:bCs w:val="0"/>
                <w:color w:val="auto"/>
                <w:sz w:val="24"/>
                <w:szCs w:val="24"/>
                <w:highlight w:val="none"/>
                <w:lang w:val="en-US" w:eastAsia="zh-CN"/>
              </w:rPr>
              <w:t>专业校外实习基地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lang w:eastAsia="zh-CN"/>
              </w:rPr>
              <w:t>广西盛世家园物业服务有限责任公司</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lang w:val="en-US" w:eastAsia="zh-CN"/>
              </w:rPr>
              <w:t>共同研究专业设置、共同建设实训实习平台</w:t>
            </w:r>
          </w:p>
        </w:tc>
        <w:tc>
          <w:tcPr>
            <w:tcW w:w="2166"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left="0" w:leftChars="0" w:firstLine="0" w:firstLine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lang w:val="en-US" w:eastAsia="zh-CN"/>
              </w:rPr>
              <w:t>2</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lang w:eastAsia="zh-CN"/>
              </w:rPr>
              <w:t>广西工程职业学院</w:t>
            </w:r>
            <w:r>
              <w:rPr>
                <w:rFonts w:hint="eastAsia" w:ascii="仿宋_GB2312" w:hAnsi="仿宋_GB2312" w:eastAsia="仿宋_GB2312" w:cs="仿宋_GB2312"/>
                <w:color w:val="auto"/>
                <w:sz w:val="24"/>
                <w:szCs w:val="24"/>
                <w:highlight w:val="none"/>
                <w:shd w:val="clear" w:color="auto" w:fill="FFFFFF"/>
                <w:lang w:bidi="ar"/>
              </w:rPr>
              <w:t>现代物业管理</w:t>
            </w:r>
            <w:r>
              <w:rPr>
                <w:rFonts w:hint="eastAsia" w:ascii="仿宋_GB2312" w:hAnsi="仿宋_GB2312" w:eastAsia="仿宋_GB2312" w:cs="仿宋_GB2312"/>
                <w:b w:val="0"/>
                <w:bCs w:val="0"/>
                <w:color w:val="auto"/>
                <w:sz w:val="24"/>
                <w:szCs w:val="24"/>
                <w:highlight w:val="none"/>
                <w:lang w:val="en-US" w:eastAsia="zh-CN"/>
              </w:rPr>
              <w:t>专业校外实习基地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lang w:eastAsia="zh-CN"/>
              </w:rPr>
              <w:t>广西安信物业服务有限公司</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lang w:val="en-US" w:eastAsia="zh-CN"/>
              </w:rPr>
              <w:t>共同建设实训实习平台</w:t>
            </w:r>
          </w:p>
        </w:tc>
        <w:tc>
          <w:tcPr>
            <w:tcW w:w="2166"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left="0" w:leftChars="0" w:firstLine="0" w:firstLine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lang w:val="en-US" w:eastAsia="zh-CN"/>
              </w:rPr>
              <w:t>3</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lang w:eastAsia="zh-CN"/>
              </w:rPr>
              <w:t>广西工程职业学院</w:t>
            </w:r>
            <w:r>
              <w:rPr>
                <w:rFonts w:hint="eastAsia" w:ascii="仿宋_GB2312" w:hAnsi="仿宋_GB2312" w:eastAsia="仿宋_GB2312" w:cs="仿宋_GB2312"/>
                <w:color w:val="auto"/>
                <w:sz w:val="24"/>
                <w:szCs w:val="24"/>
                <w:highlight w:val="none"/>
                <w:shd w:val="clear" w:color="auto" w:fill="FFFFFF"/>
                <w:lang w:bidi="ar"/>
              </w:rPr>
              <w:t>现代物业管理</w:t>
            </w:r>
            <w:r>
              <w:rPr>
                <w:rFonts w:hint="eastAsia" w:ascii="仿宋_GB2312" w:hAnsi="仿宋_GB2312" w:eastAsia="仿宋_GB2312" w:cs="仿宋_GB2312"/>
                <w:b w:val="0"/>
                <w:bCs w:val="0"/>
                <w:color w:val="auto"/>
                <w:sz w:val="24"/>
                <w:szCs w:val="24"/>
                <w:highlight w:val="none"/>
                <w:lang w:val="en-US" w:eastAsia="zh-CN"/>
              </w:rPr>
              <w:t>专业校外实习基地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lang w:eastAsia="zh-CN"/>
              </w:rPr>
              <w:t>碧桂园生活服务集团股份有限公司柳州分公司</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lang w:val="en-US" w:eastAsia="zh-CN"/>
              </w:rPr>
              <w:t>共同建设实训实习平台</w:t>
            </w:r>
          </w:p>
        </w:tc>
        <w:tc>
          <w:tcPr>
            <w:tcW w:w="2166"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left="0" w:leftChars="0" w:firstLine="0" w:firstLine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lang w:val="en-US" w:eastAsia="zh-CN"/>
              </w:rPr>
              <w:t>4</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lang w:eastAsia="zh-CN"/>
              </w:rPr>
              <w:t>广西工程职业学院</w:t>
            </w:r>
            <w:r>
              <w:rPr>
                <w:rFonts w:hint="eastAsia" w:ascii="仿宋_GB2312" w:hAnsi="仿宋_GB2312" w:eastAsia="仿宋_GB2312" w:cs="仿宋_GB2312"/>
                <w:color w:val="auto"/>
                <w:sz w:val="24"/>
                <w:szCs w:val="24"/>
                <w:highlight w:val="none"/>
                <w:shd w:val="clear" w:color="auto" w:fill="FFFFFF"/>
                <w:lang w:bidi="ar"/>
              </w:rPr>
              <w:t>现代物业管理</w:t>
            </w:r>
            <w:r>
              <w:rPr>
                <w:rFonts w:hint="eastAsia" w:ascii="仿宋_GB2312" w:hAnsi="仿宋_GB2312" w:eastAsia="仿宋_GB2312" w:cs="仿宋_GB2312"/>
                <w:b w:val="0"/>
                <w:bCs w:val="0"/>
                <w:color w:val="auto"/>
                <w:sz w:val="24"/>
                <w:szCs w:val="24"/>
                <w:highlight w:val="none"/>
                <w:lang w:val="en-US" w:eastAsia="zh-CN"/>
              </w:rPr>
              <w:t>专业校外实习基地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rPr>
              <w:t>平果博才物业服务有限公司</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lang w:val="en-US" w:eastAsia="zh-CN"/>
              </w:rPr>
              <w:t>共同建设实训实习平台</w:t>
            </w:r>
          </w:p>
        </w:tc>
        <w:tc>
          <w:tcPr>
            <w:tcW w:w="2166"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left="0" w:leftChars="0" w:firstLine="0" w:firstLine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lang w:val="en-US" w:eastAsia="zh-CN"/>
              </w:rPr>
              <w:t>5</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lang w:eastAsia="zh-CN"/>
              </w:rPr>
              <w:t>广西工程职业学院</w:t>
            </w:r>
            <w:r>
              <w:rPr>
                <w:rFonts w:hint="eastAsia" w:ascii="仿宋_GB2312" w:hAnsi="仿宋_GB2312" w:eastAsia="仿宋_GB2312" w:cs="仿宋_GB2312"/>
                <w:color w:val="auto"/>
                <w:sz w:val="24"/>
                <w:szCs w:val="24"/>
                <w:highlight w:val="none"/>
                <w:shd w:val="clear" w:color="auto" w:fill="FFFFFF"/>
                <w:lang w:bidi="ar"/>
              </w:rPr>
              <w:t>现代物业管理</w:t>
            </w:r>
            <w:r>
              <w:rPr>
                <w:rFonts w:hint="eastAsia" w:ascii="仿宋_GB2312" w:hAnsi="仿宋_GB2312" w:eastAsia="仿宋_GB2312" w:cs="仿宋_GB2312"/>
                <w:b w:val="0"/>
                <w:bCs w:val="0"/>
                <w:color w:val="auto"/>
                <w:sz w:val="24"/>
                <w:szCs w:val="24"/>
                <w:highlight w:val="none"/>
                <w:lang w:val="en-US" w:eastAsia="zh-CN"/>
              </w:rPr>
              <w:t>专业校外实习基地</w:t>
            </w:r>
          </w:p>
        </w:tc>
        <w:tc>
          <w:tcPr>
            <w:tcW w:w="235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vertAlign w:val="baseline"/>
              </w:rPr>
              <w:t>广西军弘保安服务有限公司</w:t>
            </w:r>
          </w:p>
        </w:tc>
        <w:tc>
          <w:tcPr>
            <w:tcW w:w="199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b w:val="0"/>
                <w:bCs w:val="0"/>
                <w:color w:val="auto"/>
                <w:sz w:val="24"/>
                <w:szCs w:val="24"/>
                <w:highlight w:val="none"/>
                <w:vertAlign w:val="baseline"/>
                <w:lang w:eastAsia="zh-CN"/>
              </w:rPr>
            </w:pPr>
            <w:r>
              <w:rPr>
                <w:rFonts w:hint="eastAsia" w:ascii="仿宋_GB2312" w:hAnsi="仿宋_GB2312" w:eastAsia="仿宋_GB2312" w:cs="仿宋_GB2312"/>
                <w:b w:val="0"/>
                <w:bCs w:val="0"/>
                <w:color w:val="auto"/>
                <w:sz w:val="24"/>
                <w:szCs w:val="24"/>
                <w:highlight w:val="none"/>
                <w:vertAlign w:val="baseline"/>
                <w:lang w:eastAsia="zh-CN"/>
              </w:rPr>
              <w:t>岗位</w:t>
            </w:r>
          </w:p>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lang w:val="en-US" w:eastAsia="zh-CN"/>
              </w:rPr>
              <w:t>共同建设实训实习平台</w:t>
            </w:r>
          </w:p>
        </w:tc>
        <w:tc>
          <w:tcPr>
            <w:tcW w:w="2166"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60" w:lineRule="exact"/>
              <w:ind w:left="0" w:leftChars="0" w:firstLine="0" w:firstLineChars="0"/>
              <w:jc w:val="center"/>
              <w:textAlignment w:val="auto"/>
              <w:rPr>
                <w:rFonts w:hint="eastAsia" w:ascii="仿宋_GB2312" w:hAnsi="仿宋_GB2312" w:eastAsia="仿宋_GB2312" w:cs="仿宋_GB2312"/>
                <w:color w:val="0000FF"/>
                <w:sz w:val="24"/>
              </w:rPr>
            </w:pPr>
            <w:r>
              <w:rPr>
                <w:rFonts w:hint="eastAsia" w:ascii="仿宋_GB2312" w:hAnsi="仿宋_GB2312" w:eastAsia="仿宋_GB2312" w:cs="仿宋_GB2312"/>
                <w:b w:val="0"/>
                <w:bCs w:val="0"/>
                <w:color w:val="auto"/>
                <w:sz w:val="24"/>
                <w:szCs w:val="24"/>
                <w:highlight w:val="none"/>
                <w:lang w:val="en-US" w:eastAsia="zh-CN"/>
              </w:rPr>
              <w:t>30</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rPr>
      </w:pPr>
      <w:bookmarkStart w:id="66" w:name="_Toc13603"/>
      <w:bookmarkStart w:id="67" w:name="_Toc814"/>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）教学资源</w:t>
      </w:r>
      <w:bookmarkEnd w:id="66"/>
      <w:bookmarkEnd w:id="67"/>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1.教材选用基本要求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按照国家规定，优先选用国家规划教材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国家优秀教材</w:t>
      </w:r>
      <w:r>
        <w:rPr>
          <w:rFonts w:hint="eastAsia" w:ascii="仿宋_GB2312" w:hAnsi="仿宋_GB2312" w:eastAsia="仿宋_GB2312" w:cs="仿宋_GB2312"/>
          <w:color w:val="auto"/>
          <w:sz w:val="32"/>
          <w:szCs w:val="32"/>
          <w:lang w:val="en-US" w:eastAsia="zh-CN"/>
        </w:rPr>
        <w:t>及近三年最新版规范教材，确保教材内容与人才培养方案、教学大纲匹配，注重实践性与时效性；</w:t>
      </w:r>
      <w:r>
        <w:rPr>
          <w:rFonts w:hint="eastAsia" w:ascii="仿宋_GB2312" w:hAnsi="仿宋_GB2312" w:eastAsia="仿宋_GB2312" w:cs="仿宋_GB2312"/>
          <w:color w:val="auto"/>
          <w:sz w:val="32"/>
          <w:szCs w:val="32"/>
        </w:rPr>
        <w:t>专业课程教材</w:t>
      </w:r>
      <w:r>
        <w:rPr>
          <w:rFonts w:hint="eastAsia" w:ascii="仿宋_GB2312" w:hAnsi="仿宋_GB2312" w:eastAsia="仿宋_GB2312" w:cs="仿宋_GB2312"/>
          <w:color w:val="auto"/>
          <w:sz w:val="32"/>
          <w:szCs w:val="32"/>
          <w:lang w:val="en-US" w:eastAsia="zh-CN"/>
        </w:rPr>
        <w:t>应</w:t>
      </w:r>
      <w:r>
        <w:rPr>
          <w:rFonts w:hint="eastAsia" w:ascii="仿宋_GB2312" w:hAnsi="仿宋_GB2312" w:eastAsia="仿宋_GB2312" w:cs="仿宋_GB2312"/>
          <w:color w:val="auto"/>
          <w:sz w:val="32"/>
          <w:szCs w:val="32"/>
        </w:rPr>
        <w:t>体现本行业新技术、新规范、新标准、新形态，并通过数字教材、活页式教材等多种方式进行动态更新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强化意识形态审查，杜绝政治导向问题或内容陈旧、拼凑的教材。</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2.图书文献配备基本要求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highlight w:val="none"/>
          <w:lang w:val="en-US" w:eastAsia="zh-CN"/>
        </w:rPr>
        <w:t>图书文献配备能满足人才培养、专业建设、教科研等工作的需要，方便师生查询、借阅。专业类文献主要包括：物业管理相关行业政策法规、行业标准、技术规范以及</w:t>
      </w:r>
      <w:r>
        <w:rPr>
          <w:rFonts w:hint="eastAsia" w:ascii="仿宋_GB2312" w:hAnsi="仿宋_GB2312" w:eastAsia="仿宋_GB2312" w:cs="仿宋_GB2312"/>
          <w:color w:val="auto"/>
          <w:spacing w:val="-2"/>
          <w:sz w:val="32"/>
          <w:szCs w:val="32"/>
          <w:highlight w:val="none"/>
        </w:rPr>
        <w:t>物业财务管理、物业信息管理、物业管理综合服务与案例分析</w:t>
      </w:r>
      <w:r>
        <w:rPr>
          <w:rFonts w:hint="eastAsia" w:ascii="仿宋_GB2312" w:hAnsi="仿宋_GB2312" w:eastAsia="仿宋_GB2312" w:cs="仿宋_GB2312"/>
          <w:b w:val="0"/>
          <w:bCs w:val="0"/>
          <w:color w:val="auto"/>
          <w:sz w:val="32"/>
          <w:szCs w:val="32"/>
          <w:highlight w:val="none"/>
          <w:lang w:val="en-US" w:eastAsia="zh-CN"/>
        </w:rPr>
        <w:t>等与服务相关专业类图书和实务案例类图书。专业图书资料（含电子图书）不低于500册，5种以上现代物业管理类专业学术期刊，并能保持每年更新。</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3.数字教学资源配置基本要求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highlight w:val="none"/>
          <w:lang w:val="en-US" w:eastAsia="zh-CN"/>
        </w:rPr>
        <w:t>建设、配备与专业相关的音视频素材、教学课件、数字化教学案例库、虚拟仿真软件、数字教材等专业教学资源库，应种类丰富、形式多样、使用便捷、动态更新，能满足教学要求。</w:t>
      </w:r>
    </w:p>
    <w:p>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68" w:name="_Toc19203"/>
      <w:bookmarkStart w:id="69" w:name="_Toc4675"/>
      <w:r>
        <w:rPr>
          <w:rFonts w:hint="eastAsia" w:ascii="楷体" w:hAnsi="楷体" w:eastAsia="楷体" w:cs="楷体"/>
          <w:color w:val="auto"/>
          <w:sz w:val="32"/>
          <w:szCs w:val="32"/>
        </w:rPr>
        <w:t>教学方法</w:t>
      </w:r>
      <w:bookmarkEnd w:id="68"/>
      <w:bookmarkEnd w:id="69"/>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default" w:ascii="仿宋_GB2312" w:hAnsi="仿宋_GB2312" w:eastAsia="仿宋_GB2312" w:cs="仿宋_GB2312"/>
          <w:b w:val="0"/>
          <w:bCs w:val="0"/>
          <w:color w:val="auto"/>
          <w:sz w:val="32"/>
          <w:szCs w:val="32"/>
          <w:highlight w:val="none"/>
          <w:lang w:val="en-US" w:eastAsia="zh-CN"/>
        </w:rPr>
        <w:t>根据不同课程的性质</w:t>
      </w:r>
      <w:r>
        <w:rPr>
          <w:rFonts w:hint="eastAsia" w:ascii="仿宋_GB2312" w:hAnsi="仿宋_GB2312" w:eastAsia="仿宋_GB2312" w:cs="仿宋_GB2312"/>
          <w:b w:val="0"/>
          <w:bCs w:val="0"/>
          <w:color w:val="auto"/>
          <w:sz w:val="32"/>
          <w:szCs w:val="32"/>
          <w:highlight w:val="none"/>
          <w:lang w:val="en-US" w:eastAsia="zh-CN"/>
        </w:rPr>
        <w:t>特点</w:t>
      </w:r>
      <w:r>
        <w:rPr>
          <w:rFonts w:hint="default" w:ascii="仿宋_GB2312" w:hAnsi="仿宋_GB2312" w:eastAsia="仿宋_GB2312" w:cs="仿宋_GB2312"/>
          <w:b w:val="0"/>
          <w:bCs w:val="0"/>
          <w:color w:val="auto"/>
          <w:sz w:val="32"/>
          <w:szCs w:val="32"/>
          <w:highlight w:val="none"/>
          <w:lang w:val="en-US" w:eastAsia="zh-CN"/>
        </w:rPr>
        <w:t>，在保留传统讲授法、演示法、讨论法、问答法、案例分析法等的基础上</w:t>
      </w:r>
      <w:r>
        <w:rPr>
          <w:rFonts w:hint="eastAsia" w:ascii="仿宋_GB2312" w:hAnsi="仿宋_GB2312" w:eastAsia="仿宋_GB2312" w:cs="仿宋_GB2312"/>
          <w:b w:val="0"/>
          <w:bCs w:val="0"/>
          <w:color w:val="auto"/>
          <w:sz w:val="32"/>
          <w:szCs w:val="32"/>
          <w:highlight w:val="none"/>
          <w:lang w:val="en-US" w:eastAsia="zh-CN"/>
        </w:rPr>
        <w:t>，</w:t>
      </w:r>
      <w:r>
        <w:rPr>
          <w:rFonts w:hint="default" w:ascii="仿宋_GB2312" w:hAnsi="仿宋_GB2312" w:eastAsia="仿宋_GB2312" w:cs="仿宋_GB2312"/>
          <w:b w:val="0"/>
          <w:bCs w:val="0"/>
          <w:color w:val="auto"/>
          <w:sz w:val="32"/>
          <w:szCs w:val="32"/>
          <w:highlight w:val="none"/>
          <w:lang w:val="en-US" w:eastAsia="zh-CN"/>
        </w:rPr>
        <w:t>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70" w:name="_Toc23898"/>
      <w:bookmarkStart w:id="71" w:name="_Toc17545"/>
      <w:r>
        <w:rPr>
          <w:rFonts w:hint="eastAsia" w:ascii="楷体" w:hAnsi="楷体" w:eastAsia="楷体" w:cs="楷体"/>
          <w:color w:val="auto"/>
          <w:sz w:val="32"/>
          <w:szCs w:val="32"/>
        </w:rPr>
        <w:t>学习评价</w:t>
      </w:r>
      <w:bookmarkEnd w:id="70"/>
      <w:bookmarkEnd w:id="71"/>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1.课程考核方法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2.教学评价方式</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highlight w:val="none"/>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w:t>
      </w:r>
      <w:r>
        <w:rPr>
          <w:rFonts w:hint="eastAsia" w:ascii="仿宋_GB2312" w:hAnsi="仿宋_GB2312" w:eastAsia="仿宋_GB2312" w:cs="仿宋_GB2312"/>
          <w:b w:val="0"/>
          <w:bCs w:val="0"/>
          <w:color w:val="auto"/>
          <w:sz w:val="32"/>
          <w:szCs w:val="32"/>
          <w:highlight w:val="none"/>
          <w:lang w:eastAsia="zh-CN"/>
        </w:rPr>
        <w:t>以</w:t>
      </w:r>
      <w:r>
        <w:rPr>
          <w:rFonts w:hint="eastAsia" w:ascii="仿宋_GB2312" w:hAnsi="仿宋_GB2312" w:eastAsia="仿宋_GB2312" w:cs="仿宋_GB2312"/>
          <w:b w:val="0"/>
          <w:bCs w:val="0"/>
          <w:color w:val="auto"/>
          <w:sz w:val="32"/>
          <w:szCs w:val="32"/>
          <w:highlight w:val="none"/>
        </w:rPr>
        <w:t>学科成绩为核心，改变到以岗位能力为核心的轨道上来。本着为行业企业服务的原则，努力缩小或消除学校评价与企业评价之间的差异。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72" w:name="_Toc31385"/>
      <w:bookmarkStart w:id="73" w:name="_Toc6685"/>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72"/>
      <w:bookmarkEnd w:id="73"/>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3.专业教研</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室</w:t>
      </w:r>
      <w:r>
        <w:rPr>
          <w:rFonts w:hint="eastAsia" w:ascii="仿宋_GB2312" w:hAnsi="仿宋_GB2312" w:eastAsia="仿宋_GB2312" w:cs="仿宋_GB2312"/>
          <w:color w:val="000000" w:themeColor="text1"/>
          <w:sz w:val="32"/>
          <w:szCs w:val="32"/>
          <w14:textFill>
            <w14:solidFill>
              <w14:schemeClr w14:val="tx1"/>
            </w14:solidFill>
          </w14:textFill>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1D41D5"/>
          <w:sz w:val="32"/>
          <w:szCs w:val="32"/>
          <w:highlight w:val="none"/>
          <w:lang w:eastAsia="zh-CN"/>
        </w:rPr>
      </w:pPr>
      <w:bookmarkStart w:id="74" w:name="_Toc31086"/>
      <w:bookmarkStart w:id="75" w:name="_Toc28527"/>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74"/>
      <w:bookmarkEnd w:id="75"/>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76" w:name="_Toc2013"/>
      <w:bookmarkStart w:id="77" w:name="_Toc4814"/>
      <w:r>
        <w:rPr>
          <w:rFonts w:hint="eastAsia" w:ascii="楷体" w:hAnsi="楷体" w:eastAsia="楷体" w:cs="楷体"/>
          <w:color w:val="auto"/>
          <w:kern w:val="2"/>
          <w:sz w:val="32"/>
          <w:szCs w:val="32"/>
          <w:lang w:val="en-US" w:eastAsia="zh-CN" w:bidi="ar-SA"/>
        </w:rPr>
        <w:t>（一）学分要求</w:t>
      </w:r>
      <w:bookmarkEnd w:id="76"/>
      <w:bookmarkEnd w:id="77"/>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w:t>
      </w:r>
      <w:r>
        <w:rPr>
          <w:rFonts w:hint="eastAsia" w:ascii="仿宋_GB2312" w:hAnsi="仿宋_GB2312" w:eastAsia="仿宋_GB2312" w:cs="仿宋_GB2312"/>
          <w:color w:val="auto"/>
          <w:kern w:val="2"/>
          <w:sz w:val="32"/>
          <w:szCs w:val="32"/>
          <w:highlight w:val="none"/>
          <w:lang w:val="en-US" w:eastAsia="zh-CN" w:bidi="ar-SA"/>
        </w:rPr>
        <w:t>151</w:t>
      </w:r>
      <w:r>
        <w:rPr>
          <w:rFonts w:hint="eastAsia" w:ascii="仿宋_GB2312" w:hAnsi="仿宋_GB2312" w:eastAsia="仿宋_GB2312" w:cs="仿宋_GB2312"/>
          <w:color w:val="auto"/>
          <w:kern w:val="2"/>
          <w:sz w:val="32"/>
          <w:szCs w:val="32"/>
          <w:lang w:val="en-US" w:eastAsia="zh-CN" w:bidi="ar-SA"/>
        </w:rPr>
        <w:t>学分。其中，必修课</w:t>
      </w:r>
      <w:r>
        <w:rPr>
          <w:rFonts w:hint="eastAsia" w:ascii="仿宋_GB2312" w:hAnsi="仿宋_GB2312" w:eastAsia="仿宋_GB2312" w:cs="仿宋_GB2312"/>
          <w:color w:val="auto"/>
          <w:kern w:val="2"/>
          <w:sz w:val="32"/>
          <w:szCs w:val="32"/>
          <w:highlight w:val="none"/>
          <w:lang w:val="en-US" w:eastAsia="zh-CN" w:bidi="ar-SA"/>
        </w:rPr>
        <w:t>133</w:t>
      </w:r>
      <w:r>
        <w:rPr>
          <w:rFonts w:hint="eastAsia" w:ascii="仿宋_GB2312" w:hAnsi="仿宋_GB2312" w:eastAsia="仿宋_GB2312" w:cs="仿宋_GB2312"/>
          <w:color w:val="auto"/>
          <w:kern w:val="2"/>
          <w:sz w:val="32"/>
          <w:szCs w:val="32"/>
          <w:lang w:val="en-US" w:eastAsia="zh-CN" w:bidi="ar-SA"/>
        </w:rPr>
        <w:t>学分，选修课</w:t>
      </w:r>
      <w:r>
        <w:rPr>
          <w:rFonts w:hint="eastAsia" w:ascii="仿宋_GB2312" w:hAnsi="仿宋_GB2312" w:eastAsia="仿宋_GB2312" w:cs="仿宋_GB2312"/>
          <w:color w:val="auto"/>
          <w:kern w:val="2"/>
          <w:sz w:val="32"/>
          <w:szCs w:val="32"/>
          <w:highlight w:val="none"/>
          <w:lang w:val="en-US" w:eastAsia="zh-CN" w:bidi="ar-SA"/>
        </w:rPr>
        <w:t>18</w:t>
      </w:r>
      <w:r>
        <w:rPr>
          <w:rFonts w:hint="eastAsia" w:ascii="仿宋_GB2312" w:hAnsi="仿宋_GB2312" w:eastAsia="仿宋_GB2312" w:cs="仿宋_GB2312"/>
          <w:color w:val="auto"/>
          <w:kern w:val="2"/>
          <w:sz w:val="32"/>
          <w:szCs w:val="32"/>
          <w:lang w:val="en-US" w:eastAsia="zh-CN" w:bidi="ar-SA"/>
        </w:rPr>
        <w:t>学分。公共必修课</w:t>
      </w:r>
      <w:r>
        <w:rPr>
          <w:rFonts w:hint="eastAsia" w:ascii="仿宋_GB2312" w:hAnsi="仿宋_GB2312" w:eastAsia="仿宋_GB2312" w:cs="仿宋_GB2312"/>
          <w:color w:val="auto"/>
          <w:kern w:val="2"/>
          <w:sz w:val="32"/>
          <w:szCs w:val="32"/>
          <w:highlight w:val="none"/>
          <w:lang w:val="en-US" w:eastAsia="zh-CN" w:bidi="ar-SA"/>
        </w:rPr>
        <w:t>44</w:t>
      </w:r>
      <w:r>
        <w:rPr>
          <w:rFonts w:hint="eastAsia" w:ascii="仿宋_GB2312" w:hAnsi="仿宋_GB2312" w:eastAsia="仿宋_GB2312" w:cs="仿宋_GB2312"/>
          <w:color w:val="auto"/>
          <w:kern w:val="2"/>
          <w:sz w:val="32"/>
          <w:szCs w:val="32"/>
          <w:lang w:val="en-US" w:eastAsia="zh-CN" w:bidi="ar-SA"/>
        </w:rPr>
        <w:t>学分，公共选修课</w:t>
      </w:r>
      <w:r>
        <w:rPr>
          <w:rFonts w:hint="eastAsia" w:ascii="仿宋_GB2312" w:hAnsi="仿宋_GB2312" w:eastAsia="仿宋_GB2312" w:cs="仿宋_GB2312"/>
          <w:color w:val="auto"/>
          <w:kern w:val="2"/>
          <w:sz w:val="32"/>
          <w:szCs w:val="32"/>
          <w:highlight w:val="none"/>
          <w:lang w:val="en-US" w:eastAsia="zh-CN" w:bidi="ar-SA"/>
        </w:rPr>
        <w:t>8</w:t>
      </w:r>
      <w:r>
        <w:rPr>
          <w:rFonts w:hint="eastAsia" w:ascii="仿宋_GB2312" w:hAnsi="仿宋_GB2312" w:eastAsia="仿宋_GB2312" w:cs="仿宋_GB2312"/>
          <w:color w:val="auto"/>
          <w:kern w:val="2"/>
          <w:sz w:val="32"/>
          <w:szCs w:val="32"/>
          <w:lang w:val="en-US" w:eastAsia="zh-CN" w:bidi="ar-SA"/>
        </w:rPr>
        <w:t>学分。专业必修课</w:t>
      </w:r>
      <w:r>
        <w:rPr>
          <w:rFonts w:hint="eastAsia" w:ascii="仿宋_GB2312" w:hAnsi="仿宋_GB2312" w:eastAsia="仿宋_GB2312" w:cs="仿宋_GB2312"/>
          <w:color w:val="auto"/>
          <w:kern w:val="2"/>
          <w:sz w:val="32"/>
          <w:szCs w:val="32"/>
          <w:highlight w:val="none"/>
          <w:lang w:val="en-US" w:eastAsia="zh-CN" w:bidi="ar-SA"/>
        </w:rPr>
        <w:t>87</w:t>
      </w:r>
      <w:r>
        <w:rPr>
          <w:rFonts w:hint="eastAsia" w:ascii="仿宋_GB2312" w:hAnsi="仿宋_GB2312" w:eastAsia="仿宋_GB2312" w:cs="仿宋_GB2312"/>
          <w:color w:val="auto"/>
          <w:kern w:val="2"/>
          <w:sz w:val="32"/>
          <w:szCs w:val="32"/>
          <w:lang w:val="en-US" w:eastAsia="zh-CN" w:bidi="ar-SA"/>
        </w:rPr>
        <w:t>学分，专业选修课</w:t>
      </w:r>
      <w:r>
        <w:rPr>
          <w:rFonts w:hint="eastAsia" w:ascii="仿宋_GB2312" w:hAnsi="仿宋_GB2312" w:eastAsia="仿宋_GB2312" w:cs="仿宋_GB2312"/>
          <w:color w:val="auto"/>
          <w:kern w:val="2"/>
          <w:sz w:val="32"/>
          <w:szCs w:val="32"/>
          <w:highlight w:val="none"/>
          <w:lang w:val="en-US" w:eastAsia="zh-CN" w:bidi="ar-SA"/>
        </w:rPr>
        <w:t>10</w:t>
      </w:r>
      <w:r>
        <w:rPr>
          <w:rFonts w:hint="eastAsia" w:ascii="仿宋_GB2312" w:hAnsi="仿宋_GB2312" w:eastAsia="仿宋_GB2312" w:cs="仿宋_GB2312"/>
          <w:color w:val="auto"/>
          <w:kern w:val="2"/>
          <w:sz w:val="32"/>
          <w:szCs w:val="32"/>
          <w:lang w:val="en-US" w:eastAsia="zh-CN" w:bidi="ar-SA"/>
        </w:rPr>
        <w:t>学分。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78" w:name="_Toc3646"/>
      <w:bookmarkStart w:id="79" w:name="_Toc20440"/>
      <w:r>
        <w:rPr>
          <w:rFonts w:hint="eastAsia" w:ascii="楷体" w:hAnsi="楷体" w:eastAsia="楷体" w:cs="楷体"/>
          <w:color w:val="auto"/>
          <w:kern w:val="2"/>
          <w:sz w:val="32"/>
          <w:szCs w:val="32"/>
          <w:lang w:val="en-US" w:eastAsia="zh-CN" w:bidi="ar-SA"/>
        </w:rPr>
        <w:t>（二）职业类证书要求</w:t>
      </w:r>
      <w:bookmarkEnd w:id="78"/>
      <w:bookmarkEnd w:id="79"/>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lang w:val="en-US" w:eastAsia="zh-CN"/>
        </w:rPr>
        <w:t>物业管理员</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现代物业管理专业职业证书一览表</w:t>
      </w:r>
    </w:p>
    <w:tbl>
      <w:tblPr>
        <w:tblStyle w:val="11"/>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749"/>
        <w:gridCol w:w="3091"/>
        <w:gridCol w:w="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749" w:type="dxa"/>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3091" w:type="dxa"/>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828" w:type="dxa"/>
            <w:vAlign w:val="center"/>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749"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高职学历证书</w:t>
            </w:r>
          </w:p>
        </w:tc>
        <w:tc>
          <w:tcPr>
            <w:tcW w:w="3091"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广西工程职业学院</w:t>
            </w:r>
          </w:p>
        </w:tc>
        <w:tc>
          <w:tcPr>
            <w:tcW w:w="828"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749"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大学英语B级证书</w:t>
            </w:r>
          </w:p>
        </w:tc>
        <w:tc>
          <w:tcPr>
            <w:tcW w:w="3091"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国家教育部、高等学校英语应用能力考试委员会</w:t>
            </w:r>
          </w:p>
        </w:tc>
        <w:tc>
          <w:tcPr>
            <w:tcW w:w="828"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749"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eastAsia="zh-CN"/>
              </w:rPr>
              <w:t>“</w:t>
            </w:r>
            <w:r>
              <w:rPr>
                <w:rFonts w:hint="eastAsia" w:ascii="仿宋_GB2312" w:hAnsi="仿宋_GB2312" w:eastAsia="仿宋_GB2312" w:cs="仿宋_GB2312"/>
                <w:color w:val="auto"/>
                <w:sz w:val="24"/>
                <w:szCs w:val="24"/>
                <w:vertAlign w:val="baseline"/>
                <w:lang w:val="en-US" w:eastAsia="zh-CN"/>
              </w:rPr>
              <w:t>1+X</w:t>
            </w:r>
            <w:r>
              <w:rPr>
                <w:rFonts w:hint="eastAsia" w:ascii="仿宋_GB2312" w:hAnsi="仿宋_GB2312" w:eastAsia="仿宋_GB2312" w:cs="仿宋_GB2312"/>
                <w:color w:val="auto"/>
                <w:sz w:val="24"/>
                <w:szCs w:val="24"/>
                <w:vertAlign w:val="baseline"/>
                <w:lang w:eastAsia="zh-CN"/>
              </w:rPr>
              <w:t>”</w:t>
            </w:r>
            <w:r>
              <w:rPr>
                <w:rFonts w:hint="eastAsia" w:ascii="仿宋_GB2312" w:hAnsi="仿宋_GB2312" w:eastAsia="仿宋_GB2312" w:cs="仿宋_GB2312"/>
                <w:color w:val="auto"/>
                <w:sz w:val="24"/>
                <w:szCs w:val="24"/>
                <w:vertAlign w:val="baseline"/>
                <w:lang w:val="en-US" w:eastAsia="zh-CN"/>
              </w:rPr>
              <w:t>职业技能等级证书</w:t>
            </w:r>
          </w:p>
        </w:tc>
        <w:tc>
          <w:tcPr>
            <w:tcW w:w="3091"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国家教育部</w:t>
            </w:r>
          </w:p>
        </w:tc>
        <w:tc>
          <w:tcPr>
            <w:tcW w:w="828"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749"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全国计算机等级考试（一级）证书</w:t>
            </w:r>
          </w:p>
        </w:tc>
        <w:tc>
          <w:tcPr>
            <w:tcW w:w="3091" w:type="dxa"/>
            <w:shd w:val="clear" w:color="auto" w:fill="auto"/>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w:t>
            </w:r>
          </w:p>
        </w:tc>
        <w:tc>
          <w:tcPr>
            <w:tcW w:w="828" w:type="dxa"/>
            <w:shd w:val="clear" w:color="auto" w:fill="auto"/>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kern w:val="0"/>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749"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物业管理员（中级）</w:t>
            </w:r>
          </w:p>
        </w:tc>
        <w:tc>
          <w:tcPr>
            <w:tcW w:w="3091" w:type="dxa"/>
            <w:shd w:val="clear" w:color="auto" w:fill="auto"/>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仿宋_GB2312" w:hAnsi="仿宋_GB2312" w:eastAsia="仿宋_GB2312" w:cs="仿宋_GB2312"/>
                <w:color w:val="auto"/>
                <w:sz w:val="24"/>
                <w:szCs w:val="24"/>
                <w:vertAlign w:val="baseline"/>
                <w:lang w:val="en-US" w:eastAsia="zh-CN"/>
              </w:rPr>
              <w:t>百色市职业技能鉴定中心</w:t>
            </w:r>
          </w:p>
        </w:tc>
        <w:tc>
          <w:tcPr>
            <w:tcW w:w="828"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80" w:name="_Toc27063"/>
      <w:bookmarkStart w:id="81" w:name="_Toc29894"/>
      <w:r>
        <w:rPr>
          <w:rFonts w:hint="eastAsia" w:ascii="楷体" w:hAnsi="楷体" w:eastAsia="楷体" w:cs="楷体"/>
          <w:color w:val="auto"/>
          <w:kern w:val="2"/>
          <w:sz w:val="32"/>
          <w:szCs w:val="32"/>
          <w:lang w:val="en-US" w:eastAsia="zh-CN" w:bidi="ar-SA"/>
        </w:rPr>
        <w:t>（三）综合素质要求</w:t>
      </w:r>
      <w:bookmarkEnd w:id="80"/>
      <w:bookmarkEnd w:id="81"/>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经鉴定思想品德经鉴定符合要求，恪守社会公德与现代物业管理行业职业道德，具备良好的职业操守和责任意识；国家学生体质健康测试成绩合格，身心素质良好，能适应物业管理一线岗位的工作要求。系统掌握现代物业管理专业的核心知识与技术技能，熟练掌握物业设施设备维护、客户服务、秩序管理、环境养护等专业实操能力。积极参与物业管理相关社会实践、岗位实训等实践活动，将专业知识与实际工作深度结合，具备较强的沟通协调、团队协作和问题解决能力，拥有良好的职业综合素质与岗位行动能力，能够快速适配物业管理行业相关岗位的工作需求。</w:t>
      </w:r>
    </w:p>
    <w:p>
      <w:pPr>
        <w:pageBreakBefore w:val="0"/>
        <w:kinsoku/>
        <w:wordWrap/>
        <w:topLinePunct w:val="0"/>
        <w:autoSpaceDE/>
        <w:autoSpaceDN/>
        <w:bidi w:val="0"/>
        <w:rPr>
          <w:color w:val="auto"/>
        </w:rPr>
      </w:pPr>
    </w:p>
    <w:sectPr>
      <w:footerReference r:id="rId4" w:type="default"/>
      <w:pgSz w:w="11906" w:h="16838"/>
      <w:pgMar w:top="1417" w:right="1417" w:bottom="1417"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A160C6-C469-4FD5-8EAE-E846602962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F1099A0E-CDF5-4BD9-80E6-C8FA55F7153E}"/>
  </w:font>
  <w:font w:name="华文新魏">
    <w:panose1 w:val="02010800040101010101"/>
    <w:charset w:val="86"/>
    <w:family w:val="auto"/>
    <w:pitch w:val="default"/>
    <w:sig w:usb0="00000001" w:usb1="080F0000" w:usb2="00000000" w:usb3="00000000" w:csb0="00040000" w:csb1="00000000"/>
    <w:embedRegular r:id="rId3" w:fontKey="{DA9E3BA2-1533-4362-A4DB-189978584C36}"/>
  </w:font>
  <w:font w:name="方正小标宋简体">
    <w:panose1 w:val="02010601030101010101"/>
    <w:charset w:val="86"/>
    <w:family w:val="script"/>
    <w:pitch w:val="default"/>
    <w:sig w:usb0="00000001" w:usb1="080E0000" w:usb2="00000000" w:usb3="00000000" w:csb0="00040000" w:csb1="00000000"/>
    <w:embedRegular r:id="rId4" w:fontKey="{70C499EC-FD23-4007-B58C-A7737EC0003A}"/>
  </w:font>
  <w:font w:name="仿宋_GB2312">
    <w:panose1 w:val="02010609030101010101"/>
    <w:charset w:val="86"/>
    <w:family w:val="modern"/>
    <w:pitch w:val="default"/>
    <w:sig w:usb0="00000001" w:usb1="080E0000" w:usb2="00000000" w:usb3="00000000" w:csb0="00040000" w:csb1="00000000"/>
    <w:embedRegular r:id="rId5" w:fontKey="{0CA57A48-8E46-4801-AD6B-8FB5D7161BA9}"/>
  </w:font>
  <w:font w:name="楷体">
    <w:panose1 w:val="02010609060101010101"/>
    <w:charset w:val="86"/>
    <w:family w:val="modern"/>
    <w:pitch w:val="default"/>
    <w:sig w:usb0="800002BF" w:usb1="38CF7CFA" w:usb2="00000016" w:usb3="00000000" w:csb0="00040001" w:csb1="00000000"/>
    <w:embedRegular r:id="rId6" w:fontKey="{844E05B9-CC71-4EC0-B834-C573512C4C9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47E1C1"/>
    <w:multiLevelType w:val="singleLevel"/>
    <w:tmpl w:val="8847E1C1"/>
    <w:lvl w:ilvl="0" w:tentative="0">
      <w:start w:val="1"/>
      <w:numFmt w:val="chineseCounting"/>
      <w:suff w:val="nothing"/>
      <w:lvlText w:val="（%1）"/>
      <w:lvlJc w:val="left"/>
      <w:rPr>
        <w:rFonts w:hint="eastAsia"/>
      </w:rPr>
    </w:lvl>
  </w:abstractNum>
  <w:abstractNum w:abstractNumId="1">
    <w:nsid w:val="A58FA17A"/>
    <w:multiLevelType w:val="singleLevel"/>
    <w:tmpl w:val="A58FA17A"/>
    <w:lvl w:ilvl="0" w:tentative="0">
      <w:start w:val="1"/>
      <w:numFmt w:val="decimal"/>
      <w:lvlText w:val="%1."/>
      <w:lvlJc w:val="left"/>
      <w:pPr>
        <w:tabs>
          <w:tab w:val="left" w:pos="312"/>
        </w:tabs>
      </w:pPr>
    </w:lvl>
  </w:abstractNum>
  <w:abstractNum w:abstractNumId="2">
    <w:nsid w:val="B0156924"/>
    <w:multiLevelType w:val="singleLevel"/>
    <w:tmpl w:val="B0156924"/>
    <w:lvl w:ilvl="0" w:tentative="0">
      <w:start w:val="1"/>
      <w:numFmt w:val="decimal"/>
      <w:lvlText w:val="%1."/>
      <w:lvlJc w:val="left"/>
      <w:pPr>
        <w:tabs>
          <w:tab w:val="left" w:pos="312"/>
        </w:tabs>
      </w:pPr>
    </w:lvl>
  </w:abstractNum>
  <w:abstractNum w:abstractNumId="3">
    <w:nsid w:val="EB2D466B"/>
    <w:multiLevelType w:val="singleLevel"/>
    <w:tmpl w:val="EB2D466B"/>
    <w:lvl w:ilvl="0" w:tentative="0">
      <w:start w:val="1"/>
      <w:numFmt w:val="chineseCounting"/>
      <w:suff w:val="nothing"/>
      <w:lvlText w:val="（%1）"/>
      <w:lvlJc w:val="left"/>
      <w:rPr>
        <w:rFonts w:hint="eastAsia"/>
      </w:rPr>
    </w:lvl>
  </w:abstractNum>
  <w:abstractNum w:abstractNumId="4">
    <w:nsid w:val="2D4EF12C"/>
    <w:multiLevelType w:val="singleLevel"/>
    <w:tmpl w:val="2D4EF12C"/>
    <w:lvl w:ilvl="0" w:tentative="0">
      <w:start w:val="2"/>
      <w:numFmt w:val="decimal"/>
      <w:suff w:val="nothing"/>
      <w:lvlText w:val="（%1）"/>
      <w:lvlJc w:val="left"/>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786F4B"/>
    <w:rsid w:val="01AA3877"/>
    <w:rsid w:val="02661E94"/>
    <w:rsid w:val="02CD5374"/>
    <w:rsid w:val="03304250"/>
    <w:rsid w:val="036C1D15"/>
    <w:rsid w:val="03A07894"/>
    <w:rsid w:val="048C3708"/>
    <w:rsid w:val="04BC3FEE"/>
    <w:rsid w:val="04E16D8E"/>
    <w:rsid w:val="051223C4"/>
    <w:rsid w:val="062E0F1B"/>
    <w:rsid w:val="063A4913"/>
    <w:rsid w:val="06471FDD"/>
    <w:rsid w:val="06C90C44"/>
    <w:rsid w:val="070954E4"/>
    <w:rsid w:val="07322345"/>
    <w:rsid w:val="07D672B4"/>
    <w:rsid w:val="082F2519"/>
    <w:rsid w:val="084C7436"/>
    <w:rsid w:val="08BC483E"/>
    <w:rsid w:val="08DA7138"/>
    <w:rsid w:val="08F70DAF"/>
    <w:rsid w:val="09075A53"/>
    <w:rsid w:val="093D3223"/>
    <w:rsid w:val="094D790A"/>
    <w:rsid w:val="095347F5"/>
    <w:rsid w:val="09BF3D68"/>
    <w:rsid w:val="09CB082F"/>
    <w:rsid w:val="09D45935"/>
    <w:rsid w:val="0A1E4E03"/>
    <w:rsid w:val="0A634F0B"/>
    <w:rsid w:val="0AC91212"/>
    <w:rsid w:val="0AFF69E2"/>
    <w:rsid w:val="0B2B2F81"/>
    <w:rsid w:val="0B64718D"/>
    <w:rsid w:val="0B9E269F"/>
    <w:rsid w:val="0BB93035"/>
    <w:rsid w:val="0C0A3BA0"/>
    <w:rsid w:val="0CE642FD"/>
    <w:rsid w:val="0D3000CB"/>
    <w:rsid w:val="0DE924A0"/>
    <w:rsid w:val="0E2350DD"/>
    <w:rsid w:val="0E5E6115"/>
    <w:rsid w:val="0ED4462A"/>
    <w:rsid w:val="0F116DD4"/>
    <w:rsid w:val="0F386966"/>
    <w:rsid w:val="0FA47B58"/>
    <w:rsid w:val="0FA67D74"/>
    <w:rsid w:val="0FD20B69"/>
    <w:rsid w:val="0FE4089C"/>
    <w:rsid w:val="10093E5F"/>
    <w:rsid w:val="10152804"/>
    <w:rsid w:val="10234F21"/>
    <w:rsid w:val="10914580"/>
    <w:rsid w:val="10EE36A0"/>
    <w:rsid w:val="116752E1"/>
    <w:rsid w:val="116A4DD1"/>
    <w:rsid w:val="12485112"/>
    <w:rsid w:val="127F665A"/>
    <w:rsid w:val="129605A8"/>
    <w:rsid w:val="12A94199"/>
    <w:rsid w:val="12DC3AAD"/>
    <w:rsid w:val="12F708E7"/>
    <w:rsid w:val="130D1EB8"/>
    <w:rsid w:val="13203999"/>
    <w:rsid w:val="135C5E82"/>
    <w:rsid w:val="139B5716"/>
    <w:rsid w:val="13C46A1B"/>
    <w:rsid w:val="13C77F07"/>
    <w:rsid w:val="13F454F6"/>
    <w:rsid w:val="141B298B"/>
    <w:rsid w:val="14A800EA"/>
    <w:rsid w:val="15001CD4"/>
    <w:rsid w:val="150317C5"/>
    <w:rsid w:val="15202377"/>
    <w:rsid w:val="152F6116"/>
    <w:rsid w:val="154767D2"/>
    <w:rsid w:val="15542020"/>
    <w:rsid w:val="15D20959"/>
    <w:rsid w:val="16343BF3"/>
    <w:rsid w:val="165F0C7D"/>
    <w:rsid w:val="1699418F"/>
    <w:rsid w:val="16995FBA"/>
    <w:rsid w:val="16A42B33"/>
    <w:rsid w:val="16DC051F"/>
    <w:rsid w:val="170B4961"/>
    <w:rsid w:val="1740285C"/>
    <w:rsid w:val="1749510D"/>
    <w:rsid w:val="1796247C"/>
    <w:rsid w:val="18231BC4"/>
    <w:rsid w:val="18811D36"/>
    <w:rsid w:val="18CB084B"/>
    <w:rsid w:val="19481E9C"/>
    <w:rsid w:val="19AF3CC9"/>
    <w:rsid w:val="19FA12B7"/>
    <w:rsid w:val="1A262FB5"/>
    <w:rsid w:val="1A5F061A"/>
    <w:rsid w:val="1AB1581F"/>
    <w:rsid w:val="1AE45BF4"/>
    <w:rsid w:val="1AE8049A"/>
    <w:rsid w:val="1B1E590D"/>
    <w:rsid w:val="1BAE7956"/>
    <w:rsid w:val="1BCC19A4"/>
    <w:rsid w:val="1BF93A5C"/>
    <w:rsid w:val="1C27223D"/>
    <w:rsid w:val="1C2C23C4"/>
    <w:rsid w:val="1C6F14EE"/>
    <w:rsid w:val="1CB25FAA"/>
    <w:rsid w:val="1D0377EB"/>
    <w:rsid w:val="1D24677C"/>
    <w:rsid w:val="1DD46F9A"/>
    <w:rsid w:val="1DD51824"/>
    <w:rsid w:val="1E4B3DFE"/>
    <w:rsid w:val="1E91399D"/>
    <w:rsid w:val="1EA77665"/>
    <w:rsid w:val="1ECC6B87"/>
    <w:rsid w:val="1EDE14CD"/>
    <w:rsid w:val="1EFA4CED"/>
    <w:rsid w:val="1F164BA3"/>
    <w:rsid w:val="1F3A7811"/>
    <w:rsid w:val="1F5350F7"/>
    <w:rsid w:val="1FB17C46"/>
    <w:rsid w:val="1FB21E1D"/>
    <w:rsid w:val="1FBC2C9C"/>
    <w:rsid w:val="202A40A9"/>
    <w:rsid w:val="207417C9"/>
    <w:rsid w:val="20AA343C"/>
    <w:rsid w:val="20AD7038"/>
    <w:rsid w:val="20BE4D41"/>
    <w:rsid w:val="20E32B71"/>
    <w:rsid w:val="20E56222"/>
    <w:rsid w:val="210E0F0E"/>
    <w:rsid w:val="21316869"/>
    <w:rsid w:val="2170143C"/>
    <w:rsid w:val="21EB3D26"/>
    <w:rsid w:val="22123047"/>
    <w:rsid w:val="222C4BF2"/>
    <w:rsid w:val="223461B5"/>
    <w:rsid w:val="22967FAA"/>
    <w:rsid w:val="22A00653"/>
    <w:rsid w:val="2338088B"/>
    <w:rsid w:val="234A4691"/>
    <w:rsid w:val="234F13A4"/>
    <w:rsid w:val="236773C3"/>
    <w:rsid w:val="237D0994"/>
    <w:rsid w:val="23954DD6"/>
    <w:rsid w:val="23D42CAA"/>
    <w:rsid w:val="240115C5"/>
    <w:rsid w:val="244D65B8"/>
    <w:rsid w:val="249D12EE"/>
    <w:rsid w:val="24BE5675"/>
    <w:rsid w:val="24E76143"/>
    <w:rsid w:val="24F353B2"/>
    <w:rsid w:val="25AE7098"/>
    <w:rsid w:val="267A11BB"/>
    <w:rsid w:val="26B77320"/>
    <w:rsid w:val="27075144"/>
    <w:rsid w:val="27441EF5"/>
    <w:rsid w:val="27AE3812"/>
    <w:rsid w:val="27BB7D5F"/>
    <w:rsid w:val="27C16A75"/>
    <w:rsid w:val="27F5401D"/>
    <w:rsid w:val="28557849"/>
    <w:rsid w:val="285A12A4"/>
    <w:rsid w:val="289A5B44"/>
    <w:rsid w:val="28BD30CD"/>
    <w:rsid w:val="28C8445F"/>
    <w:rsid w:val="291C5BFE"/>
    <w:rsid w:val="29355772"/>
    <w:rsid w:val="296E1A2F"/>
    <w:rsid w:val="298D2991"/>
    <w:rsid w:val="29B449E4"/>
    <w:rsid w:val="29C72B81"/>
    <w:rsid w:val="29F55728"/>
    <w:rsid w:val="2B0F281A"/>
    <w:rsid w:val="2B8D373E"/>
    <w:rsid w:val="2BF11F1F"/>
    <w:rsid w:val="2C361D24"/>
    <w:rsid w:val="2C717E24"/>
    <w:rsid w:val="2C802418"/>
    <w:rsid w:val="2CB341C7"/>
    <w:rsid w:val="2CC66F08"/>
    <w:rsid w:val="2CEB2E12"/>
    <w:rsid w:val="2D017E00"/>
    <w:rsid w:val="2D5704A8"/>
    <w:rsid w:val="2D630C77"/>
    <w:rsid w:val="2D776454"/>
    <w:rsid w:val="2D8165B1"/>
    <w:rsid w:val="2D964B2C"/>
    <w:rsid w:val="2DAC4350"/>
    <w:rsid w:val="2DD90E9C"/>
    <w:rsid w:val="2DE47F8D"/>
    <w:rsid w:val="2F083808"/>
    <w:rsid w:val="2F227927"/>
    <w:rsid w:val="2F34284F"/>
    <w:rsid w:val="2F436F36"/>
    <w:rsid w:val="2F7A2E0A"/>
    <w:rsid w:val="2F8D1F5F"/>
    <w:rsid w:val="2FA96B3D"/>
    <w:rsid w:val="2FD933F6"/>
    <w:rsid w:val="30A6152A"/>
    <w:rsid w:val="30A77050"/>
    <w:rsid w:val="30DC27D6"/>
    <w:rsid w:val="3112687D"/>
    <w:rsid w:val="3115220C"/>
    <w:rsid w:val="31342FDA"/>
    <w:rsid w:val="318A49A8"/>
    <w:rsid w:val="31A83FF1"/>
    <w:rsid w:val="31AA329C"/>
    <w:rsid w:val="31D2634F"/>
    <w:rsid w:val="31E57005"/>
    <w:rsid w:val="321D581C"/>
    <w:rsid w:val="32E71163"/>
    <w:rsid w:val="32F32A21"/>
    <w:rsid w:val="32F92E4C"/>
    <w:rsid w:val="32FA3DAF"/>
    <w:rsid w:val="33260700"/>
    <w:rsid w:val="33266952"/>
    <w:rsid w:val="33AE06F6"/>
    <w:rsid w:val="33B93C14"/>
    <w:rsid w:val="348B3F97"/>
    <w:rsid w:val="34B65AB4"/>
    <w:rsid w:val="34C46423"/>
    <w:rsid w:val="34EA50C0"/>
    <w:rsid w:val="357449D1"/>
    <w:rsid w:val="35E93C67"/>
    <w:rsid w:val="364315C9"/>
    <w:rsid w:val="36657792"/>
    <w:rsid w:val="370E7E29"/>
    <w:rsid w:val="37360836"/>
    <w:rsid w:val="376B0DD8"/>
    <w:rsid w:val="3770165B"/>
    <w:rsid w:val="37960DB8"/>
    <w:rsid w:val="37AD2573"/>
    <w:rsid w:val="37BC0CB1"/>
    <w:rsid w:val="37EE37B7"/>
    <w:rsid w:val="381153F4"/>
    <w:rsid w:val="38481119"/>
    <w:rsid w:val="38877EE4"/>
    <w:rsid w:val="3892511D"/>
    <w:rsid w:val="38C22C79"/>
    <w:rsid w:val="39372651"/>
    <w:rsid w:val="396C0E37"/>
    <w:rsid w:val="39A700C1"/>
    <w:rsid w:val="39FC040D"/>
    <w:rsid w:val="3A32374C"/>
    <w:rsid w:val="3A451367"/>
    <w:rsid w:val="3A60099C"/>
    <w:rsid w:val="3A7A7584"/>
    <w:rsid w:val="3A8765F3"/>
    <w:rsid w:val="3A970136"/>
    <w:rsid w:val="3AEA4709"/>
    <w:rsid w:val="3B4007CD"/>
    <w:rsid w:val="3BB16FD5"/>
    <w:rsid w:val="3BDE299C"/>
    <w:rsid w:val="3C17152E"/>
    <w:rsid w:val="3CFD4438"/>
    <w:rsid w:val="3D0047E4"/>
    <w:rsid w:val="3D19612B"/>
    <w:rsid w:val="3D766728"/>
    <w:rsid w:val="3D8C4692"/>
    <w:rsid w:val="3D9F7A2D"/>
    <w:rsid w:val="3E144ED2"/>
    <w:rsid w:val="3E4D7489"/>
    <w:rsid w:val="3E725142"/>
    <w:rsid w:val="3EB92D70"/>
    <w:rsid w:val="3F6A4DBB"/>
    <w:rsid w:val="3F785DC7"/>
    <w:rsid w:val="3FF86C17"/>
    <w:rsid w:val="3FFC1167"/>
    <w:rsid w:val="40077B0C"/>
    <w:rsid w:val="404B5C4A"/>
    <w:rsid w:val="40664832"/>
    <w:rsid w:val="407A6B43"/>
    <w:rsid w:val="4084115C"/>
    <w:rsid w:val="4099592E"/>
    <w:rsid w:val="40B53BBC"/>
    <w:rsid w:val="40B557B9"/>
    <w:rsid w:val="40C8470D"/>
    <w:rsid w:val="40E65943"/>
    <w:rsid w:val="413D6362"/>
    <w:rsid w:val="41540B2E"/>
    <w:rsid w:val="415648A7"/>
    <w:rsid w:val="41727207"/>
    <w:rsid w:val="41A42FA1"/>
    <w:rsid w:val="41BB6E00"/>
    <w:rsid w:val="41CF62FB"/>
    <w:rsid w:val="41DE5079"/>
    <w:rsid w:val="42164036"/>
    <w:rsid w:val="422A57D8"/>
    <w:rsid w:val="425A3D85"/>
    <w:rsid w:val="42817701"/>
    <w:rsid w:val="428611BC"/>
    <w:rsid w:val="42B86E9B"/>
    <w:rsid w:val="42CA554C"/>
    <w:rsid w:val="42DC0DDB"/>
    <w:rsid w:val="430976F7"/>
    <w:rsid w:val="43105F3B"/>
    <w:rsid w:val="43486471"/>
    <w:rsid w:val="435E3EE6"/>
    <w:rsid w:val="436463B1"/>
    <w:rsid w:val="43713C1A"/>
    <w:rsid w:val="43720634"/>
    <w:rsid w:val="43792ACE"/>
    <w:rsid w:val="43A538C3"/>
    <w:rsid w:val="43C755E8"/>
    <w:rsid w:val="44380293"/>
    <w:rsid w:val="447D65EE"/>
    <w:rsid w:val="44A43B7B"/>
    <w:rsid w:val="44B71B00"/>
    <w:rsid w:val="44B862E9"/>
    <w:rsid w:val="455530C7"/>
    <w:rsid w:val="45C2075D"/>
    <w:rsid w:val="4602706C"/>
    <w:rsid w:val="463B01D3"/>
    <w:rsid w:val="4653037D"/>
    <w:rsid w:val="46733805"/>
    <w:rsid w:val="46B856BC"/>
    <w:rsid w:val="46EE10DD"/>
    <w:rsid w:val="46F661E4"/>
    <w:rsid w:val="47103740"/>
    <w:rsid w:val="471C3E9C"/>
    <w:rsid w:val="47846F9A"/>
    <w:rsid w:val="4803505C"/>
    <w:rsid w:val="480A0199"/>
    <w:rsid w:val="48912668"/>
    <w:rsid w:val="48A57EC2"/>
    <w:rsid w:val="48AE4FC8"/>
    <w:rsid w:val="48BA396D"/>
    <w:rsid w:val="48BD16AF"/>
    <w:rsid w:val="48DF1625"/>
    <w:rsid w:val="48E56510"/>
    <w:rsid w:val="491533A3"/>
    <w:rsid w:val="49395702"/>
    <w:rsid w:val="49843F7B"/>
    <w:rsid w:val="49A63EF1"/>
    <w:rsid w:val="4A3C6604"/>
    <w:rsid w:val="4AA20B5D"/>
    <w:rsid w:val="4AD8632C"/>
    <w:rsid w:val="4AF15640"/>
    <w:rsid w:val="4AFA62A3"/>
    <w:rsid w:val="4B726781"/>
    <w:rsid w:val="4BC70E4B"/>
    <w:rsid w:val="4C0272E2"/>
    <w:rsid w:val="4C0C0983"/>
    <w:rsid w:val="4C1149B8"/>
    <w:rsid w:val="4C675BBA"/>
    <w:rsid w:val="4D135D42"/>
    <w:rsid w:val="4D1473C4"/>
    <w:rsid w:val="4E514358"/>
    <w:rsid w:val="4E5C7274"/>
    <w:rsid w:val="4EC92B5C"/>
    <w:rsid w:val="4EE21ECA"/>
    <w:rsid w:val="4F1B712F"/>
    <w:rsid w:val="4F530677"/>
    <w:rsid w:val="4F585C8E"/>
    <w:rsid w:val="4F6B3C13"/>
    <w:rsid w:val="4F7D56F4"/>
    <w:rsid w:val="509C4C8B"/>
    <w:rsid w:val="5135219E"/>
    <w:rsid w:val="517A5B1D"/>
    <w:rsid w:val="51C30881"/>
    <w:rsid w:val="51D535C6"/>
    <w:rsid w:val="51FE1E87"/>
    <w:rsid w:val="522105B9"/>
    <w:rsid w:val="5259656B"/>
    <w:rsid w:val="535B634F"/>
    <w:rsid w:val="53807561"/>
    <w:rsid w:val="53A024CF"/>
    <w:rsid w:val="53C71634"/>
    <w:rsid w:val="542919A7"/>
    <w:rsid w:val="544A2B4B"/>
    <w:rsid w:val="547D6E43"/>
    <w:rsid w:val="54855FA4"/>
    <w:rsid w:val="55D87B28"/>
    <w:rsid w:val="56397652"/>
    <w:rsid w:val="565C2507"/>
    <w:rsid w:val="566118CC"/>
    <w:rsid w:val="56A23A63"/>
    <w:rsid w:val="56B20A62"/>
    <w:rsid w:val="56F95FA8"/>
    <w:rsid w:val="572D5C52"/>
    <w:rsid w:val="578515EA"/>
    <w:rsid w:val="580D2693"/>
    <w:rsid w:val="58337298"/>
    <w:rsid w:val="58680DC2"/>
    <w:rsid w:val="588673C8"/>
    <w:rsid w:val="58E02A3F"/>
    <w:rsid w:val="5900361E"/>
    <w:rsid w:val="592F7A5F"/>
    <w:rsid w:val="59345076"/>
    <w:rsid w:val="59575208"/>
    <w:rsid w:val="595C12A3"/>
    <w:rsid w:val="596F2552"/>
    <w:rsid w:val="5996188C"/>
    <w:rsid w:val="59C77C98"/>
    <w:rsid w:val="59DE1485"/>
    <w:rsid w:val="5A9F0C15"/>
    <w:rsid w:val="5AD36B10"/>
    <w:rsid w:val="5AE64A95"/>
    <w:rsid w:val="5B137EF8"/>
    <w:rsid w:val="5B1F1DFE"/>
    <w:rsid w:val="5B322D65"/>
    <w:rsid w:val="5BBC75A4"/>
    <w:rsid w:val="5BCC4E68"/>
    <w:rsid w:val="5C0C052C"/>
    <w:rsid w:val="5C0E6052"/>
    <w:rsid w:val="5C38700F"/>
    <w:rsid w:val="5C4E644E"/>
    <w:rsid w:val="5C606182"/>
    <w:rsid w:val="5C8C341B"/>
    <w:rsid w:val="5C9B365E"/>
    <w:rsid w:val="5CA81427"/>
    <w:rsid w:val="5CC44589"/>
    <w:rsid w:val="5CD1707F"/>
    <w:rsid w:val="5D01298C"/>
    <w:rsid w:val="5D206DB4"/>
    <w:rsid w:val="5D292A17"/>
    <w:rsid w:val="5DB42C29"/>
    <w:rsid w:val="5E043D85"/>
    <w:rsid w:val="5E510503"/>
    <w:rsid w:val="5E7540E3"/>
    <w:rsid w:val="5E8B1BDC"/>
    <w:rsid w:val="5E93321A"/>
    <w:rsid w:val="5E9B7945"/>
    <w:rsid w:val="5EBD5B0D"/>
    <w:rsid w:val="5F07293D"/>
    <w:rsid w:val="5F1B4F3C"/>
    <w:rsid w:val="5F2B6F1B"/>
    <w:rsid w:val="5F335DCF"/>
    <w:rsid w:val="5F475456"/>
    <w:rsid w:val="5F4C0C3F"/>
    <w:rsid w:val="5F681281"/>
    <w:rsid w:val="5FC058B5"/>
    <w:rsid w:val="5FE1582B"/>
    <w:rsid w:val="5FF23595"/>
    <w:rsid w:val="5FF437B1"/>
    <w:rsid w:val="601C4AB5"/>
    <w:rsid w:val="608D150F"/>
    <w:rsid w:val="611D2893"/>
    <w:rsid w:val="613D1187"/>
    <w:rsid w:val="614442C4"/>
    <w:rsid w:val="61750921"/>
    <w:rsid w:val="617A5F38"/>
    <w:rsid w:val="61926DDD"/>
    <w:rsid w:val="62386256"/>
    <w:rsid w:val="623C0745"/>
    <w:rsid w:val="62D11B87"/>
    <w:rsid w:val="62DD677E"/>
    <w:rsid w:val="62E80EC0"/>
    <w:rsid w:val="62F37D50"/>
    <w:rsid w:val="631D301E"/>
    <w:rsid w:val="631F49AF"/>
    <w:rsid w:val="632717A7"/>
    <w:rsid w:val="6384309D"/>
    <w:rsid w:val="638D0589"/>
    <w:rsid w:val="63BC0E58"/>
    <w:rsid w:val="63CE39A4"/>
    <w:rsid w:val="63D27965"/>
    <w:rsid w:val="64025D70"/>
    <w:rsid w:val="643017E4"/>
    <w:rsid w:val="644840CB"/>
    <w:rsid w:val="64966BE4"/>
    <w:rsid w:val="65165F77"/>
    <w:rsid w:val="65FE0EE5"/>
    <w:rsid w:val="663F14FE"/>
    <w:rsid w:val="66707909"/>
    <w:rsid w:val="66B141AA"/>
    <w:rsid w:val="67470A9D"/>
    <w:rsid w:val="67697E95"/>
    <w:rsid w:val="6773145F"/>
    <w:rsid w:val="67B90B06"/>
    <w:rsid w:val="67FA56DC"/>
    <w:rsid w:val="681A3FD0"/>
    <w:rsid w:val="6888718C"/>
    <w:rsid w:val="68A4680D"/>
    <w:rsid w:val="68B25FB7"/>
    <w:rsid w:val="69164798"/>
    <w:rsid w:val="69D837FB"/>
    <w:rsid w:val="6A246A40"/>
    <w:rsid w:val="6A401E6D"/>
    <w:rsid w:val="6A9C6F1F"/>
    <w:rsid w:val="6AA77654"/>
    <w:rsid w:val="6ABA1153"/>
    <w:rsid w:val="6AF44665"/>
    <w:rsid w:val="6B9143EA"/>
    <w:rsid w:val="6BDB75D3"/>
    <w:rsid w:val="6BF80185"/>
    <w:rsid w:val="6C2B055A"/>
    <w:rsid w:val="6C423AF6"/>
    <w:rsid w:val="6C8A72E3"/>
    <w:rsid w:val="6C923EBF"/>
    <w:rsid w:val="6CCE7137"/>
    <w:rsid w:val="6D1D49F8"/>
    <w:rsid w:val="6D8F2D6B"/>
    <w:rsid w:val="6DC24EEE"/>
    <w:rsid w:val="6E0C43BB"/>
    <w:rsid w:val="6E661D1D"/>
    <w:rsid w:val="6EF07839"/>
    <w:rsid w:val="6F2F65B3"/>
    <w:rsid w:val="6F721644"/>
    <w:rsid w:val="6F8D5088"/>
    <w:rsid w:val="6FB45967"/>
    <w:rsid w:val="6FC4358D"/>
    <w:rsid w:val="6FF128C8"/>
    <w:rsid w:val="6FF60E7F"/>
    <w:rsid w:val="713C6D66"/>
    <w:rsid w:val="71A86C91"/>
    <w:rsid w:val="71DD2CB4"/>
    <w:rsid w:val="72011973"/>
    <w:rsid w:val="72563E57"/>
    <w:rsid w:val="72944B4C"/>
    <w:rsid w:val="72DA6836"/>
    <w:rsid w:val="72F21DD2"/>
    <w:rsid w:val="72FF629D"/>
    <w:rsid w:val="730022F6"/>
    <w:rsid w:val="732301DD"/>
    <w:rsid w:val="732950C8"/>
    <w:rsid w:val="733428CA"/>
    <w:rsid w:val="73361A7A"/>
    <w:rsid w:val="735E76C4"/>
    <w:rsid w:val="73BE1CB4"/>
    <w:rsid w:val="73C15CE1"/>
    <w:rsid w:val="73C60B68"/>
    <w:rsid w:val="73FB5836"/>
    <w:rsid w:val="73FD2CDB"/>
    <w:rsid w:val="74024296"/>
    <w:rsid w:val="74185868"/>
    <w:rsid w:val="742510D0"/>
    <w:rsid w:val="74257F85"/>
    <w:rsid w:val="743261FE"/>
    <w:rsid w:val="744F0B5E"/>
    <w:rsid w:val="749A44CF"/>
    <w:rsid w:val="74F55BA9"/>
    <w:rsid w:val="74F6722B"/>
    <w:rsid w:val="751A53DD"/>
    <w:rsid w:val="7535244A"/>
    <w:rsid w:val="75504B8E"/>
    <w:rsid w:val="7585069B"/>
    <w:rsid w:val="75892893"/>
    <w:rsid w:val="76191423"/>
    <w:rsid w:val="76326989"/>
    <w:rsid w:val="76562678"/>
    <w:rsid w:val="765E2001"/>
    <w:rsid w:val="7718792D"/>
    <w:rsid w:val="779A3DE9"/>
    <w:rsid w:val="77D965A0"/>
    <w:rsid w:val="77FC484A"/>
    <w:rsid w:val="782C5979"/>
    <w:rsid w:val="7847671C"/>
    <w:rsid w:val="789254BD"/>
    <w:rsid w:val="79002D6F"/>
    <w:rsid w:val="791660EE"/>
    <w:rsid w:val="79751DE3"/>
    <w:rsid w:val="7A1E674C"/>
    <w:rsid w:val="7AD52274"/>
    <w:rsid w:val="7B821819"/>
    <w:rsid w:val="7BAC4AE8"/>
    <w:rsid w:val="7C2B0A69"/>
    <w:rsid w:val="7C7E0F8D"/>
    <w:rsid w:val="7C9C690A"/>
    <w:rsid w:val="7D1172F8"/>
    <w:rsid w:val="7D4C6582"/>
    <w:rsid w:val="7D6E0ACC"/>
    <w:rsid w:val="7D7B6E68"/>
    <w:rsid w:val="7DAC0DCF"/>
    <w:rsid w:val="7DAE3F99"/>
    <w:rsid w:val="7DF80183"/>
    <w:rsid w:val="7E372159"/>
    <w:rsid w:val="7E5E07AC"/>
    <w:rsid w:val="7EAF501B"/>
    <w:rsid w:val="7F080287"/>
    <w:rsid w:val="7F1255AA"/>
    <w:rsid w:val="7F491DA9"/>
    <w:rsid w:val="7FB623D9"/>
    <w:rsid w:val="7FCB6A1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2"/>
    <w:next w:val="1"/>
    <w:semiHidden/>
    <w:unhideWhenUsed/>
    <w:qFormat/>
    <w:uiPriority w:val="0"/>
    <w:pPr>
      <w:widowControl w:val="0"/>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qFormat/>
    <w:uiPriority w:val="9"/>
    <w:pPr>
      <w:keepNext/>
      <w:keepLines/>
      <w:spacing w:before="40"/>
      <w:outlineLvl w:val="2"/>
    </w:pPr>
    <w:rPr>
      <w:rFonts w:ascii="Calibri Light" w:hAnsi="Calibri Light"/>
      <w:color w:val="0D0D0D"/>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宋体" w:hAnsi="宋体" w:cs="宋体"/>
      <w:szCs w:val="21"/>
      <w:lang w:eastAsia="en-US"/>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Table Text"/>
    <w:basedOn w:val="1"/>
    <w:semiHidden/>
    <w:qFormat/>
    <w:uiPriority w:val="0"/>
    <w:rPr>
      <w:rFonts w:ascii="宋体" w:hAnsi="宋体" w:cs="宋体"/>
      <w:sz w:val="18"/>
      <w:szCs w:val="18"/>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19318</Words>
  <Characters>19494</Characters>
  <Lines>1850</Lines>
  <Paragraphs>1270</Paragraphs>
  <TotalTime>1</TotalTime>
  <ScaleCrop>false</ScaleCrop>
  <LinksUpToDate>false</LinksUpToDate>
  <CharactersWithSpaces>19750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何莹苑</cp:lastModifiedBy>
  <cp:lastPrinted>2026-03-24T12:41:54Z</cp:lastPrinted>
  <dcterms:modified xsi:type="dcterms:W3CDTF">2026-03-24T14:08:18Z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30BC643EE781469E8327ACC6CD831A08_13</vt:lpwstr>
  </property>
  <property fmtid="{D5CDD505-2E9C-101B-9397-08002B2CF9AE}" pid="4" name="KSOTemplateDocerSaveRecord">
    <vt:lpwstr>eyJoZGlkIjoiOTlkYjc2ZWYyMDRiNWJjZTRkYjI2Yzk5M2I2MDljMjYiLCJ1c2VySWQiOiIyOTg5OTU1NTEifQ==</vt:lpwstr>
  </property>
</Properties>
</file>