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center"/>
        <w:rPr>
          <w:rFonts w:ascii="宋体" w:hAnsi="宋体" w:eastAsia="宋体" w:cs="宋体"/>
          <w:sz w:val="24"/>
          <w:szCs w:val="24"/>
        </w:rPr>
      </w:pPr>
    </w:p>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drawing>
          <wp:inline distT="0" distB="0" distL="114300" distR="114300">
            <wp:extent cx="5684520" cy="1270635"/>
            <wp:effectExtent l="0" t="0" r="11430" b="5715"/>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7"/>
                    <a:stretch>
                      <a:fillRect/>
                    </a:stretch>
                  </pic:blipFill>
                  <pic:spPr>
                    <a:xfrm>
                      <a:off x="0" y="0"/>
                      <a:ext cx="5684520" cy="1270635"/>
                    </a:xfrm>
                    <a:prstGeom prst="rect">
                      <a:avLst/>
                    </a:prstGeom>
                    <a:noFill/>
                    <a:ln>
                      <a:noFill/>
                    </a:ln>
                  </pic:spPr>
                </pic:pic>
              </a:graphicData>
            </a:graphic>
          </wp:inline>
        </w:drawing>
      </w:r>
    </w:p>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ascii="宋体" w:hAnsi="宋体" w:eastAsia="宋体" w:cs="宋体"/>
          <w:color w:val="000000" w:themeColor="text1"/>
          <w:sz w:val="24"/>
          <w:szCs w:val="24"/>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ascii="宋体" w:hAnsi="宋体" w:eastAsia="宋体" w:cs="宋体"/>
          <w:color w:val="000000" w:themeColor="text1"/>
          <w:sz w:val="24"/>
          <w:szCs w:val="24"/>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202</w:t>
      </w:r>
      <w:r>
        <w:rPr>
          <w:rFonts w:hint="eastAsia" w:ascii="方正小标宋简体" w:hAnsi="方正小标宋简体" w:eastAsia="方正小标宋简体" w:cs="方正小标宋简体"/>
          <w:b w:val="0"/>
          <w:bCs/>
          <w:color w:val="000000" w:themeColor="text1"/>
          <w:sz w:val="72"/>
          <w:szCs w:val="72"/>
          <w:lang w:val="en-US" w:eastAsia="zh-CN"/>
          <w14:textFill>
            <w14:solidFill>
              <w14:schemeClr w14:val="tx1"/>
            </w14:solidFill>
          </w14:textFill>
        </w:rPr>
        <w:t>5</w:t>
      </w: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级专业人才培养方案</w:t>
      </w: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100" w:beforeAutospacing="1" w:after="160" w:line="500" w:lineRule="exact"/>
        <w:ind w:firstLine="960" w:firstLineChars="300"/>
        <w:jc w:val="left"/>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专  业  名  称</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电子商务</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专  业</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代  码</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530701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专  业</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 xml:space="preserve">  学  制：</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三年制</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制  定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时</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 xml:space="preserve">间：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 xml:space="preserve">2025年4月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u w:val="single"/>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所</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属</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学  院</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经济管理学院</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p>
    <w:p>
      <w:pP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广西工程职业学院</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2025年4月</w:t>
      </w:r>
    </w:p>
    <w:p>
      <w:pP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br w:type="page"/>
      </w: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方正小标宋简体" w:hAnsi="方正小标宋简体" w:eastAsia="方正小标宋简体" w:cs="方正小标宋简体"/>
          <w:b w:val="0"/>
          <w:bCs/>
          <w:color w:val="FF0000"/>
          <w:sz w:val="72"/>
          <w:szCs w:val="72"/>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方正小标宋简体" w:hAnsi="方正小标宋简体" w:eastAsia="方正小标宋简体" w:cs="方正小标宋简体"/>
          <w:b w:val="0"/>
          <w:bCs/>
          <w:color w:val="FF0000"/>
          <w:sz w:val="72"/>
          <w:szCs w:val="72"/>
        </w:rPr>
        <w:sectPr>
          <w:headerReference r:id="rId3" w:type="default"/>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keepNext w:val="0"/>
        <w:keepLines w:val="0"/>
        <w:pageBreakBefore w:val="0"/>
        <w:widowControl w:val="0"/>
        <w:kinsoku/>
        <w:wordWrap/>
        <w:overflowPunct/>
        <w:topLinePunct w:val="0"/>
        <w:autoSpaceDE/>
        <w:autoSpaceDN/>
        <w:bidi w:val="0"/>
        <w:adjustRightInd/>
        <w:snapToGrid/>
        <w:spacing w:after="0"/>
        <w:ind w:firstLine="880" w:firstLineChars="200"/>
        <w:textAlignment w:val="auto"/>
        <w:rPr>
          <w:rFonts w:hint="eastAsia" w:ascii="黑体" w:hAnsi="黑体" w:eastAsia="黑体" w:cs="黑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工程职业学院电子商务</w:t>
      </w:r>
      <w:r>
        <w:rPr>
          <w:rFonts w:hint="eastAsia" w:ascii="仿宋_GB2312" w:hAnsi="仿宋_GB2312" w:eastAsia="仿宋_GB2312" w:cs="仿宋_GB2312"/>
          <w:b w:val="0"/>
          <w:bCs/>
          <w:color w:val="auto"/>
          <w:sz w:val="32"/>
          <w:szCs w:val="32"/>
        </w:rPr>
        <w:t>专业团队与南宁轨道交通集团有限责任公司</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916"/>
        <w:gridCol w:w="1717"/>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95" w:hRule="atLeast"/>
          <w:jc w:val="center"/>
        </w:trPr>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916"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71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853"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rPr>
              <w:t>陈智</w:t>
            </w:r>
          </w:p>
        </w:tc>
        <w:tc>
          <w:tcPr>
            <w:tcW w:w="2916"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rPr>
              <w:t>南宁轨道交通集团有限责任公司</w:t>
            </w:r>
            <w:bookmarkStart w:id="42" w:name="_GoBack"/>
            <w:bookmarkEnd w:id="42"/>
          </w:p>
        </w:tc>
        <w:tc>
          <w:tcPr>
            <w:tcW w:w="171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项目经理</w:t>
            </w:r>
          </w:p>
        </w:tc>
        <w:tc>
          <w:tcPr>
            <w:tcW w:w="1853"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rPr>
              <w:t>高级经济师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2</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刘忠略</w:t>
            </w:r>
          </w:p>
        </w:tc>
        <w:tc>
          <w:tcPr>
            <w:tcW w:w="2916"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71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专任教师</w:t>
            </w:r>
          </w:p>
        </w:tc>
        <w:tc>
          <w:tcPr>
            <w:tcW w:w="1853"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李林蔚</w:t>
            </w:r>
          </w:p>
        </w:tc>
        <w:tc>
          <w:tcPr>
            <w:tcW w:w="2916"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71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专任教师</w:t>
            </w:r>
          </w:p>
        </w:tc>
        <w:tc>
          <w:tcPr>
            <w:tcW w:w="1853"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李银</w:t>
            </w:r>
          </w:p>
        </w:tc>
        <w:tc>
          <w:tcPr>
            <w:tcW w:w="2916"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71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专任教师</w:t>
            </w:r>
          </w:p>
        </w:tc>
        <w:tc>
          <w:tcPr>
            <w:tcW w:w="1853"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助教</w:t>
            </w:r>
          </w:p>
        </w:tc>
      </w:tr>
    </w:tbl>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lang w:val="en-US" w:eastAsia="zh-CN"/>
        </w:rPr>
        <w:sectPr>
          <w:footerReference r:id="rId4" w:type="default"/>
          <w:pgSz w:w="11906" w:h="16838"/>
          <w:pgMar w:top="1417" w:right="1417" w:bottom="1417" w:left="1417" w:header="851" w:footer="992" w:gutter="0"/>
          <w:pgNumType w:fmt="decimal"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方正小标宋简体" w:hAnsi="方正小标宋简体" w:eastAsia="方正小标宋简体" w:cs="方正小标宋简体"/>
          <w:b w:val="0"/>
          <w:bCs/>
          <w:color w:val="FF0000"/>
          <w:sz w:val="72"/>
          <w:szCs w:val="7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kern w:val="2"/>
          <w:sz w:val="44"/>
          <w:szCs w:val="44"/>
          <w:lang w:val="en-US" w:eastAsia="zh-CN" w:bidi="ar-SA"/>
        </w:rPr>
        <w:id w:val="147464284"/>
        <w15:color w:val="DBDBDB"/>
        <w:docPartObj>
          <w:docPartGallery w:val="Table of Contents"/>
          <w:docPartUnique/>
        </w:docPartObj>
      </w:sdtPr>
      <w:sdtEndPr>
        <w:rPr>
          <w:rFonts w:hint="eastAsia" w:ascii="黑体" w:hAnsi="黑体" w:eastAsia="黑体" w:cs="黑体"/>
          <w:bCs/>
          <w:color w:val="auto"/>
          <w:kern w:val="0"/>
          <w:sz w:val="21"/>
          <w:szCs w:val="5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p>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color w:val="auto"/>
              <w:kern w:val="0"/>
              <w:sz w:val="32"/>
              <w:szCs w:val="32"/>
              <w:lang w:val="en-US" w:eastAsia="zh-CN" w:bidi="ar-SA"/>
            </w:rPr>
            <w:instrText xml:space="preserve">TOC \o "1-3" \h \u </w:instrText>
          </w:r>
          <w:r>
            <w:rPr>
              <w:rFonts w:hint="eastAsia" w:ascii="仿宋_GB2312" w:hAnsi="仿宋_GB2312" w:eastAsia="仿宋_GB2312" w:cs="仿宋_GB2312"/>
              <w:bCs/>
              <w:color w:val="auto"/>
              <w:kern w:val="0"/>
              <w:sz w:val="32"/>
              <w:szCs w:val="32"/>
              <w:lang w:val="en-US" w:eastAsia="zh-CN" w:bidi="ar-SA"/>
            </w:rPr>
            <w:fldChar w:fldCharType="separate"/>
          </w: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_Toc17948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_Toc17948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_Toc23683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_Toc23683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_Toc21688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三、基本修业年限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_Toc21688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_Toc17679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_Toc17679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_Toc1947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_Toc27121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六、培养规格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_Toc27121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_Toc22251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（一）知识目标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_Toc24120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（二）能力目标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_Toc24120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_Toc32533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（三）素质目标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_Toc32533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_Toc21476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七、课程设置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_Toc23604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_Toc23604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_Toc26684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_Toc26684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_Toc27046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（三）第二课堂素质教育课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_Toc27046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_Toc30614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八、教学进程总体安排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_Toc20271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_Toc20271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_Toc23643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（二）课程结构与学时、学分分配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_Toc23643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_Toc28769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_Toc28769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_Toc23391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九、师资队伍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_Toc23391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_Toc22566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（一）队伍结构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_Toc22566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_Toc20415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_Toc20415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_Toc27029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_Toc27029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_Toc31459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_Toc31459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_Toc18556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_Toc18556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_Toc16724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_Toc16724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_Toc16206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_Toc9098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_Toc9098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_Toc21836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_Toc21836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_Toc31194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十一、质量保障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_Toc31194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_Toc7967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十二、</w:t>
          </w:r>
          <w:r>
            <w:rPr>
              <w:rFonts w:hint="eastAsia" w:ascii="仿宋_GB2312" w:hAnsi="仿宋_GB2312" w:eastAsia="仿宋_GB2312" w:cs="仿宋_GB2312"/>
              <w:bCs w:val="0"/>
              <w:sz w:val="32"/>
              <w:szCs w:val="32"/>
              <w:highlight w:val="none"/>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_Toc30000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_Toc30000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_Toc25933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（二）职业类证书要求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_Toc25933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pStyle w:val="4"/>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bidi="ar-SA"/>
            </w:rPr>
            <w:fldChar w:fldCharType="begin"/>
          </w:r>
          <w:r>
            <w:rPr>
              <w:rFonts w:hint="eastAsia" w:ascii="仿宋_GB2312" w:hAnsi="仿宋_GB2312" w:eastAsia="仿宋_GB2312" w:cs="仿宋_GB2312"/>
              <w:bCs/>
              <w:kern w:val="0"/>
              <w:sz w:val="32"/>
              <w:szCs w:val="32"/>
              <w:lang w:val="en-US" w:eastAsia="zh-CN" w:bidi="ar-SA"/>
            </w:rPr>
            <w:instrText xml:space="preserve"> HYPERLINK \l _Toc12857 </w:instrText>
          </w:r>
          <w:r>
            <w:rPr>
              <w:rFonts w:hint="eastAsia" w:ascii="仿宋_GB2312" w:hAnsi="仿宋_GB2312" w:eastAsia="仿宋_GB2312" w:cs="仿宋_GB2312"/>
              <w:bCs/>
              <w:kern w:val="0"/>
              <w:sz w:val="32"/>
              <w:szCs w:val="32"/>
              <w:lang w:val="en-US" w:eastAsia="zh-CN" w:bidi="ar-SA"/>
            </w:rPr>
            <w:fldChar w:fldCharType="separate"/>
          </w:r>
          <w:r>
            <w:rPr>
              <w:rFonts w:hint="eastAsia" w:ascii="仿宋_GB2312" w:hAnsi="仿宋_GB2312" w:eastAsia="仿宋_GB2312" w:cs="仿宋_GB2312"/>
              <w:sz w:val="32"/>
              <w:szCs w:val="32"/>
              <w:lang w:val="en-US" w:eastAsia="zh-CN"/>
            </w:rPr>
            <w:t>（三）综合素质要求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_Toc12857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bidi="ar-SA"/>
            </w:rPr>
            <w:fldChar w:fldCharType="end"/>
          </w:r>
        </w:p>
        <w:p>
          <w:pPr>
            <w:keepNext w:val="0"/>
            <w:keepLines w:val="0"/>
            <w:pageBreakBefore w:val="0"/>
            <w:widowControl/>
            <w:kinsoku/>
            <w:wordWrap/>
            <w:overflowPunct w:val="0"/>
            <w:topLinePunct w:val="0"/>
            <w:autoSpaceDE/>
            <w:autoSpaceDN/>
            <w:bidi w:val="0"/>
            <w:adjustRightInd w:val="0"/>
            <w:snapToGrid w:val="0"/>
            <w:spacing w:after="0" w:line="520" w:lineRule="exact"/>
            <w:ind w:firstLine="0" w:firstLineChars="0"/>
            <w:jc w:val="center"/>
            <w:textAlignment w:val="auto"/>
            <w:rPr>
              <w:rFonts w:hint="eastAsia" w:ascii="黑体" w:hAnsi="黑体" w:eastAsia="黑体" w:cs="黑体"/>
              <w:bCs/>
              <w:color w:val="auto"/>
              <w:kern w:val="0"/>
              <w:sz w:val="21"/>
              <w:szCs w:val="52"/>
              <w:lang w:val="en-US" w:eastAsia="zh-CN" w:bidi="ar-SA"/>
            </w:rPr>
          </w:pPr>
          <w:r>
            <w:rPr>
              <w:rFonts w:hint="eastAsia" w:ascii="仿宋_GB2312" w:hAnsi="仿宋_GB2312" w:eastAsia="仿宋_GB2312" w:cs="仿宋_GB2312"/>
              <w:bCs/>
              <w:color w:val="auto"/>
              <w:kern w:val="0"/>
              <w:sz w:val="32"/>
              <w:szCs w:val="32"/>
              <w:lang w:val="en-US" w:eastAsia="zh-CN" w:bidi="ar-SA"/>
            </w:rPr>
            <w:fldChar w:fldCharType="end"/>
          </w:r>
        </w:p>
      </w:sdtContent>
    </w:sdt>
    <w:p>
      <w:pPr>
        <w:pageBreakBefore w:val="0"/>
        <w:widowControl/>
        <w:kinsoku/>
        <w:wordWrap/>
        <w:overflowPunct w:val="0"/>
        <w:topLinePunct w:val="0"/>
        <w:autoSpaceDE/>
        <w:autoSpaceDN/>
        <w:bidi w:val="0"/>
        <w:adjustRightInd w:val="0"/>
        <w:snapToGrid w:val="0"/>
        <w:spacing w:after="0"/>
        <w:jc w:val="center"/>
        <w:rPr>
          <w:rFonts w:hint="eastAsia" w:ascii="黑体" w:hAnsi="黑体" w:eastAsia="黑体" w:cs="黑体"/>
          <w:bCs/>
          <w:color w:val="auto"/>
          <w:kern w:val="0"/>
          <w:sz w:val="21"/>
          <w:szCs w:val="52"/>
          <w:lang w:val="en-US" w:eastAsia="zh-CN" w:bidi="ar-SA"/>
        </w:rPr>
      </w:pPr>
    </w:p>
    <w:p>
      <w:pPr>
        <w:pageBreakBefore w:val="0"/>
        <w:widowControl/>
        <w:kinsoku/>
        <w:wordWrap/>
        <w:overflowPunct w:val="0"/>
        <w:topLinePunct w:val="0"/>
        <w:autoSpaceDE/>
        <w:autoSpaceDN/>
        <w:bidi w:val="0"/>
        <w:adjustRightInd w:val="0"/>
        <w:snapToGrid w:val="0"/>
        <w:spacing w:after="0"/>
        <w:jc w:val="center"/>
        <w:rPr>
          <w:rFonts w:hint="eastAsia" w:ascii="黑体" w:hAnsi="黑体" w:eastAsia="黑体" w:cs="黑体"/>
          <w:bCs/>
          <w:color w:val="auto"/>
          <w:kern w:val="0"/>
          <w:sz w:val="21"/>
          <w:szCs w:val="52"/>
          <w:lang w:val="en-US" w:eastAsia="zh-CN" w:bidi="ar-SA"/>
        </w:rPr>
      </w:pPr>
    </w:p>
    <w:p>
      <w:pPr>
        <w:pageBreakBefore w:val="0"/>
        <w:widowControl/>
        <w:kinsoku/>
        <w:wordWrap/>
        <w:overflowPunct w:val="0"/>
        <w:topLinePunct w:val="0"/>
        <w:autoSpaceDE/>
        <w:autoSpaceDN/>
        <w:bidi w:val="0"/>
        <w:adjustRightInd w:val="0"/>
        <w:snapToGrid w:val="0"/>
        <w:spacing w:after="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电子商务</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lang w:val="en-US" w:eastAsia="zh-CN" w:bidi="ar-SA"/>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0" w:name="_Toc17948"/>
      <w:r>
        <w:rPr>
          <w:rFonts w:hint="eastAsia" w:ascii="黑体" w:hAnsi="黑体" w:eastAsia="黑体" w:cs="黑体"/>
          <w:b w:val="0"/>
          <w:bCs w:val="0"/>
          <w:color w:val="auto"/>
          <w:sz w:val="32"/>
          <w:szCs w:val="32"/>
          <w:highlight w:val="none"/>
          <w:lang w:val="en-US" w:eastAsia="zh-CN"/>
        </w:rPr>
        <w:t>一、专业名称及代码</w:t>
      </w:r>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专业名称：电子商务</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专业代码：530701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 w:name="_Toc23683"/>
      <w:r>
        <w:rPr>
          <w:rFonts w:hint="eastAsia" w:ascii="黑体" w:hAnsi="黑体" w:eastAsia="黑体" w:cs="黑体"/>
          <w:b w:val="0"/>
          <w:bCs w:val="0"/>
          <w:color w:val="auto"/>
          <w:sz w:val="32"/>
          <w:szCs w:val="32"/>
          <w:highlight w:val="none"/>
          <w:lang w:val="en-US" w:eastAsia="zh-CN"/>
        </w:rPr>
        <w:t>二、入学要求</w:t>
      </w:r>
      <w:bookmarkEnd w:id="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中等职业学校毕业、普通高级中学毕业或具备同等学力。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2" w:name="_Toc21688"/>
      <w:r>
        <w:rPr>
          <w:rFonts w:hint="eastAsia" w:ascii="黑体" w:hAnsi="黑体" w:eastAsia="黑体" w:cs="黑体"/>
          <w:b w:val="0"/>
          <w:bCs w:val="0"/>
          <w:color w:val="auto"/>
          <w:sz w:val="32"/>
          <w:szCs w:val="32"/>
          <w:highlight w:val="none"/>
          <w:lang w:val="en-US" w:eastAsia="zh-CN"/>
        </w:rPr>
        <w:t>三、基本修业年限</w:t>
      </w:r>
      <w:bookmarkEnd w:id="2"/>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标准修业年限为3年，弹性学分有效修业年限为2-5年。</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3" w:name="_Toc17679"/>
      <w:r>
        <w:rPr>
          <w:rFonts w:hint="eastAsia" w:ascii="黑体" w:hAnsi="黑体" w:eastAsia="黑体" w:cs="黑体"/>
          <w:b w:val="0"/>
          <w:bCs w:val="0"/>
          <w:color w:val="auto"/>
          <w:sz w:val="32"/>
          <w:szCs w:val="32"/>
          <w:highlight w:val="none"/>
          <w:lang w:val="en-US" w:eastAsia="zh-CN"/>
        </w:rPr>
        <w:t>四、职业面向</w:t>
      </w:r>
      <w:bookmarkEnd w:id="3"/>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表1电子商务专业职业岗位分析表</w:t>
      </w:r>
    </w:p>
    <w:tbl>
      <w:tblPr>
        <w:tblStyle w:val="10"/>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656"/>
        <w:gridCol w:w="1396"/>
        <w:gridCol w:w="2145"/>
        <w:gridCol w:w="205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4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6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39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214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205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20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8" w:hRule="atLeast"/>
          <w:jc w:val="center"/>
        </w:trPr>
        <w:tc>
          <w:tcPr>
            <w:tcW w:w="143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rPr>
            </w:pPr>
            <w:bookmarkStart w:id="4" w:name="OLE_LINK1" w:colFirst="0" w:colLast="5"/>
            <w:r>
              <w:rPr>
                <w:rFonts w:hint="eastAsia" w:ascii="仿宋_GB2312" w:hAnsi="仿宋_GB2312" w:eastAsia="仿宋_GB2312" w:cs="仿宋_GB2312"/>
                <w:sz w:val="24"/>
              </w:rPr>
              <w:t>财经商贸大类（53）</w:t>
            </w:r>
          </w:p>
        </w:tc>
        <w:tc>
          <w:tcPr>
            <w:tcW w:w="16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sz w:val="24"/>
              </w:rPr>
              <w:t>电子商务类（5307）</w:t>
            </w:r>
          </w:p>
        </w:tc>
        <w:tc>
          <w:tcPr>
            <w:tcW w:w="139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sz w:val="24"/>
              </w:rPr>
              <w:t>互联网和相关服务（64）、批发业（51）、零售业（52）</w:t>
            </w:r>
          </w:p>
        </w:tc>
        <w:tc>
          <w:tcPr>
            <w:tcW w:w="214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sz w:val="24"/>
              </w:rPr>
              <w:t>电子商务师S（4-01-06-01）、互联网营销师S（4-01-06-02）、营销员（4-01-02-01）、市场营销专业人员（2-06-07-02）、商务策划专业人员（2-06-07-03）、品牌专业人员（2-06-07-04）、客户服务管理（4-07-02-03）、采购员（4-01-01-00）</w:t>
            </w:r>
          </w:p>
        </w:tc>
        <w:tc>
          <w:tcPr>
            <w:tcW w:w="205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sz w:val="24"/>
              </w:rPr>
              <w:t>运营主管、全渠道营销主管、O2O销售主管、智能客服主管、视觉营销设计师、互联网产品开发主管</w:t>
            </w:r>
          </w:p>
        </w:tc>
        <w:tc>
          <w:tcPr>
            <w:tcW w:w="2082"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sz w:val="24"/>
              </w:rPr>
              <w:t>网店运营推广、电子商务数据分析、跨境电商B2B数据运营、直播电商、农产品电商运营</w:t>
            </w:r>
          </w:p>
        </w:tc>
      </w:tr>
      <w:bookmarkEnd w:id="4"/>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 w:name="_Toc1947"/>
      <w:r>
        <w:rPr>
          <w:rFonts w:hint="eastAsia" w:ascii="黑体" w:hAnsi="黑体" w:eastAsia="黑体" w:cs="黑体"/>
          <w:b w:val="0"/>
          <w:bCs w:val="0"/>
          <w:color w:val="auto"/>
          <w:sz w:val="32"/>
          <w:szCs w:val="32"/>
          <w:highlight w:val="none"/>
          <w:lang w:val="en-US" w:eastAsia="zh-CN"/>
        </w:rPr>
        <w:t>五、培养目标</w:t>
      </w:r>
      <w:bookmarkEnd w:id="5"/>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专业致力于培养全面发展的高技能人才，学生们将深入学习专业知识与技术技能，培育良好的人文、科学、数字素养及职业道德。基于广西独特的经济环境，注重理论与实践结合，助力学生掌握数据化运营、网店运营、社群运营、营销活动策划等关键能力。学生毕业后，将投身于互联网和相关服务、批发零售等行业，胜任运营主管、营销主管、销售主管等岗位，为广西特色农产品电商销售、消费市场拓展及产业数字化升级贡献力量，推动区域经济借助互联网实现高质量增长。</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6" w:name="_Toc27121"/>
      <w:r>
        <w:rPr>
          <w:rFonts w:hint="eastAsia" w:ascii="黑体" w:hAnsi="黑体" w:eastAsia="黑体" w:cs="黑体"/>
          <w:b w:val="0"/>
          <w:bCs w:val="0"/>
          <w:color w:val="auto"/>
          <w:sz w:val="32"/>
          <w:szCs w:val="32"/>
          <w:highlight w:val="none"/>
          <w:lang w:val="en-US" w:eastAsia="zh-CN"/>
        </w:rPr>
        <w:t>六、培养规格</w:t>
      </w:r>
      <w:bookmarkEnd w:id="6"/>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本专业学生应在系统学习本专业知识并完成有关实习实训基础上，全面提升知识、能力、素质，掌握并实际运用岗位（群）需要的专业核心技术技能，实现德智体美劳全面发展，总体上须达到以下要求：</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7" w:name="_Toc22251"/>
      <w:r>
        <w:rPr>
          <w:rFonts w:hint="eastAsia" w:ascii="楷体" w:hAnsi="楷体" w:eastAsia="楷体" w:cs="楷体"/>
          <w:color w:val="auto"/>
          <w:sz w:val="32"/>
          <w:szCs w:val="32"/>
          <w:lang w:val="en-US" w:eastAsia="zh-CN"/>
        </w:rPr>
        <w:t>（一）知识目标</w:t>
      </w:r>
      <w:bookmarkEnd w:id="7"/>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掌握与本专业对应职业活动相关的国家法律、行业规定，掌握互联网交易安全、质量管理等相关知识与技能，了解相关行业文化，具有爱岗敬业的职业精神，遵守职业道德准则和行为规范，具备社会责任感和担当精神。</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（2）掌握支撑本专业学习和可持续发展必备的语文、数学、外语（英语等）、信息技术等文化基础知识，具有良好的人文素养与科学素养，具备职业生涯规划能力。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（3）具有良好的语言表达能力、文字表达能力、沟通合作能力，具有较强的集体意识和团队合作意识，学习1门外语并结合本专业加以运用。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（4）掌握零售管理、市场与网络营销、消费者心理与行为、新商业文化等方面的专业基础理论知识。</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8" w:name="_Toc24120"/>
      <w:r>
        <w:rPr>
          <w:rFonts w:hint="eastAsia" w:ascii="楷体" w:hAnsi="楷体" w:eastAsia="楷体" w:cs="楷体"/>
          <w:color w:val="auto"/>
          <w:sz w:val="32"/>
          <w:szCs w:val="32"/>
          <w:lang w:val="en-US" w:eastAsia="zh-CN"/>
        </w:rPr>
        <w:t>（二）能力目标</w:t>
      </w:r>
      <w:bookmarkEnd w:id="8"/>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（1）具有行业产品分析、市场细分的能力，能够根据行业与产品特点制定商品规划方案、商品配置与新品促销策略，分析运营数据和用户反馈信息，对商品进行调整和优化，协调和整合资源，完成O2O运营目标。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（2）具有电子商务数据分析、社群管理工具运用的能力，能够根据行业、网店及社群运营目标，实施引流、活动策划、需求挖掘和用户画像分析，通过全过程数据化运营促进用户拉新、留存、促活和转化。</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（3）具有市场调查与分析、活动策划的能力，能够使用各类平台营销推广方法与营销工具，完成活动文案设计、资源整合、营销活动、广告投放、效果评估和媒体公关。</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（4）具有细化企业销售目标、构建销售漏斗、运用订单管理系统的能力，能够撰写和优化销售方案，跟进订单确认、供应链管理、账单管理等业务流程，完成销售分析并提出优化客户体验建议。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（5）具有运用客户服务系统和智能客服训练系统的能力，能够进行客服日常管理、客户投诉受理、客户风控管理及服务质量监控，完成客服中心运营数据报表的制作及数据分析报告。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（6）具有平面设计和音视频制作软件的应用能力，能够进行品牌标识、产品包装、企业宣传物料、店铺页面的设计和短视频的策划、拍摄与剪辑。</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（7）具有用户产品潜在需求挖掘、电商产品开发投资回报率分析的能力，能够建立产品需求模型及应用场景，设计电商产品呈现方式及生命周期路线图，完成产品开发实施与推动。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（8）掌握信息技术基础知识，具有适应本行业数字化和智能化发展需求的数字技能。</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（9）具有探究学习、终身学习和可持续发展的能力，具有整合知识和综合运用知识分析问题和解决问题的能力。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（10）具有职业技能等级证书考取与应用的能力，能够系统掌握电子商务师、网络营销师等职业资格证书的核心知识与实操要求，通过证书考核将理论知识转化为岗位实操技能，提升职业竞争力与行业认可度。</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9" w:name="_Toc32533"/>
      <w:r>
        <w:rPr>
          <w:rFonts w:hint="eastAsia" w:ascii="楷体" w:hAnsi="楷体" w:eastAsia="楷体" w:cs="楷体"/>
          <w:color w:val="auto"/>
          <w:sz w:val="32"/>
          <w:szCs w:val="32"/>
          <w:lang w:val="en-US" w:eastAsia="zh-CN"/>
        </w:rPr>
        <w:t>（三）素质目标</w:t>
      </w:r>
      <w:bookmarkEnd w:id="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（1）坚定拥护中国共产党领导和我国社会主义制度，在习近平新时代中国特色社会主义思想指引下，践行社会主义核心价值观，具有深厚的爱国情感和中华民族自豪感。</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（2）掌握身体运动的基本知识和至少1项体育运动技能，达到国家大学生体质健康测试合格标准，养成良好的运动习惯、卫生习惯和行为习惯；具备一定的心理调适能力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（3）掌握必备的美育知识，具有一定的文化修养、审美能力，形成至少1项艺术特长或爱好。</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（4）树立正确的劳动观，尊重劳动，热爱劳动，具备与本专业职业发展相适应的劳动素养，弘扬劳模精神、劳动精神、工匠精神，弘扬劳动光荣、技能宝贵、创造伟大的时代风尚。</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0" w:name="_Toc21476"/>
      <w:r>
        <w:rPr>
          <w:rFonts w:hint="eastAsia" w:ascii="黑体" w:hAnsi="黑体" w:eastAsia="黑体" w:cs="黑体"/>
          <w:b w:val="0"/>
          <w:bCs w:val="0"/>
          <w:color w:val="auto"/>
          <w:sz w:val="32"/>
          <w:szCs w:val="32"/>
          <w:highlight w:val="none"/>
          <w:lang w:val="en-US" w:eastAsia="zh-CN"/>
        </w:rPr>
        <w:t>七、课程设置</w:t>
      </w:r>
      <w:bookmarkEnd w:id="1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主要包括公共基础课程和专业课程。</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rPr>
      </w:pPr>
      <w:bookmarkStart w:id="11" w:name="_Toc23604"/>
      <w:r>
        <w:rPr>
          <w:rFonts w:hint="eastAsia" w:ascii="楷体" w:hAnsi="楷体" w:eastAsia="楷体" w:cs="楷体"/>
          <w:color w:val="auto"/>
          <w:sz w:val="32"/>
          <w:szCs w:val="32"/>
        </w:rPr>
        <w:t>（一）公共基础课程</w:t>
      </w:r>
      <w:bookmarkEnd w:id="1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bookmarkStart w:id="12" w:name="_Toc90734974"/>
      <w:r>
        <w:rPr>
          <w:rFonts w:hint="eastAsia" w:ascii="仿宋_GB2312" w:hAnsi="仿宋_GB2312" w:eastAsia="仿宋_GB2312" w:cs="仿宋_GB2312"/>
          <w:color w:val="auto"/>
          <w:sz w:val="32"/>
          <w:szCs w:val="32"/>
          <w:lang w:val="en-US" w:eastAsia="zh-CN"/>
        </w:rPr>
        <w:t>分为公共必修课和公共选修课。</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必修课程包括</w:t>
      </w:r>
      <w:bookmarkEnd w:id="12"/>
      <w:r>
        <w:rPr>
          <w:rFonts w:hint="eastAsia" w:ascii="仿宋_GB2312" w:hAnsi="仿宋_GB2312" w:eastAsia="仿宋_GB2312" w:cs="仿宋_GB2312"/>
          <w:color w:val="auto"/>
          <w:sz w:val="32"/>
          <w:szCs w:val="32"/>
          <w:lang w:val="en-US" w:eastAsia="zh-CN"/>
        </w:rPr>
        <w:t>：思想道德与法治、形势与政策、国家安全教育、军事理论、军训、计算机基础、高等数学、大学英语、大学体育、大学生职业发展与就业指导、大学生心理健康教育、劳动教育、毛泽东思想和中国特色社会主义理论体系概论、创新创业教育、习近平新时代中国特色社会主义思想概论。</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选修课程包括：中国民俗剪纸技法、影视与鉴赏、中国共产党简史、中华人民共和国简史、改革开放简史、社会主义发展简史、中华优秀传统文化、中华民族共同体概论、语文、商业文化。</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表2 公共基础课课程目标、主要教学内容与要求</w:t>
      </w:r>
    </w:p>
    <w:tbl>
      <w:tblPr>
        <w:tblStyle w:val="9"/>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23"/>
        <w:gridCol w:w="4282"/>
        <w:gridCol w:w="3075"/>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rPr>
            </w:pPr>
            <w:bookmarkStart w:id="13" w:name="_Toc90734979"/>
            <w:bookmarkStart w:id="14" w:name="_Toc2022"/>
            <w:r>
              <w:rPr>
                <w:rFonts w:hint="eastAsia" w:ascii="仿宋_GB2312" w:hAnsi="仿宋_GB2312" w:eastAsia="仿宋_GB2312" w:cs="仿宋_GB2312"/>
                <w:b w:val="0"/>
                <w:bCs w:val="0"/>
                <w:color w:val="auto"/>
                <w:sz w:val="24"/>
                <w:szCs w:val="24"/>
              </w:rPr>
              <w:t>序号</w:t>
            </w:r>
          </w:p>
        </w:tc>
        <w:tc>
          <w:tcPr>
            <w:tcW w:w="723" w:type="dxa"/>
            <w:vAlign w:val="center"/>
          </w:tcPr>
          <w:p>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课程名称</w:t>
            </w:r>
          </w:p>
        </w:tc>
        <w:tc>
          <w:tcPr>
            <w:tcW w:w="4282" w:type="dxa"/>
            <w:vAlign w:val="center"/>
          </w:tcPr>
          <w:p>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rPr>
              <w:t>目标</w:t>
            </w:r>
          </w:p>
        </w:tc>
        <w:tc>
          <w:tcPr>
            <w:tcW w:w="3075" w:type="dxa"/>
            <w:vAlign w:val="center"/>
          </w:tcPr>
          <w:p>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186" w:type="dxa"/>
            <w:vAlign w:val="center"/>
          </w:tcPr>
          <w:p>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highlight w:val="none"/>
              </w:rPr>
              <w:t>1</w:t>
            </w:r>
          </w:p>
        </w:tc>
        <w:tc>
          <w:tcPr>
            <w:tcW w:w="72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highlight w:val="none"/>
              </w:rPr>
              <w:t>思想道德与法治</w:t>
            </w:r>
          </w:p>
        </w:tc>
        <w:tc>
          <w:tcPr>
            <w:tcW w:w="428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7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18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shd w:val="clear" w:color="auto" w:fill="FFFFFF"/>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428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color w:val="auto"/>
                <w:kern w:val="2"/>
                <w:sz w:val="24"/>
                <w:szCs w:val="24"/>
                <w:highlight w:val="none"/>
                <w:shd w:val="clear" w:color="auto" w:fill="FFFFFF"/>
                <w:lang w:val="en-US" w:eastAsia="zh-CN" w:bidi="ar-SA"/>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307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186"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default"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2"/>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5</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Style w:val="12"/>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lang w:val="en-US" w:eastAsia="zh-CN"/>
              </w:rPr>
              <w:t>军训</w:t>
            </w:r>
          </w:p>
        </w:tc>
        <w:tc>
          <w:tcPr>
            <w:tcW w:w="4282"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307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rPr>
            </w:pPr>
          </w:p>
        </w:tc>
        <w:tc>
          <w:tcPr>
            <w:tcW w:w="218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23"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28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23"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28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07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18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23"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28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3075"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18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9</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shd w:val="clear" w:color="auto" w:fill="FFFFFF"/>
                <w:lang w:val="en-US" w:eastAsia="zh-CN" w:bidi="ar-SA"/>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shd w:val="clear" w:color="auto" w:fill="FFFFFF"/>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以人民为中心</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的发展理念，切实增强对国家保就业、稳增长工作的信心，充分感知国家在相关领域的坚实能力。</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shd w:val="clear" w:color="auto" w:fill="FFFFFF"/>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shd w:val="clear" w:color="auto" w:fill="FFFFFF"/>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p>
        </w:tc>
        <w:tc>
          <w:tcPr>
            <w:tcW w:w="2186" w:type="dxa"/>
            <w:shd w:val="clear" w:color="auto" w:fill="auto"/>
            <w:vAlign w:val="top"/>
          </w:tcPr>
          <w:p>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2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428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ind w:firstLine="0" w:firstLineChars="0"/>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307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18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lang w:val="en-US" w:eastAsia="zh-CN" w:bidi="ar-SA"/>
              </w:rPr>
              <w:t>20</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2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428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07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18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23" w:type="dxa"/>
            <w:shd w:val="clear" w:color="auto" w:fill="auto"/>
            <w:vAlign w:val="center"/>
          </w:tcPr>
          <w:p>
            <w:pPr>
              <w:keepNext w:val="0"/>
              <w:keepLines w:val="0"/>
              <w:suppressLineNumbers w:val="0"/>
              <w:spacing w:before="0" w:beforeAutospacing="0" w:after="0" w:afterAutospacing="0" w:line="360" w:lineRule="exact"/>
              <w:ind w:left="0" w:leftChars="0" w:right="0" w:rightChars="0"/>
              <w:jc w:val="center"/>
              <w:rPr>
                <w:rFonts w:hint="eastAsia" w:ascii="仿宋" w:hAnsi="仿宋" w:eastAsia="仿宋" w:cs="仿宋"/>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商业文化</w:t>
            </w:r>
          </w:p>
        </w:tc>
        <w:tc>
          <w:tcPr>
            <w:tcW w:w="42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系统</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的</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 w:hAnsi="仿宋" w:eastAsia="仿宋" w:cs="仿宋"/>
                <w:color w:val="auto"/>
                <w:kern w:val="2"/>
                <w:sz w:val="24"/>
                <w:szCs w:val="24"/>
                <w:highlight w:val="none"/>
                <w:lang w:val="en-US" w:eastAsia="zh-CN" w:bidi="ar-SA"/>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培育社会主义核心价值观，强化劳动精神、劳模精神和工匠精神教育，树立正确的职业观、事业观和成才观。</w:t>
            </w:r>
          </w:p>
        </w:tc>
        <w:tc>
          <w:tcPr>
            <w:tcW w:w="30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1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bookmarkEnd w:id="13"/>
      <w:bookmarkEnd w:id="14"/>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rPr>
      </w:pPr>
      <w:bookmarkStart w:id="15" w:name="_Toc26684"/>
      <w:r>
        <w:rPr>
          <w:rFonts w:hint="eastAsia" w:ascii="楷体" w:hAnsi="楷体" w:eastAsia="楷体" w:cs="楷体"/>
          <w:color w:val="auto"/>
          <w:sz w:val="32"/>
          <w:szCs w:val="32"/>
        </w:rPr>
        <w:t>（二）专业课程</w:t>
      </w:r>
      <w:bookmarkEnd w:id="15"/>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一般包括专业基础课程、专业核心课程和专业拓展课程，并涵盖有关实践性教学环节。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bookmarkStart w:id="16" w:name="_Toc90734975"/>
      <w:r>
        <w:rPr>
          <w:rFonts w:hint="eastAsia" w:ascii="仿宋_GB2312" w:hAnsi="仿宋_GB2312" w:eastAsia="仿宋_GB2312" w:cs="仿宋_GB2312"/>
          <w:color w:val="auto"/>
          <w:sz w:val="32"/>
          <w:szCs w:val="32"/>
          <w:lang w:val="en-US" w:eastAsia="zh-CN"/>
        </w:rPr>
        <w:t>1.专业基础课程</w:t>
      </w:r>
      <w:bookmarkEnd w:id="16"/>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专业基础课程是为后续专业课程学习打基础的课程。包括：零售基础、管理学基础、财税基础、电子商务法律法规、电子商务基础、市场营销、商务数据分析、数据可视化课程、</w:t>
      </w:r>
      <w:r>
        <w:rPr>
          <w:rFonts w:hint="eastAsia" w:ascii="仿宋_GB2312" w:hAnsi="仿宋_GB2312" w:eastAsia="仿宋_GB2312" w:cs="仿宋_GB2312"/>
          <w:color w:val="auto"/>
          <w:kern w:val="2"/>
          <w:sz w:val="32"/>
          <w:szCs w:val="32"/>
          <w:lang w:val="en-US" w:eastAsia="zh-CN" w:bidi="ar-SA"/>
        </w:rPr>
        <w:t>习近平经济思想概论</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表3 专业基础课课程目标、主要教学内容与要求</w:t>
      </w:r>
    </w:p>
    <w:tbl>
      <w:tblPr>
        <w:tblStyle w:val="10"/>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
        <w:gridCol w:w="826"/>
        <w:gridCol w:w="4631"/>
        <w:gridCol w:w="2496"/>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序号</w:t>
            </w:r>
          </w:p>
        </w:tc>
        <w:tc>
          <w:tcPr>
            <w:tcW w:w="826"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课程名称</w:t>
            </w:r>
          </w:p>
        </w:tc>
        <w:tc>
          <w:tcPr>
            <w:tcW w:w="4631"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目标</w:t>
            </w:r>
          </w:p>
        </w:tc>
        <w:tc>
          <w:tcPr>
            <w:tcW w:w="2496"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主要</w:t>
            </w:r>
            <w:r>
              <w:rPr>
                <w:rFonts w:hint="eastAsia" w:ascii="仿宋_GB2312" w:hAnsi="仿宋_GB2312" w:eastAsia="仿宋_GB2312" w:cs="仿宋_GB2312"/>
                <w:b w:val="0"/>
                <w:bCs w:val="0"/>
                <w:color w:val="auto"/>
                <w:sz w:val="24"/>
                <w:szCs w:val="24"/>
                <w:highlight w:val="none"/>
              </w:rPr>
              <w:t>教学内容</w:t>
            </w:r>
          </w:p>
        </w:tc>
        <w:tc>
          <w:tcPr>
            <w:tcW w:w="2332"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零售基础</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掌握零售业态分类、运营流程、顾客关系管理、商品陈列、促销策划、零售技术应用等基础概念与知识。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具备运用零售知识分析解决实际问题，提升市场敏感度与零售业务实操能力。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培养市场洞察、团队协作及持续学习意识，适应零售行业动态发展。</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融入零售行业诚信经营、服务社会理念，通过剖析本土零售案例，增强学生助力区域零售经济发展的责任感，树立正确商业价值观。</w:t>
            </w:r>
          </w:p>
        </w:tc>
        <w:tc>
          <w:tcPr>
            <w:tcW w:w="2496"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零售行业概述；零售运营流程；顾客关系管理；商品陈列与布局；促销策略；零售技术应用。</w:t>
            </w:r>
          </w:p>
        </w:tc>
        <w:tc>
          <w:tcPr>
            <w:tcW w:w="2332"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通过课堂讲授传授理论；组织实地调研，感受不同零售业态；开展案例分析、小组项目，锻炼实操与协作；组织课堂讨论，提升思维与表达，培养零售知识运用能力。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lang w:val="en-US" w:eastAsia="zh-CN"/>
              </w:rPr>
            </w:pPr>
            <w:bookmarkStart w:id="17" w:name="_Hlk194587108"/>
            <w:r>
              <w:rPr>
                <w:rFonts w:hint="eastAsia" w:ascii="仿宋_GB2312" w:hAnsi="仿宋_GB2312" w:eastAsia="仿宋_GB2312" w:cs="仿宋_GB2312"/>
                <w:i w:val="0"/>
                <w:iCs w:val="0"/>
                <w:color w:val="000000"/>
                <w:kern w:val="0"/>
                <w:sz w:val="24"/>
                <w:szCs w:val="24"/>
                <w:highlight w:val="none"/>
                <w:u w:val="none"/>
                <w:lang w:val="en-US" w:eastAsia="zh-CN" w:bidi="ar"/>
              </w:rPr>
              <w:t>2</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管理学基础</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掌握管理定义、层次、领域，科学管理等理论，管理道德、社会责任，信息管理、决策、计划、战略规划，组织设计、人力管理、组织变革与文化等知识。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能运用管理知识分析解决实际问题，提升领导力、团队管理及创新应变能力。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培养系统思维、责任担当与团队协作精神，树立科学管理理念。</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融入管理伦理教育，强调管理者社会责任，通过中国管理实践案例，厚植家国情怀，引导学生以管理才能服务社会发展</w:t>
            </w:r>
            <w:r>
              <w:rPr>
                <w:rFonts w:hint="eastAsia" w:ascii="仿宋_GB2312" w:hAnsi="仿宋_GB2312" w:eastAsia="仿宋_GB2312" w:cs="仿宋_GB2312"/>
                <w:color w:val="auto"/>
                <w:sz w:val="24"/>
                <w:szCs w:val="24"/>
                <w:highlight w:val="none"/>
                <w:lang w:eastAsia="zh-CN"/>
              </w:rPr>
              <w:t>。</w:t>
            </w:r>
          </w:p>
        </w:tc>
        <w:tc>
          <w:tcPr>
            <w:tcW w:w="2496"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管理定义、层次、领域，科学管理等理论；管理道德、社会责任；信息管理、决策方法、计划工作、战略规划；组织设计、人力资源管理、组织变革与文化。</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运用讲授法讲理论；案例分析法剖析实际问题；小组讨论法促进交流；角色扮演法体验管理实践，培养管理知识应用能力。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lang w:val="en-US" w:eastAsia="zh-CN"/>
              </w:rPr>
            </w:pPr>
            <w:bookmarkStart w:id="18" w:name="_Toc90734977"/>
            <w:r>
              <w:rPr>
                <w:rFonts w:hint="eastAsia" w:ascii="仿宋_GB2312" w:hAnsi="仿宋_GB2312" w:eastAsia="仿宋_GB2312" w:cs="仿宋_GB2312"/>
                <w:i w:val="0"/>
                <w:iCs w:val="0"/>
                <w:color w:val="000000"/>
                <w:kern w:val="0"/>
                <w:sz w:val="24"/>
                <w:szCs w:val="24"/>
                <w:highlight w:val="none"/>
                <w:u w:val="none"/>
                <w:lang w:val="en-US" w:eastAsia="zh-CN" w:bidi="ar"/>
              </w:rPr>
              <w:t>3</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财税基础</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掌握财务会计要素、记账方法、凭证账簿，财务报表编制解读，增值税、企业所得税等税种，纳税申报流程、筹划方法，财务预算、成本核算控制等知识。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具备财务报表编制分析、税务申报操作及运用财税知识解决简单企业财税问题的能力。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增强财务合规意识与经济活动风险防范思维，培养严谨细致职业素养。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融入财税法治教育，强调依法纳税、财务诚信，通过分析本地企业财税案例，让学生明白合规财税对区域经济健康发展的意义，树立正确财富观与法治观</w:t>
            </w:r>
            <w:r>
              <w:rPr>
                <w:rFonts w:hint="eastAsia" w:ascii="仿宋_GB2312" w:hAnsi="仿宋_GB2312" w:eastAsia="仿宋_GB2312" w:cs="仿宋_GB2312"/>
                <w:color w:val="auto"/>
                <w:sz w:val="24"/>
                <w:szCs w:val="24"/>
                <w:highlight w:val="none"/>
                <w:lang w:eastAsia="zh-CN"/>
              </w:rPr>
              <w:t>。</w:t>
            </w:r>
          </w:p>
        </w:tc>
        <w:tc>
          <w:tcPr>
            <w:tcW w:w="2496"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财务会计基础；财务报表编制与分析；税务基础；纳税申报与筹划；财务预算与成本控制。</w:t>
            </w:r>
          </w:p>
        </w:tc>
        <w:tc>
          <w:tcPr>
            <w:tcW w:w="2332"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运用讲授法讲理论；开展模拟实训；组织案例讨论；布置课后作业、测验，提升财税知识实操能力。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4</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电子商务法律法规</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掌握电子合同、网络安全、消费者权益保护、知识产权保护等电商领域主要法律法规及电商法框架、立法目的。</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能识别电商法律风险，运用法律知识解决纠纷，提升电商法律实务处理能力。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培养依法经营、合规运营意识，增强法治观念与风险防范素养。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融入法治精神与公平交易理念，通过中外电商法律对比，坚定学生法治信仰，引导学生以法律守护电商市场秩序，树立正确法治与商业价值观</w:t>
            </w:r>
            <w:r>
              <w:rPr>
                <w:rFonts w:hint="eastAsia" w:ascii="仿宋_GB2312" w:hAnsi="仿宋_GB2312" w:eastAsia="仿宋_GB2312" w:cs="仿宋_GB2312"/>
                <w:color w:val="auto"/>
                <w:sz w:val="24"/>
                <w:szCs w:val="24"/>
                <w:highlight w:val="none"/>
                <w:lang w:eastAsia="zh-CN"/>
              </w:rPr>
              <w:t>。</w:t>
            </w:r>
          </w:p>
        </w:tc>
        <w:tc>
          <w:tcPr>
            <w:tcW w:w="2496"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电子商务法律基础；电子合同法律制度；网络安全与隐私保护法律；消费者权益保护法律；知识产权保护法律。</w:t>
            </w:r>
          </w:p>
        </w:tc>
        <w:tc>
          <w:tcPr>
            <w:tcW w:w="2332"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通过法律条文解读熟悉法规；开展案例分析、模拟法庭解决实际纠纷；邀请专家讲座拓宽视野；布置案例分析作业，提升电商法律应用能力。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5</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电子商务基础</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掌握电商模式、平台架构、运营体系及电商店铺运营、客户服务等知识。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能运用电商知识开展简单业务实践，提升电商业务实操与创新能力。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培养数字经济时代的创新思维、电商运营素养，适应电商行业快速发展。</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融入数字经济创新与服务理念，结合广西电商助力特色产业发展案例，激发学生运用电商技能推动本地经济的使命感，树立创新与服务社会的价值观</w:t>
            </w:r>
            <w:r>
              <w:rPr>
                <w:rFonts w:hint="eastAsia" w:ascii="仿宋_GB2312" w:hAnsi="仿宋_GB2312" w:eastAsia="仿宋_GB2312" w:cs="仿宋_GB2312"/>
                <w:color w:val="auto"/>
                <w:sz w:val="24"/>
                <w:szCs w:val="24"/>
                <w:highlight w:val="none"/>
                <w:lang w:eastAsia="zh-CN"/>
              </w:rPr>
              <w:t>。</w:t>
            </w:r>
          </w:p>
        </w:tc>
        <w:tc>
          <w:tcPr>
            <w:tcW w:w="2496"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电子商务概述；电商平台运营；网络营销基础；电子支付与结算；电商物流与供应链；电商客户服务。</w:t>
            </w:r>
          </w:p>
        </w:tc>
        <w:tc>
          <w:tcPr>
            <w:tcW w:w="2332"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采用课堂</w:t>
            </w:r>
            <w:r>
              <w:rPr>
                <w:rFonts w:hint="eastAsia" w:ascii="仿宋_GB2312" w:hAnsi="仿宋_GB2312" w:eastAsia="仿宋_GB2312" w:cs="仿宋_GB2312"/>
                <w:i w:val="0"/>
                <w:iCs w:val="0"/>
                <w:color w:val="000000"/>
                <w:kern w:val="0"/>
                <w:sz w:val="24"/>
                <w:szCs w:val="24"/>
                <w:highlight w:val="none"/>
                <w:u w:val="none"/>
                <w:lang w:val="en-US" w:eastAsia="zh-CN" w:bidi="ar"/>
              </w:rPr>
              <w:t>讲授理</w:t>
            </w:r>
            <w:r>
              <w:rPr>
                <w:rFonts w:hint="eastAsia" w:ascii="仿宋_GB2312" w:hAnsi="仿宋_GB2312" w:eastAsia="仿宋_GB2312" w:cs="仿宋_GB2312"/>
                <w:i w:val="0"/>
                <w:iCs w:val="0"/>
                <w:color w:val="000000"/>
                <w:kern w:val="0"/>
                <w:sz w:val="24"/>
                <w:szCs w:val="24"/>
                <w:u w:val="none"/>
                <w:lang w:val="en-US" w:eastAsia="zh-CN" w:bidi="ar"/>
              </w:rPr>
              <w:t>论；安排项目实践；组织企业参观；开展小组讨论、企业案例分享，培养电商业务实践能力。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市场营销</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掌握市场调研、目标市场选择、营销组合策略等基础理论，理解市场需求变化规律。</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能制定实施市场营销方案，解决市场推广问题，提升市场开拓、品牌建设与营销策划执行能力。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培养市场洞察、创新思维与团队协作精神，树立以客户为中心的营销理念。</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融入营销伦理与品牌强国理念，通过本土品牌营销成功案例，引导学生以营销助力本地品牌发展，增强文化自信与产业报国情怀</w:t>
            </w:r>
            <w:r>
              <w:rPr>
                <w:rFonts w:hint="eastAsia" w:ascii="仿宋_GB2312" w:hAnsi="仿宋_GB2312" w:eastAsia="仿宋_GB2312" w:cs="仿宋_GB2312"/>
                <w:color w:val="auto"/>
                <w:sz w:val="24"/>
                <w:szCs w:val="24"/>
                <w:highlight w:val="none"/>
                <w:lang w:eastAsia="zh-CN"/>
              </w:rPr>
              <w:t>。</w:t>
            </w:r>
          </w:p>
        </w:tc>
        <w:tc>
          <w:tcPr>
            <w:tcW w:w="2496"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市场营销导论；市场调研与分析；消费者行为分析；目标市场选择与定位；营销组合策略。</w:t>
            </w:r>
          </w:p>
        </w:tc>
        <w:tc>
          <w:tcPr>
            <w:tcW w:w="2332"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运用案例教学剖析理论应用；开展项目驱动教学；组织模拟营销活动、企业专家分享，提升营销实战与市场感知能力。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商务数据分析</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掌握商务数据收集、清洗、分析方法，数据建模预测及常用软件工具知识。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能运用数据分析解决商务问题，基于分析提出决策建议，提升数据驱动的商务决策能力。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培养数据思维、逻辑分析与持续学习能力，适应大数据时代商务发展需求。</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融入数据价值与理性决策理念，通过分析数据驱动本地企业发展案例，让学生认识数据对区域经济的重要性，树立用数据服务地方发展的意识</w:t>
            </w:r>
            <w:r>
              <w:rPr>
                <w:rFonts w:hint="eastAsia" w:ascii="仿宋_GB2312" w:hAnsi="仿宋_GB2312" w:eastAsia="仿宋_GB2312" w:cs="仿宋_GB2312"/>
                <w:color w:val="auto"/>
                <w:sz w:val="24"/>
                <w:szCs w:val="24"/>
                <w:highlight w:val="none"/>
                <w:lang w:eastAsia="zh-CN"/>
              </w:rPr>
              <w:t>。</w:t>
            </w:r>
          </w:p>
        </w:tc>
        <w:tc>
          <w:tcPr>
            <w:tcW w:w="2496"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商务数据基础；数据清洗与预处理；数据分析方法；数据可视化；数据建模与预测；商务数据分析应用。</w:t>
            </w:r>
          </w:p>
        </w:tc>
        <w:tc>
          <w:tcPr>
            <w:tcW w:w="2332"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通过理论</w:t>
            </w:r>
            <w:r>
              <w:rPr>
                <w:rFonts w:hint="eastAsia" w:ascii="仿宋_GB2312" w:hAnsi="仿宋_GB2312" w:eastAsia="仿宋_GB2312" w:cs="仿宋_GB2312"/>
                <w:i w:val="0"/>
                <w:iCs w:val="0"/>
                <w:color w:val="000000"/>
                <w:kern w:val="0"/>
                <w:sz w:val="24"/>
                <w:szCs w:val="24"/>
                <w:highlight w:val="none"/>
                <w:u w:val="none"/>
                <w:lang w:val="en-US" w:eastAsia="zh-CN" w:bidi="ar"/>
              </w:rPr>
              <w:t>讲授原</w:t>
            </w:r>
            <w:r>
              <w:rPr>
                <w:rFonts w:hint="eastAsia" w:ascii="仿宋_GB2312" w:hAnsi="仿宋_GB2312" w:eastAsia="仿宋_GB2312" w:cs="仿宋_GB2312"/>
                <w:i w:val="0"/>
                <w:iCs w:val="0"/>
                <w:color w:val="000000"/>
                <w:kern w:val="0"/>
                <w:sz w:val="24"/>
                <w:szCs w:val="24"/>
                <w:u w:val="none"/>
                <w:lang w:val="en-US" w:eastAsia="zh-CN" w:bidi="ar"/>
              </w:rPr>
              <w:t>理方法；安排实操训练；组织案例分析、小组项目汇报，提升数据分析与商务应用能力。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8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数据可视化</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掌握数据可视化基本原理、设计原则及常用工具操作知识。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能将复杂数据转化为直观易懂可视化图表，有效传达信息，评估可视化效果，提升数据可视化设计与表达能力。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培养审美素养、创新思维与细节意识，增强数据信息传达的精准性与有效性。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融入数据审美与有效沟通理念，通过优秀数据可视化作品展示，引导学生以清晰数据表达助力本地企业信息传递，提升服务地方经济的专业素养</w:t>
            </w:r>
            <w:r>
              <w:rPr>
                <w:rFonts w:hint="eastAsia" w:ascii="仿宋_GB2312" w:hAnsi="仿宋_GB2312" w:eastAsia="仿宋_GB2312" w:cs="仿宋_GB2312"/>
                <w:color w:val="auto"/>
                <w:sz w:val="24"/>
                <w:szCs w:val="24"/>
                <w:highlight w:val="none"/>
                <w:lang w:eastAsia="zh-CN"/>
              </w:rPr>
              <w:t>。</w:t>
            </w:r>
          </w:p>
        </w:tc>
        <w:tc>
          <w:tcPr>
            <w:tcW w:w="2496"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sz w:val="24"/>
                <w:szCs w:val="24"/>
              </w:rPr>
              <w:t>数据可视化基础；可视化设计原则；Python数据可视化；PowerBI数据可视化</w:t>
            </w:r>
            <w:r>
              <w:rPr>
                <w:rFonts w:hint="eastAsia" w:ascii="仿宋_GB2312" w:hAnsi="仿宋_GB2312" w:eastAsia="仿宋_GB2312" w:cs="仿宋_GB2312"/>
                <w:sz w:val="24"/>
                <w:szCs w:val="24"/>
                <w:lang w:eastAsia="zh-CN"/>
              </w:rPr>
              <w:t>。</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sz w:val="24"/>
                <w:szCs w:val="24"/>
              </w:rPr>
              <w:t>通过理论讲解传授原理原则；安排软件实操让学生掌握工具操作；开展案例赏析学习优秀思路；布置设计作业锻炼实际设计能力；组织作品展示与互评，提升审美与信息表达能力，全面提升数据可视化水平</w:t>
            </w:r>
            <w:r>
              <w:rPr>
                <w:rFonts w:hint="eastAsia" w:ascii="仿宋_GB2312" w:hAnsi="仿宋_GB2312" w:eastAsia="仿宋_GB2312" w:cs="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82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sz w:val="21"/>
                <w:szCs w:val="21"/>
                <w:highlight w:val="none"/>
                <w:lang w:val="en-US" w:eastAsia="zh-CN"/>
              </w:rPr>
              <w:t>习近平经济思想概论</w:t>
            </w:r>
          </w:p>
        </w:tc>
        <w:tc>
          <w:tcPr>
            <w:tcW w:w="463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w:t>
            </w:r>
            <w:r>
              <w:rPr>
                <w:rFonts w:hint="eastAsia" w:ascii="仿宋_GB2312" w:hAnsi="仿宋_GB2312" w:eastAsia="仿宋_GB2312" w:cs="仿宋_GB2312"/>
                <w:sz w:val="24"/>
                <w:szCs w:val="24"/>
                <w:lang w:eastAsia="zh-CN"/>
              </w:rPr>
              <w:t>新发展理念引领高质量发展</w:t>
            </w:r>
            <w:r>
              <w:rPr>
                <w:rFonts w:hint="eastAsia" w:ascii="仿宋_GB2312" w:hAnsi="仿宋_GB2312" w:eastAsia="仿宋_GB2312" w:cs="仿宋_GB2312"/>
                <w:sz w:val="24"/>
                <w:szCs w:val="24"/>
              </w:rPr>
              <w:t>、新发展格局等重要理论。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lang w:val="en-US" w:eastAsia="zh-CN"/>
              </w:rPr>
            </w:pPr>
            <w:r>
              <w:rPr>
                <w:rStyle w:val="12"/>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496"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bookmarkEnd w:id="17"/>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2.专业核心课程</w:t>
      </w:r>
      <w:bookmarkEnd w:id="18"/>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bookmarkStart w:id="19" w:name="OLE_LINK7"/>
      <w:r>
        <w:rPr>
          <w:rFonts w:hint="eastAsia" w:ascii="仿宋_GB2312" w:hAnsi="仿宋_GB2312" w:eastAsia="仿宋_GB2312" w:cs="仿宋_GB2312"/>
          <w:color w:val="auto"/>
          <w:sz w:val="32"/>
          <w:szCs w:val="32"/>
          <w:lang w:val="en-US" w:eastAsia="zh-CN"/>
        </w:rPr>
        <w:t>专业核心课是</w:t>
      </w:r>
      <w:bookmarkEnd w:id="19"/>
      <w:r>
        <w:rPr>
          <w:rFonts w:hint="eastAsia" w:ascii="仿宋_GB2312" w:hAnsi="仿宋_GB2312" w:eastAsia="仿宋_GB2312" w:cs="仿宋_GB2312"/>
          <w:color w:val="auto"/>
          <w:sz w:val="32"/>
          <w:szCs w:val="32"/>
          <w:lang w:val="en-US" w:eastAsia="zh-CN"/>
        </w:rPr>
        <w:t>面向零售门店店长、网络营销专员、电商运营主管、视觉设计师、数据分析师、社群运营师、产品经理等专业人员岗位（群），结合零售管理师、网络营销师、电子商务师、市场营销专员、产品设计师的就业岗位，建立涵盖多领域专业技能的课程体系，培养学生线上线下融合运营、营销推广策划、销售技巧运用、店铺运营管理、视觉创意设计、数据挖掘与分析、社群搭建与维护、产品规划与开发等方面的能力。包括零售门店O2O运营、网络营销、互联网销售、网店运营、视觉营销设计、数据化运营、社群营销、互联网产品开发课程。</w:t>
      </w:r>
    </w:p>
    <w:p>
      <w:pPr>
        <w:pageBreakBefore w:val="0"/>
        <w:kinsoku/>
        <w:wordWrap/>
        <w:overflowPunct w:val="0"/>
        <w:topLinePunct w:val="0"/>
        <w:autoSpaceDE/>
        <w:autoSpaceDN/>
        <w:bidi w:val="0"/>
        <w:adjustRightInd w:val="0"/>
        <w:spacing w:after="0"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
        <w:gridCol w:w="726"/>
        <w:gridCol w:w="4638"/>
        <w:gridCol w:w="2421"/>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90" w:type="dxa"/>
            <w:vAlign w:val="center"/>
          </w:tcPr>
          <w:p>
            <w:pPr>
              <w:keepNext w:val="0"/>
              <w:keepLines w:val="0"/>
              <w:pageBreakBefore w:val="0"/>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26" w:type="dxa"/>
            <w:vAlign w:val="center"/>
          </w:tcPr>
          <w:p>
            <w:pPr>
              <w:keepNext w:val="0"/>
              <w:keepLines w:val="0"/>
              <w:pageBreakBefore w:val="0"/>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638" w:type="dxa"/>
            <w:vAlign w:val="center"/>
          </w:tcPr>
          <w:p>
            <w:pPr>
              <w:keepNext w:val="0"/>
              <w:keepLines w:val="0"/>
              <w:pageBreakBefore w:val="0"/>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421" w:type="dxa"/>
            <w:vAlign w:val="center"/>
          </w:tcPr>
          <w:p>
            <w:pPr>
              <w:keepNext w:val="0"/>
              <w:keepLines w:val="0"/>
              <w:pageBreakBefore w:val="0"/>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497" w:type="dxa"/>
            <w:vAlign w:val="center"/>
          </w:tcPr>
          <w:p>
            <w:pPr>
              <w:keepNext w:val="0"/>
              <w:keepLines w:val="0"/>
              <w:pageBreakBefore w:val="0"/>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零售门店O2O运营</w:t>
            </w:r>
          </w:p>
        </w:tc>
        <w:tc>
          <w:tcPr>
            <w:tcW w:w="4638"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lang w:val="en-US" w:eastAsia="zh-CN"/>
              </w:rPr>
              <w:t>掌握零售门店O2O运营涉及的运营数据采集、分析，商品规划、发布优化，行业商家管理、活动及用户运营等知识，熟悉电商平台与行业特点，掌握用户模型、漏斗模型及商品配置策略等。</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lang w:val="en-US" w:eastAsia="zh-CN"/>
              </w:rPr>
              <w:t>能运用数据采集与处理、促销活动等工具，制定商品规划与全渠道促销策略，发布优化商品信息，开展活动推广与用户精准营销，实现O2O运营目标。</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lang w:val="en-US" w:eastAsia="zh-CN"/>
              </w:rPr>
              <w:t>培养数据驱动、跨渠道协同的运营思维，提升市场洞察与资源整合能力，树立创新、高效的运营理念。</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lang w:val="en-US" w:eastAsia="zh-CN"/>
              </w:rPr>
              <w:t>融入零售行业创新服务与协同发展理念，通过助力本地零售企业O2O转型案例，增强学生服务区域经济、推动行业升级的责任感，树立科技赋能商业的正确价值观。</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电商平台与行业特点；用户模型、漏斗模型应用，用户需求、市场及竞品分析，商品规划方案制定与配置策略；新品全渠道促销策略，商品信息发布与优化；O2O运营目标设定，资源整合，促销活动工具与营销产品运用，全渠道活动推广；用户成长体系建立与精准营销。</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采用课堂讲授构建知识框架；开展案例研讨</w:t>
            </w:r>
            <w:r>
              <w:rPr>
                <w:rFonts w:hint="eastAsia" w:ascii="仿宋_GB2312" w:hAnsi="仿宋_GB2312" w:eastAsia="仿宋_GB2312" w:cs="仿宋_GB2312"/>
                <w:i w:val="0"/>
                <w:iCs w:val="0"/>
                <w:color w:val="000000"/>
                <w:kern w:val="0"/>
                <w:sz w:val="24"/>
                <w:szCs w:val="24"/>
                <w:highlight w:val="none"/>
                <w:u w:val="none"/>
                <w:lang w:val="en-US" w:eastAsia="zh-CN" w:bidi="ar"/>
              </w:rPr>
              <w:t>，分组剖析典型案例并提出解决方案；进行项目实践，让学生实操运营数据采集分析、商品规划发</w:t>
            </w:r>
            <w:r>
              <w:rPr>
                <w:rFonts w:hint="eastAsia" w:ascii="仿宋_GB2312" w:hAnsi="仿宋_GB2312" w:eastAsia="仿宋_GB2312" w:cs="仿宋_GB2312"/>
                <w:i w:val="0"/>
                <w:iCs w:val="0"/>
                <w:color w:val="000000"/>
                <w:kern w:val="0"/>
                <w:sz w:val="24"/>
                <w:szCs w:val="24"/>
                <w:u w:val="none"/>
                <w:lang w:val="en-US" w:eastAsia="zh-CN" w:bidi="ar"/>
              </w:rPr>
              <w:t>布等任务，全面提升O2O运营知识与实践能力。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网络营销</w:t>
            </w:r>
          </w:p>
        </w:tc>
        <w:tc>
          <w:tcPr>
            <w:tcW w:w="4638" w:type="dxa"/>
            <w:vAlign w:val="top"/>
          </w:tcPr>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rPr>
              <w:t>掌握营销活动策划执行各环节知识，包括市场分析、活动主题目标确定、方案设计分解、执行、跟踪分析及复盘总结，熟悉统计分析、营销推广工具，新媒体平台运营规则。</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rPr>
              <w:t>能运用工具完成市场分析、活动策划执行，跟踪监控活动并优化，评估复盘营销活动，提出改进方案。</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rPr>
              <w:t>培养营销创新、数据驱动与跨平台整合思维，提升市场洞察与资源整合能力，树立以用户为中心的营销理念。</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rPr>
              <w:t>融入营销伦理与品牌塑造理念，通过本土品牌网络营销成功案例，引导学生以营销助力本地品牌发展，增强文化自信与产业报国情怀</w:t>
            </w:r>
            <w:r>
              <w:rPr>
                <w:rFonts w:hint="eastAsia" w:ascii="仿宋_GB2312" w:hAnsi="仿宋_GB2312" w:eastAsia="仿宋_GB2312" w:cs="仿宋_GB2312"/>
                <w:color w:val="auto"/>
                <w:sz w:val="24"/>
                <w:szCs w:val="24"/>
                <w:lang w:eastAsia="zh-CN"/>
              </w:rPr>
              <w:t>。</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市场调研分析、数据分析工具、营销推广工具使用，平台运营规则；活动主题目标确定，营销活动方案策划；资源整合，活动任务分解；整合营销与广告投放；活动跟踪监控、效果分析优化；活动评估复盘与改进方案提出。</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通过课堂讲授讲解理论；组织案例分析，剖析策略执行要点；开展实操训练，让学生在实际网络平台进行SEO优化、社交媒体运营等操作，提升动手能力。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bookmarkStart w:id="20" w:name="_Toc90734991"/>
            <w:r>
              <w:rPr>
                <w:rFonts w:hint="eastAsia" w:ascii="仿宋_GB2312" w:hAnsi="仿宋_GB2312" w:eastAsia="仿宋_GB2312" w:cs="仿宋_GB2312"/>
                <w:i w:val="0"/>
                <w:iCs w:val="0"/>
                <w:color w:val="000000"/>
                <w:kern w:val="0"/>
                <w:sz w:val="24"/>
                <w:szCs w:val="24"/>
                <w:u w:val="none"/>
                <w:lang w:val="en-US" w:eastAsia="zh-CN" w:bidi="ar"/>
              </w:rPr>
              <w:t>3</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互联网销售</w:t>
            </w:r>
          </w:p>
        </w:tc>
        <w:tc>
          <w:tcPr>
            <w:tcW w:w="4638" w:type="dxa"/>
            <w:vAlign w:val="top"/>
          </w:tcPr>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rPr>
              <w:t>掌握互联网销售基本流程、技巧，客户心理需求特点，各类互联网销售工具平台使用，熟悉客户服务管理知识、电商平台交易规则、ERP与CRM工具，掌握销售目标分解制定、线索识别跟进、票据处理、账单管理及销售数据统计分析改进方法。</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rPr>
              <w:t>能运用工具平台开展互联网销售，分解制定O2O销售目标，识别跟进线索，处理销售票据、订单及账单，建立销售漏斗，分析改进销售方案。</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培养</w:t>
            </w:r>
            <w:r>
              <w:rPr>
                <w:rFonts w:hint="eastAsia" w:ascii="仿宋_GB2312" w:hAnsi="仿宋_GB2312" w:eastAsia="仿宋_GB2312" w:cs="仿宋_GB2312"/>
                <w:color w:val="auto"/>
                <w:sz w:val="24"/>
                <w:szCs w:val="24"/>
              </w:rPr>
              <w:t>销售沟通、精准营销与数据驱动思维，提升市场开拓与客户服务能力，树立诚信、专业的销售理念。</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rPr>
              <w:t>融入销售诚信与服务地方经济理念，通过助力本地企业互联网销售案例，增强学生服务地方、促进经济发展的责任感，树立正确财富创造观</w:t>
            </w:r>
            <w:r>
              <w:rPr>
                <w:rFonts w:hint="eastAsia" w:ascii="仿宋_GB2312" w:hAnsi="仿宋_GB2312" w:eastAsia="仿宋_GB2312" w:cs="仿宋_GB2312"/>
                <w:color w:val="auto"/>
                <w:sz w:val="24"/>
                <w:szCs w:val="24"/>
                <w:lang w:eastAsia="zh-CN"/>
              </w:rPr>
              <w:t>。</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互联网销售概念、特点，与传统销售区别联系；客户服务管理基础，电商平台交易规则，ERP与CRM工具运用；销售目标分解制定，线索识别跟进；销售票据处理、订单确认跟踪、自营渠道账单管理；销售漏斗建立，销售数据统计分析与方案评估改进。</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运用课堂讲授传授理论；开展角色扮演，模拟销售场景锻炼沟通谈判；布置销售任务，要求规定时间完成业绩目标检验学习效果。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网店运营</w:t>
            </w:r>
          </w:p>
        </w:tc>
        <w:tc>
          <w:tcPr>
            <w:tcW w:w="4638" w:type="dxa"/>
            <w:vAlign w:val="top"/>
          </w:tcPr>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掌握网店运营各环节知识，包括运营规划、商品选品定价、供应链管理、流量获取转化、数据分析决策、用户运营、绩效分析，熟悉SEO\SEM、关键词优化、用户运营管理等知识及指数工具、表格软件等运用。</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能运用方法工具制定网店运营目标、推广策略预算，进行商品和竞品数据分析，选品开发供应商，管理商品销售与供应链，分析用户画像优化运营管理策略，实现用户拉新留存促活转化。</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培养电商运营全流程思维，提升数据洞察、资源整合与用户运营能力，树立精准、高效的运营理念。</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融入电商创新与产业升级理念，通过本地网店助力特色产业发展案例，激发学生运用运营技能推动本地经济的使命感，树立创新服务价值观</w:t>
            </w:r>
            <w:r>
              <w:rPr>
                <w:rFonts w:hint="eastAsia" w:ascii="仿宋_GB2312" w:hAnsi="仿宋_GB2312" w:eastAsia="仿宋_GB2312" w:cs="仿宋_GB2312"/>
                <w:color w:val="auto"/>
                <w:sz w:val="24"/>
                <w:szCs w:val="24"/>
                <w:lang w:eastAsia="zh-CN"/>
              </w:rPr>
              <w:t>。</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SEO\SEM、关键词优化、用户运营管理知识；流量获取转化、竞争力分析与市场定位方法，网店运营目标、推广策略及预算制定；目标商品和竞品数据分析，运营数据分析报告制作，商品选品、供应商开发及销售供应链管理；用户画像分析，运营和客户管理策略优化，用户拉新留存促活转化。</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采用课堂讲授构建知识体系；安排实操演练，让学生在电商平台实际操作；开展营销推广项目实践，运用推广方法提升店铺流量销售额，全面提升网店运营能力。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视觉营销设计</w:t>
            </w:r>
          </w:p>
        </w:tc>
        <w:tc>
          <w:tcPr>
            <w:tcW w:w="4638" w:type="dxa"/>
            <w:vAlign w:val="top"/>
          </w:tcPr>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掌握视觉营销基础理论，色彩理论、排版布局、图形创意设计知识，相关平面设计和音视频制作软件使用方法，熟悉店铺及新媒体平台视觉设计要求，产品包装设计与新媒体视觉提升方法。</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能根据店铺定位进行页面装修，设计制作品牌图形元素与宣传物料，设计产品包装，进行新媒体平台页面配图排版、主题设计，分析新媒体发展提出视觉提升方案，策划拍摄剪辑短视频。</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培养视觉审美、创意设计与跨平台视觉适配能力，提升艺术感知与创新思维，树立美观、精准的视觉传达理念。</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融入视觉文化传承与创新理念，通过结合本地文化元素的视觉营销案例，增强学生传承地方文化、以设计赋能产业的责任感，树立文化自信与创新设计价值观</w:t>
            </w:r>
            <w:r>
              <w:rPr>
                <w:rFonts w:hint="eastAsia" w:ascii="仿宋_GB2312" w:hAnsi="仿宋_GB2312" w:eastAsia="仿宋_GB2312" w:cs="仿宋_GB2312"/>
                <w:color w:val="auto"/>
                <w:sz w:val="24"/>
                <w:szCs w:val="24"/>
                <w:lang w:eastAsia="zh-CN"/>
              </w:rPr>
              <w:t>。</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视觉营销概念、发展历程、作用，与品牌形象塑造关系；色彩心理学，色彩搭配原则技巧及在设计中的运用；排版布局基本原理，文字图片图形排版技巧；图形创意方法流程及图形元素创意设计；设计软件基本操作功能及实际案例设计练习；优秀视觉营销案例分析学习。</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通过理论讲解传授知识；安排软件实操课程，让学生熟练掌握设计软件操作；开展创意训练活动激发灵感；布置设计项目作业，为品牌或产品设计视觉营销方案，锻炼综合设计能力。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5" w:hRule="atLeast"/>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数据化运营</w:t>
            </w:r>
          </w:p>
        </w:tc>
        <w:tc>
          <w:tcPr>
            <w:tcW w:w="4638" w:type="dxa"/>
            <w:vAlign w:val="top"/>
          </w:tcPr>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掌握数据化运营基础概念方法，包括数据收集、整理、分析、可视化，熟悉数据在企业运营决策中的作用，掌握数据分析工具操作及数据分析方法应用。</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能运用工具进行数据处理分析，运用分析结果指导运营实践，诊断企业运营问题、预测趋势，提出优化建议，提升数据驱动决策能力。</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培养数据思维、逻辑分析与持续学习能力，提升数据洞察与运营优化能力，树立理性、精准的运营决策理念。</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融入数据价值与理性决策理念，通过数据驱动本地企业发展案例，让学生认识数据对区域经济重要性，树立用数据服务地方发展意识</w:t>
            </w:r>
            <w:r>
              <w:rPr>
                <w:rFonts w:hint="eastAsia" w:ascii="仿宋_GB2312" w:hAnsi="仿宋_GB2312" w:eastAsia="仿宋_GB2312" w:cs="仿宋_GB2312"/>
                <w:color w:val="auto"/>
                <w:sz w:val="24"/>
                <w:szCs w:val="24"/>
                <w:lang w:eastAsia="zh-CN"/>
              </w:rPr>
              <w:t>。</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数据化运营概念、发展背景、意义，企业运营各环节应用场景；数据来源渠道，收集方法工具，清洗预处理技巧；描述性统计、相关性分析、回归分析等方法及在企业问题诊断、趋势预测中的应用；数据可视化工具使用，将分析结果直观展示；Excel高级功能、SQL数据库查询及实际数据处理分析案例练习。</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运用课堂讲授讲解理论；让学生实操数据分析工具，通过实际数据处理项目提升技能；组织案例分析讨论，运用数据分析方法解决企业实际运营问题；开展小组项目，培养团队协作与综合应用能力。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社群营销</w:t>
            </w:r>
          </w:p>
        </w:tc>
        <w:tc>
          <w:tcPr>
            <w:tcW w:w="4638" w:type="dxa"/>
            <w:vAlign w:val="top"/>
          </w:tcPr>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掌握社群营销基础理论策略，包括社群定位、成员招募管理、运营变现，熟悉用户关系维护、口碑传播方法，掌握社交媒体平台社群营销技能，了解社群广告、付费会员等变现模式。</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能运用知识创建运营具有商业价值的社群，制定社群运营规划，招募管理成员，策划执行营销活动，实现产品推广销售目标，提升社交网络环境下营销创新与用户运营能力。</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培养社群运营、用户洞察与社交协作能力，提升营销创新与用户</w:t>
            </w:r>
            <w:r>
              <w:rPr>
                <w:rFonts w:hint="eastAsia" w:ascii="仿宋_GB2312" w:hAnsi="仿宋_GB2312" w:eastAsia="仿宋_GB2312" w:cs="仿宋_GB2312"/>
                <w:color w:val="auto"/>
                <w:sz w:val="24"/>
                <w:szCs w:val="24"/>
                <w:highlight w:val="none"/>
              </w:rPr>
              <w:t>粘性</w:t>
            </w:r>
            <w:r>
              <w:rPr>
                <w:rFonts w:hint="eastAsia" w:ascii="仿宋_GB2312" w:hAnsi="仿宋_GB2312" w:eastAsia="仿宋_GB2312" w:cs="仿宋_GB2312"/>
                <w:color w:val="auto"/>
                <w:sz w:val="24"/>
                <w:szCs w:val="24"/>
              </w:rPr>
              <w:t>维护能力，树立以用户为中心的社群运营理念。</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融入社群共生与价值共享理念，通过助力本地社群经济发展案例，增强学生服务地方、促进社群繁荣的责任感，树立共享、共赢的社群价值观</w:t>
            </w:r>
            <w:r>
              <w:rPr>
                <w:rFonts w:hint="eastAsia" w:ascii="仿宋_GB2312" w:hAnsi="仿宋_GB2312" w:eastAsia="仿宋_GB2312" w:cs="仿宋_GB2312"/>
                <w:color w:val="auto"/>
                <w:sz w:val="24"/>
                <w:szCs w:val="24"/>
                <w:lang w:eastAsia="zh-CN"/>
              </w:rPr>
              <w:t>。</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社群营销概念、特点、发展趋势，与传统营销区别；社群定位与运营规划制定；社群成员招募渠道与管理方法；社群内容运营；基于社群的营销活动形式策划执行；社群变现途径与操作技巧。</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采用课堂讲授传授理论；组织案例学习，剖析成功社群营销案例的策略技巧；开展实操训练，让学生在社交媒体平台创建运营社群；布置社群营销项目作业，为产品或品牌制定并执行社群营销方案，考核成果提升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72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互联网产品开发</w:t>
            </w:r>
          </w:p>
        </w:tc>
        <w:tc>
          <w:tcPr>
            <w:tcW w:w="4638" w:type="dxa"/>
            <w:vAlign w:val="top"/>
          </w:tcPr>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互联网产品开发全流程知识，包括需求分析、产品设计、开发测试、上线运营，熟悉用户体验设计、团队协作管理关键要素，掌握产品开发工具与项目管理工具使用，了解产品上线策略、数据监测分析及迭代优化方法。</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能运用知识参与主导互联网产品开发，进行需求分析调研、产品设计开发测试、项目管理协作，打造有市场竞争力的产品，提升互联网产品创新与项目管理能力。</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培养产品全流程思维、创新设计与团队协作能力，提升产品洞察与迭代优化能力，树立用户至上、精益求精的产品开发理念。</w:t>
            </w:r>
          </w:p>
          <w:p>
            <w:pPr>
              <w:keepNext w:val="0"/>
              <w:keepLines w:val="0"/>
              <w:pageBreakBefore w:val="0"/>
              <w:kinsoku/>
              <w:wordWrap/>
              <w:overflowPunct/>
              <w:topLinePunct w:val="0"/>
              <w:autoSpaceDE/>
              <w:autoSpaceDN/>
              <w:bidi w:val="0"/>
              <w:adjustRightInd/>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融入产品创新与科技报国理念，通过开发助力本地产业数字化的互联网产品案例，激发学生运用技术推动地方发展的使命感，树立创新驱动、服务社会的价值观</w:t>
            </w:r>
            <w:r>
              <w:rPr>
                <w:rFonts w:hint="eastAsia" w:ascii="仿宋_GB2312" w:hAnsi="仿宋_GB2312" w:eastAsia="仿宋_GB2312" w:cs="仿宋_GB2312"/>
                <w:color w:val="auto"/>
                <w:sz w:val="24"/>
                <w:szCs w:val="24"/>
                <w:lang w:eastAsia="zh-CN"/>
              </w:rPr>
              <w:t>。</w:t>
            </w:r>
          </w:p>
        </w:tc>
        <w:tc>
          <w:tcPr>
            <w:tcW w:w="2421"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互联网产品概念、分类、发展趋势，开发流程概述；用户需求调研方法，需求整理分析与文档撰写；产品功能、信息架构、UI与UX设计方法，Axure、Sketch等工具原型设计；产品开发技术选型，团队协作模式，软件测试方法流程；项目管理工具使用，进度跟踪、风险管理、团队沟通协作；产品上线策略，运营数据监测分析，迭代优化方法。</w:t>
            </w:r>
          </w:p>
        </w:tc>
        <w:tc>
          <w:tcPr>
            <w:tcW w:w="2497"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通过课堂讲授构建知识体系；安排项目实践，分组完成产品从需求分析到上线运营全流程开发；组织案例研讨，分析优秀产品开发案例的经验教训；提升产品开发、项目管理及表达沟通能力。</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是为顺应行业多元化发展及岗位能力进阶需求，结合企业对综合型人才的严苛要求，通过用人需求调研，构建电子商务专业拓展课程体系，纳入涵盖经济分析、市场洞察、办公软件应用、商务沟通等多领域的实用课程，以培养企业急需的人才</w:t>
      </w:r>
      <w:r>
        <w:rPr>
          <w:rFonts w:hint="eastAsia" w:ascii="仿宋_GB2312" w:hAnsi="仿宋_GB2312" w:eastAsia="仿宋_GB2312" w:cs="仿宋_GB2312"/>
          <w:color w:val="auto"/>
          <w:sz w:val="32"/>
          <w:szCs w:val="32"/>
          <w:highlight w:val="none"/>
          <w:lang w:val="en-US" w:eastAsia="zh-CN"/>
        </w:rPr>
        <w:t>，由</w:t>
      </w:r>
      <w:r>
        <w:rPr>
          <w:rFonts w:hint="eastAsia" w:ascii="仿宋_GB2312" w:hAnsi="仿宋_GB2312" w:eastAsia="仿宋_GB2312" w:cs="仿宋_GB2312"/>
          <w:color w:val="auto"/>
          <w:sz w:val="32"/>
          <w:szCs w:val="32"/>
          <w:lang w:val="en-US" w:eastAsia="zh-CN"/>
        </w:rPr>
        <w:t>经济学基础、市场调研与分析、消费者行为分析、办公软件高级应用、商务沟通、社交礼仪、客户服务与管理、项目管理、图形图像处理、视频制作、思维训练、艺术鉴赏、人工智能导论、智慧商业、新媒体营销、直播电商</w:t>
      </w:r>
      <w:r>
        <w:rPr>
          <w:rFonts w:hint="eastAsia" w:ascii="仿宋_GB2312" w:hAnsi="仿宋_GB2312" w:eastAsia="仿宋_GB2312" w:cs="仿宋_GB2312"/>
          <w:b w:val="0"/>
          <w:bCs w:val="0"/>
          <w:color w:val="auto"/>
          <w:sz w:val="32"/>
          <w:szCs w:val="32"/>
          <w:highlight w:val="none"/>
        </w:rPr>
        <w:t>课程构成专业拓展课。</w:t>
      </w:r>
    </w:p>
    <w:p>
      <w:pPr>
        <w:pageBreakBefore w:val="0"/>
        <w:kinsoku/>
        <w:wordWrap/>
        <w:overflowPunct w:val="0"/>
        <w:topLinePunct w:val="0"/>
        <w:autoSpaceDE/>
        <w:autoSpaceDN/>
        <w:bidi w:val="0"/>
        <w:adjustRightInd w:val="0"/>
        <w:spacing w:after="0" w:line="520" w:lineRule="exact"/>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5 </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0"/>
        <w:tblpPr w:leftFromText="180" w:rightFromText="180" w:vertAnchor="text" w:tblpXSpec="center" w:tblpY="1"/>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793"/>
        <w:gridCol w:w="5164"/>
        <w:gridCol w:w="2185"/>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9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51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18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经济学基础</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掌握供求关系、市场机制等经济学基本概念，理解企业生产决策、消费者行为理论等微观经济学知识，以及国民收入核算、财政货币政策等宏观经济学内容，熟悉经济增长、通货膨胀等经济现象相关原理。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能运用经济学分析方法解读现实经济问题，具备经济思维，提升经济决策辅助能力，增强对经济现象的敏感度。</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培养理性经济思考习惯，树立关注经济动态、洞察经济规律的意识。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融入经济发展与民生关联理念，通过分析国家经济政策对区域发展的影响，引导学生理解经济工作服务社会的价值，增强家国情怀。</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i w:val="0"/>
                <w:iCs w:val="0"/>
                <w:color w:val="000000"/>
                <w:kern w:val="0"/>
                <w:sz w:val="24"/>
                <w:szCs w:val="24"/>
                <w:u w:val="none"/>
                <w:lang w:val="en-US" w:eastAsia="zh-CN" w:bidi="ar"/>
              </w:rPr>
              <w:t>介绍经济学基本概念；阐述微观经济学；讲解宏观经济学；分析经济增长、通货膨胀等经济现象。</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通过课堂讲授传授理论；运用案例分析引导解析经济问题；布置课后作业巩固；开展经济热点讨论提升分析能力。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市场调研与分析</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掌握市场调研流程、方法，熟悉数据收集整理、统计/定性分析等技巧，明晰调研报告撰写要点，理解市场调研对企业决策的重要性。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能独立设计调研方案，开展调研、分析数据并撰写专业调研报告，为企业市场决策提供有效依据。</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培养严谨务实的调研态度，提升数据驱动决策的意识。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强调调研服务企业、助力地方产业发展的价值，通过调研本地企业需求，引导学生树立用专业技能服务区域经济的责任感</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讲解市场调研概念、流程；介绍问卷调查、访谈、观察等调研方法；分析数据收集与整理技巧；阐述统计分析、定性分析等数据分析方法；讲解调研报告撰写要点。</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课堂讲授理论；安排调研实践项目；组织案例研讨；要求撰写并汇报调研报告。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消费者行为分析</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掌握消费者行为研究方法，理解文化、社会、个人、心理等影响因素，熟悉消费者决策过程，明晰消费者行为与营销策略关系，了解消费行为新趋势。</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能运用知识分析消费者行为特点，为企业制定营销策略提供专业建议，提升市场洞察能力。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培养关注消费需求、洞察消费心理的思维，增强以用户为中心的营销意识。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结合本地消费市场，引导学生通过分析消费者行为助力本土品牌发展，树立服务地方产业的意识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介绍消费者行为研究方法；分析文化、社会、个人、心理等影响因素；讲解消费者决策过程；探讨消费者行为与营销策略关系；分析消费者行为新趋势。</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采用理论讲解与案例分析结合；组织小组讨论；安排市场观察任务；布置消费者行为分析作业。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办公软件高级应用</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掌握Word高级排版、Excel函数/数据透视表/图表制作、PowerPoint主题设计/动画/演示技巧，熟悉办公软件协同使用方法。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能熟练运用软件高效完成文档处理、数据处理分析、演示文稿制作，大幅提升办公效率与质量。</w:t>
            </w:r>
          </w:p>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培养高效办公、精准数据处理</w:t>
            </w:r>
            <w:r>
              <w:rPr>
                <w:rFonts w:hint="eastAsia" w:ascii="仿宋_GB2312" w:hAnsi="仿宋_GB2312" w:eastAsia="仿宋_GB2312" w:cs="仿宋_GB2312"/>
                <w:b w:val="0"/>
                <w:bCs w:val="0"/>
                <w:color w:val="auto"/>
                <w:sz w:val="24"/>
                <w:szCs w:val="24"/>
              </w:rPr>
              <w:t>的习惯，增强数字化办公素养。</w:t>
            </w:r>
          </w:p>
          <w:p>
            <w:pPr>
              <w:keepNext w:val="0"/>
              <w:keepLines w:val="0"/>
              <w:pageBreakBefore w:val="0"/>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强调高效办公技能对职场服务、助力企业运营的价值，引导学生用技能支持地方经济主体发展</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讲解Word高级排版、样式应用、邮件合并；Excel函数应用、数据透视表、图表制作；PowerPoint主题设计、动画效果、演示技巧；介绍办公软件协同使用方法。</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通过实例操作演示功能；安排课堂练习；布置综合项目作业。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商务沟通</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掌握商务沟通概念、类型，熟练运用语言/非语言沟通技巧，理解商务谈判、会议沟通策略，明晰跨文化商务沟通特点与应对方法。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能在商务场景中有效沟通、解决问题，提升商务沟通与团队协作能力。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培养专业、高效的沟通素养，增强团队协作中的沟通意识。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结合</w:t>
            </w:r>
            <w:r>
              <w:rPr>
                <w:rFonts w:hint="eastAsia" w:ascii="仿宋_GB2312" w:hAnsi="仿宋_GB2312" w:eastAsia="仿宋_GB2312" w:cs="仿宋_GB2312"/>
                <w:color w:val="auto"/>
                <w:sz w:val="24"/>
                <w:szCs w:val="24"/>
                <w:highlight w:val="none"/>
                <w:lang w:val="en-US" w:eastAsia="zh-CN"/>
              </w:rPr>
              <w:t>本地</w:t>
            </w:r>
            <w:r>
              <w:rPr>
                <w:rFonts w:hint="eastAsia" w:ascii="仿宋_GB2312" w:hAnsi="仿宋_GB2312" w:eastAsia="仿宋_GB2312" w:cs="仿宋_GB2312"/>
                <w:color w:val="auto"/>
                <w:sz w:val="24"/>
                <w:szCs w:val="24"/>
                <w:highlight w:val="none"/>
              </w:rPr>
              <w:t>企业对外商务合作案例，引导学生理解沟通对地方产业开放发展的作用，树立促进区域交流合作的意识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介绍商务沟通概念、类型；讲解语言、非语言沟通技巧；分析商务谈判、会议沟通策略；探讨跨文化商务沟通特点与应对方法；组织商务沟通案例分析。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运用角色扮演；组织案例分析讨论；安排商务沟通实践项目；开展沟通技巧训练活动。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社交礼仪</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掌握社交礼仪基本概念、原则，熟悉日常、商务场合礼仪，了解国际社交礼仪差异。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能在社交与商务场合恰当运用礼仪，提升个人素养与形象，促进人际交往。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培养尊重他人、注重礼仪的修养，增强社交场合的自信与得体表现。</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结合地方文化，引导学生传承礼仪文化，以礼仪促进地方商务交流与形象塑造</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介绍社交礼仪基本概念、原则；讲解日常社交礼仪；分析商务场合礼仪；介绍国际社交礼仪差异；组织礼仪实践活动。</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课堂讲授礼仪知识；播放礼仪示范视频；安排礼仪实践演练；组织礼仪知识竞赛；邀请礼仪专家讲座。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客户服务与管理</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掌握客户服务概念、流程，熟悉客户沟通/投诉处理技巧，理解客户关系管理策略、工具，明晰客户服务质量提升方法。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能有效处理客户问题，增强企业竞争力，提升客户服务与管理能力。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培养以客户为中心的服务意识，提升服务耐心与问题解决能力。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通过服务本地客户，引导学生理解优质服务对地方品牌口碑的价值，树立服务地方经济的责任感</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讲解客户服务概念、流程；介绍客户沟通技巧、投诉处理方法；分析客户关系管理策略、工具；探讨客户服务质量提升方法；组织客户服务案例分析。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通过案例分析讲解要点；安排客户服务模拟实践；布置客户服务项目作业；开展客户服务技巧培训。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项目管理</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掌握项目管理概念、流程，理解项目范围/时间/成本/质量管理方法，熟悉团队管理、风险管理策略。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能运用知识进行项目规划、执行与监控，提升项目管理能力，助力企业项目成功。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培养全局思维、团队协作与风险意识，增强项目把控能力。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结合本地项目，引导学生用项目管理技能服务地方发展，树立助力区域建设的意识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介绍项目管理概念、流程；讲解项目启动、规划、执行、监控、收尾阶段工作；分析项目范围、时间、成本、质量等管理方法；探讨项目团队管理、风险管理策略。</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采用理论讲授与项目实践结合；组织项目管理案例研讨；安排小组项目实践；指导运用项目管理工具。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图形图像处理</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掌握Photoshop界面操作、工具使用，熟悉图像编辑/调整、图形绘制/合成技巧，理解图层/蒙版/通道应用，能运用软件进行设计。</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能运用软件完成图像编辑、合成、设计，提升设计与审美水平。</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培养审美创意、精细图像处理能力，增强视觉设计素养。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结合地方文化元素，引导学生用设计技能传承与推广本土文化，树立文化传播与产业赋能意识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讲解Photoshop界面操作、工具使用；介绍图像编辑、调整方法；分析图形绘制、合成技巧；讲解图层、蒙版、通道应用；组织图形图像处理案例分析。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通过实例演示操作；安排课堂练习与课后作业；组织设计项目实践；举办作品展示与互评。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视频制作</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掌握视频制作流程，熟悉拍摄设备使用、技巧，理解视频创意与策划重要性，能运用软件完成剪辑、特效制作。</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能独立完成视频拍摄、剪辑、特效制作，提升视频创作能力。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培养创意策划、视频制作实操能力，增强视觉内容创作素养。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sz w:val="24"/>
                <w:szCs w:val="24"/>
              </w:rPr>
              <w:t>结合本地题材，引导学生用视频记录与推广地方，树立文化宣传与产业推广意识</w:t>
            </w:r>
            <w:r>
              <w:rPr>
                <w:rFonts w:hint="eastAsia" w:ascii="仿宋_GB2312" w:hAnsi="仿宋_GB2312" w:eastAsia="仿宋_GB2312" w:cs="仿宋_GB2312"/>
                <w:sz w:val="24"/>
                <w:szCs w:val="24"/>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介绍视频制作流程；讲解视频拍摄设备使用、拍摄技巧；分析视频剪辑软件操作；介绍视频特效制作方法；组织视频制作案例分析。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理论讲解与实践操作结合；安排视频拍摄与剪辑实践项目；指导特效制作；举办视频作品展示。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思维训练</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掌握创新思维、逻辑思维、批判性思维等方法，熟悉思维训练技巧，理解思维模式对问题解决、决策的影响。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能运用多种思维解决实际问题，提升思维敏捷性、灵活性与创新性。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培养多元思维习惯，增强问题解决与决策能力。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引导学生运用思维能力助力地方发展，树立用智慧服务区域建设的意识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介绍创新思维、逻辑思维、批判性思维等方法；讲解思维训练技巧；分析思维在问题解决、决策制定中的应用；组织思维训练游戏与案例分析。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通过思维训练游戏激发兴趣；组织案例分析培养能力；开展小组讨论；布置思维训练作业。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艺术鉴赏</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掌握艺术鉴赏概念、方法，熟悉绘画、音乐、舞蹈、文学等艺术形式特点，理解艺术作品风格、流派，明晰艺术与生活关系。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能欣赏、评价艺术作品，提升艺术素养与审美能力，丰富精神文化。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培养艺术审美、文化修养，增强对艺术的感知与热爱。</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结合本土艺术，引导学生传承与鉴赏地方艺术，树立文化自信与传承意识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介绍艺术鉴赏概念、方法；讲解绘画、音乐、舞蹈、文学等艺术形式特点；分析艺术作品风格、流派；组织艺术作品赏析活动；探讨艺术与生活关系。</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课堂讲授艺术知识；组织艺术作品赏析实践；邀请艺术家分享心得；安排艺术鉴赏写作任务；开展艺术鉴赏讲座与讨论。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13</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人工智能导论</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掌握人工智能概念、发展历程，理解机器学习、深度学习、自然语言处理等技术，熟悉人工智能在医疗、交通、金融等领域应用。</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能运用简单人工智能工具解决实际问题，培养对人工智能的兴趣与探索精神。</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激发对人工智能的学习热情，增强科技认知与应用意识。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结合人工智能助力</w:t>
            </w:r>
            <w:r>
              <w:rPr>
                <w:rFonts w:hint="eastAsia" w:ascii="仿宋_GB2312" w:hAnsi="仿宋_GB2312" w:eastAsia="仿宋_GB2312" w:cs="仿宋_GB2312"/>
                <w:color w:val="auto"/>
                <w:sz w:val="24"/>
                <w:szCs w:val="24"/>
                <w:highlight w:val="none"/>
                <w:lang w:val="en-US" w:eastAsia="zh-CN"/>
              </w:rPr>
              <w:t>地方</w:t>
            </w:r>
            <w:r>
              <w:rPr>
                <w:rFonts w:hint="eastAsia" w:ascii="仿宋_GB2312" w:hAnsi="仿宋_GB2312" w:eastAsia="仿宋_GB2312" w:cs="仿宋_GB2312"/>
                <w:color w:val="auto"/>
                <w:sz w:val="24"/>
                <w:szCs w:val="24"/>
                <w:highlight w:val="none"/>
              </w:rPr>
              <w:t>发展，引导学生理解科技对地方进步的价值，树立科技报国与服务地方意识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介绍人工智能概念、发展历程；讲解机器学习、深度学习、自然语言处理等技术；分析人工智能在医疗、交通、金融等领域应用；组织人工智能案例分析。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通过理论讲解与案例分析教学；安排人工智能工具实践操作；组织项目小组；开展知识竞赛。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智慧商业</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掌握智慧商业概念、特点，理解物联网、大数据、人工智能等技术在商业中的应用，熟悉智慧商业运营模式与发展趋势。</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能分析智慧商业案例，为企业数字化转型</w:t>
            </w:r>
            <w:r>
              <w:rPr>
                <w:rFonts w:hint="eastAsia" w:ascii="仿宋_GB2312" w:hAnsi="仿宋_GB2312" w:eastAsia="仿宋_GB2312" w:cs="仿宋_GB2312"/>
                <w:color w:val="auto"/>
                <w:sz w:val="24"/>
                <w:szCs w:val="24"/>
                <w:highlight w:val="none"/>
                <w:lang w:val="en-US" w:eastAsia="zh-CN"/>
              </w:rPr>
              <w:t>提供</w:t>
            </w:r>
            <w:r>
              <w:rPr>
                <w:rFonts w:hint="eastAsia" w:ascii="仿宋_GB2312" w:hAnsi="仿宋_GB2312" w:eastAsia="仿宋_GB2312" w:cs="仿宋_GB2312"/>
                <w:color w:val="auto"/>
                <w:sz w:val="24"/>
                <w:szCs w:val="24"/>
                <w:highlight w:val="none"/>
              </w:rPr>
              <w:t>建议，提升商业创新思维。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培养数字化商业思维，增强对智慧商业的理解与应用能力。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结合商业数字化转型需求，引导学生用智慧商业知识助力地方产业升级，树立服务区域经济创新发展意识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介绍智慧商业概念、特点；讲解物联网、大数据、人工智能等技术在商业中的应用；分析智慧商业运营模式；探讨智慧商业发展趋势；组织智慧商业案例研讨。</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课堂讲授智慧商业知识；组织企业参观；邀请企业专家分享经验；安排项目分析作业；开展主题讨论。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新媒体营销</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掌握新媒体营销概念、发展趋势，熟悉新媒体平台特点与运营策略，理解内容营销、社群营销、直播营销等方法。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能运用新媒体工具为</w:t>
            </w:r>
            <w:r>
              <w:rPr>
                <w:rFonts w:hint="eastAsia" w:ascii="仿宋_GB2312" w:hAnsi="仿宋_GB2312" w:eastAsia="仿宋_GB2312" w:cs="仿宋_GB2312"/>
                <w:color w:val="auto"/>
                <w:sz w:val="24"/>
                <w:szCs w:val="24"/>
                <w:highlight w:val="none"/>
                <w:lang w:val="en-US" w:eastAsia="zh-CN"/>
              </w:rPr>
              <w:t>本地</w:t>
            </w:r>
            <w:r>
              <w:rPr>
                <w:rFonts w:hint="eastAsia" w:ascii="仿宋_GB2312" w:hAnsi="仿宋_GB2312" w:eastAsia="仿宋_GB2312" w:cs="仿宋_GB2312"/>
                <w:color w:val="auto"/>
                <w:sz w:val="24"/>
                <w:szCs w:val="24"/>
                <w:highlight w:val="none"/>
              </w:rPr>
              <w:t>企业制定并实施营销方案，提升新媒体营销策划与执行能力。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培养新媒体营销思维，增强数字化营销实操能力。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结合百色本土品牌新媒体推广需求，引导学生用营销技能助力地方品牌发展，树立服务本土产业意识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介绍新媒体营销概念、发展趋势；讲解新媒体平台特点与运营策略；分析内容营销、社群营销、直播营销等方法；组织新媒体营销案例分析。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采用理论讲授与实践操作结合；安排实践项目；组织案例研讨；开展营销竞赛。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w:t>
            </w:r>
          </w:p>
        </w:tc>
        <w:tc>
          <w:tcPr>
            <w:tcW w:w="7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直播电商</w:t>
            </w:r>
          </w:p>
        </w:tc>
        <w:tc>
          <w:tcPr>
            <w:tcW w:w="5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掌握直播电商概念、发展历程，熟悉运营流程、营销技巧、主播培养方法，理解行业发展趋势。</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：能策划并执行直播电商活动，提升直播带货与电商运营水平。</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培养直播电商实操能力，增强电商销售与运营思维。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结合百色特色产业直播需求，引导学生用直播技能助力本土产品上行，树立服务地方经济与乡村振兴意识</w:t>
            </w:r>
            <w:r>
              <w:rPr>
                <w:rFonts w:hint="eastAsia" w:ascii="仿宋_GB2312" w:hAnsi="仿宋_GB2312" w:eastAsia="仿宋_GB2312" w:cs="仿宋_GB2312"/>
                <w:color w:val="auto"/>
                <w:sz w:val="24"/>
                <w:szCs w:val="24"/>
                <w:highlight w:val="none"/>
                <w:lang w:eastAsia="zh-CN"/>
              </w:rPr>
              <w:t>。</w:t>
            </w:r>
          </w:p>
        </w:tc>
        <w:tc>
          <w:tcPr>
            <w:tcW w:w="2185"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介绍直播电商概念、发展历程；讲解运营流程；分析直播营销技巧、主播培养方法；探讨行业趋势；组织直播电商案例分析。</w:t>
            </w:r>
          </w:p>
        </w:tc>
        <w:tc>
          <w:tcPr>
            <w:tcW w:w="2030" w:type="dxa"/>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通过案例分析讲解要点；安排实践项目；指导直播策划与执行；开展模拟活动。</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实践性教学环节：实践教学是面向电子商务相关岗位，结合企业对具备实践操作能力和综合职业素养人才的需求，设置毕业设计和岗位实习环节，培养学生开发设计、综合运用知识解决实际问题、独立思考、计算机应用、岗位实操、专业应用、团队协作等方面的能力。包括毕业设计和岗位实习。</w:t>
      </w:r>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6 </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0"/>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708"/>
        <w:gridCol w:w="4464"/>
        <w:gridCol w:w="2184"/>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keepNext w:val="0"/>
              <w:keepLines w:val="0"/>
              <w:pageBreakBefore w:val="0"/>
              <w:kinsoku/>
              <w:wordWrap/>
              <w:overflowPunct w:val="0"/>
              <w:topLinePunct w:val="0"/>
              <w:autoSpaceDE/>
              <w:autoSpaceDN/>
              <w:bidi w:val="0"/>
              <w:adjustRightInd w:val="0"/>
              <w:snapToGrid/>
              <w:spacing w:after="0" w:line="360" w:lineRule="exact"/>
              <w:jc w:val="center"/>
              <w:rPr>
                <w:rFonts w:hint="eastAsia" w:ascii="仿宋_GB2312" w:hAnsi="仿宋_GB2312" w:eastAsia="仿宋_GB2312" w:cs="仿宋_GB2312"/>
                <w:color w:val="auto"/>
                <w:sz w:val="24"/>
                <w:szCs w:val="24"/>
              </w:rPr>
            </w:pPr>
            <w:bookmarkStart w:id="21" w:name="OLE_LINK21"/>
            <w:r>
              <w:rPr>
                <w:rFonts w:hint="eastAsia" w:ascii="仿宋_GB2312" w:hAnsi="仿宋_GB2312" w:eastAsia="仿宋_GB2312" w:cs="仿宋_GB2312"/>
                <w:color w:val="auto"/>
                <w:sz w:val="24"/>
                <w:szCs w:val="24"/>
              </w:rPr>
              <w:t>序号</w:t>
            </w:r>
          </w:p>
        </w:tc>
        <w:tc>
          <w:tcPr>
            <w:tcW w:w="708" w:type="dxa"/>
            <w:vAlign w:val="center"/>
          </w:tcPr>
          <w:p>
            <w:pPr>
              <w:keepNext w:val="0"/>
              <w:keepLines w:val="0"/>
              <w:pageBreakBefore w:val="0"/>
              <w:kinsoku/>
              <w:wordWrap/>
              <w:topLinePunct w:val="0"/>
              <w:autoSpaceDE/>
              <w:autoSpaceDN/>
              <w:bidi w:val="0"/>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4464" w:type="dxa"/>
            <w:vAlign w:val="center"/>
          </w:tcPr>
          <w:p>
            <w:pPr>
              <w:keepNext w:val="0"/>
              <w:keepLines w:val="0"/>
              <w:pageBreakBefore w:val="0"/>
              <w:kinsoku/>
              <w:wordWrap/>
              <w:topLinePunct w:val="0"/>
              <w:autoSpaceDE/>
              <w:autoSpaceDN/>
              <w:bidi w:val="0"/>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184" w:type="dxa"/>
            <w:vAlign w:val="center"/>
          </w:tcPr>
          <w:p>
            <w:pPr>
              <w:keepNext w:val="0"/>
              <w:keepLines w:val="0"/>
              <w:pageBreakBefore w:val="0"/>
              <w:kinsoku/>
              <w:wordWrap/>
              <w:topLinePunct w:val="0"/>
              <w:autoSpaceDE/>
              <w:autoSpaceDN/>
              <w:bidi w:val="0"/>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111" w:type="dxa"/>
            <w:vAlign w:val="center"/>
          </w:tcPr>
          <w:p>
            <w:pPr>
              <w:keepNext w:val="0"/>
              <w:keepLines w:val="0"/>
              <w:pageBreakBefore w:val="0"/>
              <w:kinsoku/>
              <w:wordWrap/>
              <w:topLinePunct w:val="0"/>
              <w:autoSpaceDE/>
              <w:autoSpaceDN/>
              <w:bidi w:val="0"/>
              <w:snapToGrid/>
              <w:spacing w:after="0"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9" w:type="dxa"/>
            <w:vAlign w:val="center"/>
          </w:tcPr>
          <w:p>
            <w:pPr>
              <w:keepNext w:val="0"/>
              <w:keepLines w:val="0"/>
              <w:pageBreakBefore w:val="0"/>
              <w:widowControl/>
              <w:suppressLineNumbers w:val="0"/>
              <w:kinsoku/>
              <w:wordWrap/>
              <w:topLinePunct w:val="0"/>
              <w:autoSpaceDE/>
              <w:autoSpaceDN/>
              <w:bidi w:val="0"/>
              <w:snapToGrid/>
              <w:spacing w:line="360" w:lineRule="exact"/>
              <w:jc w:val="righ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08" w:type="dxa"/>
            <w:vAlign w:val="center"/>
          </w:tcPr>
          <w:p>
            <w:pPr>
              <w:keepNext w:val="0"/>
              <w:keepLines w:val="0"/>
              <w:pageBreakBefore w:val="0"/>
              <w:widowControl/>
              <w:suppressLineNumbers w:val="0"/>
              <w:kinsoku/>
              <w:wordWrap/>
              <w:topLinePunct w:val="0"/>
              <w:autoSpaceDE/>
              <w:autoSpaceDN/>
              <w:bidi w:val="0"/>
              <w:snapToGrid/>
              <w:spacing w:line="36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毕业设计</w:t>
            </w:r>
          </w:p>
        </w:tc>
        <w:tc>
          <w:tcPr>
            <w:tcW w:w="446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全面回顾并系统掌握所学基础理论与专业知识，清晰理解毕业设计题目涉及领域的关键概念、原理与技术要点。</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熟练运用所学知识与技能，分析、解决实际问题，提升开发设计、独立思考、计算机实操及理论实践融合能力。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建立严谨科学态度与工作习惯，培养创新思维、耐心专注等职业素养。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融入精益求精的工匠精神，通过解决实际问题，增强学生对专业的责任感与使命感，树立用专业技能服务社会的意识</w:t>
            </w:r>
          </w:p>
        </w:tc>
        <w:tc>
          <w:tcPr>
            <w:tcW w:w="2184" w:type="dxa"/>
            <w:vAlign w:val="top"/>
          </w:tcPr>
          <w:p>
            <w:pPr>
              <w:keepNext w:val="0"/>
              <w:keepLines w:val="0"/>
              <w:pageBreakBefore w:val="0"/>
              <w:widowControl/>
              <w:suppressLineNumbers w:val="0"/>
              <w:kinsoku/>
              <w:wordWrap/>
              <w:topLinePunct w:val="0"/>
              <w:autoSpaceDE/>
              <w:autoSpaceDN/>
              <w:bidi w:val="0"/>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选题和资料收集：明确选题方向，学习资料检索、筛选方法，收集课题相关理论、案例等资料。</w:t>
            </w:r>
          </w:p>
        </w:tc>
        <w:tc>
          <w:tcPr>
            <w:tcW w:w="2111" w:type="dxa"/>
            <w:vAlign w:val="top"/>
          </w:tcPr>
          <w:p>
            <w:pPr>
              <w:keepNext w:val="0"/>
              <w:keepLines w:val="0"/>
              <w:pageBreakBefore w:val="0"/>
              <w:widowControl/>
              <w:suppressLineNumbers w:val="0"/>
              <w:kinsoku/>
              <w:wordWrap/>
              <w:topLinePunct w:val="0"/>
              <w:autoSpaceDE/>
              <w:autoSpaceDN/>
              <w:bidi w:val="0"/>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采用导师指导制，导师定期指导、答疑，把控进度与质量；进行阶段性检查与反馈，及时发现并解决问题；开展毕业答辩模拟，让学生熟悉流程、提升答辩技巧，确保高质量完成毕业设计，提升综合应用与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keepNext w:val="0"/>
              <w:keepLines w:val="0"/>
              <w:pageBreakBefore w:val="0"/>
              <w:widowControl/>
              <w:suppressLineNumbers w:val="0"/>
              <w:kinsoku/>
              <w:wordWrap/>
              <w:topLinePunct w:val="0"/>
              <w:autoSpaceDE/>
              <w:autoSpaceDN/>
              <w:bidi w:val="0"/>
              <w:snapToGrid/>
              <w:spacing w:line="360" w:lineRule="exact"/>
              <w:jc w:val="right"/>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08" w:type="dxa"/>
            <w:vAlign w:val="center"/>
          </w:tcPr>
          <w:p>
            <w:pPr>
              <w:keepNext w:val="0"/>
              <w:keepLines w:val="0"/>
              <w:pageBreakBefore w:val="0"/>
              <w:widowControl/>
              <w:suppressLineNumbers w:val="0"/>
              <w:kinsoku/>
              <w:wordWrap/>
              <w:topLinePunct w:val="0"/>
              <w:autoSpaceDE/>
              <w:autoSpaceDN/>
              <w:bidi w:val="0"/>
              <w:snapToGrid/>
              <w:spacing w:line="36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岗位实习</w:t>
            </w:r>
          </w:p>
        </w:tc>
        <w:tc>
          <w:tcPr>
            <w:tcW w:w="4464" w:type="dxa"/>
            <w:vAlign w:val="top"/>
          </w:tcPr>
          <w:p>
            <w:pPr>
              <w:keepNext w:val="0"/>
              <w:keepLines w:val="0"/>
              <w:pageBreakBefore w:val="0"/>
              <w:kinsoku/>
              <w:wordWrap/>
              <w:topLinePunct w:val="0"/>
              <w:autoSpaceDE/>
              <w:autoSpaceDN/>
              <w:bidi w:val="0"/>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深入掌握网店运营、网店美工、新媒体运营等岗位对应的专业知识，熟悉岗位工作流程、标准与行业规范。</w:t>
            </w:r>
          </w:p>
          <w:p>
            <w:pPr>
              <w:keepNext w:val="0"/>
              <w:keepLines w:val="0"/>
              <w:pageBreakBefore w:val="0"/>
              <w:kinsoku/>
              <w:wordWrap/>
              <w:topLinePunct w:val="0"/>
              <w:autoSpaceDE/>
              <w:autoSpaceDN/>
              <w:bidi w:val="0"/>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显著增强实际操作、专业应用与岗位适应能力，熟练运用岗位技能完成工作任务，提升团队协作、沟通及问题解决能力。</w:t>
            </w:r>
          </w:p>
          <w:p>
            <w:pPr>
              <w:keepNext w:val="0"/>
              <w:keepLines w:val="0"/>
              <w:pageBreakBefore w:val="0"/>
              <w:kinsoku/>
              <w:wordWrap/>
              <w:topLinePunct w:val="0"/>
              <w:autoSpaceDE/>
              <w:autoSpaceDN/>
              <w:bidi w:val="0"/>
              <w:snapToGrid/>
              <w:spacing w:after="0" w:line="36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培养吃苦耐劳、团结协作的精神品质，树立正确职业观与处事原则，增强职业认同感与责任感。</w:t>
            </w:r>
          </w:p>
          <w:p>
            <w:pPr>
              <w:keepNext w:val="0"/>
              <w:keepLines w:val="0"/>
              <w:pageBreakBefore w:val="0"/>
              <w:kinsoku/>
              <w:wordWrap/>
              <w:topLinePunct w:val="0"/>
              <w:autoSpaceDE/>
              <w:autoSpaceDN/>
              <w:bidi w:val="0"/>
              <w:snapToGrid/>
              <w:spacing w:after="0" w:line="360" w:lineRule="exact"/>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融入爱岗敬业、诚信服务等职业精神，通过为企业创造价值，引导学生理解劳动的意义，培养奉献与担当意识</w:t>
            </w:r>
            <w:r>
              <w:rPr>
                <w:rFonts w:hint="eastAsia" w:ascii="仿宋_GB2312" w:hAnsi="仿宋_GB2312" w:eastAsia="仿宋_GB2312" w:cs="仿宋_GB2312"/>
                <w:color w:val="auto"/>
                <w:sz w:val="24"/>
                <w:szCs w:val="24"/>
                <w:lang w:eastAsia="zh-CN"/>
              </w:rPr>
              <w:t>。</w:t>
            </w:r>
          </w:p>
        </w:tc>
        <w:tc>
          <w:tcPr>
            <w:tcW w:w="2184" w:type="dxa"/>
            <w:vAlign w:val="top"/>
          </w:tcPr>
          <w:p>
            <w:pPr>
              <w:keepNext w:val="0"/>
              <w:keepLines w:val="0"/>
              <w:pageBreakBefore w:val="0"/>
              <w:widowControl/>
              <w:suppressLineNumbers w:val="0"/>
              <w:kinsoku/>
              <w:wordWrap/>
              <w:topLinePunct w:val="0"/>
              <w:autoSpaceDE/>
              <w:autoSpaceDN/>
              <w:bidi w:val="0"/>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网店运营岗位实习：参与店铺日常运营，包括商品上下架、订单处理、数据分析、营销活动策划执行等。</w:t>
            </w:r>
          </w:p>
        </w:tc>
        <w:tc>
          <w:tcPr>
            <w:tcW w:w="2111" w:type="dxa"/>
            <w:vAlign w:val="top"/>
          </w:tcPr>
          <w:p>
            <w:pPr>
              <w:keepNext w:val="0"/>
              <w:keepLines w:val="0"/>
              <w:pageBreakBefore w:val="0"/>
              <w:widowControl/>
              <w:suppressLineNumbers w:val="0"/>
              <w:kinsoku/>
              <w:wordWrap/>
              <w:topLinePunct w:val="0"/>
              <w:autoSpaceDE/>
              <w:autoSpaceDN/>
              <w:bidi w:val="0"/>
              <w:snapToGrid/>
              <w:spacing w:line="360" w:lineRule="exact"/>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i w:val="0"/>
                <w:iCs w:val="0"/>
                <w:color w:val="000000"/>
                <w:kern w:val="0"/>
                <w:sz w:val="24"/>
                <w:szCs w:val="24"/>
                <w:u w:val="none"/>
                <w:lang w:val="en-US" w:eastAsia="zh-CN" w:bidi="ar"/>
              </w:rPr>
              <w:t>采用校企合作模式，学校与企业协同管理；要求学生撰写实习日志记录工作过程与收获，定期提交实习报告总结成果；让学生在真实工作环境中锻炼技能，积累实践经验，争取获得用人单位正式聘用。</w:t>
            </w:r>
          </w:p>
        </w:tc>
      </w:tr>
      <w:bookmarkEnd w:id="21"/>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22" w:name="_Toc27046"/>
      <w:r>
        <w:rPr>
          <w:rFonts w:hint="eastAsia" w:ascii="楷体" w:hAnsi="楷体" w:eastAsia="楷体" w:cs="楷体"/>
          <w:color w:val="auto"/>
          <w:sz w:val="32"/>
          <w:szCs w:val="32"/>
          <w:lang w:val="en-US" w:eastAsia="zh-CN"/>
        </w:rPr>
        <w:t>（三）第二课堂素质教育课</w:t>
      </w:r>
      <w:bookmarkEnd w:id="22"/>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第二课堂素质教育课包括思想成长、实践实习、创新创业、志愿公益、文体活动、工作履历、专业技能特长等其他各类课程及活动。</w:t>
      </w:r>
    </w:p>
    <w:p>
      <w:pPr>
        <w:pageBreakBefore w:val="0"/>
        <w:kinsoku/>
        <w:wordWrap/>
        <w:overflowPunct w:val="0"/>
        <w:topLinePunct w:val="0"/>
        <w:autoSpaceDE/>
        <w:autoSpaceDN/>
        <w:bidi w:val="0"/>
        <w:adjustRightInd w:val="0"/>
        <w:spacing w:after="0" w:line="520" w:lineRule="exact"/>
        <w:jc w:val="cente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表7 第二课堂素质教育课安排表</w:t>
      </w:r>
    </w:p>
    <w:tbl>
      <w:tblPr>
        <w:tblStyle w:val="10"/>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3321"/>
        <w:gridCol w:w="643"/>
        <w:gridCol w:w="1993"/>
        <w:gridCol w:w="1018"/>
        <w:gridCol w:w="1767"/>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模块</w:t>
            </w:r>
          </w:p>
        </w:tc>
        <w:tc>
          <w:tcPr>
            <w:tcW w:w="3321"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内容</w:t>
            </w:r>
          </w:p>
        </w:tc>
        <w:tc>
          <w:tcPr>
            <w:tcW w:w="643"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993"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18"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767"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6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321"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1.思想政治教育</w:t>
            </w:r>
            <w:r>
              <w:rPr>
                <w:rFonts w:hint="eastAsia" w:ascii="仿宋_GB2312" w:hAnsi="仿宋_GB2312" w:eastAsia="仿宋_GB2312" w:cs="仿宋_GB2312"/>
                <w:b w:val="0"/>
                <w:bCs w:val="0"/>
                <w:color w:val="000000"/>
                <w:sz w:val="24"/>
                <w:szCs w:val="24"/>
              </w:rPr>
              <w:t>主题</w:t>
            </w:r>
            <w:r>
              <w:rPr>
                <w:rFonts w:hint="eastAsia" w:ascii="仿宋_GB2312" w:hAnsi="仿宋_GB2312" w:eastAsia="仿宋_GB2312" w:cs="仿宋_GB2312"/>
                <w:b w:val="0"/>
                <w:bCs w:val="0"/>
                <w:color w:val="000000"/>
                <w:sz w:val="24"/>
                <w:szCs w:val="24"/>
                <w:lang w:val="en-US" w:eastAsia="zh-CN"/>
              </w:rPr>
              <w:t>讲</w:t>
            </w:r>
            <w:r>
              <w:rPr>
                <w:rFonts w:hint="eastAsia" w:ascii="仿宋_GB2312" w:hAnsi="仿宋_GB2312" w:eastAsia="仿宋_GB2312" w:cs="仿宋_GB2312"/>
                <w:b w:val="0"/>
                <w:bCs w:val="0"/>
                <w:color w:val="000000"/>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青年大学习</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经济管理学院党支部、经济管理学院分团委、经济管理学院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第二课堂成绩</w:t>
            </w:r>
            <w:r>
              <w:rPr>
                <w:rFonts w:hint="eastAsia" w:ascii="仿宋_GB2312" w:hAnsi="仿宋_GB2312" w:eastAsia="仿宋_GB2312" w:cs="仿宋_GB2312"/>
                <w:b w:val="0"/>
                <w:bCs w:val="0"/>
                <w:color w:val="000000"/>
                <w:sz w:val="24"/>
                <w:szCs w:val="24"/>
                <w:lang w:val="en-US" w:eastAsia="zh-CN"/>
              </w:rPr>
              <w:t>由</w:t>
            </w:r>
            <w:r>
              <w:rPr>
                <w:rFonts w:hint="eastAsia" w:ascii="仿宋_GB2312" w:hAnsi="仿宋_GB2312" w:eastAsia="仿宋_GB2312" w:cs="仿宋_GB2312"/>
                <w:b w:val="0"/>
                <w:bCs w:val="0"/>
                <w:color w:val="000000"/>
                <w:sz w:val="24"/>
                <w:szCs w:val="24"/>
              </w:rPr>
              <w:t xml:space="preserve">网络管理系 统（到梦 空间）实 时记录，学生在大一、 </w:t>
            </w:r>
            <w:r>
              <w:rPr>
                <w:rFonts w:hint="eastAsia" w:ascii="仿宋_GB2312" w:hAnsi="仿宋_GB2312" w:eastAsia="仿宋_GB2312" w:cs="仿宋_GB2312"/>
                <w:b w:val="0"/>
                <w:bCs w:val="0"/>
                <w:color w:val="000000"/>
                <w:sz w:val="24"/>
                <w:szCs w:val="24"/>
                <w:lang w:val="en-US" w:eastAsia="zh-CN"/>
              </w:rPr>
              <w:t>大</w:t>
            </w:r>
            <w:r>
              <w:rPr>
                <w:rFonts w:hint="eastAsia" w:ascii="仿宋_GB2312" w:hAnsi="仿宋_GB2312" w:eastAsia="仿宋_GB2312" w:cs="仿宋_GB2312"/>
                <w:b w:val="0"/>
                <w:bCs w:val="0"/>
                <w:color w:val="000000"/>
                <w:sz w:val="24"/>
                <w:szCs w:val="24"/>
              </w:rPr>
              <w:t>二期间</w:t>
            </w:r>
            <w:r>
              <w:rPr>
                <w:rFonts w:hint="eastAsia" w:ascii="仿宋_GB2312" w:hAnsi="仿宋_GB2312" w:eastAsia="仿宋_GB2312" w:cs="仿宋_GB2312"/>
                <w:b w:val="0"/>
                <w:bCs w:val="0"/>
                <w:color w:val="000000"/>
                <w:sz w:val="24"/>
                <w:szCs w:val="24"/>
                <w:lang w:val="en-US" w:eastAsia="zh-CN"/>
              </w:rPr>
              <w:t>积分达60分及以上，可获4</w:t>
            </w:r>
            <w:r>
              <w:rPr>
                <w:rFonts w:hint="eastAsia" w:ascii="仿宋_GB2312" w:hAnsi="仿宋_GB2312" w:eastAsia="仿宋_GB2312" w:cs="仿宋_GB2312"/>
                <w:b w:val="0"/>
                <w:bCs w:val="0"/>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2" w:hRule="atLeast"/>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321"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w:t>
            </w:r>
            <w:r>
              <w:rPr>
                <w:rFonts w:hint="eastAsia" w:ascii="仿宋_GB2312" w:hAnsi="仿宋_GB2312" w:eastAsia="仿宋_GB2312" w:cs="仿宋_GB2312"/>
                <w:b w:val="0"/>
                <w:bCs w:val="0"/>
                <w:color w:val="000000"/>
                <w:sz w:val="24"/>
                <w:szCs w:val="24"/>
              </w:rPr>
              <w:t xml:space="preserve">暑期“三下乡”社会实践活动 </w:t>
            </w: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7</w:t>
            </w:r>
            <w:r>
              <w:rPr>
                <w:rFonts w:hint="eastAsia" w:ascii="仿宋_GB2312" w:hAnsi="仿宋_GB2312" w:eastAsia="仿宋_GB2312" w:cs="仿宋_GB2312"/>
                <w:b w:val="0"/>
                <w:bCs w:val="0"/>
                <w:color w:val="000000"/>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8.</w:t>
            </w:r>
            <w:r>
              <w:rPr>
                <w:rFonts w:hint="eastAsia" w:ascii="仿宋_GB2312" w:hAnsi="仿宋_GB2312" w:eastAsia="仿宋_GB2312" w:cs="仿宋_GB2312"/>
                <w:b w:val="0"/>
                <w:bCs w:val="0"/>
                <w:color w:val="000000"/>
                <w:sz w:val="24"/>
                <w:szCs w:val="24"/>
              </w:rPr>
              <w:t>实践活动的相关荣誉</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校团委、经济管理学院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6" w:hRule="atLeast"/>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321"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招生就业处、经济管理学院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校团委、经济管理学院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校团委、经济管理学院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公益劳动 </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招生就业处、经济管理学院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校团委、经济管理学院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校团委、经济管理学院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 xml:space="preserve">文体活动 </w:t>
            </w:r>
          </w:p>
        </w:tc>
        <w:tc>
          <w:tcPr>
            <w:tcW w:w="3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5.文体讲座</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招生就业处、经济管理学院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校团委、经济管理学院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校团委、经济管理学院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 xml:space="preserve">工作履历 </w:t>
            </w:r>
          </w:p>
        </w:tc>
        <w:tc>
          <w:tcPr>
            <w:tcW w:w="3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5.退伍军人</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学生工作处、校团委、经济管理学院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继续教育学院、经济管理学院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学生工作处、校团委、经济管理学院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继续教育学院、经济管理学院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76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3.升旗仪式工作人员</w:t>
            </w:r>
          </w:p>
        </w:tc>
        <w:tc>
          <w:tcPr>
            <w:tcW w:w="6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9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学生工作处、校团委、经济管理学院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继续教育学院、经济管理学院</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经济管理学院</w:t>
            </w:r>
          </w:p>
        </w:tc>
        <w:tc>
          <w:tcPr>
            <w:tcW w:w="10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62"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kern w:val="2"/>
          <w:sz w:val="32"/>
          <w:szCs w:val="32"/>
          <w:lang w:val="en-US" w:eastAsia="zh-CN" w:bidi="ar-SA"/>
        </w:rPr>
      </w:pPr>
      <w:bookmarkStart w:id="23" w:name="_Toc30614"/>
      <w:r>
        <w:rPr>
          <w:rFonts w:hint="eastAsia" w:ascii="黑体" w:hAnsi="黑体" w:eastAsia="黑体" w:cs="黑体"/>
          <w:b w:val="0"/>
          <w:bCs w:val="0"/>
          <w:color w:val="auto"/>
          <w:sz w:val="32"/>
          <w:szCs w:val="32"/>
          <w:highlight w:val="none"/>
          <w:lang w:val="en-US" w:eastAsia="zh-CN"/>
        </w:rPr>
        <w:t>八、教学进程总体安排</w:t>
      </w:r>
      <w:bookmarkEnd w:id="23"/>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24" w:name="_Toc20271"/>
      <w:r>
        <w:rPr>
          <w:rFonts w:hint="eastAsia" w:ascii="楷体" w:hAnsi="楷体" w:eastAsia="楷体" w:cs="楷体"/>
          <w:color w:val="auto"/>
          <w:sz w:val="32"/>
          <w:szCs w:val="32"/>
          <w:lang w:val="en-US" w:eastAsia="zh-CN"/>
        </w:rPr>
        <w:t>（一）教学环节分配表</w:t>
      </w:r>
      <w:bookmarkEnd w:id="24"/>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教学周数分配表每学期总周数合计应为20周，各学期教学周数应与教学计划进程表一致，军训、入学教育、考试环节、实习开展、毕业设计、社会实践及毕业教育等，学期合计周数为20周。</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8 </w:t>
      </w:r>
      <w:r>
        <w:rPr>
          <w:rFonts w:hint="eastAsia" w:ascii="仿宋_GB2312" w:hAnsi="仿宋_GB2312" w:eastAsia="仿宋_GB2312" w:cs="仿宋_GB2312"/>
          <w:color w:val="auto"/>
          <w:sz w:val="32"/>
          <w:szCs w:val="32"/>
        </w:rPr>
        <w:t>教育活动时间分配表（单位：周）</w:t>
      </w:r>
    </w:p>
    <w:tbl>
      <w:tblPr>
        <w:tblStyle w:val="10"/>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pPr>
              <w:keepNext w:val="0"/>
              <w:keepLines w:val="0"/>
              <w:pageBreakBefore w:val="0"/>
              <w:widowControl w:val="0"/>
              <w:kinsoku/>
              <w:wordWrap/>
              <w:overflowPunct/>
              <w:topLinePunct w:val="0"/>
              <w:autoSpaceDE/>
              <w:autoSpaceDN/>
              <w:bidi w:val="0"/>
              <w:adjustRightInd/>
              <w:snapToGrid/>
              <w:spacing w:after="0" w:line="36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_GB2312" w:hAnsi="仿宋_GB2312" w:eastAsia="仿宋_GB2312" w:cs="仿宋_GB2312"/>
                <w:sz w:val="24"/>
                <w:szCs w:val="24"/>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000000"/>
                <w:sz w:val="24"/>
                <w:szCs w:val="24"/>
                <w:highlight w:val="green"/>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25" w:name="_Toc23643"/>
      <w:r>
        <w:rPr>
          <w:rFonts w:hint="eastAsia" w:ascii="楷体" w:hAnsi="楷体" w:eastAsia="楷体" w:cs="楷体"/>
          <w:color w:val="auto"/>
          <w:sz w:val="32"/>
          <w:szCs w:val="32"/>
          <w:lang w:val="en-US" w:eastAsia="zh-CN"/>
        </w:rPr>
        <w:t>（二）课程结构与学时、学分分配</w:t>
      </w:r>
      <w:bookmarkEnd w:id="25"/>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本专业教学总学时为2714学时。其中理论教学1234学时，占45.47%；实践教学1480学时，占54.53%，其中岗位实习时间累计一般为6个月。公共基础课954学时，占35.15%；选修课272学时，占10.02%。</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9 </w:t>
      </w:r>
      <w:r>
        <w:rPr>
          <w:rFonts w:hint="eastAsia" w:ascii="仿宋_GB2312" w:hAnsi="仿宋_GB2312" w:eastAsia="仿宋_GB2312" w:cs="仿宋_GB2312"/>
          <w:color w:val="auto"/>
          <w:spacing w:val="-2"/>
          <w:sz w:val="32"/>
          <w:szCs w:val="32"/>
        </w:rPr>
        <w:t>课程学时、学分分配表</w:t>
      </w:r>
    </w:p>
    <w:tbl>
      <w:tblPr>
        <w:tblStyle w:val="9"/>
        <w:tblW w:w="107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5"/>
        <w:gridCol w:w="1689"/>
        <w:gridCol w:w="1555"/>
        <w:gridCol w:w="745"/>
        <w:gridCol w:w="1885"/>
        <w:gridCol w:w="745"/>
        <w:gridCol w:w="745"/>
        <w:gridCol w:w="974"/>
        <w:gridCol w:w="745"/>
        <w:gridCol w:w="9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4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课程类别</w:t>
            </w:r>
          </w:p>
        </w:tc>
        <w:tc>
          <w:tcPr>
            <w:tcW w:w="1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课程性质</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学分</w:t>
            </w:r>
          </w:p>
        </w:tc>
        <w:tc>
          <w:tcPr>
            <w:tcW w:w="1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占专业总学分比例</w:t>
            </w:r>
          </w:p>
        </w:tc>
        <w:tc>
          <w:tcPr>
            <w:tcW w:w="41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i w:val="0"/>
                <w:iCs w:val="0"/>
                <w:color w:val="000000"/>
                <w:sz w:val="24"/>
                <w:szCs w:val="24"/>
                <w:u w:val="none"/>
              </w:rPr>
            </w:pPr>
          </w:p>
        </w:tc>
        <w:tc>
          <w:tcPr>
            <w:tcW w:w="1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i w:val="0"/>
                <w:iCs w:val="0"/>
                <w:color w:val="000000"/>
                <w:sz w:val="24"/>
                <w:szCs w:val="24"/>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left"/>
              <w:rPr>
                <w:rFonts w:hint="eastAsia" w:ascii="仿宋_GB2312" w:hAnsi="仿宋_GB2312" w:eastAsia="仿宋_GB2312" w:cs="仿宋_GB2312"/>
                <w:i w:val="0"/>
                <w:iCs w:val="0"/>
                <w:color w:val="000000"/>
                <w:sz w:val="24"/>
                <w:szCs w:val="24"/>
                <w:u w:val="none"/>
              </w:rPr>
            </w:pPr>
          </w:p>
        </w:tc>
        <w:tc>
          <w:tcPr>
            <w:tcW w:w="1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i w:val="0"/>
                <w:iCs w:val="0"/>
                <w:color w:val="000000"/>
                <w:sz w:val="24"/>
                <w:szCs w:val="24"/>
                <w:u w:val="none"/>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理论教学</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2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i w:val="0"/>
                <w:iCs w:val="0"/>
                <w:color w:val="000000"/>
                <w:sz w:val="24"/>
                <w:szCs w:val="24"/>
                <w:u w:val="none"/>
              </w:rPr>
            </w:pPr>
          </w:p>
        </w:tc>
        <w:tc>
          <w:tcPr>
            <w:tcW w:w="1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i w:val="0"/>
                <w:iCs w:val="0"/>
                <w:color w:val="000000"/>
                <w:sz w:val="24"/>
                <w:szCs w:val="24"/>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left"/>
              <w:rPr>
                <w:rFonts w:hint="eastAsia" w:ascii="仿宋_GB2312" w:hAnsi="仿宋_GB2312" w:eastAsia="仿宋_GB2312" w:cs="仿宋_GB2312"/>
                <w:i w:val="0"/>
                <w:iCs w:val="0"/>
                <w:color w:val="000000"/>
                <w:sz w:val="24"/>
                <w:szCs w:val="24"/>
                <w:u w:val="none"/>
              </w:rPr>
            </w:pPr>
          </w:p>
        </w:tc>
        <w:tc>
          <w:tcPr>
            <w:tcW w:w="1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仿宋_GB2312" w:eastAsia="仿宋_GB2312" w:cs="仿宋_GB2312"/>
                <w:i w:val="0"/>
                <w:iCs w:val="0"/>
                <w:color w:val="000000"/>
                <w:sz w:val="24"/>
                <w:szCs w:val="24"/>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60" w:lineRule="exact"/>
              <w:jc w:val="left"/>
              <w:rPr>
                <w:rFonts w:hint="eastAsia" w:ascii="仿宋_GB2312" w:hAnsi="仿宋_GB2312" w:eastAsia="仿宋_GB2312" w:cs="仿宋_GB2312"/>
                <w:i w:val="0"/>
                <w:iCs w:val="0"/>
                <w:color w:val="000000"/>
                <w:sz w:val="24"/>
                <w:szCs w:val="24"/>
                <w:u w:val="none"/>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6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4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公共基础课</w:t>
            </w:r>
          </w:p>
        </w:tc>
        <w:tc>
          <w:tcPr>
            <w:tcW w:w="1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44</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29.93%</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826</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446</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16.43%</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380</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选修</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5.44%</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128</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80</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2.95%</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48</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小计</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52</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35.37%</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954</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526</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19.38%</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428</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15.77%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专业课</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专业基础课</w:t>
            </w:r>
          </w:p>
        </w:tc>
        <w:tc>
          <w:tcPr>
            <w:tcW w:w="1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32</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21.77%</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528</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412</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15.18%</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116</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专业核心课</w:t>
            </w:r>
          </w:p>
        </w:tc>
        <w:tc>
          <w:tcPr>
            <w:tcW w:w="1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32</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21.77%</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576</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204</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7.52%</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372</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13.71%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专业拓展课</w:t>
            </w:r>
          </w:p>
        </w:tc>
        <w:tc>
          <w:tcPr>
            <w:tcW w:w="1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选修</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5.44%</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144</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72</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2.65%</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72</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pPr>
            <w:r>
              <w:rPr>
                <w:rFonts w:hint="eastAsia" w:ascii="仿宋_GB2312" w:hAnsi="仿宋_GB2312" w:eastAsia="仿宋_GB2312" w:cs="仿宋_GB2312"/>
                <w:i w:val="0"/>
                <w:iCs w:val="0"/>
                <w:color w:val="000000"/>
                <w:sz w:val="20"/>
                <w:szCs w:val="20"/>
                <w:u w:val="none"/>
              </w:rPr>
              <w:t>实践</w:t>
            </w:r>
            <w:r>
              <w:rPr>
                <w:rFonts w:hint="eastAsia" w:ascii="仿宋_GB2312" w:hAnsi="仿宋_GB2312" w:eastAsia="仿宋_GB2312" w:cs="仿宋_GB2312"/>
                <w:i w:val="0"/>
                <w:iCs w:val="0"/>
                <w:color w:val="000000"/>
                <w:sz w:val="20"/>
                <w:szCs w:val="20"/>
                <w:u w:val="none"/>
                <w:lang w:val="en-US" w:eastAsia="zh-CN"/>
              </w:rPr>
              <w:t>性</w:t>
            </w:r>
            <w:r>
              <w:rPr>
                <w:rFonts w:hint="eastAsia" w:ascii="仿宋_GB2312" w:hAnsi="仿宋_GB2312" w:eastAsia="仿宋_GB2312" w:cs="仿宋_GB2312"/>
                <w:i w:val="0"/>
                <w:iCs w:val="0"/>
                <w:color w:val="000000"/>
                <w:sz w:val="20"/>
                <w:szCs w:val="20"/>
                <w:u w:val="none"/>
              </w:rPr>
              <w:t>教学环节</w:t>
            </w:r>
          </w:p>
        </w:tc>
        <w:tc>
          <w:tcPr>
            <w:tcW w:w="1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23</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15.65%</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512</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20</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0.74%</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492</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p>
        </w:tc>
        <w:tc>
          <w:tcPr>
            <w:tcW w:w="3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pPr>
            <w:r>
              <w:rPr>
                <w:rFonts w:hint="eastAsia" w:ascii="仿宋_GB2312" w:hAnsi="仿宋_GB2312" w:eastAsia="仿宋_GB2312" w:cs="仿宋_GB2312"/>
                <w:i w:val="0"/>
                <w:color w:val="000000"/>
                <w:kern w:val="0"/>
                <w:sz w:val="20"/>
                <w:szCs w:val="20"/>
                <w:u w:val="none"/>
                <w:lang w:val="en-US" w:eastAsia="zh-CN" w:bidi="ar"/>
              </w:rPr>
              <w:t>小计</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95</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64.63%</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1760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708</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26.09%</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1052</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39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合计</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147</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100.00%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2714</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1234</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45.47%</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1480</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54.53%</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26" w:name="_Toc2876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教学计划进程</w:t>
      </w:r>
      <w:bookmarkEnd w:id="26"/>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jc w:val="center"/>
        <w:textAlignment w:val="auto"/>
        <w:rPr>
          <w:rFonts w:hint="eastAsia" w:ascii="仿宋_GB2312" w:hAnsi="仿宋_GB2312" w:eastAsia="仿宋_GB2312" w:cs="仿宋_GB2312"/>
          <w:color w:val="auto"/>
          <w:sz w:val="32"/>
          <w:szCs w:val="32"/>
          <w:shd w:val="clear" w:color="auto" w:fill="FFFFFF"/>
          <w:lang w:bidi="ar"/>
        </w:rPr>
      </w:pPr>
      <w:r>
        <w:rPr>
          <w:rFonts w:hint="eastAsia" w:ascii="仿宋_GB2312" w:hAnsi="仿宋_GB2312" w:eastAsia="仿宋_GB2312" w:cs="仿宋_GB2312"/>
          <w:color w:val="auto"/>
          <w:kern w:val="0"/>
          <w:sz w:val="32"/>
          <w:szCs w:val="32"/>
          <w:shd w:val="clear" w:color="auto" w:fill="FFFFFF"/>
          <w:lang w:val="en-US" w:eastAsia="zh-CN" w:bidi="ar"/>
        </w:rPr>
        <w:t>表1</w:t>
      </w:r>
      <w:r>
        <w:rPr>
          <w:rFonts w:hint="eastAsia" w:ascii="仿宋_GB2312" w:hAnsi="仿宋_GB2312" w:eastAsia="仿宋_GB2312" w:cs="仿宋_GB2312"/>
          <w:color w:val="auto"/>
          <w:sz w:val="32"/>
          <w:szCs w:val="32"/>
          <w:lang w:val="en-US" w:eastAsia="zh-CN"/>
        </w:rPr>
        <w:t xml:space="preserve">0 </w:t>
      </w:r>
      <w:r>
        <w:rPr>
          <w:rFonts w:hint="eastAsia" w:ascii="仿宋_GB2312" w:hAnsi="仿宋_GB2312" w:eastAsia="仿宋_GB2312" w:cs="仿宋_GB2312"/>
          <w:color w:val="auto"/>
          <w:sz w:val="32"/>
          <w:szCs w:val="32"/>
          <w:shd w:val="clear" w:color="auto" w:fill="FFFFFF"/>
          <w:lang w:bidi="ar"/>
        </w:rPr>
        <w:t>教学计划进程安排表</w:t>
      </w:r>
    </w:p>
    <w:tbl>
      <w:tblPr>
        <w:tblStyle w:val="9"/>
        <w:tblW w:w="110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4"/>
        <w:gridCol w:w="363"/>
        <w:gridCol w:w="355"/>
        <w:gridCol w:w="9"/>
        <w:gridCol w:w="72"/>
        <w:gridCol w:w="346"/>
        <w:gridCol w:w="1007"/>
        <w:gridCol w:w="300"/>
        <w:gridCol w:w="1740"/>
        <w:gridCol w:w="747"/>
        <w:gridCol w:w="740"/>
        <w:gridCol w:w="779"/>
        <w:gridCol w:w="816"/>
        <w:gridCol w:w="398"/>
        <w:gridCol w:w="456"/>
        <w:gridCol w:w="478"/>
        <w:gridCol w:w="483"/>
        <w:gridCol w:w="458"/>
        <w:gridCol w:w="7"/>
        <w:gridCol w:w="447"/>
        <w:gridCol w:w="6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jc w:val="center"/>
        </w:trPr>
        <w:tc>
          <w:tcPr>
            <w:tcW w:w="7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课程类型</w:t>
            </w:r>
          </w:p>
        </w:tc>
        <w:tc>
          <w:tcPr>
            <w:tcW w:w="4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序号</w:t>
            </w:r>
          </w:p>
        </w:tc>
        <w:tc>
          <w:tcPr>
            <w:tcW w:w="135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课程代码</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课程名称</w:t>
            </w:r>
          </w:p>
        </w:tc>
        <w:tc>
          <w:tcPr>
            <w:tcW w:w="747"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学分</w:t>
            </w:r>
          </w:p>
        </w:tc>
        <w:tc>
          <w:tcPr>
            <w:tcW w:w="23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教学学时数</w:t>
            </w: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p>
        </w:tc>
        <w:tc>
          <w:tcPr>
            <w:tcW w:w="2727" w:type="dxa"/>
            <w:gridSpan w:val="7"/>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开课学期和周学时</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jc w:val="center"/>
        </w:trPr>
        <w:tc>
          <w:tcPr>
            <w:tcW w:w="7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000000"/>
                <w:sz w:val="20"/>
                <w:szCs w:val="20"/>
                <w:u w:val="none"/>
              </w:rPr>
            </w:pPr>
          </w:p>
        </w:tc>
        <w:tc>
          <w:tcPr>
            <w:tcW w:w="4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13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74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合计</w:t>
            </w: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理论学时</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实践学时</w:t>
            </w:r>
          </w:p>
        </w:tc>
        <w:tc>
          <w:tcPr>
            <w:tcW w:w="398"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一</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三</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四</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五</w:t>
            </w: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六</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公共基础课</w:t>
            </w:r>
          </w:p>
        </w:tc>
        <w:tc>
          <w:tcPr>
            <w:tcW w:w="3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必修</w:t>
            </w: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1B410101101</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思想道德与法治</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74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77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81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1A410101102</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形势与政策</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1到4学期开课，每学期8学时。</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1A410101103</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国家安全教育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1A410101104</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军事理论</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1C410101105</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军训</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112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112</w:t>
            </w:r>
          </w:p>
        </w:tc>
        <w:tc>
          <w:tcPr>
            <w:tcW w:w="27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第1学期，实际训练时间不少于14天</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1B410101106</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计算机基础</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1B410101107</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高等数学</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1B410101108</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大学英语</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128</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104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9</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1C410101109</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大学体育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144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144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2</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1B410101110</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大学生职业发展与就业指导</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38</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1B410101111</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大学生心理健康教育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1C410101112</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劳动教育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1B410101113</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毛泽东思想和中国特色社会主义理论体系概论</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14</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1B410101114</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创新创业教育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1B410101115</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习近平新时代中国特色社会主义思想概论</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选修</w:t>
            </w: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1B410101201</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中国民俗剪纸技法</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2727"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公共选修课最低学分要求为8学分，其中要求2个学分为思政选修课学分。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1B410101202</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影视与鉴赏</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1A410101203</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中华优秀传统文化</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1A410101204</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中国共产党简史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1A410101205</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改革开放简史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1A410101206</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中华人民共和国简史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1A410101207</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社会主义发展简史</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1A410101208</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中华民族共同体概论</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000000" w:sz="4" w:space="0"/>
              <w:left w:val="nil"/>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9</w:t>
            </w:r>
          </w:p>
        </w:tc>
        <w:tc>
          <w:tcPr>
            <w:tcW w:w="1353"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1A410101210</w:t>
            </w:r>
          </w:p>
        </w:tc>
        <w:tc>
          <w:tcPr>
            <w:tcW w:w="204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语文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1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1A410101214</w:t>
            </w:r>
          </w:p>
        </w:tc>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商业文化</w:t>
            </w:r>
          </w:p>
        </w:tc>
        <w:tc>
          <w:tcPr>
            <w:tcW w:w="74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727"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1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公共必修课程学分、学时小计</w:t>
            </w:r>
          </w:p>
        </w:tc>
        <w:tc>
          <w:tcPr>
            <w:tcW w:w="74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w:t>
            </w:r>
          </w:p>
        </w:tc>
        <w:tc>
          <w:tcPr>
            <w:tcW w:w="74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826</w:t>
            </w:r>
          </w:p>
        </w:tc>
        <w:tc>
          <w:tcPr>
            <w:tcW w:w="77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446</w:t>
            </w:r>
          </w:p>
        </w:tc>
        <w:tc>
          <w:tcPr>
            <w:tcW w:w="8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1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公共必修课程学分、学时占比</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3"/>
                <w:kern w:val="0"/>
                <w:sz w:val="20"/>
                <w:szCs w:val="20"/>
                <w:u w:val="none"/>
                <w:lang w:val="en-US" w:eastAsia="zh-CN" w:bidi="ar"/>
              </w:rPr>
            </w:pPr>
            <w:r>
              <w:rPr>
                <w:rFonts w:hint="eastAsia" w:ascii="仿宋_GB2312" w:hAnsi="仿宋_GB2312" w:eastAsia="仿宋_GB2312" w:cs="仿宋_GB2312"/>
                <w:i w:val="0"/>
                <w:iCs w:val="0"/>
                <w:color w:val="000000"/>
                <w:spacing w:val="-23"/>
                <w:kern w:val="0"/>
                <w:sz w:val="20"/>
                <w:szCs w:val="20"/>
                <w:u w:val="none"/>
                <w:lang w:val="en-US" w:eastAsia="zh-CN" w:bidi="ar"/>
              </w:rPr>
              <w:t>29.93%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3"/>
                <w:kern w:val="0"/>
                <w:sz w:val="20"/>
                <w:szCs w:val="20"/>
                <w:u w:val="none"/>
                <w:lang w:val="en-US" w:eastAsia="zh-CN" w:bidi="ar"/>
              </w:rPr>
            </w:pPr>
            <w:r>
              <w:rPr>
                <w:rFonts w:hint="eastAsia" w:ascii="仿宋_GB2312" w:hAnsi="仿宋_GB2312" w:eastAsia="仿宋_GB2312" w:cs="仿宋_GB2312"/>
                <w:i w:val="0"/>
                <w:iCs w:val="0"/>
                <w:color w:val="000000"/>
                <w:spacing w:val="-23"/>
                <w:kern w:val="0"/>
                <w:sz w:val="20"/>
                <w:szCs w:val="20"/>
                <w:u w:val="none"/>
                <w:lang w:val="en-US" w:eastAsia="zh-CN" w:bidi="ar"/>
              </w:rPr>
              <w:t>30.43%</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u w:val="none"/>
                <w:lang w:val="en-US" w:eastAsia="zh-CN" w:bidi="ar"/>
              </w:rPr>
            </w:pPr>
            <w:r>
              <w:rPr>
                <w:rFonts w:hint="eastAsia" w:ascii="仿宋_GB2312" w:hAnsi="仿宋_GB2312" w:eastAsia="仿宋_GB2312" w:cs="仿宋_GB2312"/>
                <w:i w:val="0"/>
                <w:iCs w:val="0"/>
                <w:color w:val="000000"/>
                <w:spacing w:val="-11"/>
                <w:kern w:val="0"/>
                <w:sz w:val="20"/>
                <w:szCs w:val="20"/>
                <w:u w:val="none"/>
                <w:lang w:val="en-US" w:eastAsia="zh-CN" w:bidi="ar"/>
              </w:rPr>
              <w:t>16.43%</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14.00%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1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公共选修课程学分、学时小计</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128</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1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公共选修课程学分、学时占比</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5.44%</w:t>
            </w:r>
          </w:p>
        </w:tc>
        <w:tc>
          <w:tcPr>
            <w:tcW w:w="7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4.72%</w:t>
            </w:r>
          </w:p>
        </w:tc>
        <w:tc>
          <w:tcPr>
            <w:tcW w:w="7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2.95%</w:t>
            </w:r>
          </w:p>
        </w:tc>
        <w:tc>
          <w:tcPr>
            <w:tcW w:w="81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1.77%</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专业课</w:t>
            </w:r>
          </w:p>
        </w:tc>
        <w:tc>
          <w:tcPr>
            <w:tcW w:w="36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专业基础课</w:t>
            </w:r>
          </w:p>
        </w:tc>
        <w:tc>
          <w:tcPr>
            <w:tcW w:w="35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必修</w:t>
            </w: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5A530701304</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零售基础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5A530701303</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管理学基础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5A530701301</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财税基础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5A530701302</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电子商务法律法规</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5A530701305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电子商务基础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5B530701306</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市场营销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5B530701307</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商务数据分析</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5B530701308</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数据可视化</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9</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5B530302309</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习近平经济思想概论</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专业核心课</w:t>
            </w:r>
          </w:p>
        </w:tc>
        <w:tc>
          <w:tcPr>
            <w:tcW w:w="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必修</w:t>
            </w: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5B530701401</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零售门店O2O运营</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5B530701402</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网络营销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5B530701403</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互联网销售</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5B530701404</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网店运营</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视觉营销设计</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5B530701406</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数据化运营</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5B530701407</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社群营销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5B530701408</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互联网产品开发</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44</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5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专业拓展课</w:t>
            </w:r>
          </w:p>
        </w:tc>
        <w:tc>
          <w:tcPr>
            <w:tcW w:w="35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选修</w:t>
            </w: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5B530701501</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经济学基础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专业拓展课最低学分要求为8学分</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5B530701502</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市场调研与分析</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5B530701503</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消费者行为分析</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auto"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5B530701504</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办公软件高级应用</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商务沟通</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5B530701506</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社交礼仪</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5B530701507</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客户服务与管理</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5B530701508</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项目管理</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9</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5B530701509</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图形图像处理</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5B530701510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视频制作</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5B530701511</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思维训练</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5B530701512</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艺术鉴赏</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3B510205501</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人工智能导论</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14</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5B530701514</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智慧商业</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5B530701515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新媒体营销</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5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5B530701516</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直播电商</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p>
        </w:tc>
        <w:tc>
          <w:tcPr>
            <w:tcW w:w="912" w:type="dxa"/>
            <w:gridSpan w:val="3"/>
            <w:vMerge w:val="continue"/>
            <w:tcBorders>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jc w:val="center"/>
        </w:trPr>
        <w:tc>
          <w:tcPr>
            <w:tcW w:w="354"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p>
        </w:tc>
        <w:tc>
          <w:tcPr>
            <w:tcW w:w="3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实践性教学环节</w:t>
            </w:r>
          </w:p>
        </w:tc>
        <w:tc>
          <w:tcPr>
            <w:tcW w:w="3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必修</w:t>
            </w:r>
          </w:p>
        </w:tc>
        <w:tc>
          <w:tcPr>
            <w:tcW w:w="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1</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1B410101601</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毕业设计</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80</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60</w:t>
            </w:r>
          </w:p>
        </w:tc>
        <w:tc>
          <w:tcPr>
            <w:tcW w:w="39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6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44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35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3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2</w:t>
            </w:r>
          </w:p>
        </w:tc>
        <w:tc>
          <w:tcPr>
            <w:tcW w:w="13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1C410101602</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岗位实习</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432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81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432</w:t>
            </w:r>
          </w:p>
        </w:tc>
        <w:tc>
          <w:tcPr>
            <w:tcW w:w="3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65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454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专业必修课程学分、学时小计</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87</w:t>
            </w:r>
          </w:p>
        </w:tc>
        <w:tc>
          <w:tcPr>
            <w:tcW w:w="7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1616</w:t>
            </w:r>
          </w:p>
        </w:tc>
        <w:tc>
          <w:tcPr>
            <w:tcW w:w="77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636</w:t>
            </w:r>
          </w:p>
        </w:tc>
        <w:tc>
          <w:tcPr>
            <w:tcW w:w="8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980</w:t>
            </w:r>
          </w:p>
        </w:tc>
        <w:tc>
          <w:tcPr>
            <w:tcW w:w="398"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6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47"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454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pacing w:val="-6"/>
                <w:kern w:val="0"/>
                <w:sz w:val="20"/>
                <w:szCs w:val="20"/>
                <w:u w:val="none"/>
                <w:lang w:val="en-US" w:eastAsia="zh-CN" w:bidi="ar"/>
              </w:rPr>
              <w:t>专业必修课程学分、学时占比</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59.18%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59.54%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u w:val="none"/>
                <w:lang w:val="en-US" w:eastAsia="zh-CN" w:bidi="ar"/>
              </w:rPr>
            </w:pPr>
            <w:r>
              <w:rPr>
                <w:rFonts w:hint="eastAsia" w:ascii="仿宋_GB2312" w:hAnsi="仿宋_GB2312" w:eastAsia="仿宋_GB2312" w:cs="仿宋_GB2312"/>
                <w:i w:val="0"/>
                <w:iCs w:val="0"/>
                <w:color w:val="000000"/>
                <w:spacing w:val="-20"/>
                <w:kern w:val="0"/>
                <w:sz w:val="20"/>
                <w:szCs w:val="20"/>
                <w:u w:val="none"/>
                <w:lang w:val="en-US" w:eastAsia="zh-CN" w:bidi="ar"/>
              </w:rPr>
              <w:t>23.43%</w:t>
            </w:r>
          </w:p>
        </w:tc>
        <w:tc>
          <w:tcPr>
            <w:tcW w:w="81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36.11%</w:t>
            </w:r>
          </w:p>
        </w:tc>
        <w:tc>
          <w:tcPr>
            <w:tcW w:w="3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454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6"/>
                <w:sz w:val="20"/>
                <w:szCs w:val="20"/>
                <w:u w:val="none"/>
              </w:rPr>
            </w:pPr>
            <w:r>
              <w:rPr>
                <w:rFonts w:hint="eastAsia" w:ascii="仿宋_GB2312" w:hAnsi="仿宋_GB2312" w:eastAsia="仿宋_GB2312" w:cs="仿宋_GB2312"/>
                <w:i w:val="0"/>
                <w:iCs w:val="0"/>
                <w:color w:val="000000"/>
                <w:spacing w:val="-6"/>
                <w:kern w:val="0"/>
                <w:sz w:val="20"/>
                <w:szCs w:val="20"/>
                <w:u w:val="none"/>
                <w:lang w:val="en-US" w:eastAsia="zh-CN" w:bidi="ar"/>
              </w:rPr>
              <w:t>专业拓展课程学分、学时小计</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144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81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3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454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6"/>
                <w:sz w:val="20"/>
                <w:szCs w:val="20"/>
                <w:u w:val="none"/>
              </w:rPr>
            </w:pPr>
            <w:r>
              <w:rPr>
                <w:rFonts w:hint="eastAsia" w:ascii="仿宋_GB2312" w:hAnsi="仿宋_GB2312" w:eastAsia="仿宋_GB2312" w:cs="仿宋_GB2312"/>
                <w:i w:val="0"/>
                <w:iCs w:val="0"/>
                <w:color w:val="000000"/>
                <w:spacing w:val="-6"/>
                <w:kern w:val="0"/>
                <w:sz w:val="20"/>
                <w:szCs w:val="20"/>
                <w:u w:val="none"/>
                <w:lang w:val="en-US" w:eastAsia="zh-CN" w:bidi="ar"/>
              </w:rPr>
              <w:t>专业选修课程学分、学时占比</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5.44%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5.31%</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2.65%</w:t>
            </w:r>
          </w:p>
        </w:tc>
        <w:tc>
          <w:tcPr>
            <w:tcW w:w="81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2.65%</w:t>
            </w:r>
          </w:p>
        </w:tc>
        <w:tc>
          <w:tcPr>
            <w:tcW w:w="3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454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6"/>
                <w:sz w:val="20"/>
                <w:szCs w:val="20"/>
                <w:u w:val="none"/>
              </w:rPr>
            </w:pPr>
            <w:r>
              <w:rPr>
                <w:rFonts w:hint="eastAsia" w:ascii="仿宋_GB2312" w:hAnsi="仿宋_GB2312" w:eastAsia="仿宋_GB2312" w:cs="仿宋_GB2312"/>
                <w:i w:val="0"/>
                <w:iCs w:val="0"/>
                <w:color w:val="000000"/>
                <w:spacing w:val="-6"/>
                <w:kern w:val="0"/>
                <w:sz w:val="20"/>
                <w:szCs w:val="20"/>
                <w:u w:val="none"/>
                <w:lang w:val="en-US" w:eastAsia="zh-CN" w:bidi="ar"/>
              </w:rPr>
              <w:t>总学分、学时合计</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147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2714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1234</w:t>
            </w:r>
          </w:p>
        </w:tc>
        <w:tc>
          <w:tcPr>
            <w:tcW w:w="81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1480</w:t>
            </w:r>
          </w:p>
        </w:tc>
        <w:tc>
          <w:tcPr>
            <w:tcW w:w="3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000000"/>
                <w:sz w:val="20"/>
                <w:szCs w:val="20"/>
                <w:u w:val="none"/>
              </w:rPr>
            </w:pP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b w:val="0"/>
          <w:bCs w:val="0"/>
          <w:color w:val="auto"/>
          <w:sz w:val="32"/>
          <w:szCs w:val="32"/>
          <w:highlight w:val="none"/>
          <w:lang w:val="en-US" w:eastAsia="zh-CN"/>
        </w:rPr>
      </w:pPr>
      <w:bookmarkStart w:id="27" w:name="_Toc23391"/>
      <w:r>
        <w:rPr>
          <w:rFonts w:hint="eastAsia" w:ascii="黑体" w:hAnsi="黑体" w:eastAsia="黑体" w:cs="黑体"/>
          <w:b w:val="0"/>
          <w:bCs w:val="0"/>
          <w:color w:val="auto"/>
          <w:sz w:val="32"/>
          <w:szCs w:val="32"/>
          <w:highlight w:val="none"/>
          <w:lang w:val="en-US" w:eastAsia="zh-CN"/>
        </w:rPr>
        <w:t>九、师资队伍</w:t>
      </w:r>
      <w:bookmarkEnd w:id="27"/>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按照“四有好老师”“四个相统一”“四个引路人”的要求建设专业教师队伍，将师德师风作为教师队伍建设的第一标准。</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default" w:ascii="楷体" w:hAnsi="楷体" w:eastAsia="楷体" w:cs="楷体"/>
          <w:color w:val="auto"/>
          <w:sz w:val="32"/>
          <w:szCs w:val="32"/>
          <w:lang w:val="en-US" w:eastAsia="zh-CN"/>
        </w:rPr>
      </w:pPr>
      <w:bookmarkStart w:id="28" w:name="_Toc22566"/>
      <w:r>
        <w:rPr>
          <w:rFonts w:hint="eastAsia" w:ascii="楷体" w:hAnsi="楷体" w:eastAsia="楷体" w:cs="楷体"/>
          <w:color w:val="auto"/>
          <w:sz w:val="32"/>
          <w:szCs w:val="32"/>
          <w:lang w:val="en-US" w:eastAsia="zh-CN"/>
        </w:rPr>
        <w:t>（一）队伍结构</w:t>
      </w:r>
      <w:bookmarkEnd w:id="28"/>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学生数与本专业专任教师数比例不高于25∶1，“双师型”教师占专业课教师数比例不低于60%，高级职称专任教师的比例不低于20%，专任教师队伍要考虑职称、年龄、工作经验，形成合理的梯队结构。</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能够整合校内外优质人才资源，选聘企业高级技术人员担任行业导师，组建校企合作、专兼结合的教师团队，建立定期开展专业（学科）教研机制。</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eastAsia="zh-CN"/>
        </w:rPr>
      </w:pPr>
      <w:bookmarkStart w:id="29" w:name="_Toc20415"/>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专业带头人</w:t>
      </w:r>
      <w:bookmarkEnd w:id="2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具有本专业及相关专业副高及以上职称和较强的实践能力，能够较好地把握国内外互联网和相关服务业、批发业、零售业行业、专业发展，能广泛联系行业企业，了解行业企业对本专业人才的需求实际，主持专业建设、开展教育教学改革、教科研工作和社会服务能力强，在本专业改革发展中起到引领作用。</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30" w:name="_Toc2702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3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具有高校教师资格；原则上具有电子商务、管理科学与工程、工商管理、计算机科学与技术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eastAsia="zh-CN"/>
        </w:rPr>
      </w:pPr>
      <w:bookmarkStart w:id="31" w:name="_Toc3145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）兼职教师</w:t>
      </w:r>
      <w:bookmarkEnd w:id="3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32" w:name="_Toc18556"/>
      <w:r>
        <w:rPr>
          <w:rFonts w:hint="eastAsia" w:ascii="黑体" w:hAnsi="黑体" w:eastAsia="黑体" w:cs="黑体"/>
          <w:b w:val="0"/>
          <w:bCs w:val="0"/>
          <w:color w:val="auto"/>
          <w:sz w:val="32"/>
          <w:szCs w:val="32"/>
          <w:highlight w:val="none"/>
          <w:lang w:val="en-US" w:eastAsia="zh-CN"/>
        </w:rPr>
        <w:t>十、教学条件</w:t>
      </w:r>
      <w:bookmarkEnd w:id="32"/>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eastAsia="zh-CN"/>
        </w:rPr>
      </w:pPr>
      <w:bookmarkStart w:id="33" w:name="_Toc16724"/>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lang w:eastAsia="zh-CN"/>
        </w:rPr>
        <w:t>）教学设施</w:t>
      </w:r>
      <w:bookmarkEnd w:id="33"/>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教学设施主要包括能够满足正常的课程教学、实习实训所需的专业教室、校内实训室和校外实训基地等。</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1.专业教室要求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学校为该专业配备公共教室（配备有多媒体设施）、多媒体教室等，满足理论教学要求。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配有黑板、多媒体计算机、投影设备、音响设备，安装应急照明装置并保持良好状态，符合紧急疏散要求，标志明显，逃生通道畅通无阻。</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电子商务专业</w:t>
      </w:r>
      <w:r>
        <w:rPr>
          <w:rFonts w:hint="eastAsia" w:ascii="仿宋_GB2312" w:hAnsi="仿宋_GB2312" w:eastAsia="仿宋_GB2312" w:cs="仿宋_GB2312"/>
          <w:color w:val="auto"/>
          <w:kern w:val="0"/>
          <w:sz w:val="32"/>
          <w:szCs w:val="32"/>
        </w:rPr>
        <w:t>校内实训资源列表</w:t>
      </w:r>
    </w:p>
    <w:tbl>
      <w:tblPr>
        <w:tblStyle w:val="10"/>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1569"/>
        <w:gridCol w:w="2415"/>
        <w:gridCol w:w="3556"/>
        <w:gridCol w:w="1746"/>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652"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实验实训室名称</w:t>
            </w:r>
          </w:p>
        </w:tc>
        <w:tc>
          <w:tcPr>
            <w:tcW w:w="241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实训适用课程</w:t>
            </w:r>
          </w:p>
        </w:tc>
        <w:tc>
          <w:tcPr>
            <w:tcW w:w="35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实训项目</w:t>
            </w:r>
          </w:p>
        </w:tc>
        <w:tc>
          <w:tcPr>
            <w:tcW w:w="174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主要设备名称及配置数量</w:t>
            </w:r>
          </w:p>
        </w:tc>
        <w:tc>
          <w:tcPr>
            <w:tcW w:w="83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电子商务模拟实训室</w:t>
            </w:r>
          </w:p>
        </w:tc>
        <w:tc>
          <w:tcPr>
            <w:tcW w:w="241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零售门店O2O运营、网店运营、数据化运营、视觉营销设计、互联网产品开发</w:t>
            </w:r>
            <w:r>
              <w:rPr>
                <w:rFonts w:hint="eastAsia" w:ascii="仿宋_GB2312" w:hAnsi="仿宋_GB2312" w:eastAsia="仿宋_GB2312" w:cs="仿宋_GB2312"/>
                <w:sz w:val="24"/>
                <w:szCs w:val="24"/>
                <w:lang w:eastAsia="zh-CN"/>
              </w:rPr>
              <w:t>。</w:t>
            </w:r>
          </w:p>
        </w:tc>
        <w:tc>
          <w:tcPr>
            <w:tcW w:w="35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线上线下促销活动策划与实施、O2O 会员管理与营销、网店搭建与商品上架、销售数据挖掘与分析、店铺视觉形象设计、产品原型设计与制作</w:t>
            </w:r>
            <w:r>
              <w:rPr>
                <w:rFonts w:hint="eastAsia" w:ascii="仿宋_GB2312" w:hAnsi="仿宋_GB2312" w:eastAsia="仿宋_GB2312" w:cs="仿宋_GB2312"/>
                <w:sz w:val="24"/>
                <w:szCs w:val="24"/>
                <w:lang w:eastAsia="zh-CN"/>
              </w:rPr>
              <w:t>。</w:t>
            </w:r>
          </w:p>
        </w:tc>
        <w:tc>
          <w:tcPr>
            <w:tcW w:w="174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lang w:bidi="ar"/>
              </w:rPr>
              <w:t>微型计算机60台</w:t>
            </w:r>
          </w:p>
        </w:tc>
        <w:tc>
          <w:tcPr>
            <w:tcW w:w="83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会计电算化实训室</w:t>
            </w:r>
          </w:p>
        </w:tc>
        <w:tc>
          <w:tcPr>
            <w:tcW w:w="241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财税基础</w:t>
            </w:r>
          </w:p>
        </w:tc>
        <w:tc>
          <w:tcPr>
            <w:tcW w:w="35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原始凭证的识别与填制、记账凭证的编制、增值税计算与申报</w:t>
            </w:r>
            <w:r>
              <w:rPr>
                <w:rFonts w:hint="eastAsia" w:ascii="仿宋_GB2312" w:hAnsi="仿宋_GB2312" w:eastAsia="仿宋_GB2312" w:cs="仿宋_GB2312"/>
                <w:sz w:val="24"/>
                <w:szCs w:val="24"/>
                <w:lang w:eastAsia="zh-CN"/>
              </w:rPr>
              <w:t>。</w:t>
            </w:r>
          </w:p>
        </w:tc>
        <w:tc>
          <w:tcPr>
            <w:tcW w:w="174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lang w:bidi="ar"/>
              </w:rPr>
              <w:t>微型计算机60台</w:t>
            </w:r>
          </w:p>
        </w:tc>
        <w:tc>
          <w:tcPr>
            <w:tcW w:w="83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652"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计算机实验中心</w:t>
            </w:r>
          </w:p>
        </w:tc>
        <w:tc>
          <w:tcPr>
            <w:tcW w:w="241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网店运营、商务数据分析、互联网销售、视觉营销设计</w:t>
            </w:r>
            <w:r>
              <w:rPr>
                <w:rFonts w:hint="eastAsia" w:ascii="仿宋_GB2312" w:hAnsi="仿宋_GB2312" w:eastAsia="仿宋_GB2312" w:cs="仿宋_GB2312"/>
                <w:sz w:val="24"/>
                <w:szCs w:val="24"/>
                <w:lang w:eastAsia="zh-CN"/>
              </w:rPr>
              <w:t>。</w:t>
            </w:r>
          </w:p>
        </w:tc>
        <w:tc>
          <w:tcPr>
            <w:tcW w:w="35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网店搭建与商品上架、店铺视觉形象设计、电商平台店铺运营实战、销售数据深度分析</w:t>
            </w:r>
            <w:r>
              <w:rPr>
                <w:rFonts w:hint="eastAsia" w:ascii="仿宋_GB2312" w:hAnsi="仿宋_GB2312" w:eastAsia="仿宋_GB2312" w:cs="仿宋_GB2312"/>
                <w:sz w:val="24"/>
                <w:szCs w:val="24"/>
                <w:lang w:eastAsia="zh-CN"/>
              </w:rPr>
              <w:t>。</w:t>
            </w:r>
          </w:p>
        </w:tc>
        <w:tc>
          <w:tcPr>
            <w:tcW w:w="174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lang w:bidi="ar"/>
              </w:rPr>
              <w:t>微型计算机60台</w:t>
            </w:r>
          </w:p>
        </w:tc>
        <w:tc>
          <w:tcPr>
            <w:tcW w:w="83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新媒体实训中心</w:t>
            </w:r>
          </w:p>
        </w:tc>
        <w:tc>
          <w:tcPr>
            <w:tcW w:w="241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网络营销、数据可视化、视觉营销设计、社群营销、网店运营</w:t>
            </w:r>
            <w:r>
              <w:rPr>
                <w:rFonts w:hint="eastAsia" w:ascii="仿宋_GB2312" w:hAnsi="仿宋_GB2312" w:eastAsia="仿宋_GB2312" w:cs="仿宋_GB2312"/>
                <w:sz w:val="24"/>
                <w:szCs w:val="24"/>
                <w:lang w:eastAsia="zh-CN"/>
              </w:rPr>
              <w:t>。</w:t>
            </w:r>
          </w:p>
        </w:tc>
        <w:tc>
          <w:tcPr>
            <w:tcW w:w="35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社交媒体营销推广、搜索引擎营销实训、店铺视觉形象设计、社群营销活动策划与执行</w:t>
            </w:r>
            <w:r>
              <w:rPr>
                <w:rFonts w:hint="eastAsia" w:ascii="仿宋_GB2312" w:hAnsi="仿宋_GB2312" w:eastAsia="仿宋_GB2312" w:cs="仿宋_GB2312"/>
                <w:sz w:val="24"/>
                <w:szCs w:val="24"/>
                <w:lang w:eastAsia="zh-CN"/>
              </w:rPr>
              <w:t>。</w:t>
            </w:r>
          </w:p>
        </w:tc>
        <w:tc>
          <w:tcPr>
            <w:tcW w:w="174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直播系统1套</w:t>
            </w:r>
          </w:p>
        </w:tc>
        <w:tc>
          <w:tcPr>
            <w:tcW w:w="83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70</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3.校外实训资源</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（1）校外实训基地基本要求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具有稳定的校外实训基地2个以上；能够开展网店运营、网店美工、直播营销等实训活动；实训设施齐备，实训岗位、实训指导教师确定，实训管理及实施规章制度齐全。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（2）学生实习基地基本要求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具有稳定的校外实习基地2个以上；能提供网店运营、网店客服等相关实习岗位，能涵盖当前相关产业的主流技术，可接纳一定规模的学生实习；能够配备相应数量的指导教师对学生实习进行指导和管理；有保证实习生日常工作、学习、生活的规章制度，有安全、保险保障。</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电子商务专业校外实习基地一览表</w:t>
      </w:r>
    </w:p>
    <w:tbl>
      <w:tblPr>
        <w:tblStyle w:val="10"/>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3185"/>
        <w:gridCol w:w="3621"/>
        <w:gridCol w:w="1701"/>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1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校外实习基地名称</w:t>
            </w:r>
          </w:p>
        </w:tc>
        <w:tc>
          <w:tcPr>
            <w:tcW w:w="36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合作企业名称</w:t>
            </w:r>
          </w:p>
        </w:tc>
        <w:tc>
          <w:tcPr>
            <w:tcW w:w="170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合作内容</w:t>
            </w:r>
          </w:p>
        </w:tc>
        <w:tc>
          <w:tcPr>
            <w:tcW w:w="15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1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广西工程职业学院电子商务专业校外实习基地</w:t>
            </w:r>
          </w:p>
        </w:tc>
        <w:tc>
          <w:tcPr>
            <w:tcW w:w="36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广西壮言淘电子商务有限公司</w:t>
            </w:r>
          </w:p>
        </w:tc>
        <w:tc>
          <w:tcPr>
            <w:tcW w:w="170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共同建设实训实习平台</w:t>
            </w:r>
          </w:p>
        </w:tc>
        <w:tc>
          <w:tcPr>
            <w:tcW w:w="15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1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广西工程职业学院电子商务专业校外实习基地</w:t>
            </w:r>
          </w:p>
        </w:tc>
        <w:tc>
          <w:tcPr>
            <w:tcW w:w="36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平果鸿仁传媒科技有限公司</w:t>
            </w:r>
          </w:p>
        </w:tc>
        <w:tc>
          <w:tcPr>
            <w:tcW w:w="170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共同建设实训实习平台</w:t>
            </w:r>
          </w:p>
        </w:tc>
        <w:tc>
          <w:tcPr>
            <w:tcW w:w="15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31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广西工程职业学院电子商务专业校外实习基地</w:t>
            </w:r>
          </w:p>
        </w:tc>
        <w:tc>
          <w:tcPr>
            <w:tcW w:w="36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广西平果庆源电子科技有限责任公司</w:t>
            </w:r>
          </w:p>
        </w:tc>
        <w:tc>
          <w:tcPr>
            <w:tcW w:w="170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共同建设实训实习平台</w:t>
            </w:r>
          </w:p>
        </w:tc>
        <w:tc>
          <w:tcPr>
            <w:tcW w:w="15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31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广西工程职业学院电子商务专业校外实习基地</w:t>
            </w:r>
          </w:p>
        </w:tc>
        <w:tc>
          <w:tcPr>
            <w:tcW w:w="36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广西友爱传媒科技有限公司</w:t>
            </w:r>
          </w:p>
        </w:tc>
        <w:tc>
          <w:tcPr>
            <w:tcW w:w="170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共同建设实训实习平台</w:t>
            </w:r>
          </w:p>
        </w:tc>
        <w:tc>
          <w:tcPr>
            <w:tcW w:w="15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31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广西工程职业学院电子商务专业校外实习基地</w:t>
            </w:r>
          </w:p>
        </w:tc>
        <w:tc>
          <w:tcPr>
            <w:tcW w:w="36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平果亿鑫国际家居有限公司</w:t>
            </w:r>
          </w:p>
        </w:tc>
        <w:tc>
          <w:tcPr>
            <w:tcW w:w="170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共同建设实训实习平台</w:t>
            </w:r>
          </w:p>
        </w:tc>
        <w:tc>
          <w:tcPr>
            <w:tcW w:w="15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eastAsia="zh-CN"/>
        </w:rPr>
      </w:pPr>
      <w:bookmarkStart w:id="34" w:name="_Toc1620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）教学资源</w:t>
      </w:r>
      <w:bookmarkEnd w:id="34"/>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教学资源主要包括能满足学生专业学习、教师专业教学研究和教学实施所需的教材、图书文献及数字教学资源等。</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1.教材选用基本要求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2.图书文献配备基本要求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图书文献配备能满足人才培养、专业建设、教科研等工作的需要，方便师生查询、借阅。专业类文献主要包括：电子商务相关行业政策法规、行业标准、技术规范与服务相关专业类图书和实务案例类图书。专业图书资料（含电子图书）不低于500册，5种以上电子商务、农村电商、跨境电商、直播电商等各类专业学术期刊，并能保持每年更新。</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3.数字教学资源配置基本要求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建设、配备与专业相关的音视频素材、教学课件、数字化教学案例库、虚拟仿真软件、数字教材等专业教学资源库，应种类丰富、形式多样、使用便捷、动态更新，能满足教学要求。</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eastAsia="zh-CN"/>
        </w:rPr>
      </w:pPr>
      <w:bookmarkStart w:id="35" w:name="_Toc9098"/>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教学方法</w:t>
      </w:r>
      <w:bookmarkEnd w:id="35"/>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eastAsia="zh-CN"/>
        </w:rPr>
      </w:pPr>
      <w:bookmarkStart w:id="36" w:name="_Toc2183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）学习评价</w:t>
      </w:r>
      <w:bookmarkEnd w:id="36"/>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1.课程考核方法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2.教学评价方式</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37" w:name="_Toc31194"/>
      <w:r>
        <w:rPr>
          <w:rFonts w:hint="eastAsia" w:ascii="黑体" w:hAnsi="黑体" w:eastAsia="黑体" w:cs="黑体"/>
          <w:b w:val="0"/>
          <w:bCs w:val="0"/>
          <w:color w:val="auto"/>
          <w:sz w:val="32"/>
          <w:szCs w:val="32"/>
          <w:highlight w:val="none"/>
          <w:lang w:val="en-US" w:eastAsia="zh-CN"/>
        </w:rPr>
        <w:t>十一、质量保障</w:t>
      </w:r>
      <w:bookmarkEnd w:id="37"/>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3.专业教研室建立线上线下相结合的集中备课制度，定期召开教学研讨会议，利用评价分析结果有效改进专业教学，持续提高人才培养质量。</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5.充分利用评价分析结果有效改进专业教学，持续提高人才培养质量</w:t>
      </w:r>
      <w:r>
        <w:rPr>
          <w:rFonts w:hint="eastAsia" w:ascii="仿宋_GB2312" w:hAnsi="仿宋_GB2312" w:eastAsia="仿宋_GB2312" w:cs="仿宋_GB2312"/>
          <w:b w:val="0"/>
          <w:bCs w:val="0"/>
          <w:color w:val="auto"/>
          <w:sz w:val="32"/>
          <w:szCs w:val="32"/>
          <w:highlight w:val="none"/>
          <w:lang w:val="en-US" w:eastAsia="zh-CN"/>
        </w:rPr>
        <w:t>。</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38" w:name="_Toc7967"/>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38"/>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39" w:name="_Toc30000"/>
      <w:r>
        <w:rPr>
          <w:rFonts w:hint="eastAsia" w:ascii="楷体" w:hAnsi="楷体" w:eastAsia="楷体" w:cs="楷体"/>
          <w:color w:val="auto"/>
          <w:sz w:val="32"/>
          <w:szCs w:val="32"/>
          <w:lang w:val="en-US" w:eastAsia="zh-CN"/>
        </w:rPr>
        <w:t>（一）学分要求</w:t>
      </w:r>
      <w:bookmarkEnd w:id="3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专业要求学生根据人才培养方案确定的目标和培养规格，完成规定的实习实训，全部课程考核合格且修满至少147学分。其中，必修课131学分，选修课16学分。公共必修课44学分，公共选修课8学分。专业必修课87学分，专业选修课8学分。</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bookmarkStart w:id="40" w:name="_Toc25933"/>
      <w:r>
        <w:rPr>
          <w:rFonts w:hint="eastAsia" w:ascii="楷体" w:hAnsi="楷体" w:eastAsia="楷体" w:cs="楷体"/>
          <w:color w:val="auto"/>
          <w:sz w:val="32"/>
          <w:szCs w:val="32"/>
          <w:lang w:val="en-US" w:eastAsia="zh-CN"/>
        </w:rPr>
        <w:t>（二）职业类证书要求</w:t>
      </w:r>
      <w:bookmarkEnd w:id="4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将电子商务师（中级）等职业证书纳入培养要求，鼓励学生考取相关证书。通过职业证书的考取，提高学生的专业技能和就业竞争力，使学生更好地适应社会和企业的需求。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en-US" w:eastAsia="zh-CN"/>
        </w:rPr>
        <w:t>学生接受职业培训取得的职业技能等级证书、培训证书等学习成果，经学校认定，可以转化为相应的学历教育学分，以支撑学生未来在就业、创业、学业等方面持续发展。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firstLineChars="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电子商务专业职业证书一览表</w:t>
      </w:r>
    </w:p>
    <w:tbl>
      <w:tblPr>
        <w:tblStyle w:val="10"/>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4203"/>
        <w:gridCol w:w="3691"/>
        <w:gridCol w:w="1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85" w:type="dxa"/>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序号</w:t>
            </w:r>
          </w:p>
        </w:tc>
        <w:tc>
          <w:tcPr>
            <w:tcW w:w="3337" w:type="dxa"/>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证书名称</w:t>
            </w:r>
          </w:p>
        </w:tc>
        <w:tc>
          <w:tcPr>
            <w:tcW w:w="2931" w:type="dxa"/>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发证机构</w:t>
            </w:r>
          </w:p>
        </w:tc>
        <w:tc>
          <w:tcPr>
            <w:tcW w:w="1400" w:type="dxa"/>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85"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1</w:t>
            </w:r>
          </w:p>
        </w:tc>
        <w:tc>
          <w:tcPr>
            <w:tcW w:w="3337"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高职学历证书</w:t>
            </w:r>
          </w:p>
        </w:tc>
        <w:tc>
          <w:tcPr>
            <w:tcW w:w="2931"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广西工程职业学院</w:t>
            </w:r>
          </w:p>
        </w:tc>
        <w:tc>
          <w:tcPr>
            <w:tcW w:w="1400"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85"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2</w:t>
            </w:r>
          </w:p>
        </w:tc>
        <w:tc>
          <w:tcPr>
            <w:tcW w:w="3337"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大学英语B级证书</w:t>
            </w:r>
          </w:p>
        </w:tc>
        <w:tc>
          <w:tcPr>
            <w:tcW w:w="2931"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国家教育部、高等学校英语应用能力考试委员会</w:t>
            </w:r>
          </w:p>
        </w:tc>
        <w:tc>
          <w:tcPr>
            <w:tcW w:w="1400"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85"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3</w:t>
            </w:r>
          </w:p>
        </w:tc>
        <w:tc>
          <w:tcPr>
            <w:tcW w:w="3337"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eastAsia="zh-CN"/>
                <w14:textFill>
                  <w14:solidFill>
                    <w14:schemeClr w14:val="tx1"/>
                  </w14:solidFill>
                </w14:textFill>
              </w:rPr>
              <w:t>“</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1+X</w:t>
            </w:r>
            <w:r>
              <w:rPr>
                <w:rFonts w:hint="eastAsia" w:ascii="仿宋_GB2312" w:hAnsi="仿宋_GB2312" w:eastAsia="仿宋_GB2312" w:cs="仿宋_GB2312"/>
                <w:color w:val="000000" w:themeColor="text1"/>
                <w:sz w:val="24"/>
                <w:szCs w:val="24"/>
                <w:vertAlign w:val="baseline"/>
                <w:lang w:eastAsia="zh-CN"/>
                <w14:textFill>
                  <w14:solidFill>
                    <w14:schemeClr w14:val="tx1"/>
                  </w14:solidFill>
                </w14:textFill>
              </w:rPr>
              <w:t>”</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职业技能等级证书</w:t>
            </w:r>
          </w:p>
        </w:tc>
        <w:tc>
          <w:tcPr>
            <w:tcW w:w="2931"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国家教育部</w:t>
            </w:r>
          </w:p>
        </w:tc>
        <w:tc>
          <w:tcPr>
            <w:tcW w:w="1400"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85"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4</w:t>
            </w:r>
          </w:p>
        </w:tc>
        <w:tc>
          <w:tcPr>
            <w:tcW w:w="3337"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全国计算机等级考试（一级）证书</w:t>
            </w:r>
          </w:p>
        </w:tc>
        <w:tc>
          <w:tcPr>
            <w:tcW w:w="2931" w:type="dxa"/>
            <w:shd w:val="clear" w:color="auto" w:fill="auto"/>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国家教育部</w:t>
            </w:r>
          </w:p>
        </w:tc>
        <w:tc>
          <w:tcPr>
            <w:tcW w:w="1400" w:type="dxa"/>
            <w:shd w:val="clear" w:color="auto" w:fill="auto"/>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000000" w:themeColor="text1"/>
                <w:kern w:val="0"/>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85"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5</w:t>
            </w:r>
          </w:p>
        </w:tc>
        <w:tc>
          <w:tcPr>
            <w:tcW w:w="3337"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电子商务师（中级）</w:t>
            </w:r>
          </w:p>
        </w:tc>
        <w:tc>
          <w:tcPr>
            <w:tcW w:w="2931"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14:textFill>
                  <w14:solidFill>
                    <w14:schemeClr w14:val="tx1"/>
                  </w14:solidFill>
                </w14:textFill>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85"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6</w:t>
            </w:r>
          </w:p>
        </w:tc>
        <w:tc>
          <w:tcPr>
            <w:tcW w:w="3337"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14:textFill>
                  <w14:solidFill>
                    <w14:schemeClr w14:val="tx1"/>
                  </w14:solidFill>
                </w14:textFill>
              </w:rPr>
              <w:t>直播电商（初级）</w:t>
            </w:r>
          </w:p>
        </w:tc>
        <w:tc>
          <w:tcPr>
            <w:tcW w:w="2931"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14:textFill>
                  <w14:solidFill>
                    <w14:schemeClr w14:val="tx1"/>
                  </w14:solidFill>
                </w14:textFill>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 xml:space="preserve"> </w:t>
      </w:r>
      <w:bookmarkStart w:id="41" w:name="_Toc12857"/>
      <w:r>
        <w:rPr>
          <w:rFonts w:hint="eastAsia" w:ascii="楷体" w:hAnsi="楷体" w:eastAsia="楷体" w:cs="楷体"/>
          <w:color w:val="auto"/>
          <w:sz w:val="32"/>
          <w:szCs w:val="32"/>
          <w:lang w:val="en-US" w:eastAsia="zh-CN"/>
        </w:rPr>
        <w:t>（三）综合素质要求</w:t>
      </w:r>
      <w:bookmarkEnd w:id="4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经鉴定，思想品德符合要求，系统掌握电子商务专业核心理论与实操技能，熟练运用电商平台运营、网络营销推广、数据分析应用、跨境电商实务等专业技术，积极参与店铺运营实训、直播电商实践、电商创业项目等社会实践活动，具备电子商务行业所需的合规经营意识、客户服务素养、团队协作能力与创新实践能力，职业综合素质与岗位行动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lang w:val="en-US" w:eastAsia="zh-CN" w:bidi="ar-SA"/>
        </w:rPr>
      </w:pPr>
    </w:p>
    <w:p>
      <w:pPr>
        <w:pageBreakBefore w:val="0"/>
        <w:kinsoku/>
        <w:wordWrap/>
        <w:topLinePunct w:val="0"/>
        <w:autoSpaceDE/>
        <w:autoSpaceDN/>
        <w:bidi w:val="0"/>
        <w:spacing w:after="0"/>
        <w:rPr>
          <w:color w:val="auto"/>
        </w:rPr>
      </w:pPr>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5F3EEC-6630-444A-870B-18DECC3868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embedRegular r:id="rId2" w:fontKey="{BEA4E7FB-7719-4F4B-99B2-DD08C10CED3F}"/>
  </w:font>
  <w:font w:name="仿宋_GB2312">
    <w:panose1 w:val="02010609030101010101"/>
    <w:charset w:val="86"/>
    <w:family w:val="modern"/>
    <w:pitch w:val="default"/>
    <w:sig w:usb0="00000001" w:usb1="080E0000" w:usb2="00000000" w:usb3="00000000" w:csb0="00040000" w:csb1="00000000"/>
    <w:embedRegular r:id="rId3" w:fontKey="{D1A4C27C-BE3C-4BC2-A7A9-9FC1D7C97A0C}"/>
  </w:font>
  <w:font w:name="仿宋">
    <w:panose1 w:val="02010609060101010101"/>
    <w:charset w:val="86"/>
    <w:family w:val="modern"/>
    <w:pitch w:val="default"/>
    <w:sig w:usb0="800002BF" w:usb1="38CF7CFA" w:usb2="00000016" w:usb3="00000000" w:csb0="00040001" w:csb1="00000000"/>
    <w:embedRegular r:id="rId4" w:fontKey="{FC26F6CF-A115-43A8-8966-E50271B88650}"/>
  </w:font>
  <w:font w:name="楷体">
    <w:panose1 w:val="02010609060101010101"/>
    <w:charset w:val="86"/>
    <w:family w:val="modern"/>
    <w:pitch w:val="default"/>
    <w:sig w:usb0="800002BF" w:usb1="38CF7CFA" w:usb2="00000016" w:usb3="00000000" w:csb0="00040001" w:csb1="00000000"/>
    <w:embedRegular r:id="rId5" w:fontKey="{CBE5661D-DB08-487A-9368-3A25E3AB45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4C19B6"/>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435724"/>
    <w:rsid w:val="01514167"/>
    <w:rsid w:val="01786F4B"/>
    <w:rsid w:val="01AA3877"/>
    <w:rsid w:val="02661E94"/>
    <w:rsid w:val="02CD5374"/>
    <w:rsid w:val="03304250"/>
    <w:rsid w:val="03A07894"/>
    <w:rsid w:val="03A51341"/>
    <w:rsid w:val="048C3708"/>
    <w:rsid w:val="04A22D67"/>
    <w:rsid w:val="04BC3FEE"/>
    <w:rsid w:val="051223C4"/>
    <w:rsid w:val="062E0F1B"/>
    <w:rsid w:val="06471FDD"/>
    <w:rsid w:val="069537CD"/>
    <w:rsid w:val="06AB7B59"/>
    <w:rsid w:val="06C90C44"/>
    <w:rsid w:val="070954E4"/>
    <w:rsid w:val="07322345"/>
    <w:rsid w:val="082F2519"/>
    <w:rsid w:val="084C7436"/>
    <w:rsid w:val="08DA7138"/>
    <w:rsid w:val="08F70DAF"/>
    <w:rsid w:val="09075A53"/>
    <w:rsid w:val="094D790A"/>
    <w:rsid w:val="095347F5"/>
    <w:rsid w:val="09CB082F"/>
    <w:rsid w:val="09D45935"/>
    <w:rsid w:val="09EB1E4B"/>
    <w:rsid w:val="0A1E4E03"/>
    <w:rsid w:val="0A634F0B"/>
    <w:rsid w:val="0AC91212"/>
    <w:rsid w:val="0AFF69E2"/>
    <w:rsid w:val="0B64718D"/>
    <w:rsid w:val="0B9E269F"/>
    <w:rsid w:val="0BB93035"/>
    <w:rsid w:val="0C0A3BA0"/>
    <w:rsid w:val="0C1D1463"/>
    <w:rsid w:val="0CE642FD"/>
    <w:rsid w:val="0CFB1B17"/>
    <w:rsid w:val="0CFD3145"/>
    <w:rsid w:val="0D3000CB"/>
    <w:rsid w:val="0DE924A0"/>
    <w:rsid w:val="0E2350DD"/>
    <w:rsid w:val="0E5E6115"/>
    <w:rsid w:val="0E9C5791"/>
    <w:rsid w:val="0ED4462A"/>
    <w:rsid w:val="0F386966"/>
    <w:rsid w:val="0FA47B58"/>
    <w:rsid w:val="0FA67D74"/>
    <w:rsid w:val="0FD20B69"/>
    <w:rsid w:val="0FE4089C"/>
    <w:rsid w:val="10093E5F"/>
    <w:rsid w:val="10152804"/>
    <w:rsid w:val="10234F21"/>
    <w:rsid w:val="10914580"/>
    <w:rsid w:val="10EE36A0"/>
    <w:rsid w:val="116752E1"/>
    <w:rsid w:val="12485112"/>
    <w:rsid w:val="127F665A"/>
    <w:rsid w:val="12DC3AAD"/>
    <w:rsid w:val="12F708E7"/>
    <w:rsid w:val="13203999"/>
    <w:rsid w:val="135C5E82"/>
    <w:rsid w:val="139B5716"/>
    <w:rsid w:val="13C77F07"/>
    <w:rsid w:val="13F454F6"/>
    <w:rsid w:val="147919B1"/>
    <w:rsid w:val="14A800EA"/>
    <w:rsid w:val="14E623BC"/>
    <w:rsid w:val="15001CD4"/>
    <w:rsid w:val="150317C5"/>
    <w:rsid w:val="15202377"/>
    <w:rsid w:val="15542020"/>
    <w:rsid w:val="15C54338"/>
    <w:rsid w:val="165F0C7D"/>
    <w:rsid w:val="1699418F"/>
    <w:rsid w:val="16995FBA"/>
    <w:rsid w:val="16A42B33"/>
    <w:rsid w:val="16DC051F"/>
    <w:rsid w:val="170B4961"/>
    <w:rsid w:val="1740285C"/>
    <w:rsid w:val="1749510D"/>
    <w:rsid w:val="1796247C"/>
    <w:rsid w:val="17FB1924"/>
    <w:rsid w:val="18CB084B"/>
    <w:rsid w:val="19481E9C"/>
    <w:rsid w:val="19AF3CC9"/>
    <w:rsid w:val="1A262FB5"/>
    <w:rsid w:val="1A622B23"/>
    <w:rsid w:val="1AE45BF4"/>
    <w:rsid w:val="1BAE7956"/>
    <w:rsid w:val="1BCC19A4"/>
    <w:rsid w:val="1BF93A5C"/>
    <w:rsid w:val="1C27223D"/>
    <w:rsid w:val="1C6F14EE"/>
    <w:rsid w:val="1CB25FAA"/>
    <w:rsid w:val="1D0377EB"/>
    <w:rsid w:val="1D24677C"/>
    <w:rsid w:val="1DD51824"/>
    <w:rsid w:val="1E4B3DFE"/>
    <w:rsid w:val="1E7C5DC4"/>
    <w:rsid w:val="1E91399D"/>
    <w:rsid w:val="1EA77665"/>
    <w:rsid w:val="1ECC6B87"/>
    <w:rsid w:val="1F3A7811"/>
    <w:rsid w:val="1F5350F7"/>
    <w:rsid w:val="1FAB0118"/>
    <w:rsid w:val="1FB17C46"/>
    <w:rsid w:val="1FB21E1D"/>
    <w:rsid w:val="1FBC2C9C"/>
    <w:rsid w:val="207417C9"/>
    <w:rsid w:val="20AA343C"/>
    <w:rsid w:val="20AD7038"/>
    <w:rsid w:val="20BE4D41"/>
    <w:rsid w:val="20E56222"/>
    <w:rsid w:val="210E0F0E"/>
    <w:rsid w:val="21162A43"/>
    <w:rsid w:val="2170143C"/>
    <w:rsid w:val="21B31A71"/>
    <w:rsid w:val="21EB3D26"/>
    <w:rsid w:val="22123047"/>
    <w:rsid w:val="223461B5"/>
    <w:rsid w:val="22967FAA"/>
    <w:rsid w:val="229F7603"/>
    <w:rsid w:val="22A00653"/>
    <w:rsid w:val="2338088B"/>
    <w:rsid w:val="236773C3"/>
    <w:rsid w:val="237D0994"/>
    <w:rsid w:val="23954DD6"/>
    <w:rsid w:val="23D42CAA"/>
    <w:rsid w:val="249D12EE"/>
    <w:rsid w:val="24E76143"/>
    <w:rsid w:val="24F353B2"/>
    <w:rsid w:val="251E0E1E"/>
    <w:rsid w:val="267267EF"/>
    <w:rsid w:val="267A11BB"/>
    <w:rsid w:val="26A66944"/>
    <w:rsid w:val="27075144"/>
    <w:rsid w:val="27441EF5"/>
    <w:rsid w:val="27AE3812"/>
    <w:rsid w:val="27F5401D"/>
    <w:rsid w:val="28557849"/>
    <w:rsid w:val="285A12A4"/>
    <w:rsid w:val="289A5B44"/>
    <w:rsid w:val="28BD30CD"/>
    <w:rsid w:val="296E1A2F"/>
    <w:rsid w:val="29B449E4"/>
    <w:rsid w:val="29C72B81"/>
    <w:rsid w:val="29F55728"/>
    <w:rsid w:val="2B0F281A"/>
    <w:rsid w:val="2B274D58"/>
    <w:rsid w:val="2B8D373E"/>
    <w:rsid w:val="2BF11F1F"/>
    <w:rsid w:val="2BFB61B7"/>
    <w:rsid w:val="2C802418"/>
    <w:rsid w:val="2CB341C7"/>
    <w:rsid w:val="2CC66F08"/>
    <w:rsid w:val="2CEB2E12"/>
    <w:rsid w:val="2D5704A8"/>
    <w:rsid w:val="2D8165B1"/>
    <w:rsid w:val="2D964B2C"/>
    <w:rsid w:val="2DAC4350"/>
    <w:rsid w:val="2DE47F8D"/>
    <w:rsid w:val="2E444C4B"/>
    <w:rsid w:val="2E5C3799"/>
    <w:rsid w:val="2F083808"/>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21D581C"/>
    <w:rsid w:val="32F32A21"/>
    <w:rsid w:val="32F92E4C"/>
    <w:rsid w:val="32FA3DAF"/>
    <w:rsid w:val="33260700"/>
    <w:rsid w:val="33266952"/>
    <w:rsid w:val="33AE06F6"/>
    <w:rsid w:val="33B93C14"/>
    <w:rsid w:val="344D0C4D"/>
    <w:rsid w:val="348B3F97"/>
    <w:rsid w:val="34B65AB4"/>
    <w:rsid w:val="34C46423"/>
    <w:rsid w:val="34EA50C0"/>
    <w:rsid w:val="357449D1"/>
    <w:rsid w:val="35E93C67"/>
    <w:rsid w:val="36020F7C"/>
    <w:rsid w:val="364315C9"/>
    <w:rsid w:val="36657792"/>
    <w:rsid w:val="366E345D"/>
    <w:rsid w:val="36AB5796"/>
    <w:rsid w:val="36BB7D07"/>
    <w:rsid w:val="370E7E29"/>
    <w:rsid w:val="376B0DD8"/>
    <w:rsid w:val="3770165B"/>
    <w:rsid w:val="37960DB8"/>
    <w:rsid w:val="37AD2573"/>
    <w:rsid w:val="37D01543"/>
    <w:rsid w:val="381153F4"/>
    <w:rsid w:val="38481119"/>
    <w:rsid w:val="38877EE4"/>
    <w:rsid w:val="38C22C79"/>
    <w:rsid w:val="39372651"/>
    <w:rsid w:val="39A700C1"/>
    <w:rsid w:val="39DB331B"/>
    <w:rsid w:val="3A451367"/>
    <w:rsid w:val="3A60099C"/>
    <w:rsid w:val="3A7A7584"/>
    <w:rsid w:val="3AEA4709"/>
    <w:rsid w:val="3AF56B60"/>
    <w:rsid w:val="3B4007CD"/>
    <w:rsid w:val="3C17152E"/>
    <w:rsid w:val="3D0047E4"/>
    <w:rsid w:val="3D145A6E"/>
    <w:rsid w:val="3D766728"/>
    <w:rsid w:val="3D9F7A2D"/>
    <w:rsid w:val="3E4D7489"/>
    <w:rsid w:val="3E725142"/>
    <w:rsid w:val="3EB92D70"/>
    <w:rsid w:val="3F6A4DBB"/>
    <w:rsid w:val="3F785DC7"/>
    <w:rsid w:val="3FF86C17"/>
    <w:rsid w:val="3FFC1167"/>
    <w:rsid w:val="40077B0C"/>
    <w:rsid w:val="404B5C4A"/>
    <w:rsid w:val="40664832"/>
    <w:rsid w:val="4084115C"/>
    <w:rsid w:val="4099592E"/>
    <w:rsid w:val="40B53BBC"/>
    <w:rsid w:val="40B557B9"/>
    <w:rsid w:val="40C8470D"/>
    <w:rsid w:val="41355343"/>
    <w:rsid w:val="413D6362"/>
    <w:rsid w:val="4146510A"/>
    <w:rsid w:val="41540B2E"/>
    <w:rsid w:val="415648A7"/>
    <w:rsid w:val="41727207"/>
    <w:rsid w:val="41A42FA1"/>
    <w:rsid w:val="41BB6E00"/>
    <w:rsid w:val="41CF62FB"/>
    <w:rsid w:val="41DE5079"/>
    <w:rsid w:val="422A57D8"/>
    <w:rsid w:val="427C5F7D"/>
    <w:rsid w:val="42817701"/>
    <w:rsid w:val="428611BC"/>
    <w:rsid w:val="42B86E9B"/>
    <w:rsid w:val="43105F3B"/>
    <w:rsid w:val="436463B1"/>
    <w:rsid w:val="43713C1A"/>
    <w:rsid w:val="43792ACE"/>
    <w:rsid w:val="43A34B12"/>
    <w:rsid w:val="43A538C3"/>
    <w:rsid w:val="43C755E8"/>
    <w:rsid w:val="43D864E5"/>
    <w:rsid w:val="44380293"/>
    <w:rsid w:val="4457512C"/>
    <w:rsid w:val="447D65EE"/>
    <w:rsid w:val="44A43B7B"/>
    <w:rsid w:val="44B71B00"/>
    <w:rsid w:val="44B862E9"/>
    <w:rsid w:val="455530C7"/>
    <w:rsid w:val="4602706C"/>
    <w:rsid w:val="46733805"/>
    <w:rsid w:val="46B856BC"/>
    <w:rsid w:val="46B96CE9"/>
    <w:rsid w:val="46EE10DD"/>
    <w:rsid w:val="46F661E4"/>
    <w:rsid w:val="47103740"/>
    <w:rsid w:val="471C3E9C"/>
    <w:rsid w:val="47297547"/>
    <w:rsid w:val="4747057A"/>
    <w:rsid w:val="475E094D"/>
    <w:rsid w:val="47AF2001"/>
    <w:rsid w:val="4803505C"/>
    <w:rsid w:val="480A0199"/>
    <w:rsid w:val="484A0D73"/>
    <w:rsid w:val="48A57EC2"/>
    <w:rsid w:val="48AE4FC8"/>
    <w:rsid w:val="48BA396D"/>
    <w:rsid w:val="48BD16AF"/>
    <w:rsid w:val="48DF1625"/>
    <w:rsid w:val="48E56510"/>
    <w:rsid w:val="49395702"/>
    <w:rsid w:val="49843F7B"/>
    <w:rsid w:val="49A63EF1"/>
    <w:rsid w:val="4A3C6604"/>
    <w:rsid w:val="4AA20B5D"/>
    <w:rsid w:val="4AD8632C"/>
    <w:rsid w:val="4AEB01E0"/>
    <w:rsid w:val="4AF15640"/>
    <w:rsid w:val="4AFA62A3"/>
    <w:rsid w:val="4B726781"/>
    <w:rsid w:val="4C0272E2"/>
    <w:rsid w:val="4C0C0983"/>
    <w:rsid w:val="4C1149B8"/>
    <w:rsid w:val="4C675BBA"/>
    <w:rsid w:val="4D135D42"/>
    <w:rsid w:val="4D1473C4"/>
    <w:rsid w:val="4D32738D"/>
    <w:rsid w:val="4E514358"/>
    <w:rsid w:val="4E5C7274"/>
    <w:rsid w:val="4F585C8E"/>
    <w:rsid w:val="4F6B3C13"/>
    <w:rsid w:val="4F7D56F4"/>
    <w:rsid w:val="509C4C8B"/>
    <w:rsid w:val="5135219E"/>
    <w:rsid w:val="51C30881"/>
    <w:rsid w:val="51D535C6"/>
    <w:rsid w:val="51FE1E87"/>
    <w:rsid w:val="522105B9"/>
    <w:rsid w:val="5259656B"/>
    <w:rsid w:val="535B634F"/>
    <w:rsid w:val="53807561"/>
    <w:rsid w:val="53C71634"/>
    <w:rsid w:val="542919A7"/>
    <w:rsid w:val="54D51C54"/>
    <w:rsid w:val="55D87B28"/>
    <w:rsid w:val="56397652"/>
    <w:rsid w:val="565C2507"/>
    <w:rsid w:val="566118CC"/>
    <w:rsid w:val="56A23A63"/>
    <w:rsid w:val="56F95FA8"/>
    <w:rsid w:val="572D5C52"/>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8B1211"/>
    <w:rsid w:val="5BBC75A4"/>
    <w:rsid w:val="5BCC4E68"/>
    <w:rsid w:val="5BDD744F"/>
    <w:rsid w:val="5C0E6052"/>
    <w:rsid w:val="5C38700F"/>
    <w:rsid w:val="5C4E644E"/>
    <w:rsid w:val="5C606182"/>
    <w:rsid w:val="5C8C341B"/>
    <w:rsid w:val="5C9B365E"/>
    <w:rsid w:val="5CD1707F"/>
    <w:rsid w:val="5D01298C"/>
    <w:rsid w:val="5D206DB4"/>
    <w:rsid w:val="5D266C1F"/>
    <w:rsid w:val="5D292A17"/>
    <w:rsid w:val="5D3D0B1A"/>
    <w:rsid w:val="5D965719"/>
    <w:rsid w:val="5DB01B8C"/>
    <w:rsid w:val="5DF36AE4"/>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232BA5"/>
    <w:rsid w:val="613D1187"/>
    <w:rsid w:val="614442C4"/>
    <w:rsid w:val="614C61F2"/>
    <w:rsid w:val="61750921"/>
    <w:rsid w:val="617A5F38"/>
    <w:rsid w:val="61926DDD"/>
    <w:rsid w:val="62386256"/>
    <w:rsid w:val="62D11B87"/>
    <w:rsid w:val="62E80EC0"/>
    <w:rsid w:val="631D301E"/>
    <w:rsid w:val="631F49AF"/>
    <w:rsid w:val="632717A7"/>
    <w:rsid w:val="6384309D"/>
    <w:rsid w:val="638D0589"/>
    <w:rsid w:val="63CE39A4"/>
    <w:rsid w:val="63D27965"/>
    <w:rsid w:val="64025D70"/>
    <w:rsid w:val="643017E4"/>
    <w:rsid w:val="644840CB"/>
    <w:rsid w:val="64966BE4"/>
    <w:rsid w:val="65165F77"/>
    <w:rsid w:val="65FE0EE5"/>
    <w:rsid w:val="663F14FE"/>
    <w:rsid w:val="66707909"/>
    <w:rsid w:val="66B141AA"/>
    <w:rsid w:val="67470A9D"/>
    <w:rsid w:val="6773145F"/>
    <w:rsid w:val="67991586"/>
    <w:rsid w:val="67B90B06"/>
    <w:rsid w:val="67FA56DC"/>
    <w:rsid w:val="681A3FD0"/>
    <w:rsid w:val="6888718C"/>
    <w:rsid w:val="68B25FB7"/>
    <w:rsid w:val="69164798"/>
    <w:rsid w:val="698B14EF"/>
    <w:rsid w:val="69D837FB"/>
    <w:rsid w:val="6A246A40"/>
    <w:rsid w:val="6A9C6F1F"/>
    <w:rsid w:val="6ABA1153"/>
    <w:rsid w:val="6ADF04A1"/>
    <w:rsid w:val="6AF44665"/>
    <w:rsid w:val="6B1955B1"/>
    <w:rsid w:val="6B334050"/>
    <w:rsid w:val="6BB810FD"/>
    <w:rsid w:val="6BDB75D3"/>
    <w:rsid w:val="6BF80185"/>
    <w:rsid w:val="6C2B055A"/>
    <w:rsid w:val="6C423AF6"/>
    <w:rsid w:val="6C8A72E3"/>
    <w:rsid w:val="6C923EBF"/>
    <w:rsid w:val="6D1D49F8"/>
    <w:rsid w:val="6D594C53"/>
    <w:rsid w:val="6D8F2D6B"/>
    <w:rsid w:val="6E0C43BB"/>
    <w:rsid w:val="6E9F48C0"/>
    <w:rsid w:val="6EF07839"/>
    <w:rsid w:val="6F2F65B3"/>
    <w:rsid w:val="6FC4358D"/>
    <w:rsid w:val="6FF128C8"/>
    <w:rsid w:val="6FF60E7F"/>
    <w:rsid w:val="713C6D66"/>
    <w:rsid w:val="71DD2CB4"/>
    <w:rsid w:val="72011973"/>
    <w:rsid w:val="72202379"/>
    <w:rsid w:val="72563E57"/>
    <w:rsid w:val="72DA6836"/>
    <w:rsid w:val="72F21DD2"/>
    <w:rsid w:val="72FF629D"/>
    <w:rsid w:val="730022F6"/>
    <w:rsid w:val="732301DD"/>
    <w:rsid w:val="732950C8"/>
    <w:rsid w:val="735E76C4"/>
    <w:rsid w:val="73C60B68"/>
    <w:rsid w:val="73FD2CDB"/>
    <w:rsid w:val="74024296"/>
    <w:rsid w:val="74185868"/>
    <w:rsid w:val="741F6F9C"/>
    <w:rsid w:val="742510D0"/>
    <w:rsid w:val="74257F85"/>
    <w:rsid w:val="744F0B5E"/>
    <w:rsid w:val="749A44CF"/>
    <w:rsid w:val="74F55BA9"/>
    <w:rsid w:val="74F6722B"/>
    <w:rsid w:val="751A53DD"/>
    <w:rsid w:val="75504B8E"/>
    <w:rsid w:val="76191423"/>
    <w:rsid w:val="76326989"/>
    <w:rsid w:val="76562678"/>
    <w:rsid w:val="7718792D"/>
    <w:rsid w:val="77700E73"/>
    <w:rsid w:val="77D965A0"/>
    <w:rsid w:val="77FC484A"/>
    <w:rsid w:val="782C5979"/>
    <w:rsid w:val="7847671C"/>
    <w:rsid w:val="789254BD"/>
    <w:rsid w:val="79002D6F"/>
    <w:rsid w:val="791660EE"/>
    <w:rsid w:val="79751DE3"/>
    <w:rsid w:val="7A1E674C"/>
    <w:rsid w:val="7B3A005E"/>
    <w:rsid w:val="7B821819"/>
    <w:rsid w:val="7BAC4AE8"/>
    <w:rsid w:val="7C9C690A"/>
    <w:rsid w:val="7D1172F8"/>
    <w:rsid w:val="7D7B6E68"/>
    <w:rsid w:val="7DAC0DCF"/>
    <w:rsid w:val="7E372159"/>
    <w:rsid w:val="7EAF501B"/>
    <w:rsid w:val="7EF963A4"/>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Table Text"/>
    <w:basedOn w:val="1"/>
    <w:semiHidden/>
    <w:qFormat/>
    <w:uiPriority w:val="0"/>
    <w:rPr>
      <w:rFonts w:ascii="宋体" w:hAnsi="宋体" w:cs="宋体"/>
      <w:sz w:val="18"/>
      <w:szCs w:val="18"/>
      <w:lang w:eastAsia="en-US"/>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3c70cbf5-3c13-4818-bf46-7bf92fc2e3b6</errorID>
      <errorWord>适于</errorWord>
      <group>L1_AI</group>
      <groupName>深度校对</groupName>
      <ability>L2_AI_Word</ability>
      <abilityName>字词纠错</abilityName>
      <candidateList>
        <item>适用于</item>
      </candidateList>
      <explain/>
      <paraID>2933B9E8</paraID>
      <start>9</start>
      <end>11</end>
      <status>unmodified</status>
      <modifiedWord/>
      <trackRevisions>false</trackRevisions>
    </reviewItem>
    <reviewItem>
      <errorID>f2643165-4ac9-4da2-b425-e0787dbe9dac</errorID>
      <errorWord>制订</errorWord>
      <group>L1_AI</group>
      <groupName>深度校对</groupName>
      <ability>L2_AI_Word</ability>
      <abilityName>字词纠错</abilityName>
      <candidateList>
        <item>制定</item>
      </candidateList>
      <explain/>
      <paraID>2933B9E8</paraID>
      <start>57</start>
      <end>59</end>
      <status>unmodified</status>
      <modifiedWord/>
      <trackRevisions>false</trackRevisions>
    </reviewItem>
    <reviewItem>
      <errorID>629bd545-b44b-4a8b-8d38-8cde4f9a4ebf</errorID>
      <errorWord>同等学力</errorWord>
      <group>L1_Word</group>
      <groupName>字词问题</groupName>
      <ability>L2_Typo</ability>
      <abilityName>字词错误</abilityName>
      <candidateList>
        <item>同等学历</item>
      </candidateList>
      <explain/>
      <paraID>79C92840</paraID>
      <start>20</start>
      <end>24</end>
      <status>modified</status>
      <modifiedWord>同等学历</modifiedWord>
      <trackRevisions>false</trackRevisions>
    </reviewItem>
    <reviewItem>
      <errorID>3493ae73-c7e9-4f2f-a686-d50b4302b7d7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3A48727A</paraID>
      <start>22</start>
      <end>23</end>
      <status>unmodified</status>
      <modifiedWord/>
      <trackRevisions>false</trackRevisions>
    </reviewItem>
    <reviewItem>
      <errorID>c25af9aa-d018-40b1-af1c-8e077b9c8ff2</errorID>
      <errorWord>互联网和</errorWord>
      <group>L1_Knowledge</group>
      <groupName>知识性问题</groupName>
      <ability>L2_Term</ability>
      <abilityName>专业术语</abilityName>
      <candidateList>
        <item>互联网+</item>
      </candidateList>
      <explain/>
      <paraID>3C0D56F3</paraID>
      <start>124</start>
      <end>128</end>
      <status>unmodified</status>
      <modifiedWord/>
      <trackRevisions>false</trackRevisions>
    </reviewItem>
    <reviewItem>
      <errorID>f26f3895-aba6-40e2-8545-8ebf69ed0d22</errorID>
      <errorWord>文案设计</errorWord>
      <group>L1_Word</group>
      <groupName>字词问题</groupName>
      <ability>L2_Typo</ability>
      <abilityName>字词错误</abilityName>
      <candidateList>
        <item>方案设计</item>
      </candidateList>
      <explain/>
      <paraID> 97B993F</paraID>
      <start>45</start>
      <end>49</end>
      <status>unmodified</status>
      <modifiedWord/>
      <trackRevisions>false</trackRevisions>
    </reviewItem>
    <reviewItem>
      <errorID>43c60cf9-5732-4a58-8391-f944e1a63d26</errorID>
      <errorWord>基础课</errorWord>
      <group>L1_AI</group>
      <groupName>深度校对</groupName>
      <ability>L2_AI_Word</ability>
      <abilityName>字词纠错</abilityName>
      <candidateList>
        <item>基础</item>
      </candidateList>
      <explain/>
      <paraID>38DEFAC4</paraID>
      <start>5</start>
      <end>8</end>
      <status>unmodified</status>
      <modifiedWord/>
      <trackRevisions>false</trackRevisions>
    </reviewItem>
    <reviewItem>
      <errorID>f0c0d5ec-545b-441e-a927-f3fafe547d85</errorID>
      <errorWord>判断上</errorWord>
      <group>L1_Word</group>
      <groupName>字词问题</groupName>
      <ability>L2_Typo</ability>
      <abilityName>字词错误</abilityName>
      <candidateList>
        <item>判断</item>
      </candidateList>
      <explain/>
      <paraID>3CCC8480</paraID>
      <start>47</start>
      <end>50</end>
      <status>unmodified</status>
      <modifiedWord/>
      <trackRevisions>false</trackRevisions>
    </reviewItem>
    <reviewItem>
      <errorID>e9276995-c831-4ca1-9421-b4c5349c265c</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21E9707C</paraID>
      <start>94</start>
      <end>101</end>
      <status>unmodified</status>
      <modifiedWord/>
      <trackRevisions>false</trackRevisions>
    </reviewItem>
    <reviewItem>
      <errorID>9372e106-4c7f-4edd-b2db-9ab3919c1879</errorID>
      <errorWord>围绕在</errorWord>
      <group>L1_Word</group>
      <groupName>字词问题</groupName>
      <ability>L2_Typo</ability>
      <abilityName>字词错误</abilityName>
      <candidateList>
        <item>围绕</item>
      </candidateList>
      <explain/>
      <paraID>21E9707C</paraID>
      <start>104</start>
      <end>107</end>
      <status>unmodified</status>
      <modifiedWord/>
      <trackRevisions>false</trackRevisions>
    </reviewItem>
    <reviewItem>
      <errorID>3e4d5816-6413-4479-a404-1a624ce61780</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3404DF7E</paraID>
      <start>133</start>
      <end>138</end>
      <status>unmodified</status>
      <modifiedWord/>
      <trackRevisions>false</trackRevisions>
    </reviewItem>
    <reviewItem>
      <errorID>575c9636-c59b-47f1-a91c-47aab0ff0333</errorID>
      <errorWord>情景教学法</errorWord>
      <group>L1_Knowledge</group>
      <groupName>知识性问题</groupName>
      <ability>L2_Term</ability>
      <abilityName>专业术语</abilityName>
      <candidateList>
        <item>情境教学法</item>
      </candidateList>
      <explain/>
      <paraID>62FD27F4</paraID>
      <start>9</start>
      <end>14</end>
      <status>unmodified</status>
      <modifiedWord/>
      <trackRevisions>false</trackRevisions>
    </reviewItem>
    <reviewItem>
      <errorID>a4e34501-8884-42eb-a248-3fed7a23b0fc</errorID>
      <errorWord>的</errorWord>
      <group>L1_Word</group>
      <groupName>字词问题</groupName>
      <ability>L2_Typo</ability>
      <abilityName>字词错误</abilityName>
      <candidateList>
        <item>的新</item>
      </candidateList>
      <explain/>
      <paraID>69198F8D</paraID>
      <start>49</start>
      <end>50</end>
      <status>unmodified</status>
      <modifiedWord/>
      <trackRevisions>false</trackRevisions>
    </reviewItem>
    <reviewItem>
      <errorID>933bc5c6-97f5-4763-a0bd-cc5880c0ec27</errorID>
      <errorWord>；</errorWord>
      <group>L1_Word</group>
      <groupName>字词问题</groupName>
      <ability>L2_Typo</ability>
      <abilityName>字词错误</abilityName>
      <candidateList>
        <item>；在</item>
      </candidateList>
      <explain/>
      <paraID>3EB9585A</paraID>
      <start>18</start>
      <end>19</end>
      <status>unmodified</status>
      <modifiedWord/>
      <trackRevisions>false</trackRevisions>
    </reviewItem>
    <reviewItem>
      <errorID>36e35a8c-61cf-4f2e-a0d2-b045304fb664</errorID>
      <errorWord>时代化的</errorWord>
      <group>L1_Word</group>
      <groupName>字词问题</groupName>
      <ability>L2_Typo</ability>
      <abilityName>字词错误</abilityName>
      <candidateList>
        <item>时代化</item>
      </candidateList>
      <explain/>
      <paraID>5E479C0A</paraID>
      <start>113</start>
      <end>117</end>
      <status>unmodified</status>
      <modifiedWord/>
      <trackRevisions>false</trackRevisions>
    </reviewItem>
    <reviewItem>
      <errorID>9f059c13-3263-4c28-8f6f-3cc938f6214a</errorID>
      <errorWord>扩大</errorWord>
      <group>L1_Word</group>
      <groupName>字词问题</groupName>
      <ability>L2_Typo</ability>
      <abilityName>字词错误</abilityName>
      <candidateList>
        <item>扩宽</item>
      </candidateList>
      <explain/>
      <paraID>78977C75</paraID>
      <start>119</start>
      <end>121</end>
      <status>unmodified</status>
      <modifiedWord/>
      <trackRevisions>false</trackRevisions>
    </reviewItem>
    <reviewItem>
      <errorID>97e87227-9695-493d-9de1-631195f6bdb3</errorID>
      <errorWord>坚持和加强党的领导</errorWord>
      <group>L1_Word</group>
      <groupName>字词问题</groupName>
      <ability>L2_Typo</ability>
      <abilityName>字词错误</abilityName>
      <candidateList>
        <item>坚持和加强党的全面领导</item>
      </candidateList>
      <explain/>
      <paraID>53D7C04D</paraID>
      <start>100</start>
      <end>109</end>
      <status>unmodified</status>
      <modifiedWord/>
      <trackRevisions>false</trackRevisions>
    </reviewItem>
    <reviewItem>
      <errorID>2a8af4ef-3810-458c-ae75-b6c95ea710d3</errorID>
      <errorWord>，</errorWord>
      <group>L1_Word</group>
      <groupName>字词问题</groupName>
      <ability>L2_Typo</ability>
      <abilityName>字词错误</abilityName>
      <candidateList>
        <item>，及</item>
      </candidateList>
      <explain/>
      <paraID> EFE902C</paraID>
      <start>35</start>
      <end>36</end>
      <status>unmodified</status>
      <modifiedWord/>
      <trackRevisions>false</trackRevisions>
    </reviewItem>
    <reviewItem>
      <errorID>b7164d05-2089-4e1f-9481-c4c4ba585d8b</errorID>
      <errorWord>的</errorWord>
      <group>L1_Word</group>
      <groupName>字词问题</groupName>
      <ability>L2_Typo</ability>
      <abilityName>字词错误</abilityName>
      <candidateList>
        <item>的国</item>
      </candidateList>
      <explain/>
      <paraID> EFE902C</paraID>
      <start>154</start>
      <end>155</end>
      <status>unmodified</status>
      <modifiedWord/>
      <trackRevisions>false</trackRevisions>
    </reviewItem>
    <reviewItem>
      <errorID>8c207403-01bc-4737-931f-ffd52c4b25bc</errorID>
      <errorWord>全面建设小康社会</errorWord>
      <group>L1_Word</group>
      <groupName>字词问题</groupName>
      <ability>L2_Typo</ability>
      <abilityName>字词错误</abilityName>
      <candidateList>
        <item>全面建成小康社会</item>
      </candidateList>
      <explain/>
      <paraID> EB7CF14</paraID>
      <start>90</start>
      <end>98</end>
      <status>unmodified</status>
      <modifiedWord/>
      <trackRevisions>false</trackRevisions>
    </reviewItem>
    <reviewItem>
      <errorID>2cac5a46-5df2-49ef-9675-dd47d33b1323</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288370C4</paraID>
      <start>116</start>
      <end>129</end>
      <status>unmodified</status>
      <modifiedWord/>
      <trackRevisions>false</trackRevisions>
    </reviewItem>
    <reviewItem>
      <errorID>9d5d3228-2300-47c2-a268-1619b6311bae</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69C44863</paraID>
      <start>0</start>
      <end>8</end>
      <status>unmodified</status>
      <modifiedWord/>
      <trackRevisions>false</trackRevisions>
    </reviewItem>
    <reviewItem>
      <errorID>3a47154a-17d4-46cd-b649-4565a7be09c0</errorID>
      <errorWord>增强</errorWord>
      <group>L1_Grammar</group>
      <groupName>语法问题</groupName>
      <ability>L2_Grammar</ability>
      <abilityName>语法错误</abilityName>
      <candidateList>
        <item>加深</item>
      </candidateList>
      <explain>“增强～认识”搭配不当，建议修改为“加深～认识”。</explain>
      <paraID>1D1BEF65</paraID>
      <start>92</start>
      <end>94</end>
      <status>unmodified</status>
      <modifiedWord/>
      <trackRevisions>false</trackRevisions>
    </reviewItem>
    <reviewItem>
      <errorID>159e4ad0-9838-453b-a8e3-01dfa1106675</errorID>
      <errorWord>界线</errorWord>
      <group>L1_Word</group>
      <groupName>字词问题</groupName>
      <ability>L2_Typo</ability>
      <abilityName>字词错误</abilityName>
      <candidateList>
        <item>界限</item>
      </candidateList>
      <explain/>
      <paraID> 8861C8A</paraID>
      <start>161</start>
      <end>163</end>
      <status>unmodified</status>
      <modifiedWord/>
      <trackRevisions>false</trackRevisions>
    </reviewItem>
    <reviewItem>
      <errorID>b554cb1a-fbe7-4217-9890-c74318b1de0e</errorID>
      <errorWord>了解了</errorWord>
      <group>L1_Word</group>
      <groupName>字词问题</groupName>
      <ability>L2_Typo</ability>
      <abilityName>字词错误</abilityName>
      <candidateList>
        <item>了解</item>
      </candidateList>
      <explain/>
      <paraID>21BDDD78</paraID>
      <start>34</start>
      <end>37</end>
      <status>unmodified</status>
      <modifiedWord/>
      <trackRevisions>false</trackRevisions>
    </reviewItem>
    <reviewItem>
      <errorID>a3ab4525-41a4-45b0-b2db-aae6ebf623e6</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47F0075F</paraID>
      <start>163</start>
      <end>174</end>
      <status>unmodified</status>
      <modifiedWord/>
      <trackRevisions>false</trackRevisions>
    </reviewItem>
    <reviewItem>
      <errorID>1c60ec9e-11bc-43ee-b270-77fda078f66f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7FA6F9AF</paraID>
      <start>7</start>
      <end>8</end>
      <status>unmodified</status>
      <modifiedWord/>
      <trackRevisions>false</trackRevisions>
    </reviewItem>
    <reviewItem>
      <errorID>9cd22c9a-00c8-44e3-989b-0c0415b828a3</errorID>
      <errorWord>析</errorWord>
      <group>L1_Word</group>
      <groupName>字词问题</groupName>
      <ability>L2_Typo</ability>
      <abilityName>字词错误</abilityName>
      <candidateList>
        <item>析相</item>
      </candidateList>
      <explain/>
      <paraID>176E7469</paraID>
      <start>10</start>
      <end>11</end>
      <status>unmodified</status>
      <modifiedWord/>
      <trackRevisions>false</trackRevisions>
    </reviewItem>
    <reviewItem>
      <errorID>23e24939-55e0-4593-9d9c-4f54de428482</errorID>
      <errorWord>晰</errorWord>
      <group>L1_Word</group>
      <groupName>字词问题</groupName>
      <ability>L2_Typo</ability>
      <abilityName>字词错误</abilityName>
      <candidateList>
        <item>晰地</item>
      </candidateList>
      <explain/>
      <paraID>13DBE191</paraID>
      <start>27</start>
      <end>28</end>
      <status>unmodified</status>
      <modifiedWord/>
      <trackRevisions>false</trackRevisions>
    </reviewItem>
    <reviewItem>
      <errorID>362bae81-26b3-49a0-bce7-e292aa8d3ff4</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66AE1261</paraID>
      <start>0</start>
      <end>8</end>
      <status>unmodified</status>
      <modifiedWord/>
      <trackRevisions>false</trackRevisions>
    </reviewItem>
    <reviewItem>
      <errorID>03659c7f-abb4-4022-b4c8-cdbba6f605e7</errorID>
      <errorWord>务</errorWord>
      <group>L1_Word</group>
      <groupName>字词问题</groupName>
      <ability>L2_Typo</ability>
      <abilityName>字词错误</abilityName>
      <candidateList>
        <item>务业</item>
      </candidateList>
      <explain/>
      <paraID>560E3E5B</paraID>
      <start>43</start>
      <end>45</end>
      <status>modified</status>
      <modifiedWord>务业</modifiedWord>
      <trackRevisions>false</trackRevisions>
    </reviewItem>
    <reviewItem>
      <errorID>f8d3703e-e512-4b0f-a90d-743a0441ab19</errorID>
      <errorWord>起</errorWord>
      <group>L1_Word</group>
      <groupName>字词问题</groupName>
      <ability>L2_Typo</ability>
      <abilityName>字词错误</abilityName>
      <candidateList>
        <item>起到</item>
      </candidateList>
      <explain/>
      <paraID>560E3E5B</paraID>
      <start>128</start>
      <end>130</end>
      <status>modified</status>
      <modifiedWord>起到</modifiedWord>
      <trackRevisions>false</trackRevisions>
    </reviewItem>
    <reviewItem>
      <errorID>125d53ce-16f5-4530-834b-6a272ee67672</errorID>
      <errorWord>等</errorWord>
      <group>L1_Word</group>
      <groupName>字词问题</groupName>
      <ability>L2_Typo</ability>
      <abilityName>字词错误</abilityName>
      <candidateList>
        <item>等各</item>
      </candidateList>
      <explain/>
      <paraID>3C1B943C</paraID>
      <start>134</start>
      <end>136</end>
      <status>modified</status>
      <modifiedWord>等各</modifiedWord>
      <trackRevisions>false</trackRevisions>
    </reviewItem>
    <reviewItem>
      <errorID>b6c55a28-b143-403b-b9c9-ee5cbb8fb645</errorID>
      <errorWord>能力达</errorWord>
      <group>L1_Word</group>
      <groupName>字词问题</groupName>
      <ability>L2_Typo</ability>
      <abilityName>字词错误</abilityName>
      <candidateList>
        <item>能力</item>
      </candidateList>
      <explain>〈名〉能胜任某项任务的主观条件：～强｜他经验丰富，有～担当这项工作。</explain>
      <paraID> DE68366</paraID>
      <start>152</start>
      <end>154</end>
      <status>modified</status>
      <modifiedWord>能力</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aabb52-6cfa-4122-a881-1aa6f3394e76}">
  <ds:schemaRefs/>
</ds:datastoreItem>
</file>

<file path=docProps/app.xml><?xml version="1.0" encoding="utf-8"?>
<Properties xmlns="http://schemas.openxmlformats.org/officeDocument/2006/extended-properties" xmlns:vt="http://schemas.openxmlformats.org/officeDocument/2006/docPropsVTypes">
  <Template>Normal</Template>
  <Pages>50</Pages>
  <Words>20566</Words>
  <Characters>20747</Characters>
  <Lines>1850</Lines>
  <Paragraphs>1270</Paragraphs>
  <TotalTime>13</TotalTime>
  <ScaleCrop>false</ScaleCrop>
  <LinksUpToDate>false</LinksUpToDate>
  <CharactersWithSpaces>21086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2026-03-24T13:36:29Z</cp:lastPrinted>
  <dcterms:modified xsi:type="dcterms:W3CDTF">2026-03-24T14:08:15Z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100B115C23AE4977AC8044A40281410C_13</vt:lpwstr>
  </property>
  <property fmtid="{D5CDD505-2E9C-101B-9397-08002B2CF9AE}" pid="4" name="KSOTemplateDocerSaveRecord">
    <vt:lpwstr>eyJoZGlkIjoiOTlkYjc2ZWYyMDRiNWJjZTRkYjI2Yzk5M2I2MDljMjYiLCJ1c2VySWQiOiIyOTg5OTU1NTEifQ==</vt:lpwstr>
  </property>
</Properties>
</file>