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rPr>
      </w:pPr>
      <w:r>
        <w:rPr>
          <w:rFonts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7"/>
                    <a:stretch>
                      <a:fillRect/>
                    </a:stretch>
                  </pic:blipFill>
                  <pic:spPr>
                    <a:xfrm>
                      <a:off x="0" y="0"/>
                      <a:ext cx="5684520" cy="12706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网络营销与直播电商</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530704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定</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 xml:space="preserve">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2025年4月 </w:t>
      </w:r>
      <w:r>
        <w:rPr>
          <w:rFonts w:hint="eastAsia" w:ascii="仿宋_GB2312" w:hAnsi="仿宋_GB2312" w:eastAsia="仿宋_GB2312" w:cs="仿宋_GB2312"/>
          <w:color w:val="auto"/>
          <w:kern w:val="0"/>
          <w:sz w:val="32"/>
          <w:szCs w:val="32"/>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经济管理学院 </w:t>
      </w:r>
      <w:r>
        <w:rPr>
          <w:rFonts w:hint="eastAsia" w:ascii="仿宋_GB2312" w:hAnsi="仿宋_GB2312" w:eastAsia="仿宋_GB2312" w:cs="仿宋_GB2312"/>
          <w:color w:val="auto"/>
          <w:kern w:val="0"/>
          <w:sz w:val="32"/>
          <w:szCs w:val="32"/>
          <w:u w:val="single"/>
        </w:rPr>
        <w:t xml:space="preserve">        </w:t>
      </w:r>
    </w:p>
    <w:p>
      <w:pPr>
        <w:rPr>
          <w:rFonts w:hint="eastAsia" w:ascii="仿宋_GB2312" w:hAnsi="仿宋_GB2312" w:eastAsia="仿宋_GB2312" w:cs="仿宋_GB2312"/>
          <w:color w:val="FF0000"/>
          <w:kern w:val="0"/>
          <w:sz w:val="32"/>
          <w:szCs w:val="32"/>
          <w:shd w:val="clear" w:color="auto" w:fill="FFFFFF"/>
        </w:rPr>
      </w:pPr>
    </w:p>
    <w:p>
      <w:pPr>
        <w:rPr>
          <w:rFonts w:hint="eastAsia" w:ascii="仿宋_GB2312" w:hAnsi="仿宋_GB2312" w:eastAsia="仿宋_GB2312" w:cs="仿宋_GB2312"/>
          <w:color w:val="FF0000"/>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pPr>
        <w:rPr>
          <w:rFonts w:hint="eastAsia" w:ascii="仿宋_GB2312" w:hAnsi="仿宋_GB2312" w:eastAsia="仿宋_GB2312" w:cs="仿宋_GB2312"/>
          <w:color w:val="FF0000"/>
          <w:kern w:val="0"/>
          <w:sz w:val="32"/>
          <w:szCs w:val="32"/>
          <w:shd w:val="clear" w:color="auto" w:fill="FFFFFF"/>
          <w:lang w:val="en-US" w:eastAsia="zh-CN"/>
        </w:rPr>
        <w:sectPr>
          <w:headerReference r:id="rId3" w:type="default"/>
          <w:pgSz w:w="11906" w:h="16838"/>
          <w:pgMar w:top="1417" w:right="1417" w:bottom="1417" w:left="1984" w:header="851" w:footer="992" w:gutter="0"/>
          <w:pgNumType w:start="1"/>
          <w:cols w:space="425" w:num="1"/>
          <w:docGrid w:type="lines" w:linePitch="312" w:charSpace="0"/>
        </w:sectPr>
      </w:pPr>
    </w:p>
    <w:p>
      <w:pPr>
        <w:rPr>
          <w:rFonts w:hint="eastAsia" w:ascii="仿宋_GB2312" w:hAnsi="仿宋_GB2312" w:eastAsia="仿宋_GB2312" w:cs="仿宋_GB2312"/>
          <w:color w:val="FF0000"/>
          <w:kern w:val="0"/>
          <w:sz w:val="32"/>
          <w:szCs w:val="32"/>
          <w:shd w:val="clear" w:color="auto" w:fill="FFFFFF"/>
          <w:lang w:val="en-US" w:eastAsia="zh-CN"/>
        </w:rPr>
        <w:sectPr>
          <w:pgSz w:w="11906" w:h="16838"/>
          <w:pgMar w:top="1417" w:right="1417" w:bottom="1417" w:left="1984"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编制说明</w:t>
      </w:r>
    </w:p>
    <w:p>
      <w:pPr>
        <w:keepNext w:val="0"/>
        <w:keepLines w:val="0"/>
        <w:pageBreakBefore w:val="0"/>
        <w:widowControl w:val="0"/>
        <w:kinsoku/>
        <w:wordWrap/>
        <w:overflowPunct/>
        <w:topLinePunct w:val="0"/>
        <w:autoSpaceDE/>
        <w:autoSpaceDN/>
        <w:bidi w:val="0"/>
        <w:adjustRightInd/>
        <w:snapToGrid/>
        <w:spacing w:after="0" w:line="279" w:lineRule="auto"/>
        <w:ind w:firstLine="880" w:firstLineChars="200"/>
        <w:textAlignment w:val="auto"/>
        <w:rPr>
          <w:rFonts w:hint="eastAsia" w:ascii="黑体" w:hAnsi="黑体" w:eastAsia="黑体" w:cs="黑体"/>
          <w:b w:val="0"/>
          <w:bCs/>
          <w:color w:val="auto"/>
          <w:sz w:val="44"/>
          <w:szCs w:val="44"/>
        </w:rPr>
      </w:pPr>
    </w:p>
    <w:p>
      <w:pPr>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本专业人才培养方案适于</w:t>
      </w:r>
      <w:r>
        <w:rPr>
          <w:rFonts w:hint="eastAsia" w:ascii="仿宋_GB2312" w:hAnsi="仿宋_GB2312" w:eastAsia="仿宋_GB2312" w:cs="仿宋_GB2312"/>
          <w:b w:val="0"/>
          <w:bCs/>
          <w:color w:val="auto"/>
          <w:sz w:val="32"/>
          <w:szCs w:val="32"/>
          <w:lang w:val="en-US" w:eastAsia="zh-CN"/>
        </w:rPr>
        <w:t>我校</w:t>
      </w:r>
      <w:r>
        <w:rPr>
          <w:rFonts w:hint="eastAsia" w:ascii="仿宋_GB2312" w:hAnsi="仿宋_GB2312" w:eastAsia="仿宋_GB2312" w:cs="仿宋_GB2312"/>
          <w:b w:val="0"/>
          <w:bCs/>
          <w:color w:val="auto"/>
          <w:sz w:val="32"/>
          <w:szCs w:val="32"/>
        </w:rPr>
        <w:t>三年全日制高职专科，由广西</w:t>
      </w:r>
      <w:r>
        <w:rPr>
          <w:rFonts w:hint="eastAsia" w:ascii="仿宋_GB2312" w:hAnsi="仿宋_GB2312" w:eastAsia="仿宋_GB2312" w:cs="仿宋_GB2312"/>
          <w:b w:val="0"/>
          <w:bCs/>
          <w:color w:val="auto"/>
          <w:sz w:val="32"/>
          <w:szCs w:val="32"/>
          <w:lang w:val="en-US" w:eastAsia="zh-CN"/>
        </w:rPr>
        <w:t>工程职业学院</w:t>
      </w:r>
      <w:bookmarkStart w:id="59" w:name="_GoBack"/>
      <w:bookmarkEnd w:id="59"/>
      <w:r>
        <w:rPr>
          <w:rFonts w:hint="eastAsia" w:ascii="仿宋_GB2312" w:hAnsi="仿宋_GB2312" w:eastAsia="仿宋_GB2312" w:cs="仿宋_GB2312"/>
          <w:color w:val="auto"/>
          <w:sz w:val="32"/>
          <w:szCs w:val="32"/>
          <w:lang w:val="en-US" w:eastAsia="zh-CN"/>
        </w:rPr>
        <w:t>网络营销与直播电商</w:t>
      </w:r>
      <w:r>
        <w:rPr>
          <w:rFonts w:hint="eastAsia" w:ascii="仿宋_GB2312" w:hAnsi="仿宋_GB2312" w:eastAsia="仿宋_GB2312" w:cs="仿宋_GB2312"/>
          <w:b w:val="0"/>
          <w:bCs/>
          <w:color w:val="auto"/>
          <w:sz w:val="32"/>
          <w:szCs w:val="32"/>
        </w:rPr>
        <w:t>专业团队与南宁轨道交通集团有限责任公司</w:t>
      </w:r>
      <w:r>
        <w:rPr>
          <w:rFonts w:hint="eastAsia" w:ascii="仿宋_GB2312" w:hAnsi="仿宋_GB2312" w:eastAsia="仿宋_GB2312" w:cs="仿宋_GB2312"/>
          <w:b w:val="0"/>
          <w:bCs/>
          <w:color w:val="auto"/>
          <w:sz w:val="32"/>
          <w:szCs w:val="32"/>
          <w:lang w:val="en-US" w:eastAsia="zh-CN"/>
        </w:rPr>
        <w:t>等</w:t>
      </w:r>
      <w:r>
        <w:rPr>
          <w:rFonts w:hint="eastAsia" w:ascii="仿宋_GB2312" w:hAnsi="仿宋_GB2312" w:eastAsia="仿宋_GB2312" w:cs="仿宋_GB2312"/>
          <w:b w:val="0"/>
          <w:bCs/>
          <w:color w:val="auto"/>
          <w:sz w:val="32"/>
          <w:szCs w:val="32"/>
        </w:rPr>
        <w:t>共同制订，并经</w:t>
      </w:r>
      <w:r>
        <w:rPr>
          <w:rFonts w:hint="eastAsia" w:ascii="仿宋_GB2312" w:hAnsi="仿宋_GB2312" w:eastAsia="仿宋_GB2312" w:cs="仿宋_GB2312"/>
          <w:b w:val="0"/>
          <w:bCs/>
          <w:color w:val="auto"/>
          <w:sz w:val="32"/>
          <w:szCs w:val="32"/>
          <w:lang w:val="en-US" w:eastAsia="zh-CN"/>
        </w:rPr>
        <w:t>二级学院党政联席会审定、</w:t>
      </w:r>
      <w:r>
        <w:rPr>
          <w:rFonts w:hint="eastAsia" w:ascii="仿宋_GB2312" w:hAnsi="仿宋_GB2312" w:eastAsia="仿宋_GB2312" w:cs="仿宋_GB2312"/>
          <w:b w:val="0"/>
          <w:bCs/>
          <w:color w:val="auto"/>
          <w:sz w:val="32"/>
          <w:szCs w:val="32"/>
        </w:rPr>
        <w:t>学校</w:t>
      </w:r>
      <w:r>
        <w:rPr>
          <w:rFonts w:hint="eastAsia" w:ascii="仿宋_GB2312" w:hAnsi="仿宋_GB2312" w:eastAsia="仿宋_GB2312" w:cs="仿宋_GB2312"/>
          <w:b w:val="0"/>
          <w:bCs/>
          <w:color w:val="auto"/>
          <w:sz w:val="32"/>
          <w:szCs w:val="32"/>
          <w:lang w:val="en-US" w:eastAsia="zh-CN"/>
        </w:rPr>
        <w:t>专业建设</w:t>
      </w:r>
      <w:r>
        <w:rPr>
          <w:rFonts w:hint="eastAsia" w:ascii="仿宋_GB2312" w:hAnsi="仿宋_GB2312" w:eastAsia="仿宋_GB2312" w:cs="仿宋_GB2312"/>
          <w:b w:val="0"/>
          <w:bCs/>
          <w:color w:val="auto"/>
          <w:sz w:val="32"/>
          <w:szCs w:val="32"/>
        </w:rPr>
        <w:t>指导委员会</w:t>
      </w:r>
      <w:r>
        <w:rPr>
          <w:rFonts w:hint="eastAsia" w:ascii="仿宋_GB2312" w:hAnsi="仿宋_GB2312" w:eastAsia="仿宋_GB2312" w:cs="仿宋_GB2312"/>
          <w:b w:val="0"/>
          <w:bCs/>
          <w:color w:val="auto"/>
          <w:sz w:val="32"/>
          <w:szCs w:val="32"/>
          <w:lang w:val="en-US" w:eastAsia="zh-CN"/>
        </w:rPr>
        <w:t>论证</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校长办公</w:t>
      </w:r>
      <w:r>
        <w:rPr>
          <w:rFonts w:hint="eastAsia" w:ascii="仿宋_GB2312" w:hAnsi="仿宋_GB2312" w:eastAsia="仿宋_GB2312" w:cs="仿宋_GB2312"/>
          <w:b w:val="0"/>
          <w:bCs/>
          <w:color w:val="auto"/>
          <w:sz w:val="32"/>
          <w:szCs w:val="32"/>
        </w:rPr>
        <w:t>会</w:t>
      </w:r>
      <w:r>
        <w:rPr>
          <w:rFonts w:hint="eastAsia" w:ascii="仿宋_GB2312" w:hAnsi="仿宋_GB2312" w:eastAsia="仿宋_GB2312" w:cs="仿宋_GB2312"/>
          <w:b w:val="0"/>
          <w:bCs/>
          <w:color w:val="auto"/>
          <w:sz w:val="32"/>
          <w:szCs w:val="32"/>
          <w:lang w:val="en-US" w:eastAsia="zh-CN"/>
        </w:rPr>
        <w:t>审议</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highlight w:val="none"/>
          <w:lang w:val="en-US" w:eastAsia="zh-CN"/>
        </w:rPr>
        <w:t>学</w:t>
      </w:r>
      <w:r>
        <w:rPr>
          <w:rFonts w:hint="eastAsia" w:ascii="仿宋_GB2312" w:hAnsi="仿宋_GB2312" w:eastAsia="仿宋_GB2312" w:cs="仿宋_GB2312"/>
          <w:b w:val="0"/>
          <w:bCs/>
          <w:color w:val="auto"/>
          <w:sz w:val="32"/>
          <w:szCs w:val="32"/>
          <w:lang w:val="en-US" w:eastAsia="zh-CN"/>
        </w:rPr>
        <w:t>校</w:t>
      </w:r>
      <w:r>
        <w:rPr>
          <w:rFonts w:hint="eastAsia" w:ascii="仿宋_GB2312" w:hAnsi="仿宋_GB2312" w:eastAsia="仿宋_GB2312" w:cs="仿宋_GB2312"/>
          <w:b w:val="0"/>
          <w:bCs/>
          <w:color w:val="auto"/>
          <w:sz w:val="32"/>
          <w:szCs w:val="32"/>
        </w:rPr>
        <w:t>党委会审定，批准实施。</w:t>
      </w:r>
    </w:p>
    <w:p>
      <w:pPr>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主要编制人：</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661"/>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序号</w:t>
            </w:r>
          </w:p>
        </w:tc>
        <w:tc>
          <w:tcPr>
            <w:tcW w:w="1450"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姓名</w:t>
            </w:r>
          </w:p>
        </w:tc>
        <w:tc>
          <w:tcPr>
            <w:tcW w:w="2800" w:type="dxa"/>
          </w:tcPr>
          <w:p>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单位名称</w:t>
            </w:r>
          </w:p>
        </w:tc>
        <w:tc>
          <w:tcPr>
            <w:tcW w:w="1661"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职务</w:t>
            </w:r>
          </w:p>
        </w:tc>
        <w:tc>
          <w:tcPr>
            <w:tcW w:w="1899" w:type="dxa"/>
          </w:tcPr>
          <w:p>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1</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陈智</w:t>
            </w:r>
          </w:p>
        </w:tc>
        <w:tc>
          <w:tcPr>
            <w:tcW w:w="280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南宁轨道交通集团有限责任公司</w:t>
            </w:r>
          </w:p>
        </w:tc>
        <w:tc>
          <w:tcPr>
            <w:tcW w:w="1661"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项目经理</w:t>
            </w:r>
          </w:p>
        </w:tc>
        <w:tc>
          <w:tcPr>
            <w:tcW w:w="1899"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高级经济师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2</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李林蔚</w:t>
            </w:r>
          </w:p>
        </w:tc>
        <w:tc>
          <w:tcPr>
            <w:tcW w:w="280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661"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专任教师</w:t>
            </w:r>
          </w:p>
        </w:tc>
        <w:tc>
          <w:tcPr>
            <w:tcW w:w="1899"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3</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李银</w:t>
            </w:r>
          </w:p>
        </w:tc>
        <w:tc>
          <w:tcPr>
            <w:tcW w:w="280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661"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专任教师</w:t>
            </w:r>
          </w:p>
        </w:tc>
        <w:tc>
          <w:tcPr>
            <w:tcW w:w="1899"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研究实习员</w:t>
            </w:r>
          </w:p>
        </w:tc>
      </w:tr>
    </w:tbl>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outlineLvl w:val="0"/>
        <w:rPr>
          <w:rFonts w:hint="eastAsia" w:ascii="方正小标宋简体" w:hAnsi="方正小标宋简体" w:eastAsia="方正小标宋简体" w:cs="方正小标宋简体"/>
          <w:bCs/>
          <w:color w:val="auto"/>
          <w:sz w:val="44"/>
          <w:szCs w:val="44"/>
        </w:rPr>
        <w:sectPr>
          <w:footerReference r:id="rId4"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outlineLvl w:val="0"/>
        <w:rPr>
          <w:rFonts w:hint="eastAsia" w:ascii="方正小标宋简体" w:hAnsi="方正小标宋简体" w:eastAsia="方正小标宋简体" w:cs="方正小标宋简体"/>
          <w:bCs/>
          <w:color w:val="auto"/>
          <w:sz w:val="44"/>
          <w:szCs w:val="44"/>
        </w:rPr>
        <w:sectPr>
          <w:pgSz w:w="11906" w:h="16838"/>
          <w:pgMar w:top="1417" w:right="1417" w:bottom="1417" w:left="1417" w:header="851" w:footer="992" w:gutter="0"/>
          <w:pgNumType w:start="1"/>
          <w:cols w:space="425" w:num="1"/>
          <w:docGrid w:type="lines" w:linePitch="312" w:charSpace="0"/>
        </w:sectPr>
      </w:pPr>
    </w:p>
    <w:sdt>
      <w:sdtPr>
        <w:rPr>
          <w:rFonts w:ascii="宋体" w:hAnsi="宋体" w:eastAsia="宋体" w:cs="Times New Roman"/>
          <w:kern w:val="2"/>
          <w:sz w:val="21"/>
          <w:szCs w:val="24"/>
          <w:lang w:val="en-US" w:eastAsia="zh-CN" w:bidi="ar-SA"/>
        </w:rPr>
        <w:id w:val="147452449"/>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44"/>
              <w:szCs w:val="44"/>
            </w:rPr>
          </w:pPr>
          <w:r>
            <w:rPr>
              <w:rFonts w:hint="eastAsia" w:ascii="黑体" w:hAnsi="黑体" w:eastAsia="黑体" w:cs="黑体"/>
              <w:sz w:val="44"/>
              <w:szCs w:val="44"/>
            </w:rPr>
            <w:t>目</w:t>
          </w: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录</w:t>
          </w:r>
        </w:p>
        <w:p>
          <w:pPr>
            <w:spacing w:before="0" w:beforeLines="0" w:after="0" w:afterLines="0" w:line="240" w:lineRule="auto"/>
            <w:ind w:left="0" w:leftChars="0" w:right="0" w:rightChars="0" w:firstLine="0" w:firstLineChars="0"/>
            <w:jc w:val="center"/>
            <w:rPr>
              <w:rFonts w:hint="eastAsia" w:ascii="黑体" w:hAnsi="黑体" w:eastAsia="黑体" w:cs="黑体"/>
              <w:sz w:val="44"/>
              <w:szCs w:val="44"/>
            </w:rPr>
          </w:pPr>
        </w:p>
        <w:p>
          <w:pPr>
            <w:pStyle w:val="22"/>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fldChar w:fldCharType="begin"/>
          </w:r>
          <w:r>
            <w:instrText xml:space="preserve">TOC \o "1-2" \h \u </w:instrText>
          </w:r>
          <w:r>
            <w:fldChar w:fldCharType="separate"/>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_Toc9789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highlight w:val="none"/>
              <w:lang w:val="en-US" w:eastAsia="zh-CN"/>
            </w:rPr>
            <w:t>一、专业名称及代码</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_Toc9789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1</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2"/>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_Toc8400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highlight w:val="none"/>
              <w:lang w:val="en-US" w:eastAsia="zh-CN"/>
            </w:rPr>
            <w:t>二、入学要求</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_Toc8400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1</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2"/>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_Toc1879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highlight w:val="none"/>
              <w:lang w:val="en-US" w:eastAsia="zh-CN"/>
            </w:rPr>
            <w:t>三、基本修业年限</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_Toc1879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1</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2"/>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_Toc26097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highlight w:val="none"/>
              <w:lang w:val="en-US" w:eastAsia="zh-CN"/>
            </w:rPr>
            <w:t>四、职业面向</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_Toc26097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1</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2"/>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_Toc5318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highlight w:val="none"/>
              <w:lang w:val="en-US" w:eastAsia="zh-CN"/>
            </w:rPr>
            <w:t>五、培养目标</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_Toc5318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1</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2"/>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_Toc25801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highlight w:val="none"/>
              <w:lang w:val="en-US" w:eastAsia="zh-CN"/>
            </w:rPr>
            <w:t>六、培养规格</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_Toc25801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2</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_Toc27113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（一）知识目标</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_Toc27113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2</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_Toc6914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（二）能力目标</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_Toc6914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3</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_Toc9848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（三）素质目标</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_Toc9848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4</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2"/>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_Toc18244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highlight w:val="none"/>
              <w:lang w:val="en-US" w:eastAsia="zh-CN"/>
            </w:rPr>
            <w:t>七、课程设置</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_Toc18244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4</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_Toc32011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（一）公共基础课程</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_Toc32011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4</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_Toc11816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（二）专业课程</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_Toc11816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17</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_Toc4778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（三）第二课堂素质教育课</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_Toc4778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31</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2"/>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_Toc28677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highlight w:val="none"/>
              <w:lang w:val="en-US" w:eastAsia="zh-CN"/>
            </w:rPr>
            <w:t>八、教学进程总体安排</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_Toc28677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32</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_Toc8190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（一）教学环节分配表</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_Toc8190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32</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_Toc15849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（二）课程结构与学时、学分分配</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_Toc15849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33</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_Toc2263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（三）教学计划进程</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_Toc2263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33</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2"/>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_Toc28528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highlight w:val="none"/>
              <w:lang w:val="en-US" w:eastAsia="zh-CN"/>
            </w:rPr>
            <w:t>九、师资队伍</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_Toc28528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36</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_Toc1320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（一）队伍结构</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_Toc1320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36</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_Toc18534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（二）专业带头人</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_Toc18534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36</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2"/>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_Toc3756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highlight w:val="none"/>
              <w:lang w:val="en-US" w:eastAsia="zh-CN"/>
            </w:rPr>
            <w:t>十、教学条件</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_Toc3756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37</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_Toc29772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（一）教学设施</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_Toc29772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37</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_Toc8388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（二）教学资源</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_Toc8388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39</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_Toc12094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（三）教学方法</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_Toc12094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40</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_Toc1118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（四）学习评价</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_Toc1118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40</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2"/>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_Toc3784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highlight w:val="none"/>
              <w:lang w:val="en-US" w:eastAsia="zh-CN"/>
            </w:rPr>
            <w:t>十一、质量保障</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_Toc3784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41</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2"/>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_Toc28633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highlight w:val="none"/>
              <w:lang w:val="en-US" w:eastAsia="zh-CN"/>
            </w:rPr>
            <w:t>十二、毕业要求</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_Toc28633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42</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_Toc12975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（一）学分要求</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_Toc12975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42</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二</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color w:val="auto"/>
              <w:sz w:val="32"/>
              <w:szCs w:val="32"/>
              <w:lang w:val="en-US" w:eastAsia="zh-CN"/>
            </w:rPr>
            <w:t>职业类证书要求</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_Toc12975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42</w:t>
          </w:r>
          <w:r>
            <w:rPr>
              <w:rFonts w:hint="eastAsia" w:ascii="仿宋_GB2312" w:hAnsi="仿宋_GB2312" w:eastAsia="仿宋_GB2312" w:cs="仿宋_GB2312"/>
              <w:b w:val="0"/>
              <w:bCs/>
              <w:sz w:val="32"/>
              <w:szCs w:val="32"/>
            </w:rPr>
            <w:fldChar w:fldCharType="end"/>
          </w:r>
        </w:p>
        <w:p>
          <w:pPr>
            <w:pStyle w:val="23"/>
            <w:keepNext w:val="0"/>
            <w:keepLines w:val="0"/>
            <w:pageBreakBefore w:val="0"/>
            <w:tabs>
              <w:tab w:val="right" w:leader="dot" w:pos="8505"/>
            </w:tabs>
            <w:kinsoku/>
            <w:wordWrap/>
            <w:overflowPunct/>
            <w:topLinePunct w:val="0"/>
            <w:autoSpaceDE/>
            <w:autoSpaceDN/>
            <w:bidi w:val="0"/>
            <w:adjustRightInd/>
            <w:snapToGrid/>
            <w:ind w:leftChars="0"/>
            <w:textAlignment w:val="auto"/>
          </w:pP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\l _Toc17217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lang w:val="en-US" w:eastAsia="zh-CN"/>
            </w:rPr>
            <w:t>（三）综合素质要求</w:t>
          </w: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PAGEREF _Toc17217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42</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fldChar w:fldCharType="end"/>
          </w:r>
        </w:p>
        <w:p>
          <w:pPr>
            <w:keepNext w:val="0"/>
            <w:keepLines w:val="0"/>
            <w:pageBreakBefore w:val="0"/>
            <w:kinsoku/>
            <w:wordWrap/>
            <w:overflowPunct/>
            <w:topLinePunct w:val="0"/>
            <w:autoSpaceDE/>
            <w:autoSpaceDN/>
            <w:bidi w:val="0"/>
            <w:adjustRightInd/>
            <w:snapToGrid/>
            <w:spacing w:after="0"/>
            <w:ind w:leftChars="0"/>
            <w:textAlignment w:val="auto"/>
            <w:rPr>
              <w:b/>
            </w:rPr>
            <w:sectPr>
              <w:pgSz w:w="11906" w:h="16838"/>
              <w:pgMar w:top="1417" w:right="1417" w:bottom="1417" w:left="1984" w:header="851" w:footer="992" w:gutter="0"/>
              <w:pgNumType w:start="1"/>
              <w:cols w:space="425" w:num="1"/>
              <w:docGrid w:type="lines" w:linePitch="312" w:charSpace="0"/>
            </w:sectPr>
          </w:pPr>
          <w:r>
            <w:rPr>
              <w:b/>
            </w:rPr>
            <w:fldChar w:fldCharType="end"/>
          </w:r>
        </w:p>
      </w:sdtContent>
    </w:sdt>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outlineLvl w:val="0"/>
        <w:rPr>
          <w:rFonts w:hint="eastAsia" w:ascii="方正小标宋简体" w:hAnsi="方正小标宋简体" w:eastAsia="方正小标宋简体" w:cs="方正小标宋简体"/>
          <w:bCs/>
          <w:color w:val="auto"/>
          <w:sz w:val="44"/>
          <w:szCs w:val="44"/>
        </w:rPr>
      </w:pPr>
      <w:bookmarkStart w:id="0" w:name="_Toc16225"/>
      <w:r>
        <w:rPr>
          <w:rFonts w:hint="eastAsia" w:ascii="方正小标宋简体" w:hAnsi="方正小标宋简体" w:eastAsia="方正小标宋简体" w:cs="方正小标宋简体"/>
          <w:bCs/>
          <w:color w:val="auto"/>
          <w:sz w:val="44"/>
          <w:szCs w:val="44"/>
        </w:rPr>
        <w:t>网络营销与直播电商专业人才培养方案</w:t>
      </w:r>
      <w:bookmarkEnd w:id="0"/>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1" w:name="_Toc3139"/>
      <w:bookmarkStart w:id="2" w:name="_Toc9789"/>
      <w:r>
        <w:rPr>
          <w:rFonts w:hint="eastAsia" w:ascii="黑体" w:hAnsi="黑体" w:eastAsia="黑体" w:cs="黑体"/>
          <w:b w:val="0"/>
          <w:bCs w:val="0"/>
          <w:color w:val="auto"/>
          <w:sz w:val="32"/>
          <w:szCs w:val="32"/>
          <w:highlight w:val="none"/>
          <w:lang w:val="en-US" w:eastAsia="zh-CN"/>
        </w:rPr>
        <w:t>一、专业名称及代码</w:t>
      </w:r>
      <w:bookmarkEnd w:id="1"/>
      <w:bookmarkEnd w:id="2"/>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专业名称：网络营销与直播电商</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专业代码：530704</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3" w:name="_Toc12212"/>
      <w:bookmarkStart w:id="4" w:name="_Toc8400"/>
      <w:r>
        <w:rPr>
          <w:rFonts w:hint="eastAsia" w:ascii="黑体" w:hAnsi="黑体" w:eastAsia="黑体" w:cs="黑体"/>
          <w:b w:val="0"/>
          <w:bCs w:val="0"/>
          <w:color w:val="auto"/>
          <w:sz w:val="32"/>
          <w:szCs w:val="32"/>
          <w:highlight w:val="none"/>
          <w:lang w:val="en-US" w:eastAsia="zh-CN"/>
        </w:rPr>
        <w:t>二、入学要求</w:t>
      </w:r>
      <w:bookmarkEnd w:id="3"/>
      <w:bookmarkEnd w:id="4"/>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中等职业学校毕业、普通高级中学毕业或具备同等学力。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5" w:name="_Toc11898"/>
      <w:bookmarkStart w:id="6" w:name="_Toc1879"/>
      <w:r>
        <w:rPr>
          <w:rFonts w:hint="eastAsia" w:ascii="黑体" w:hAnsi="黑体" w:eastAsia="黑体" w:cs="黑体"/>
          <w:b w:val="0"/>
          <w:bCs w:val="0"/>
          <w:color w:val="auto"/>
          <w:sz w:val="32"/>
          <w:szCs w:val="32"/>
          <w:highlight w:val="none"/>
          <w:lang w:val="en-US" w:eastAsia="zh-CN"/>
        </w:rPr>
        <w:t>三、基本修业年限</w:t>
      </w:r>
      <w:bookmarkEnd w:id="5"/>
      <w:bookmarkEnd w:id="6"/>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标准修业年限为3年，弹性学分有效修业年限为2-5年。</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7" w:name="_Toc26097"/>
      <w:bookmarkStart w:id="8" w:name="_Toc28941"/>
      <w:r>
        <w:rPr>
          <w:rFonts w:hint="eastAsia" w:ascii="黑体" w:hAnsi="黑体" w:eastAsia="黑体" w:cs="黑体"/>
          <w:b w:val="0"/>
          <w:bCs w:val="0"/>
          <w:color w:val="auto"/>
          <w:sz w:val="32"/>
          <w:szCs w:val="32"/>
          <w:highlight w:val="none"/>
          <w:lang w:val="en-US" w:eastAsia="zh-CN"/>
        </w:rPr>
        <w:t>四、职业面向</w:t>
      </w:r>
      <w:bookmarkEnd w:id="7"/>
      <w:bookmarkEnd w:id="8"/>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0" w:firstLineChars="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 职业岗位分析表</w:t>
      </w:r>
    </w:p>
    <w:tbl>
      <w:tblPr>
        <w:tblStyle w:val="17"/>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523"/>
        <w:gridCol w:w="1284"/>
        <w:gridCol w:w="2045"/>
        <w:gridCol w:w="1867"/>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所属专业大类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2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对应行业（代码）</w:t>
            </w:r>
          </w:p>
        </w:tc>
        <w:tc>
          <w:tcPr>
            <w:tcW w:w="204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主要职业类别（代码）</w:t>
            </w:r>
          </w:p>
        </w:tc>
        <w:tc>
          <w:tcPr>
            <w:tcW w:w="186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主要岗位（群）或技术领域</w:t>
            </w:r>
          </w:p>
        </w:tc>
        <w:tc>
          <w:tcPr>
            <w:tcW w:w="18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vAlign w:val="center"/>
          </w:tcPr>
          <w:p>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_GB2312" w:cs="仿宋_GB2312"/>
                <w:color w:val="auto"/>
                <w:sz w:val="24"/>
              </w:rPr>
            </w:pPr>
            <w:bookmarkStart w:id="9" w:name="OLE_LINK1" w:colFirst="0" w:colLast="5"/>
            <w:r>
              <w:rPr>
                <w:rFonts w:hint="eastAsia" w:ascii="仿宋" w:hAnsi="仿宋" w:eastAsia="仿宋" w:cs="仿宋"/>
                <w:color w:val="auto"/>
                <w:sz w:val="24"/>
                <w:szCs w:val="24"/>
                <w:highlight w:val="none"/>
              </w:rPr>
              <w:t>财经商贸大类（53）</w:t>
            </w:r>
          </w:p>
        </w:tc>
        <w:tc>
          <w:tcPr>
            <w:tcW w:w="1523" w:type="dxa"/>
            <w:vAlign w:val="center"/>
          </w:tcPr>
          <w:p>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 w:cs="仿宋_GB2312"/>
                <w:color w:val="auto"/>
                <w:sz w:val="24"/>
                <w:lang w:eastAsia="zh-CN"/>
              </w:rPr>
            </w:pPr>
            <w:r>
              <w:rPr>
                <w:rFonts w:hint="eastAsia" w:ascii="仿宋" w:hAnsi="仿宋" w:eastAsia="仿宋" w:cs="仿宋"/>
                <w:color w:val="auto"/>
                <w:sz w:val="24"/>
                <w:szCs w:val="24"/>
                <w:highlight w:val="none"/>
              </w:rPr>
              <w:t>电子商务类</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5307</w:t>
            </w:r>
            <w:r>
              <w:rPr>
                <w:rFonts w:hint="eastAsia" w:ascii="仿宋" w:hAnsi="仿宋" w:eastAsia="仿宋" w:cs="仿宋"/>
                <w:color w:val="auto"/>
                <w:sz w:val="24"/>
                <w:szCs w:val="24"/>
                <w:highlight w:val="none"/>
                <w:lang w:eastAsia="zh-CN"/>
              </w:rPr>
              <w:t>）</w:t>
            </w:r>
          </w:p>
        </w:tc>
        <w:tc>
          <w:tcPr>
            <w:tcW w:w="1284" w:type="dxa"/>
            <w:vAlign w:val="center"/>
          </w:tcPr>
          <w:p>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_GB2312" w:cs="仿宋_GB2312"/>
                <w:color w:val="auto"/>
                <w:sz w:val="24"/>
              </w:rPr>
            </w:pPr>
            <w:r>
              <w:rPr>
                <w:rFonts w:hint="eastAsia" w:ascii="仿宋" w:hAnsi="仿宋" w:eastAsia="仿宋" w:cs="仿宋"/>
                <w:color w:val="auto"/>
                <w:sz w:val="24"/>
                <w:szCs w:val="24"/>
                <w:highlight w:val="none"/>
              </w:rPr>
              <w:t>批发业（51）、零售业（52）、互联网和相关服务（64）、商务服务业（72）</w:t>
            </w:r>
          </w:p>
        </w:tc>
        <w:tc>
          <w:tcPr>
            <w:tcW w:w="2045" w:type="dxa"/>
            <w:vAlign w:val="center"/>
          </w:tcPr>
          <w:p>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_GB2312" w:cs="仿宋_GB2312"/>
                <w:color w:val="auto"/>
                <w:sz w:val="24"/>
              </w:rPr>
            </w:pPr>
            <w:r>
              <w:rPr>
                <w:rFonts w:hint="eastAsia" w:ascii="仿宋" w:hAnsi="仿宋" w:eastAsia="仿宋" w:cs="仿宋"/>
                <w:color w:val="auto"/>
                <w:sz w:val="24"/>
                <w:szCs w:val="24"/>
                <w:highlight w:val="none"/>
              </w:rPr>
              <w:t>互联网营销师S（4-01-06-02）、全媒体运营师S（4-13-01-05）、市场营销专业人员（2-06-07-02）、品牌专业人员（2-06-07-04）</w:t>
            </w:r>
          </w:p>
        </w:tc>
        <w:tc>
          <w:tcPr>
            <w:tcW w:w="1867" w:type="dxa"/>
            <w:vAlign w:val="center"/>
          </w:tcPr>
          <w:p>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 w:cs="仿宋_GB2312"/>
                <w:color w:val="auto"/>
                <w:sz w:val="24"/>
                <w:lang w:eastAsia="zh-CN"/>
              </w:rPr>
            </w:pPr>
            <w:r>
              <w:rPr>
                <w:rFonts w:hint="eastAsia" w:ascii="仿宋" w:hAnsi="仿宋" w:eastAsia="仿宋" w:cs="仿宋"/>
                <w:color w:val="auto"/>
                <w:sz w:val="24"/>
                <w:szCs w:val="24"/>
                <w:highlight w:val="none"/>
              </w:rPr>
              <w:t>渠道销售主管、直播销售员、商品选品主管、直播运营主管、新媒体运营主管、内容策划主管、客户主管、渠道推广主管、网络广告专员、市场策划主管</w:t>
            </w:r>
          </w:p>
        </w:tc>
        <w:tc>
          <w:tcPr>
            <w:tcW w:w="1866" w:type="dxa"/>
            <w:vAlign w:val="center"/>
          </w:tcPr>
          <w:p>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60" w:lineRule="exact"/>
              <w:ind w:left="0" w:leftChars="0" w:right="0" w:rightChars="0"/>
              <w:jc w:val="both"/>
              <w:textAlignment w:val="auto"/>
              <w:rPr>
                <w:rFonts w:hint="eastAsia" w:ascii="仿宋_GB2312" w:hAnsi="仿宋_GB2312" w:eastAsia="仿宋" w:cs="仿宋_GB2312"/>
                <w:color w:val="auto"/>
                <w:sz w:val="24"/>
                <w:lang w:eastAsia="zh-CN"/>
              </w:rPr>
            </w:pPr>
            <w:r>
              <w:rPr>
                <w:rFonts w:hint="eastAsia" w:ascii="仿宋" w:hAnsi="仿宋" w:eastAsia="仿宋" w:cs="仿宋"/>
                <w:color w:val="auto"/>
                <w:sz w:val="24"/>
                <w:szCs w:val="24"/>
                <w:highlight w:val="none"/>
              </w:rPr>
              <w:t>直播电商、网络直播运营、新媒体营销</w:t>
            </w:r>
          </w:p>
        </w:tc>
      </w:tr>
      <w:bookmarkEnd w:id="9"/>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10" w:name="_Toc5318"/>
      <w:bookmarkStart w:id="11" w:name="_Toc15889"/>
      <w:r>
        <w:rPr>
          <w:rFonts w:hint="eastAsia" w:ascii="黑体" w:hAnsi="黑体" w:eastAsia="黑体" w:cs="黑体"/>
          <w:b w:val="0"/>
          <w:bCs w:val="0"/>
          <w:color w:val="auto"/>
          <w:sz w:val="32"/>
          <w:szCs w:val="32"/>
          <w:highlight w:val="none"/>
          <w:lang w:val="en-US" w:eastAsia="zh-CN"/>
        </w:rPr>
        <w:t>五、培养目标</w:t>
      </w:r>
      <w:bookmarkEnd w:id="10"/>
      <w:bookmarkEnd w:id="11"/>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批发业、零售业、互联网和相关服务业、商务服务业的互联网营销师、全媒体运营师、市场营销专业人员、品牌专业人员职业，能够从事渠道拓展运营维护、市场策划、产品策划、广告投放、直播策划执行、粉丝引导转化、内容策划推广、新媒体运营、数据分析、客户开发与管理等工作。依托与广西壮言淘电子商务有限公司在直播电商运营、粉丝经济转化等领域的深度合作，学生能熟练掌握直播策划执行、粉丝引导转化等技能；借助平果鸿仁传媒科技有限公司在内容创作与推广方面的优势，学生可提升内容策划推广、新媒体运营能力；通过与广西平果庆源电子科技有限责任公司、平果亿鑫国际家居有限公司、平果县皓远商贸有限公司等企业的岗位实习合作，学生能够在产品策划、渠道拓展运营维护、广告投放、数据分析、客户开发与管理等方面积累丰富实践经验，成为适应行业发展需求的高技能人才。</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12" w:name="_Toc25801"/>
      <w:bookmarkStart w:id="13" w:name="_Toc25721"/>
      <w:r>
        <w:rPr>
          <w:rFonts w:hint="eastAsia" w:ascii="黑体" w:hAnsi="黑体" w:eastAsia="黑体" w:cs="黑体"/>
          <w:b w:val="0"/>
          <w:bCs w:val="0"/>
          <w:color w:val="auto"/>
          <w:sz w:val="32"/>
          <w:szCs w:val="32"/>
          <w:highlight w:val="none"/>
          <w:lang w:val="en-US" w:eastAsia="zh-CN"/>
        </w:rPr>
        <w:t>六、培养规格</w:t>
      </w:r>
      <w:bookmarkEnd w:id="12"/>
      <w:bookmarkEnd w:id="13"/>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本专业学生应在系统学习本专业知识并完成有关实习实训基础上，全面提升知识、能力、素质，掌握并实际运用岗位（群）需要的专业核心技术技能，实现德智体美劳全面发展，总体上须达到以下要求：</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14" w:name="_Toc27113"/>
      <w:r>
        <w:rPr>
          <w:rFonts w:hint="eastAsia" w:ascii="楷体" w:hAnsi="楷体" w:eastAsia="楷体" w:cs="楷体"/>
          <w:color w:val="auto"/>
          <w:sz w:val="32"/>
          <w:szCs w:val="32"/>
          <w:lang w:val="en-US" w:eastAsia="zh-CN"/>
        </w:rPr>
        <w:t>（一）知识目标</w:t>
      </w:r>
      <w:bookmarkEnd w:id="14"/>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掌握与本专业对应职业活动相关的国家法律、行业规定，掌握环境保护、安全防护、质量管理等相关知识与技能，了解相关行业文化，具有爱岗敬业的职业精神，遵守职业道德准则和行为规范，具备社会责任感和担当精神；</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（2）掌握支撑本专业学习和可持续发展必备的语文、数学、外语（英语等）、信息技术等文化基础知识，具有良好的人文素养与科学素养，具备职业生涯规划能力；</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（3）具有良好的语言表达能力、文字表达能力、沟通合作能力，具有较强的集体意识和团队合作意识，学习1门外语并结合本专业加以运用；</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（4）掌握市场营销学、零售学、商品基础、电子商务基础、素材拍摄与编辑、商务数据分析与应用、财税基础等方面的专业基础理论知识。</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15" w:name="_Toc6914"/>
      <w:r>
        <w:rPr>
          <w:rFonts w:hint="eastAsia" w:ascii="楷体" w:hAnsi="楷体" w:eastAsia="楷体" w:cs="楷体"/>
          <w:color w:val="auto"/>
          <w:sz w:val="32"/>
          <w:szCs w:val="32"/>
          <w:lang w:val="en-US" w:eastAsia="zh-CN"/>
        </w:rPr>
        <w:t>（二）能力目标</w:t>
      </w:r>
      <w:bookmarkEnd w:id="15"/>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（1）具有渠道开拓与运维的能力，能够完成销售渠道拓展、渠道运营策划、渠道绩效管理、销售渠道维护、渠道评估与改进等工作；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（2）具有直播营销的能力，能够完成选品分析、直播策划、产品讲解、直播脚本设计、主播人设搭建、粉丝引导转化、直播复盘等工作；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（3）具有内容策划与编辑和市场策划的能力，能够完成市场调研、内容编辑制作推广、效果监测与评估等工作；能够完成行业定位分析、产品、渠道、销售策略、营销活动等的策划与评估分析等工作；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具有直播和新媒体运营的能力，能够完成直播间运营策划、引流、成本控制、过程监测与调整、直播风险把控等工作；能够进行新媒体市场调研、运营策划、推广平台、社群运营、活动策划、运营效果监测等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（5）具有客户服务与管理能力，能够完成客户服务标准制定、客户调研与数据获取、客户关系维护与管理、突发危机事件处理、客户服务绩效管理、客户开发与转化、服务机构合作等工作；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（6）具有网络推广能力，能够完成广告投放、人群画像分析、渠道选择、结果分析、数据跟踪、推广预算等工作；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（7）掌握信息技术基础知识，具有适应本行业数字化和智能化发展需求的数字技能；</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（8）具有探究学习、终身学习和可持续发展的能力，具有整合知识和综合运用知识分析问题和解决问题的能力。</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9）具有职业技能等级证书考取与应用的能力，能够系统掌握直播电商、网络直播运营、新媒体营销师等职业资格证书的核心知识与实操要求，通过证书考核将理论知识转化为岗位实操技能，提升职业竞争力与行业认可度。</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16" w:name="_Toc9848"/>
      <w:r>
        <w:rPr>
          <w:rFonts w:hint="eastAsia" w:ascii="楷体" w:hAnsi="楷体" w:eastAsia="楷体" w:cs="楷体"/>
          <w:color w:val="auto"/>
          <w:sz w:val="32"/>
          <w:szCs w:val="32"/>
          <w:lang w:val="en-US" w:eastAsia="zh-CN"/>
        </w:rPr>
        <w:t>（三）素质目标</w:t>
      </w:r>
      <w:bookmarkEnd w:id="16"/>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（1）坚定拥护中国共产党领导和中国特色社会主义制度，以习近平新时代中国特色社会主义思想为指导，践行社会主义核心价值观，具有坚定的理想信念、深厚的爱国情感和中华民族自豪感；</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（2）掌握身体运动的基本知识和至少1项体育运动技能，达到国家大学生体质健康测试合格标准，养成良好的运动习惯、卫生习惯和行为习惯；具备一定的心理调适能力；</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（3）掌握必备的美育知识，具有一定的文化修养、审美能力，形成至少1项艺术特长或爱好；</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（4）树立正确的劳动观，尊重劳动，热爱劳动，具备与本专业职业发展相适应的劳动素养，弘扬劳模精神、劳动精神、工匠精神，弘扬劳动光荣、技能宝贵、创造伟大的时代风尚。</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17" w:name="_Toc18244"/>
      <w:bookmarkStart w:id="18" w:name="_Toc9689"/>
      <w:r>
        <w:rPr>
          <w:rFonts w:hint="eastAsia" w:ascii="黑体" w:hAnsi="黑体" w:eastAsia="黑体" w:cs="黑体"/>
          <w:b w:val="0"/>
          <w:bCs w:val="0"/>
          <w:color w:val="auto"/>
          <w:sz w:val="32"/>
          <w:szCs w:val="32"/>
          <w:highlight w:val="none"/>
          <w:lang w:val="en-US" w:eastAsia="zh-CN"/>
        </w:rPr>
        <w:t>七、课程设置</w:t>
      </w:r>
      <w:bookmarkEnd w:id="17"/>
      <w:bookmarkEnd w:id="18"/>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主要包括公共基础课程和专业课程。</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19" w:name="_Toc32011"/>
      <w:r>
        <w:rPr>
          <w:rFonts w:hint="eastAsia" w:ascii="楷体" w:hAnsi="楷体" w:eastAsia="楷体" w:cs="楷体"/>
          <w:color w:val="auto"/>
          <w:sz w:val="32"/>
          <w:szCs w:val="32"/>
          <w:lang w:val="en-US" w:eastAsia="zh-CN"/>
        </w:rPr>
        <w:t>（一）公共基础课程</w:t>
      </w:r>
      <w:bookmarkEnd w:id="19"/>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bookmarkStart w:id="20" w:name="_Toc90734974"/>
      <w:r>
        <w:rPr>
          <w:rFonts w:hint="eastAsia" w:ascii="仿宋_GB2312" w:hAnsi="仿宋_GB2312" w:eastAsia="仿宋_GB2312" w:cs="仿宋_GB2312"/>
          <w:color w:val="auto"/>
          <w:sz w:val="32"/>
          <w:szCs w:val="32"/>
          <w:lang w:val="en-US" w:eastAsia="zh-CN"/>
        </w:rPr>
        <w:t>分为公共必修课和公共选修课。</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必修课程包括</w:t>
      </w:r>
      <w:bookmarkEnd w:id="20"/>
      <w:r>
        <w:rPr>
          <w:rFonts w:hint="eastAsia" w:ascii="仿宋_GB2312" w:hAnsi="仿宋_GB2312" w:eastAsia="仿宋_GB2312" w:cs="仿宋_GB2312"/>
          <w:color w:val="auto"/>
          <w:sz w:val="32"/>
          <w:szCs w:val="32"/>
          <w:lang w:val="en-US" w:eastAsia="zh-CN"/>
        </w:rPr>
        <w:t>：思想道德与法治、形势与政策、国家安全教育、军事理论、军训、计算机基础、高等数学、大学英语、大学体育、大学生职业发展与就业指导、大学生心理健康教育、劳动教育、毛泽东思想和中国特色社会主义理论体系概论、创新创业教育、习近平新时代中国特色社会主义思想概论。</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选修课程包括：中国民俗剪纸技法、影视与鉴赏、中国共产党简史、中华人民共和国简史、改革开放简史、社会主义发展简史、中华优秀传统文化、中华民族共同体概论、语文。</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0" w:firstLineChars="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表2 公共基础课课程目标、主要教学内容与要求</w:t>
      </w:r>
    </w:p>
    <w:tbl>
      <w:tblPr>
        <w:tblStyle w:val="16"/>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869"/>
        <w:gridCol w:w="3986"/>
        <w:gridCol w:w="3043"/>
        <w:gridCol w:w="2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bookmarkStart w:id="21" w:name="_Toc90734979"/>
            <w:bookmarkStart w:id="22" w:name="_Toc2022"/>
            <w:r>
              <w:rPr>
                <w:rFonts w:hint="eastAsia" w:ascii="仿宋_GB2312" w:hAnsi="仿宋_GB2312" w:eastAsia="仿宋_GB2312" w:cs="仿宋_GB2312"/>
                <w:color w:val="auto"/>
                <w:sz w:val="24"/>
                <w:szCs w:val="24"/>
              </w:rPr>
              <w:t>序号</w:t>
            </w:r>
            <w:bookmarkEnd w:id="21"/>
            <w:bookmarkEnd w:id="22"/>
          </w:p>
        </w:tc>
        <w:tc>
          <w:tcPr>
            <w:tcW w:w="869"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bookmarkStart w:id="23" w:name="_Toc2635"/>
            <w:bookmarkStart w:id="24" w:name="_Toc90734980"/>
            <w:r>
              <w:rPr>
                <w:rFonts w:hint="eastAsia" w:ascii="仿宋_GB2312" w:hAnsi="仿宋_GB2312" w:eastAsia="仿宋_GB2312" w:cs="仿宋_GB2312"/>
                <w:color w:val="auto"/>
                <w:sz w:val="24"/>
                <w:szCs w:val="24"/>
              </w:rPr>
              <w:t>课程名称</w:t>
            </w:r>
            <w:bookmarkEnd w:id="23"/>
            <w:bookmarkEnd w:id="24"/>
          </w:p>
        </w:tc>
        <w:tc>
          <w:tcPr>
            <w:tcW w:w="398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bookmarkStart w:id="25" w:name="_Toc90734981"/>
            <w:bookmarkStart w:id="26" w:name="_Toc24608"/>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bookmarkEnd w:id="25"/>
            <w:bookmarkEnd w:id="26"/>
          </w:p>
        </w:tc>
        <w:tc>
          <w:tcPr>
            <w:tcW w:w="3043"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bookmarkStart w:id="27" w:name="_Toc90734982"/>
            <w:bookmarkStart w:id="28" w:name="_Toc23051"/>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bookmarkEnd w:id="27"/>
            <w:bookmarkEnd w:id="28"/>
          </w:p>
        </w:tc>
        <w:tc>
          <w:tcPr>
            <w:tcW w:w="236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1</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思想道德与法治</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rPr>
              <w:t>系统掌握本课程的基本原理和理论，了解新时代、人生观、远大理想、中国精神、社会</w:t>
            </w:r>
            <w:r>
              <w:rPr>
                <w:rFonts w:hint="eastAsia" w:ascii="仿宋_GB2312" w:hAnsi="仿宋_GB2312" w:eastAsia="仿宋_GB2312" w:cs="仿宋_GB2312"/>
                <w:b w:val="0"/>
                <w:bCs w:val="0"/>
                <w:color w:val="auto"/>
                <w:sz w:val="24"/>
                <w:szCs w:val="24"/>
                <w:highlight w:val="none"/>
                <w:lang w:eastAsia="zh-CN"/>
              </w:rPr>
              <w:t>主义</w:t>
            </w:r>
            <w:r>
              <w:rPr>
                <w:rFonts w:hint="eastAsia" w:ascii="仿宋_GB2312" w:hAnsi="仿宋_GB2312" w:eastAsia="仿宋_GB2312" w:cs="仿宋_GB2312"/>
                <w:b w:val="0"/>
                <w:bCs w:val="0"/>
                <w:color w:val="auto"/>
                <w:sz w:val="24"/>
                <w:szCs w:val="24"/>
                <w:highlight w:val="none"/>
              </w:rPr>
              <w:t>核心价值观、道德规范、法治等相关内容，构建起个人与国家、社会，个人与职业、婚姻家庭之间命运共同体内在关联的科学认知体系。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rPr>
              <w:t>能够运用基本原理和理论分析判断是非、明辨善恶；认真审视和正视自身言行举止，弃“恶”扬善，从“我”做起、从日常小事做起、从现在做起，逐渐养成自觉践行社会主义核心价值观的习惯。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shd w:val="clear" w:color="auto" w:fill="FFFFFF"/>
              </w:rPr>
              <w:t>通</w:t>
            </w:r>
            <w:r>
              <w:rPr>
                <w:rFonts w:hint="eastAsia" w:ascii="仿宋_GB2312" w:hAnsi="仿宋_GB2312" w:eastAsia="仿宋_GB2312" w:cs="仿宋_GB2312"/>
                <w:color w:val="auto"/>
                <w:sz w:val="24"/>
                <w:szCs w:val="24"/>
                <w:highlight w:val="none"/>
                <w:shd w:val="clear" w:color="auto" w:fill="FFFFFF"/>
                <w:lang w:val="en-US" w:eastAsia="zh-CN"/>
              </w:rPr>
              <w:t>过</w:t>
            </w:r>
            <w:r>
              <w:rPr>
                <w:rFonts w:hint="eastAsia" w:ascii="仿宋_GB2312" w:hAnsi="仿宋_GB2312" w:eastAsia="仿宋_GB2312" w:cs="仿宋_GB2312"/>
                <w:color w:val="auto"/>
                <w:sz w:val="24"/>
                <w:szCs w:val="24"/>
                <w:highlight w:val="none"/>
                <w:shd w:val="clear" w:color="auto" w:fill="FFFFFF"/>
              </w:rPr>
              <w:t>教师的理论讲授和学生的实践体验，让大学生形成崇高的理想信念，弘扬伟大的爱国主义精神，确立正确的人生观和价值观，牢固树立社会主义核心价值观，培养良好的思想道德素质和法律素质，成长为德、智、体、美、劳全面发展的中国特色社会主义伟大事业的合格建设者和可靠接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2</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rPr>
              <w:t>形势与政策</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使学生感知国情民意，体会党的路线方针政策的正确，把对形势与政策的认识统一到党和国家的科学判断上和正确决策上，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368"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按照中宣部、教育部每年每学期颁发的形势与政策课教学要点、要求和内容，对指定的专题进行教学。</w:t>
            </w:r>
            <w:r>
              <w:rPr>
                <w:rFonts w:hint="eastAsia" w:ascii="仿宋_GB2312" w:hAnsi="仿宋_GB2312" w:eastAsia="仿宋_GB2312" w:cs="仿宋_GB2312"/>
                <w:color w:val="auto"/>
                <w:sz w:val="24"/>
                <w:szCs w:val="24"/>
                <w:highlight w:val="none"/>
              </w:rPr>
              <w:t>教师采取混合式教学和学生研讨，聚焦社会热点、回应学生关切问题，提高学生运用马克思主义理论的立场</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观点</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3</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让学生系统掌握总体国家安全观的内涵和精神实质，理解中国特色国家安全体系，新时代我国国家安全面临的复杂形势，掌握筑牢其他各领域国家安全屏障的具体方法和途径。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能够建立总体国家安全观，树立中国特色社会主义理想信念，能够做到国家利益至上，维护国家主权、安全和发展利益，能够维护国家正当权益，绝不牺牲国家核心利益；</w:t>
            </w:r>
            <w:r>
              <w:rPr>
                <w:rFonts w:hint="eastAsia" w:ascii="仿宋_GB2312" w:hAnsi="仿宋_GB2312" w:eastAsia="仿宋_GB2312" w:cs="仿宋_GB2312"/>
                <w:color w:val="auto"/>
                <w:sz w:val="24"/>
                <w:szCs w:val="24"/>
                <w:highlight w:val="none"/>
                <w:lang w:val="en-US" w:eastAsia="zh-CN"/>
              </w:rPr>
              <w:t>能够</w:t>
            </w:r>
            <w:r>
              <w:rPr>
                <w:rFonts w:hint="eastAsia" w:ascii="仿宋_GB2312" w:hAnsi="仿宋_GB2312" w:eastAsia="仿宋_GB2312" w:cs="仿宋_GB2312"/>
                <w:color w:val="auto"/>
                <w:sz w:val="24"/>
                <w:szCs w:val="24"/>
                <w:highlight w:val="none"/>
                <w:lang w:eastAsia="zh-CN"/>
              </w:rPr>
              <w:t>增强政治认同，不信谣、不传谣，能够对危害政治安全的违法行为进行举报；能够以实际行动维护</w:t>
            </w:r>
            <w:r>
              <w:rPr>
                <w:rFonts w:hint="eastAsia" w:ascii="仿宋_GB2312" w:hAnsi="仿宋_GB2312" w:eastAsia="仿宋_GB2312" w:cs="仿宋_GB2312"/>
                <w:color w:val="auto"/>
                <w:sz w:val="24"/>
                <w:szCs w:val="24"/>
                <w:highlight w:val="none"/>
                <w:lang w:val="en-US" w:eastAsia="zh-CN"/>
              </w:rPr>
              <w:t>国家</w:t>
            </w:r>
            <w:r>
              <w:rPr>
                <w:rFonts w:hint="eastAsia" w:ascii="仿宋_GB2312" w:hAnsi="仿宋_GB2312" w:eastAsia="仿宋_GB2312" w:cs="仿宋_GB2312"/>
                <w:color w:val="auto"/>
                <w:sz w:val="24"/>
                <w:szCs w:val="24"/>
                <w:highlight w:val="none"/>
                <w:lang w:eastAsia="zh-CN"/>
              </w:rPr>
              <w:t>安全；</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能够自觉遵守法律，做到诚实守信、廉洁自律；学会合作，为人正派，具有良好的协作、沟通能力和团队精神；严守法纪，坚持原则，自觉践行社会主义核心价值观。树立国家安全意识，培养爱国精神，使其矢志不渝听党话、跟党走，不断成为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分析和解决问题，构建起维护国家安全的实践能力。使学生树立国家安全底线思维，将国家安全意识转化为自觉行动，强化责任担当。</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本课程包含国家安全绪论、政治安全、国土安全、军事安全、经济安全、文化安全、社会安全、科技安全。通过教学，使学生树立国家安全意识，培养学生爱国精神，使其矢志不渝听党话、跟党走，不断成为社会主义合格建设者和可靠接班人。</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本课程以坚持总体国家安全观为科学指导，坚持党对国家安全教育的绝对领导，坚持以构建国家安全教育体系为途径，重点围绕理解中华民族命运与国家关系，践行总体国家安全观。学生系统掌握总体国家安全观的内涵和精神实质，理解中国特色国家安全体系，树立国家安全底线思维，将国家安全意识转化为自觉行动，强化学生责任担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4</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军事理论</w:t>
            </w:r>
          </w:p>
        </w:tc>
        <w:tc>
          <w:tcPr>
            <w:tcW w:w="3986"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3043"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c>
          <w:tcPr>
            <w:tcW w:w="2368" w:type="dxa"/>
            <w:shd w:val="clear" w:color="auto" w:fill="auto"/>
            <w:vAlign w:val="top"/>
          </w:tcPr>
          <w:p>
            <w:pPr>
              <w:pStyle w:val="15"/>
              <w:keepNext w:val="0"/>
              <w:keepLines w:val="0"/>
              <w:widowControl/>
              <w:suppressLineNumbers w:val="0"/>
              <w:jc w:val="both"/>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9"/>
                <w:rFonts w:hint="default"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5</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auto"/>
                <w:sz w:val="24"/>
                <w:szCs w:val="24"/>
                <w:highlight w:val="none"/>
                <w:lang w:val="en-US" w:eastAsia="zh-CN"/>
              </w:rPr>
              <w:t>军训</w:t>
            </w:r>
          </w:p>
        </w:tc>
        <w:tc>
          <w:tcPr>
            <w:tcW w:w="3986" w:type="dxa"/>
            <w:shd w:val="clear" w:color="auto" w:fill="auto"/>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3043"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highlight w:val="none"/>
              </w:rPr>
            </w:pPr>
          </w:p>
        </w:tc>
        <w:tc>
          <w:tcPr>
            <w:tcW w:w="236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highlight w:val="none"/>
              </w:rPr>
            </w:pP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869"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398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7</w:t>
            </w:r>
          </w:p>
        </w:tc>
        <w:tc>
          <w:tcPr>
            <w:tcW w:w="869"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3986"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Fonts w:hint="eastAsia" w:ascii="仿宋_GB2312" w:hAnsi="仿宋_GB2312" w:eastAsia="仿宋_GB2312" w:cs="仿宋_GB2312"/>
                <w:color w:val="auto"/>
                <w:kern w:val="2"/>
                <w:sz w:val="24"/>
                <w:szCs w:val="24"/>
                <w:highlight w:val="none"/>
                <w:shd w:val="clear" w:color="auto" w:fill="FFFFFF"/>
                <w:lang w:val="en-US" w:eastAsia="zh-CN" w:bidi="ar-SA"/>
              </w:rPr>
              <w:t>学习、理解和掌握函数与极限、一元函数微积分、微分方程、基本原理、基本运算等基础理论，了解数学科学的发展脉络、哲学思想、逻辑思维与方法论。</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Fonts w:hint="eastAsia" w:ascii="仿宋_GB2312" w:hAnsi="仿宋_GB2312" w:eastAsia="仿宋_GB2312" w:cs="仿宋_GB2312"/>
                <w:color w:val="auto"/>
                <w:kern w:val="2"/>
                <w:sz w:val="24"/>
                <w:szCs w:val="24"/>
                <w:highlight w:val="none"/>
                <w:shd w:val="clear" w:color="auto" w:fill="FFFFFF"/>
                <w:lang w:val="en-US" w:eastAsia="zh-CN" w:bidi="ar-SA"/>
              </w:rPr>
              <w:t>能够运用数学方法分析解决生活、学习、工作等领域中遇到的实际问题，如家庭理财与投资、专业学习辅助、工程定量计算、生产管理分析等，具有较好的数学应用能力。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Fonts w:hint="eastAsia" w:ascii="仿宋_GB2312" w:hAnsi="仿宋_GB2312" w:eastAsia="仿宋_GB2312" w:cs="仿宋_GB2312"/>
                <w:color w:val="auto"/>
                <w:kern w:val="2"/>
                <w:sz w:val="24"/>
                <w:szCs w:val="24"/>
                <w:highlight w:val="none"/>
                <w:shd w:val="clear" w:color="auto" w:fill="FFFFFF"/>
                <w:lang w:val="en-US" w:eastAsia="zh-CN" w:bidi="ar-SA"/>
              </w:rPr>
              <w:t>在传授知识的同时，培养学生严谨的工作态度和坚毅的品格，提升学生的数学文化素养，引导学生形成实事求是的工作作风和一定的吃苦精神。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Fonts w:hint="eastAsia" w:ascii="仿宋_GB2312" w:hAnsi="仿宋_GB2312" w:eastAsia="仿宋_GB2312" w:cs="仿宋_GB2312"/>
                <w:color w:val="auto"/>
                <w:kern w:val="2"/>
                <w:sz w:val="24"/>
                <w:szCs w:val="24"/>
                <w:highlight w:val="none"/>
                <w:shd w:val="clear" w:color="auto" w:fill="FFFFFF"/>
                <w:lang w:val="en-US" w:eastAsia="zh-CN" w:bidi="ar-SA"/>
              </w:rPr>
              <w:t>夯实基础，传递数学文化自信；锤炼思维，塑造科学素养；立德树人，涵养家国情怀。</w:t>
            </w:r>
          </w:p>
        </w:tc>
        <w:tc>
          <w:tcPr>
            <w:tcW w:w="3043"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导数的应用、不定积分、定积分及其应用、常微分方程。通过本课程学习，使学生了解微积分思想，较系统地掌握应用高等数学的基础知识、基本理论和常用技巧，为学生学习后继基础专业课程、相关专业课程和分析、解决实际问题奠定数学基础。</w:t>
            </w:r>
          </w:p>
        </w:tc>
        <w:tc>
          <w:tcPr>
            <w:tcW w:w="236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8</w:t>
            </w:r>
          </w:p>
        </w:tc>
        <w:tc>
          <w:tcPr>
            <w:tcW w:w="869"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398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w:t>
            </w:r>
            <w:r>
              <w:rPr>
                <w:rStyle w:val="19"/>
                <w:rFonts w:hint="eastAsia" w:ascii="仿宋_GB2312" w:hAnsi="仿宋_GB2312" w:eastAsia="仿宋_GB2312" w:cs="仿宋_GB2312"/>
                <w:b w:val="0"/>
                <w:bCs w:val="0"/>
                <w:i w:val="0"/>
                <w:iCs w:val="0"/>
                <w:caps w:val="0"/>
                <w:color w:val="auto"/>
                <w:spacing w:val="-6"/>
                <w:kern w:val="0"/>
                <w:sz w:val="24"/>
                <w:szCs w:val="24"/>
                <w:highlight w:val="none"/>
                <w:shd w:val="clear" w:fill="FFFFFF"/>
                <w:lang w:val="en-US" w:eastAsia="zh-CN" w:bidi="ar"/>
              </w:rPr>
              <w:t>，学习职场英语表达。了解英语国家文化常识，熟悉专业相关术语。</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right="0"/>
              <w:jc w:val="both"/>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培养学生掌握语言基础知识和语言技能、具备基本的英语听、说、读、写、译能力，增强其跨文化交际意识和沟通能力，为适应未来职业需求。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融入工匠精神教育，培养职业操守。通过中外文化对比，培养学生树立正确的世界观、人生观、价值观，明辨西方文化与价值观，增强文化自信和爱国情怀。</w:t>
            </w:r>
          </w:p>
        </w:tc>
        <w:tc>
          <w:tcPr>
            <w:tcW w:w="3043"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36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auto"/>
                <w:sz w:val="24"/>
                <w:szCs w:val="24"/>
                <w:highlight w:val="none"/>
              </w:rPr>
              <w:t>采用情景教学法，设计职场情境任务。结合信息化手段，注重实践能力培养。参与课堂活动，完成实践任务。利用网络资源自主学习，提升应用能力。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9</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大学体育</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树立健康第一的教育理念，帮助学生在体育锻炼中享受乐趣、增强体质、健全人格、锤炼意志。培养学生顽强拼搏、奋斗有我的信念，激发学生提升身体素质的责任感。</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10</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大学生职业发展与就业指导</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11</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确对待和处理成长中的心理困惑和问题，始终围绕社会主义核心价值观来发展和完善自身人格，将个人自我实现的追求与社会发展结合起来。</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12</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w:t>
            </w:r>
            <w:r>
              <w:rPr>
                <w:rFonts w:hint="eastAsia" w:ascii="仿宋_GB2312" w:hAnsi="仿宋_GB2312" w:eastAsia="仿宋_GB2312" w:cs="仿宋_GB2312"/>
                <w:b w:val="0"/>
                <w:bCs w:val="0"/>
                <w:color w:val="auto"/>
                <w:spacing w:val="-6"/>
                <w:sz w:val="24"/>
                <w:szCs w:val="24"/>
                <w:highlight w:val="none"/>
              </w:rPr>
              <w:t>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13</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w:t>
            </w:r>
            <w:r>
              <w:rPr>
                <w:rFonts w:hint="eastAsia" w:ascii="仿宋_GB2312" w:hAnsi="仿宋_GB2312" w:eastAsia="仿宋_GB2312" w:cs="仿宋_GB2312"/>
                <w:b w:val="0"/>
                <w:bCs w:val="0"/>
                <w:color w:val="auto"/>
                <w:spacing w:val="-6"/>
                <w:sz w:val="24"/>
                <w:szCs w:val="24"/>
                <w:highlight w:val="none"/>
              </w:rPr>
              <w:t>、思想精髓、精神实质</w:t>
            </w:r>
            <w:r>
              <w:rPr>
                <w:rFonts w:hint="eastAsia" w:ascii="仿宋_GB2312" w:hAnsi="仿宋_GB2312" w:eastAsia="仿宋_GB2312" w:cs="仿宋_GB2312"/>
                <w:b w:val="0"/>
                <w:bCs w:val="0"/>
                <w:color w:val="auto"/>
                <w:spacing w:val="-6"/>
                <w:sz w:val="24"/>
                <w:szCs w:val="24"/>
                <w:highlight w:val="none"/>
                <w:lang w:eastAsia="zh-CN"/>
              </w:rPr>
              <w:t>；</w:t>
            </w:r>
            <w:r>
              <w:rPr>
                <w:rFonts w:hint="eastAsia" w:ascii="仿宋_GB2312" w:hAnsi="仿宋_GB2312" w:eastAsia="仿宋_GB2312" w:cs="仿宋_GB2312"/>
                <w:b w:val="0"/>
                <w:bCs w:val="0"/>
                <w:color w:val="auto"/>
                <w:spacing w:val="-6"/>
                <w:sz w:val="24"/>
                <w:szCs w:val="24"/>
                <w:highlight w:val="none"/>
              </w:rPr>
              <w:t>系统把握马克思主义中国化理论成果所蕴含的马克思主义立场、观点和方法。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教师运用信息化技术进行史论结合、案例丰富的讲授，引导学生系统掌握马克思主义基本原理和马克思主义中国化理论成果，了解党史、新中国史、改革开放史、社会主义发展史，认识世情、国情、党情，培养运用马克思主义立场观点方法分析和解决问题的能力；矢志不渝听党话</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跟党走，争做社会主义合格建设者和可靠接班人。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14</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创新创业教育</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w:t>
            </w:r>
            <w:r>
              <w:rPr>
                <w:rFonts w:hint="eastAsia" w:ascii="仿宋_GB2312" w:hAnsi="仿宋_GB2312" w:eastAsia="仿宋_GB2312" w:cs="仿宋_GB2312"/>
                <w:color w:val="auto"/>
                <w:spacing w:val="-6"/>
                <w:sz w:val="24"/>
                <w:szCs w:val="24"/>
                <w:highlight w:val="none"/>
                <w:lang w:val="en-US" w:eastAsia="zh-CN"/>
              </w:rPr>
              <w:t>。增强资源整合与项目管理能力，掌握创业风险防范与应对方法。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15</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习近平新时代中国特色社会主义思想概论</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深刻理解习近平新时代中国特色社会主义思想是马克思主义中国化的最新理论成果；系统把握习近平新时代中国特色社会主义思想的核心观点和基本方略。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提升大学生运用所学新思想、新理论分析和解决现实问题的能力；增强大学生全面贯彻党的基本理论和基本方略的自觉性和主动性。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引导大学生自觉运用习近平新时代中国特色社会主义思想武装头脑，积极投身到建设新时代中国特色社会主义的伟大历史进程中，实现中国梦。帮助大学生</w:t>
            </w:r>
            <w:r>
              <w:rPr>
                <w:rFonts w:hint="eastAsia" w:ascii="仿宋_GB2312" w:hAnsi="仿宋_GB2312" w:eastAsia="仿宋_GB2312" w:cs="仿宋_GB2312"/>
                <w:b w:val="0"/>
                <w:bCs w:val="0"/>
                <w:color w:val="auto"/>
                <w:sz w:val="24"/>
                <w:szCs w:val="24"/>
                <w:highlight w:val="none"/>
                <w:lang w:eastAsia="zh-CN"/>
              </w:rPr>
              <w:t>增强“四个意识”、坚定“四个自信”、做到“两个维护”</w:t>
            </w:r>
            <w:r>
              <w:rPr>
                <w:rFonts w:hint="eastAsia" w:ascii="仿宋_GB2312" w:hAnsi="仿宋_GB2312" w:eastAsia="仿宋_GB2312" w:cs="仿宋_GB2312"/>
                <w:b w:val="0"/>
                <w:bCs w:val="0"/>
                <w:color w:val="auto"/>
                <w:sz w:val="24"/>
                <w:szCs w:val="24"/>
                <w:highlight w:val="none"/>
              </w:rPr>
              <w:t>。</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通过教师的混合式教学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史论结合、案例丰富的教学，让学生感悟党的创新理论的思想伟力，坚持用马克思主义理论指导实践，做“学思想、强党性、重实践、建新功”的新时代青年。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16</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w:t>
            </w:r>
            <w:r>
              <w:rPr>
                <w:rFonts w:hint="eastAsia" w:ascii="仿宋_GB2312" w:hAnsi="仿宋_GB2312" w:eastAsia="仿宋_GB2312" w:cs="仿宋_GB2312"/>
                <w:color w:val="auto"/>
                <w:spacing w:val="-6"/>
                <w:sz w:val="24"/>
                <w:szCs w:val="24"/>
                <w:highlight w:val="none"/>
                <w:lang w:val="en-US" w:eastAsia="zh-CN"/>
              </w:rPr>
              <w:t>。在技艺传承中培育工匠精神，树立文化传承的责任意识。</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17</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影视与鉴赏</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18</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中国共产党简史</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w:t>
            </w:r>
            <w:r>
              <w:rPr>
                <w:rFonts w:hint="eastAsia" w:ascii="仿宋_GB2312" w:hAnsi="仿宋_GB2312" w:eastAsia="仿宋_GB2312" w:cs="仿宋_GB2312"/>
                <w:color w:val="auto"/>
                <w:spacing w:val="-6"/>
                <w:sz w:val="24"/>
                <w:szCs w:val="24"/>
                <w:highlight w:val="none"/>
              </w:rPr>
              <w:t>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坚定对马克思主义的信仰、对中国共产党的信任、对社会主义的信心。促进学生政治素质和思想道德素质的提高，充分理解实行改革开放和实现中华民族伟大复兴中国梦的重大历史意义。</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的洪流、掀起土地革命的风暴、全民族抗日战争的中流砥柱、夺取新民主主义革命的全国性胜利、中华人民共和国的成立和社会主义制度的建立、社会主义建设的探索和曲折发展、伟大历史转折和中国特色社会主义的开创、把中国特色社会主义全面推向21世纪、在新的形势下坚持和发展中国特色社会主义、中国特色社会主义进入新时代等。通过学习，学生将全面了解中国共产党领导中国人民进行革命、建设、改革的光辉历程，深刻认识党在各个历史时期的伟大成就和宝贵经验，为成为一名合格的共产党员、成为一名社会主义建设者奠定坚实的思想基础。</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等方面。通过学习，学生将深入了解中华人民共和国在各个历史阶段的发展变化，认识到中国特色社会主义道路的历史必然性和正确性，增强对国家的热爱和对未来的信心。</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20</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改革开放简史</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政策的自觉性，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21</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科学社会主义的</w:t>
            </w:r>
            <w:r>
              <w:rPr>
                <w:rFonts w:hint="eastAsia" w:ascii="仿宋_GB2312" w:hAnsi="仿宋_GB2312" w:eastAsia="仿宋_GB2312" w:cs="仿宋_GB2312"/>
                <w:color w:val="auto"/>
                <w:sz w:val="24"/>
                <w:szCs w:val="24"/>
                <w:highlight w:val="none"/>
                <w:lang w:val="en-US" w:eastAsia="zh-CN"/>
              </w:rPr>
              <w:t>创立、</w:t>
            </w:r>
            <w:r>
              <w:rPr>
                <w:rFonts w:hint="eastAsia" w:ascii="仿宋_GB2312" w:hAnsi="仿宋_GB2312" w:eastAsia="仿宋_GB2312" w:cs="仿宋_GB2312"/>
                <w:color w:val="auto"/>
                <w:sz w:val="24"/>
                <w:szCs w:val="24"/>
                <w:highlight w:val="none"/>
              </w:rPr>
              <w:t>社会主义</w:t>
            </w:r>
            <w:r>
              <w:rPr>
                <w:rFonts w:hint="eastAsia" w:ascii="仿宋_GB2312" w:hAnsi="仿宋_GB2312" w:eastAsia="仿宋_GB2312" w:cs="仿宋_GB2312"/>
                <w:color w:val="auto"/>
                <w:sz w:val="24"/>
                <w:szCs w:val="24"/>
                <w:highlight w:val="none"/>
                <w:lang w:val="en-US" w:eastAsia="zh-CN"/>
              </w:rPr>
              <w:t>从理论到实践、社会主义在多国发展、中国特色社会主义的开创与发展</w:t>
            </w:r>
            <w:r>
              <w:rPr>
                <w:rFonts w:hint="eastAsia" w:ascii="仿宋_GB2312" w:hAnsi="仿宋_GB2312" w:eastAsia="仿宋_GB2312" w:cs="仿宋_GB2312"/>
                <w:color w:val="auto"/>
                <w:sz w:val="24"/>
                <w:szCs w:val="24"/>
                <w:highlight w:val="none"/>
              </w:rPr>
              <w:t>。通过学习，学生将了解社会主义思想的起源、发展和变革，掌握社会主义制度在不同国家的实践经验和教训，为理解和坚持中国特色社会主义提供历史依据和理论支持。</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22</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中华优秀传统文化</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历史、哲学思想、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23</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中华民族共同体概论</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9"/>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w:t>
            </w:r>
            <w:r>
              <w:rPr>
                <w:rFonts w:hint="eastAsia" w:ascii="仿宋_GB2312" w:hAnsi="仿宋_GB2312" w:eastAsia="仿宋_GB2312" w:cs="仿宋_GB2312"/>
                <w:color w:val="auto"/>
                <w:sz w:val="24"/>
                <w:szCs w:val="24"/>
                <w:highlight w:val="none"/>
              </w:rPr>
              <w:t>达到增强学生学习知识、理论的兴趣和钻研理论的热情、提高学生运用所学知识分析问题和解决问题的能力，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24</w:t>
            </w:r>
          </w:p>
        </w:tc>
        <w:tc>
          <w:tcPr>
            <w:tcW w:w="8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语文</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suppressLineNumbers w:val="0"/>
              <w:spacing w:before="0" w:beforeAutospacing="0" w:after="0" w:afterAutospacing="0" w:line="360" w:lineRule="exact"/>
              <w:ind w:left="0" w:leftChars="0" w:right="0" w:righ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sz w:val="24"/>
                <w:szCs w:val="24"/>
                <w:lang w:val="en-US" w:eastAsia="zh-CN"/>
              </w:rPr>
              <w:t>25</w:t>
            </w:r>
          </w:p>
        </w:tc>
        <w:tc>
          <w:tcPr>
            <w:tcW w:w="869" w:type="dxa"/>
            <w:shd w:val="clear" w:color="auto" w:fill="auto"/>
            <w:vAlign w:val="center"/>
          </w:tcPr>
          <w:p>
            <w:pPr>
              <w:keepNext w:val="0"/>
              <w:keepLines w:val="0"/>
              <w:suppressLineNumbers w:val="0"/>
              <w:spacing w:before="0" w:beforeAutospacing="0" w:after="0" w:afterAutospacing="0" w:line="360" w:lineRule="exact"/>
              <w:ind w:left="0" w:leftChars="0" w:right="0" w:righ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sz w:val="24"/>
                <w:szCs w:val="24"/>
              </w:rPr>
              <w:t>商业文化</w:t>
            </w:r>
          </w:p>
        </w:tc>
        <w:tc>
          <w:tcPr>
            <w:tcW w:w="39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掌握商业文化定义、四层结构模型及核心类型，理解价值观导向等四大逻辑，明晰其在企业、市场、社会的作用，熟悉分析工具与策略制定步骤。</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：能借助模型拆解案例、判断文化适配性，为企业设计文化适配及跨地域融合策略，识别跨文化差异并化解，结合新趋势创新商业文化。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树立诚信与社会责任意识，具备文化包容与需求导向思维，形成全局与动态思维，养成创新探索与落地意识。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 w:hAnsi="仿宋" w:eastAsia="仿宋" w:cs="仿宋"/>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增强文化自信，传承中国商业精神；树立正确义利观，坚守核心价值观；培养社会责任，服务国家战略；强化合规意识，筑牢伦理底线。</w:t>
            </w:r>
          </w:p>
        </w:tc>
        <w:tc>
          <w:tcPr>
            <w:tcW w:w="304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掌握商业文化基础理论与核心要点，理解其在企业运营、市场及社会经济中的作用，学会分析商业文化现象，能运用相关知识为企业制定契合文化环境的策略，提升跨文化交流能力与商业文化创新思维。</w:t>
            </w:r>
          </w:p>
        </w:tc>
        <w:tc>
          <w:tcPr>
            <w:tcW w:w="236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通过课堂讲授系统传授知识，结合多媒体辅助；组织案例分析，引导学生剖析案例；开展小组项目培养团队协作；进行角色扮演模拟跨文化场景；布置实践作业考核知识运用。</w:t>
            </w:r>
          </w:p>
        </w:tc>
      </w:tr>
    </w:tbl>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29" w:name="_Toc11816"/>
      <w:r>
        <w:rPr>
          <w:rFonts w:hint="eastAsia" w:ascii="楷体" w:hAnsi="楷体" w:eastAsia="楷体" w:cs="楷体"/>
          <w:color w:val="auto"/>
          <w:sz w:val="32"/>
          <w:szCs w:val="32"/>
          <w:lang w:val="en-US" w:eastAsia="zh-CN"/>
        </w:rPr>
        <w:t>（二）专业课程</w:t>
      </w:r>
      <w:bookmarkEnd w:id="29"/>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一般包括专业基础课程、专业核心课程和专业拓展课程，并涵盖有关实践性教学环节。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bookmarkStart w:id="30" w:name="_Toc90734975"/>
      <w:r>
        <w:rPr>
          <w:rFonts w:hint="eastAsia" w:ascii="仿宋_GB2312" w:hAnsi="仿宋_GB2312" w:eastAsia="仿宋_GB2312" w:cs="仿宋_GB2312"/>
          <w:color w:val="auto"/>
          <w:sz w:val="32"/>
          <w:szCs w:val="32"/>
          <w:lang w:val="en-US" w:eastAsia="zh-CN"/>
        </w:rPr>
        <w:t>1.专业基础课程</w:t>
      </w:r>
      <w:bookmarkEnd w:id="30"/>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专业基础课是为后续专业课程学习打基础的课程。包括：零售基础、财税基础、电子商务法律法规、商品拍摄与素材编辑、电子商务基础、市场营销、选品与采购、商务数据分析与应用、习近平经济思想概论。</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0" w:firstLineChars="0"/>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表3 专业基础课课程目标、主要教学内容与要求</w:t>
      </w:r>
    </w:p>
    <w:tbl>
      <w:tblPr>
        <w:tblStyle w:val="17"/>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780"/>
        <w:gridCol w:w="4662"/>
        <w:gridCol w:w="2363"/>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序号</w:t>
            </w:r>
          </w:p>
        </w:tc>
        <w:tc>
          <w:tcPr>
            <w:tcW w:w="780"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课程名称</w:t>
            </w:r>
          </w:p>
        </w:tc>
        <w:tc>
          <w:tcPr>
            <w:tcW w:w="4662"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课程</w:t>
            </w:r>
            <w:r>
              <w:rPr>
                <w:rFonts w:hint="eastAsia" w:ascii="仿宋_GB2312" w:hAnsi="仿宋_GB2312" w:eastAsia="仿宋_GB2312" w:cs="仿宋_GB2312"/>
                <w:b w:val="0"/>
                <w:bCs w:val="0"/>
                <w:color w:val="auto"/>
                <w:sz w:val="24"/>
                <w:szCs w:val="24"/>
              </w:rPr>
              <w:t>目标</w:t>
            </w:r>
          </w:p>
        </w:tc>
        <w:tc>
          <w:tcPr>
            <w:tcW w:w="2363"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主要</w:t>
            </w:r>
            <w:r>
              <w:rPr>
                <w:rFonts w:hint="eastAsia" w:ascii="仿宋_GB2312" w:hAnsi="仿宋_GB2312" w:eastAsia="仿宋_GB2312" w:cs="仿宋_GB2312"/>
                <w:b w:val="0"/>
                <w:bCs w:val="0"/>
                <w:color w:val="auto"/>
                <w:sz w:val="24"/>
                <w:szCs w:val="24"/>
              </w:rPr>
              <w:t>教学内容</w:t>
            </w:r>
          </w:p>
        </w:tc>
        <w:tc>
          <w:tcPr>
            <w:tcW w:w="2011" w:type="dxa"/>
            <w:vAlign w:val="center"/>
          </w:tcPr>
          <w:p>
            <w:pPr>
              <w:keepNext w:val="0"/>
              <w:keepLines w:val="0"/>
              <w:pageBreakBefore w:val="0"/>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4"/>
                <w:szCs w:val="24"/>
                <w:highlight w:val="none"/>
                <w:lang w:val="en-US" w:eastAsia="zh-CN"/>
              </w:rPr>
              <w:t>零</w:t>
            </w:r>
            <w:r>
              <w:rPr>
                <w:rFonts w:hint="eastAsia" w:ascii="仿宋_GB2312" w:hAnsi="仿宋_GB2312" w:eastAsia="仿宋_GB2312" w:cs="仿宋_GB2312"/>
                <w:color w:val="auto"/>
                <w:sz w:val="28"/>
                <w:szCs w:val="28"/>
                <w:highlight w:val="none"/>
                <w:lang w:val="en-US" w:eastAsia="zh-CN"/>
              </w:rPr>
              <w:t>售</w:t>
            </w: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8"/>
                <w:szCs w:val="28"/>
                <w:highlight w:val="none"/>
                <w:lang w:val="en-US" w:eastAsia="zh-CN"/>
              </w:rPr>
              <w:t>基</w:t>
            </w:r>
            <w:r>
              <w:rPr>
                <w:rFonts w:hint="eastAsia" w:ascii="仿宋_GB2312" w:hAnsi="仿宋_GB2312" w:eastAsia="仿宋_GB2312" w:cs="仿宋_GB2312"/>
                <w:color w:val="auto"/>
                <w:sz w:val="24"/>
                <w:szCs w:val="24"/>
                <w:highlight w:val="none"/>
                <w:lang w:val="en-US" w:eastAsia="zh-CN"/>
              </w:rPr>
              <w:t>础</w:t>
            </w:r>
          </w:p>
        </w:tc>
        <w:tc>
          <w:tcPr>
            <w:tcW w:w="46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掌握零售业态分类、运营流程、顾客关系管理、商品陈列、促销策划、零售技术应用等基础概念与知识。</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具备运用零售知识分析解决实际问题，提升市场敏感度与零售业务实操能力。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培养市场洞察、团队协作及持续学习意识，适应零售行业动态发展。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融入零售行业诚信经营、服务社会理念，通过剖析本土零售案例，增强学生助力区域零售经济发展的责任感，树立正确商业价值观。</w:t>
            </w:r>
          </w:p>
        </w:tc>
        <w:tc>
          <w:tcPr>
            <w:tcW w:w="2363" w:type="dxa"/>
            <w:vAlign w:val="top"/>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i w:val="0"/>
                <w:iCs w:val="0"/>
                <w:color w:val="000000"/>
                <w:kern w:val="0"/>
                <w:sz w:val="24"/>
                <w:szCs w:val="24"/>
                <w:highlight w:val="none"/>
                <w:u w:val="none"/>
                <w:lang w:val="en-US" w:eastAsia="zh-CN" w:bidi="ar"/>
              </w:rPr>
              <w:t>零售行业概述；零售运营流程；顾客关系管理；商品陈列与布局；促销策略；零售技术应用。</w:t>
            </w:r>
          </w:p>
        </w:tc>
        <w:tc>
          <w:tcPr>
            <w:tcW w:w="2011" w:type="dxa"/>
            <w:vAlign w:val="top"/>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i w:val="0"/>
                <w:iCs w:val="0"/>
                <w:color w:val="000000"/>
                <w:kern w:val="0"/>
                <w:sz w:val="24"/>
                <w:szCs w:val="24"/>
                <w:highlight w:val="none"/>
                <w:u w:val="none"/>
                <w:lang w:val="en-US" w:eastAsia="zh-CN" w:bidi="ar"/>
              </w:rPr>
              <w:t>通过课堂讲授传授理论；组织实地调研，感受不同零售业态；开展案例分析、小组项目，锻炼实操与协作；组织课堂讨论，提升思维与表达，培养零售知识运用能力。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bookmarkStart w:id="31" w:name="_Hlk194587108"/>
            <w:r>
              <w:rPr>
                <w:rFonts w:hint="eastAsia" w:ascii="仿宋_GB2312" w:hAnsi="仿宋_GB2312" w:eastAsia="仿宋_GB2312" w:cs="仿宋_GB2312"/>
                <w:color w:val="auto"/>
                <w:sz w:val="24"/>
                <w:szCs w:val="24"/>
                <w:highlight w:val="none"/>
                <w:lang w:val="en-US" w:eastAsia="zh-CN"/>
              </w:rPr>
              <w:t>2</w:t>
            </w:r>
          </w:p>
        </w:tc>
        <w:tc>
          <w:tcPr>
            <w:tcW w:w="78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财税</w:t>
            </w: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基础</w:t>
            </w:r>
          </w:p>
        </w:tc>
        <w:tc>
          <w:tcPr>
            <w:tcW w:w="46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掌握财务会计要素、记账方法、凭证账簿，财务报表编制解读，增值税、企业所得税等税种，纳税申报流程、筹划方法，财务预算、成本核算控制等知识。</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rPr>
              <w:t>具备财务报表编制分析、税务申报操作及运用财税知识解决简单企业财税问题的能力。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rPr>
              <w:t>增强财务合规意识与经济活动风险防范思维，培养严谨细致职业素养。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bCs/>
                <w:color w:val="auto"/>
                <w:sz w:val="24"/>
                <w:szCs w:val="24"/>
                <w:highlight w:val="yellow"/>
                <w:lang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rPr>
              <w:t>融入财税法治教育，强调依法纳税、财务诚信，通过分析本地企业财税案例，让学生明白合规财税对区域经济健康发展的意义，树立正确财富观与法治观</w:t>
            </w:r>
            <w:r>
              <w:rPr>
                <w:rFonts w:hint="eastAsia" w:ascii="仿宋_GB2312" w:hAnsi="仿宋_GB2312" w:eastAsia="仿宋_GB2312" w:cs="仿宋_GB2312"/>
                <w:color w:val="auto"/>
                <w:sz w:val="24"/>
                <w:szCs w:val="24"/>
                <w:highlight w:val="none"/>
                <w:lang w:eastAsia="zh-CN"/>
              </w:rPr>
              <w:t>。</w:t>
            </w:r>
          </w:p>
        </w:tc>
        <w:tc>
          <w:tcPr>
            <w:tcW w:w="2363" w:type="dxa"/>
            <w:vAlign w:val="top"/>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i w:val="0"/>
                <w:iCs w:val="0"/>
                <w:color w:val="000000"/>
                <w:kern w:val="0"/>
                <w:sz w:val="24"/>
                <w:szCs w:val="24"/>
                <w:u w:val="none"/>
                <w:lang w:val="en-US" w:eastAsia="zh-CN" w:bidi="ar"/>
              </w:rPr>
              <w:t>财务会计基础；财务报表编制与分析；税务基础；纳税申报与筹划；财务预算与成本控制。</w:t>
            </w:r>
          </w:p>
        </w:tc>
        <w:tc>
          <w:tcPr>
            <w:tcW w:w="2011" w:type="dxa"/>
            <w:vAlign w:val="top"/>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i w:val="0"/>
                <w:iCs w:val="0"/>
                <w:color w:val="000000"/>
                <w:kern w:val="0"/>
                <w:sz w:val="24"/>
                <w:szCs w:val="24"/>
                <w:u w:val="none"/>
                <w:lang w:val="en-US" w:eastAsia="zh-CN" w:bidi="ar"/>
              </w:rPr>
              <w:t>运用讲授法讲理论；开展模拟实训；组织案例讨论；布置课后作业、测验，提升财税知识实操能力。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bookmarkStart w:id="32" w:name="_Toc90734977"/>
            <w:r>
              <w:rPr>
                <w:rFonts w:hint="eastAsia" w:ascii="仿宋_GB2312" w:hAnsi="仿宋_GB2312" w:eastAsia="仿宋_GB2312" w:cs="仿宋_GB2312"/>
                <w:color w:val="auto"/>
                <w:sz w:val="24"/>
                <w:szCs w:val="24"/>
                <w:highlight w:val="none"/>
                <w:lang w:val="en-US" w:eastAsia="zh-CN"/>
              </w:rPr>
              <w:t>3</w:t>
            </w:r>
          </w:p>
        </w:tc>
        <w:tc>
          <w:tcPr>
            <w:tcW w:w="7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i w:val="0"/>
                <w:iCs w:val="0"/>
                <w:color w:val="000000"/>
                <w:kern w:val="0"/>
                <w:sz w:val="24"/>
                <w:szCs w:val="24"/>
                <w:highlight w:val="none"/>
                <w:u w:val="none"/>
                <w:lang w:val="en-US" w:eastAsia="zh-CN" w:bidi="ar"/>
              </w:rPr>
              <w:t>电子商务法律法规</w:t>
            </w:r>
          </w:p>
        </w:tc>
        <w:tc>
          <w:tcPr>
            <w:tcW w:w="46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掌握电子合同、网络安全、消费者权益保护、知识产权保护等电商领域主要法律法规及电商法框架、立法目的。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rPr>
              <w:t>能识别电商法律风险，运用法律知识解决纠纷，提升电商法律实务处理能力。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rPr>
              <w:t>培养依法经营、合规运营意识，增强法治观念与风险防范素养。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bCs/>
                <w:color w:val="auto"/>
                <w:sz w:val="24"/>
                <w:szCs w:val="24"/>
                <w:highlight w:val="yellow"/>
                <w:lang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rPr>
              <w:t>融入法治精神与公平交易理念，通过中外电商法律对比，坚定学生法治信仰，引导学生以法律守护电商市场秩序，树立正确法治与商业价值观</w:t>
            </w:r>
            <w:r>
              <w:rPr>
                <w:rFonts w:hint="eastAsia" w:ascii="仿宋_GB2312" w:hAnsi="仿宋_GB2312" w:eastAsia="仿宋_GB2312" w:cs="仿宋_GB2312"/>
                <w:color w:val="auto"/>
                <w:sz w:val="24"/>
                <w:szCs w:val="24"/>
                <w:highlight w:val="none"/>
                <w:lang w:eastAsia="zh-CN"/>
              </w:rPr>
              <w:t>。</w:t>
            </w:r>
          </w:p>
        </w:tc>
        <w:tc>
          <w:tcPr>
            <w:tcW w:w="2363" w:type="dxa"/>
            <w:vAlign w:val="top"/>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i w:val="0"/>
                <w:iCs w:val="0"/>
                <w:color w:val="000000"/>
                <w:kern w:val="0"/>
                <w:sz w:val="24"/>
                <w:szCs w:val="24"/>
                <w:u w:val="none"/>
                <w:lang w:val="en-US" w:eastAsia="zh-CN" w:bidi="ar"/>
              </w:rPr>
              <w:t>电子商务法律基础；电子合同法律制度；网络安全与隐私保护法律；消费者权益保护法律；知识产权保护法律。</w:t>
            </w:r>
          </w:p>
        </w:tc>
        <w:tc>
          <w:tcPr>
            <w:tcW w:w="2011" w:type="dxa"/>
            <w:vAlign w:val="top"/>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i w:val="0"/>
                <w:iCs w:val="0"/>
                <w:color w:val="000000"/>
                <w:kern w:val="0"/>
                <w:sz w:val="24"/>
                <w:szCs w:val="24"/>
                <w:u w:val="none"/>
                <w:lang w:val="en-US" w:eastAsia="zh-CN" w:bidi="ar"/>
              </w:rPr>
              <w:t>通过法律条文解读熟悉法规；开展案例分析、模拟法庭解决实际纠纷；邀请专家讲座拓宽视野；布置案例分析作业，提升电商法律应用能力。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8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商品拍摄与素材编辑</w:t>
            </w:r>
          </w:p>
        </w:tc>
        <w:tc>
          <w:tcPr>
            <w:tcW w:w="46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掌握商品拍摄与素材编辑专业知识，包括摄影设备使用原理、图形图像处理及视频剪辑理论，明晰电商及营销场景（市场策划、新媒体运营等）的视觉需求要点。</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熟练运用摄影设备与相关软件，精准捕捉商品特点拍摄高质量图片；掌握素材创意编辑优化技能，能通过视觉形式有效传达商品信息，满足多场景视觉需求。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提升审美与创意表达能力，形成贴合市场需求的视觉设计思维，增强在电商及营销领域的综合竞争力，适配行业视觉创作岗位要求。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lang w:val="en-US" w:eastAsia="zh-CN"/>
              </w:rPr>
              <w:t>树立精益求精的职业态度，培养尊重原创、注重品质的创作理念，助力电商及营销领域通过优质视觉内容传递正向价值，促进行业健康发展。</w:t>
            </w:r>
          </w:p>
        </w:tc>
        <w:tc>
          <w:tcPr>
            <w:tcW w:w="236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理论部分涵盖摄影基础原理，光线运用、构图方法、拍摄角度选择等，以及素材编辑软件（Photoshop、Premiere等）的基础功能与操作原理。实践部分着重训练商品拍摄技巧，针对不同材质、类型商品进行拍摄实操，包括直播商品展示拍摄等。素材编辑实践则包括图片的色彩校正、瑕疵修复、创意合成，以及视频的剪辑、特效添加、音频处理等内容，使学生在实践中熟练掌握商品拍摄与素材编辑技能。</w:t>
            </w:r>
          </w:p>
        </w:tc>
        <w:tc>
          <w:tcPr>
            <w:tcW w:w="201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理论讲授、实践操作指导与案例分析相结合的教学方法。先系统讲解理论知识，让学生构建起专业知识框架。在实践环节，进行现场操作示范与指导，针对学生的实操问题及时纠正与答疑。通过展示优秀商品拍摄与素材编辑案例，引导学生学习借鉴，培养学生的审美能力与创意实践能力</w:t>
            </w:r>
            <w:r>
              <w:rPr>
                <w:rFonts w:hint="eastAsia" w:ascii="仿宋_GB2312" w:hAnsi="仿宋_GB2312" w:eastAsia="仿宋_GB2312" w:cs="仿宋_GB2312"/>
                <w:color w:val="auto"/>
                <w:spacing w:val="-6"/>
                <w:sz w:val="24"/>
                <w:szCs w:val="24"/>
                <w:highlight w:val="none"/>
                <w:lang w:val="en-US" w:eastAsia="zh-CN"/>
              </w:rPr>
              <w:t>，确保学生能够将理论知识有效转化为实际操作技能。</w:t>
            </w:r>
          </w:p>
        </w:tc>
      </w:tr>
      <w:bookmark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i w:val="0"/>
                <w:iCs w:val="0"/>
                <w:color w:val="000000"/>
                <w:kern w:val="0"/>
                <w:sz w:val="24"/>
                <w:szCs w:val="24"/>
                <w:highlight w:val="none"/>
                <w:u w:val="none"/>
                <w:lang w:val="en-US" w:eastAsia="zh-CN" w:bidi="ar"/>
              </w:rPr>
              <w:t>电子商务基础</w:t>
            </w:r>
          </w:p>
        </w:tc>
        <w:tc>
          <w:tcPr>
            <w:tcW w:w="46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掌握电商模式、平台架构、运营体系及电商店铺运营、客户服务等知识。</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rPr>
              <w:t>能运用电商知识开展简单业务实践，提升电商业务实操与创新能力。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rPr>
              <w:t>培养数字经济时代的创新思维、电商运营素养，适应电商行业快速发展。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bCs/>
                <w:color w:val="auto"/>
                <w:sz w:val="24"/>
                <w:szCs w:val="24"/>
                <w:highlight w:val="yellow"/>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rPr>
              <w:t>融入数字经济创新与服务理念，结合广西电商助力特色产业发展案例，激发学生运用电商技能推动本地经济的使命感，树立创新与服务社会的价值观</w:t>
            </w:r>
            <w:r>
              <w:rPr>
                <w:rFonts w:hint="eastAsia" w:ascii="仿宋_GB2312" w:hAnsi="仿宋_GB2312" w:eastAsia="仿宋_GB2312" w:cs="仿宋_GB2312"/>
                <w:color w:val="auto"/>
                <w:sz w:val="24"/>
                <w:szCs w:val="24"/>
                <w:highlight w:val="none"/>
                <w:lang w:eastAsia="zh-CN"/>
              </w:rPr>
              <w:t>。</w:t>
            </w:r>
          </w:p>
        </w:tc>
        <w:tc>
          <w:tcPr>
            <w:tcW w:w="2363" w:type="dxa"/>
            <w:vAlign w:val="top"/>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i w:val="0"/>
                <w:iCs w:val="0"/>
                <w:color w:val="000000"/>
                <w:kern w:val="0"/>
                <w:sz w:val="24"/>
                <w:szCs w:val="24"/>
                <w:u w:val="none"/>
                <w:lang w:val="en-US" w:eastAsia="zh-CN" w:bidi="ar"/>
              </w:rPr>
              <w:t>电子商务概述；电商平台运营；网络营销基础；电子支付与结算；电商物流与供应链；电商客户服务。</w:t>
            </w:r>
          </w:p>
        </w:tc>
        <w:tc>
          <w:tcPr>
            <w:tcW w:w="2011" w:type="dxa"/>
            <w:vAlign w:val="top"/>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i w:val="0"/>
                <w:iCs w:val="0"/>
                <w:color w:val="000000"/>
                <w:kern w:val="0"/>
                <w:sz w:val="24"/>
                <w:szCs w:val="24"/>
                <w:u w:val="none"/>
                <w:lang w:val="en-US" w:eastAsia="zh-CN" w:bidi="ar"/>
              </w:rPr>
              <w:t>采用课堂</w:t>
            </w:r>
            <w:r>
              <w:rPr>
                <w:rFonts w:hint="eastAsia" w:ascii="仿宋_GB2312" w:hAnsi="仿宋_GB2312" w:eastAsia="仿宋_GB2312" w:cs="仿宋_GB2312"/>
                <w:i w:val="0"/>
                <w:iCs w:val="0"/>
                <w:color w:val="000000"/>
                <w:kern w:val="0"/>
                <w:sz w:val="24"/>
                <w:szCs w:val="24"/>
                <w:highlight w:val="none"/>
                <w:u w:val="none"/>
                <w:lang w:val="en-US" w:eastAsia="zh-CN" w:bidi="ar"/>
              </w:rPr>
              <w:t>讲授理论；安排项目实践</w:t>
            </w:r>
            <w:r>
              <w:rPr>
                <w:rFonts w:hint="eastAsia" w:ascii="仿宋_GB2312" w:hAnsi="仿宋_GB2312" w:eastAsia="仿宋_GB2312" w:cs="仿宋_GB2312"/>
                <w:i w:val="0"/>
                <w:iCs w:val="0"/>
                <w:color w:val="000000"/>
                <w:kern w:val="0"/>
                <w:sz w:val="24"/>
                <w:szCs w:val="24"/>
                <w:u w:val="none"/>
                <w:lang w:val="en-US" w:eastAsia="zh-CN" w:bidi="ar"/>
              </w:rPr>
              <w:t>；组织企业参观；开展小组讨论、企业案例分享，培养电商业务实践能力。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7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市场营销</w:t>
            </w:r>
          </w:p>
        </w:tc>
        <w:tc>
          <w:tcPr>
            <w:tcW w:w="46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掌握市场调研、目标市场选择、营销组合策略等基础理论，理解市场需求变化规律。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rPr>
              <w:t>能制定实施市场营销方案，解决市场推广问题，提升市场开拓、品牌建设与营销策划执行能力。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rPr>
              <w:t>培养市场洞察、创新思维与团队协作精神，树立以客户为中心的营销理念。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bCs/>
                <w:color w:val="auto"/>
                <w:sz w:val="24"/>
                <w:szCs w:val="24"/>
                <w:highlight w:val="yellow"/>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rPr>
              <w:t>融入营销伦理与品牌强国理念，通过本土品牌营销成功案例，引导学生以营销助力本地品牌发展，增强文化自信与产业报国情怀</w:t>
            </w:r>
            <w:r>
              <w:rPr>
                <w:rFonts w:hint="eastAsia" w:ascii="仿宋_GB2312" w:hAnsi="仿宋_GB2312" w:eastAsia="仿宋_GB2312" w:cs="仿宋_GB2312"/>
                <w:color w:val="auto"/>
                <w:sz w:val="24"/>
                <w:szCs w:val="24"/>
                <w:highlight w:val="none"/>
                <w:lang w:eastAsia="zh-CN"/>
              </w:rPr>
              <w:t>。</w:t>
            </w:r>
          </w:p>
        </w:tc>
        <w:tc>
          <w:tcPr>
            <w:tcW w:w="2363" w:type="dxa"/>
            <w:vAlign w:val="top"/>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i w:val="0"/>
                <w:iCs w:val="0"/>
                <w:color w:val="000000"/>
                <w:kern w:val="0"/>
                <w:sz w:val="24"/>
                <w:szCs w:val="24"/>
                <w:u w:val="none"/>
                <w:lang w:val="en-US" w:eastAsia="zh-CN" w:bidi="ar"/>
              </w:rPr>
              <w:t>市场营销导论；市场调研与分析；消费者行为分析；目标市场选择与定位；营销组合策略。</w:t>
            </w:r>
          </w:p>
        </w:tc>
        <w:tc>
          <w:tcPr>
            <w:tcW w:w="2011" w:type="dxa"/>
            <w:vAlign w:val="top"/>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i w:val="0"/>
                <w:iCs w:val="0"/>
                <w:color w:val="000000"/>
                <w:kern w:val="0"/>
                <w:sz w:val="24"/>
                <w:szCs w:val="24"/>
                <w:u w:val="none"/>
                <w:lang w:val="en-US" w:eastAsia="zh-CN" w:bidi="ar"/>
              </w:rPr>
              <w:t>运用案例教学剖析理论应用；开展项目驱动教学；组织模拟营销活动、企业专家分享，提升营销实战与市场感知能力。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8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选品与采购</w:t>
            </w:r>
          </w:p>
        </w:tc>
        <w:tc>
          <w:tcPr>
            <w:tcW w:w="46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掌握选品与采购理论知识，包括市场调研技巧、采购谈判策略、合同拟定要点及供应商管理知识，明晰零售、电商行业商品运营环节的核心需求。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能运用市场调研技巧洞察需求、筛选优质商品；熟练使用选品工具，开展线上/实地采购谈判，完成采购订单执行与跟进，解决采购实操问题。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提升市场敏感度、商务谈判能力与供应链管理素养，形成契合行业需求的商品运营思维，增强在零售、电商领域的岗位适配力与竞争力。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bCs/>
                <w:color w:val="auto"/>
                <w:sz w:val="24"/>
                <w:szCs w:val="24"/>
                <w:highlight w:val="yellow"/>
                <w:lang w:val="en-US"/>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lang w:val="en-US" w:eastAsia="zh-CN"/>
              </w:rPr>
              <w:t>树立诚信采购、合规经营理念，培养责任意识与合作精神，坚守商业伦理底线，助力零售、电商行业供应链健康有序发展。</w:t>
            </w:r>
          </w:p>
        </w:tc>
        <w:tc>
          <w:tcPr>
            <w:tcW w:w="236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理论层面，介绍选品的基本原则与方法，包括市场趋势分析、目标客户画像构建等。深入讲解采购管理知识，采购成本分析、采购风险识别与防控、供应商评估与选择标准等。实践环节，安排学生运用专业选品软件进行市场调研与产品筛选实操，模拟采购谈判场景，锻炼学生的谈判沟通技巧。指导学生进行采购合同的撰写与审核，参与供应商实地考察或线上沟通实践，全面提升学生选品与采购的实践技能。</w:t>
            </w:r>
          </w:p>
        </w:tc>
        <w:tc>
          <w:tcPr>
            <w:tcW w:w="201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取理论讲授、案例分析、模拟实践与实地操作相结合的教学方法。先系统讲解理论知识，奠定基础。通过剖析经典选品与采购案例，引导学生思考。利用模拟谈判、软件实操等方式，让学生在实践中应用理论，培养商务谈判、数据分析等能力。组织实地考察供应商等活动，增强学生对采购流程的直观认知，确保学生将理论与实践紧密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8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商务数据分析与应用</w:t>
            </w:r>
          </w:p>
        </w:tc>
        <w:tc>
          <w:tcPr>
            <w:tcW w:w="46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掌握商务数据分析理论知识，包括数据收集、整理与清洗方法，明晰数据分析工具的应用原理，了解数据在市场趋势、消费者行为及企业运营分析中的作用逻辑。</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能运用数据分析工具挖掘、分析海量商务数据；具备洞察市场、消费者及运营状况的能力，可依据分析结果为选品、采购等商务决策提供数据支持。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i w:val="0"/>
                <w:iCs w:val="0"/>
                <w:caps w:val="0"/>
                <w:color w:val="1F2329"/>
                <w:spacing w:val="0"/>
                <w:sz w:val="24"/>
                <w:szCs w:val="24"/>
                <w:shd w:val="clear" w:fill="EFF0F1"/>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提升数据思维、逻辑分析能力与实际商务问题解决能力，筑牢商业领域发展的数据素养根基，增强在商务岗位中的核心竞争力与适配性。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color w:val="auto"/>
                <w:sz w:val="24"/>
                <w:szCs w:val="24"/>
                <w:highlight w:val="none"/>
                <w:lang w:val="en-US" w:eastAsia="zh-CN"/>
              </w:rPr>
              <w:t>树立数据诚信与合规使用意识，培养严谨务实的职业态度，坚守数据安全底线，助力企业基于真实数据实现健康可持续发展。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bCs/>
                <w:color w:val="auto"/>
                <w:sz w:val="24"/>
                <w:szCs w:val="24"/>
                <w:lang w:val="en-US" w:eastAsia="zh-CN"/>
              </w:rPr>
            </w:pPr>
          </w:p>
        </w:tc>
        <w:tc>
          <w:tcPr>
            <w:tcW w:w="236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理论上，讲解商务数据的来源与类型，数据挖掘与分析的基本原理与方法，描述性统计分析、相关性分析、回归分析等。介绍数据分析工具（Excel、Python、SPSS等）的基础操作与应用场景。实践中，安排学生从市场调研、销售记录等渠道收集商务数据，进行数据清洗与预处理。运用分析工具对数据展开深度分析，分析客户购买行为数据辅助选品，通过成本数据评估采购策略。指导学生依据分析结果撰写数据报告，提出针对性商务建议，强化学生数据分析的实操能力。</w:t>
            </w:r>
          </w:p>
        </w:tc>
        <w:tc>
          <w:tcPr>
            <w:tcW w:w="201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理论讲授、案例演示、实践操作相结合的教学方法。系统讲解理论知识与工具操作，通过展示经典商务数据分析案例，引导学生理解分析思路。学生在实践中利用所学工具处理真实商务数据，完成数据分析项目。实时指导，培养学生数据收集、分析与解读能力，使其能够将数据分析成果有效应用于商务实践，解决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78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1"/>
                <w:szCs w:val="21"/>
                <w:highlight w:val="none"/>
                <w:lang w:val="en-US" w:eastAsia="zh-CN"/>
              </w:rPr>
              <w:t>习近平经济思想概论</w:t>
            </w:r>
          </w:p>
        </w:tc>
        <w:tc>
          <w:tcPr>
            <w:tcW w:w="46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4"/>
                <w:szCs w:val="24"/>
              </w:rPr>
            </w:pPr>
            <w:r>
              <w:rPr>
                <w:rStyle w:val="19"/>
                <w:rFonts w:hint="eastAsia" w:ascii="仿宋_GB2312" w:hAnsi="仿宋_GB2312" w:eastAsia="仿宋_GB2312" w:cs="仿宋_GB2312"/>
                <w:b/>
                <w:bCs/>
                <w:color w:val="000000"/>
                <w:sz w:val="24"/>
                <w:szCs w:val="24"/>
              </w:rPr>
              <w:t>知识目标</w:t>
            </w:r>
            <w:r>
              <w:rPr>
                <w:rFonts w:hint="eastAsia" w:ascii="仿宋_GB2312" w:hAnsi="仿宋_GB2312" w:eastAsia="仿宋_GB2312" w:cs="仿宋_GB2312"/>
                <w:sz w:val="24"/>
                <w:szCs w:val="24"/>
              </w:rPr>
              <w:t>：掌握习近平经济思想的形成背景、科学体系、核心要义和实践要求，理解</w:t>
            </w:r>
            <w:r>
              <w:rPr>
                <w:rFonts w:hint="eastAsia" w:ascii="仿宋_GB2312" w:hAnsi="仿宋_GB2312" w:eastAsia="仿宋_GB2312" w:cs="仿宋_GB2312"/>
                <w:sz w:val="24"/>
                <w:szCs w:val="24"/>
                <w:lang w:eastAsia="zh-CN"/>
              </w:rPr>
              <w:t>新发展理念引领高质量发展</w:t>
            </w:r>
            <w:r>
              <w:rPr>
                <w:rFonts w:hint="eastAsia" w:ascii="仿宋_GB2312" w:hAnsi="仿宋_GB2312" w:eastAsia="仿宋_GB2312" w:cs="仿宋_GB2312"/>
                <w:sz w:val="24"/>
                <w:szCs w:val="24"/>
              </w:rPr>
              <w:t>、新发展格局等重要理论。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4"/>
                <w:szCs w:val="24"/>
              </w:rPr>
            </w:pPr>
            <w:r>
              <w:rPr>
                <w:rStyle w:val="19"/>
                <w:rFonts w:hint="eastAsia" w:ascii="仿宋_GB2312" w:hAnsi="仿宋_GB2312" w:eastAsia="仿宋_GB2312" w:cs="仿宋_GB2312"/>
                <w:b/>
                <w:bCs/>
                <w:color w:val="000000"/>
                <w:sz w:val="24"/>
                <w:szCs w:val="24"/>
              </w:rPr>
              <w:t>能力目标</w:t>
            </w:r>
            <w:r>
              <w:rPr>
                <w:rFonts w:hint="eastAsia" w:ascii="仿宋_GB2312" w:hAnsi="仿宋_GB2312" w:eastAsia="仿宋_GB2312" w:cs="仿宋_GB2312"/>
                <w:sz w:val="24"/>
                <w:szCs w:val="24"/>
              </w:rPr>
              <w:t>：提升运用习近平经济思想分析现实经济问题、解读国家经济政策、服务发展实践的能力。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4"/>
                <w:szCs w:val="24"/>
              </w:rPr>
            </w:pPr>
            <w:r>
              <w:rPr>
                <w:rStyle w:val="19"/>
                <w:rFonts w:hint="eastAsia" w:ascii="仿宋_GB2312" w:hAnsi="仿宋_GB2312" w:eastAsia="仿宋_GB2312" w:cs="仿宋_GB2312"/>
                <w:b/>
                <w:bCs/>
                <w:color w:val="000000"/>
                <w:sz w:val="24"/>
                <w:szCs w:val="24"/>
              </w:rPr>
              <w:t>素质目标</w:t>
            </w:r>
            <w:r>
              <w:rPr>
                <w:rFonts w:hint="eastAsia" w:ascii="仿宋_GB2312" w:hAnsi="仿宋_GB2312" w:eastAsia="仿宋_GB2312" w:cs="仿宋_GB2312"/>
                <w:sz w:val="24"/>
                <w:szCs w:val="24"/>
              </w:rPr>
              <w:t>：坚定中国特色社会主义道路自信、理论自信、制度自信、文化自信，树立正确发展观、现代化观。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bCs/>
                <w:color w:val="auto"/>
                <w:sz w:val="24"/>
                <w:szCs w:val="24"/>
                <w:lang w:val="en-US" w:eastAsia="zh-CN"/>
              </w:rPr>
            </w:pPr>
            <w:r>
              <w:rPr>
                <w:rStyle w:val="19"/>
                <w:rFonts w:hint="eastAsia" w:ascii="仿宋_GB2312" w:hAnsi="仿宋_GB2312" w:eastAsia="仿宋_GB2312" w:cs="仿宋_GB2312"/>
                <w:b/>
                <w:bCs/>
                <w:color w:val="000000"/>
                <w:sz w:val="24"/>
                <w:szCs w:val="24"/>
              </w:rPr>
              <w:t>课程思政育人目标</w:t>
            </w:r>
            <w:r>
              <w:rPr>
                <w:rFonts w:hint="eastAsia" w:ascii="仿宋_GB2312" w:hAnsi="仿宋_GB2312" w:eastAsia="仿宋_GB2312" w:cs="仿宋_GB2312"/>
                <w:sz w:val="24"/>
                <w:szCs w:val="24"/>
              </w:rPr>
              <w:t>：厚植家国情怀与责任担当，强化以人民为中心的价值立场，自觉把个人发展融入中国式现代化建设。</w:t>
            </w:r>
          </w:p>
        </w:tc>
        <w:tc>
          <w:tcPr>
            <w:tcW w:w="2363"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1"/>
                <w:szCs w:val="21"/>
                <w:highlight w:val="none"/>
              </w:rPr>
              <w:t>重点讲授习近平经济思想的根本立场、根本保证、重大原则、实践路径，阐释高质量发展、新质生产力、统筹发展和安全等关键内容，把握理论逻辑、历史逻辑与实践逻辑。</w:t>
            </w:r>
          </w:p>
        </w:tc>
        <w:tc>
          <w:tcPr>
            <w:tcW w:w="2011"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1"/>
                <w:szCs w:val="21"/>
                <w:highlight w:val="none"/>
              </w:rPr>
              <w:t>坚持理论联系实际，读原著、学原文、悟原理，突出课程思政引领。做到学思用贯通、知信行统一，引导学生深刻领会思想精髓，提升理论素养与政治觉悟，增强服务国家发展的自觉性。</w:t>
            </w:r>
          </w:p>
        </w:tc>
      </w:tr>
    </w:tbl>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2.专业核心课程</w:t>
      </w:r>
      <w:bookmarkEnd w:id="32"/>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专业核心课面向市场策划专员、直播销售员、内容策划编辑师、网络推广专员、营销渠道运维专员、直播运营专员、新媒体运营专员、客户服务与管理专员等岗位（群）。结合市场策划专员、直播销售员、内容策划编辑师、网络推广专员等就业岗位，构建网络营销与直播电商专业核心课程体系，旨在培育学生掌握市场策划技巧、直播销售实战能力、内容策划编辑本领、网络推广策略运用、营销渠道运维方法、直播运营技巧以及新媒体运营和客户服务管理能力。课程包括市场策划、直播销售、内容策划与编辑、网络推广、营销渠道运维、直播运营、新媒体运营、客户服务与管理。</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0" w:firstLineChars="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表4 专业核心课课程目标、主要教学内容与要求</w:t>
      </w:r>
    </w:p>
    <w:tbl>
      <w:tblPr>
        <w:tblStyle w:val="17"/>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gridCol w:w="887"/>
        <w:gridCol w:w="4304"/>
        <w:gridCol w:w="2675"/>
        <w:gridCol w:w="2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9"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887"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课程名称</w:t>
            </w:r>
          </w:p>
        </w:tc>
        <w:tc>
          <w:tcPr>
            <w:tcW w:w="4304"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675"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124"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88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市场策划</w:t>
            </w:r>
          </w:p>
        </w:tc>
        <w:tc>
          <w:tcPr>
            <w:tcW w:w="43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掌握市场策划理论知识，包括市场调研、目标市场定位、营销战略制定等体系，明晰产品推广、品牌塑造、促销活动策划的核心逻辑与要点。</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能运用所学分析市场动态与消费者需求，制定创新且可行的市场策划方案；具备方案落地所需的创意设计与执行能力，助力企业把握市场机遇。</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提升市场洞察力、创意策划能力及团队协作与沟通能力，形成契合行业需求的营销思维，为市场营销领域职业发展奠定基础，增强岗位竞争力。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树立诚信营销、客户至上的职业理念，培养责任意识与创新精神，坚守商业伦理底线，助力企业通过合规策划实现可持续业务增长，促进行业健康发展。</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tc>
        <w:tc>
          <w:tcPr>
            <w:tcW w:w="2675"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理论部分涵盖市场策划的基本概念、流程与重要性。深入讲解市场调研方法，问卷设计、访谈技巧、数据收集与分析，助力学生精准把握市场信息。剖析目标市场细分、选择与定位策略，以及产品、价格、渠道、促销等营销组合策略的制定原理。实践环节安排学生开展市场调研项目，依据调研结果撰写调研报告。指导学生进行市场策划方案的设计与撰写，包括品牌推广方案、促销活动策划等，并组织模拟方案执行与评估，强化学生的实践操作能力。</w:t>
            </w:r>
          </w:p>
        </w:tc>
        <w:tc>
          <w:tcPr>
            <w:tcW w:w="212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取理论讲授、案例分析、小组实践相结合的教学方法。系统阐述市场策划理论，通过经典案例分析引导学生理解策划思路。学生以小组形式开展实践项目，从市场调研到方案策划全程参与。提供实时指导，培养学生的市场分析、创意构思、团队协作能力，确保学生能够将理论知识灵活运用到实际市场策划中，产出高质量的策划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88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直播销售</w:t>
            </w:r>
          </w:p>
        </w:tc>
        <w:tc>
          <w:tcPr>
            <w:tcW w:w="43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掌握直播销售理论知识，包括直播销售流程、话术技巧、产品展示方法，明晰直播平台运营的核心逻辑与产品推广要点。</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能熟练运用直播平台开展产品推广与销售，具备吸引观众、促成交易的能力；拥有良好沟通表达与应变能力，可灵活应对直播中的各类问题。</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提升直播电商领域实战能力，形成符合行业需求的销售思维，增强沟通、应变与销售素养，为从事直播销售工作奠定基础，提升岗位竞争力。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树立诚信销售、客户至上的职业理念，培养责任意识与服务精神，坚守产品质量与宣传真实性底线，助力直播电商行业健康可持续发展。</w:t>
            </w:r>
          </w:p>
        </w:tc>
        <w:tc>
          <w:tcPr>
            <w:tcW w:w="2675"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理论部分介绍直播销售的行业发展现状、平台规则与运营模式。深入讲解直播销售话术设计、产品卖点挖掘、观众互动技巧等知识。实践环节安排学生进行直播脚本撰写、直播场景搭建，开展模拟直播销售活动，包括产品介绍、答疑解惑、促销引导等环节，在实践中提升学生的直播销售能力。</w:t>
            </w:r>
          </w:p>
        </w:tc>
        <w:tc>
          <w:tcPr>
            <w:tcW w:w="212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理论讲授、案例分析、模拟实践相结合的教学方法。系统讲解直播销售理论，通过优秀直播案例分析引导学生学习。学生进行模拟直播实践，实时指导，培养学生的沟通表达、销售技巧与临场应变能力，确保学生能够熟练开展直播销售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88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内容策划与编辑</w:t>
            </w:r>
          </w:p>
        </w:tc>
        <w:tc>
          <w:tcPr>
            <w:tcW w:w="43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掌握内容策划与编辑知识体系，包括内容创作原则、策划思路、文案编辑技巧，明晰不同平台（图文/视频）特性与受众需求匹配逻辑，了解内容在品牌推广、产品宣传中的作用要点。</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能依据平台与受众需求，策划并编辑优质图文、视频内容；具备创意构思、文字表达与内容优化能力，可为企业品牌推广、产品宣传提供有效内容支持。</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形成贴合内容营销需求的策划思维，提升创意与表达素养，筑牢在内容营销领域的核心竞争力，为从事内容相关工作奠定基础，适配行业岗位要求。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树立内容原创与真实传播理念，培养责任意识与审美素养，坚守内容质量与价值观底线，助力通过优质内容传递正向品牌价值，促进行业健康发展。</w:t>
            </w:r>
          </w:p>
        </w:tc>
        <w:tc>
          <w:tcPr>
            <w:tcW w:w="2675"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理论部分涵盖内容策划与编辑的基本概念、流程与重要性。讲解内容创意来源、受众分析方法、文案结构搭建等知识。介绍图文编辑工具（Photoshop、秀米等）、视频编辑软件（剪映、Premiere等）的基础操作。实践环节安排学生进行内容策划案撰写，包括选题策划、内容框架设计等，运用编辑工具进行图文、视频内容的制作与优化，强化学生的实践操作能力。</w:t>
            </w:r>
          </w:p>
        </w:tc>
        <w:tc>
          <w:tcPr>
            <w:tcW w:w="212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取理论讲授、案例展示、实践操作相结合的教学方法。系统阐述内容策划与编辑理论，通过展示优秀内容案例启发学生思路。学生在实践中进行内容策划与编辑操作，指导，培养学生的创意构思、文字编辑与多媒体内容制作能力，确保学生能够产出高质量的内容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88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网络推广</w:t>
            </w:r>
          </w:p>
        </w:tc>
        <w:tc>
          <w:tcPr>
            <w:tcW w:w="43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掌握网络推广知识体系，包括推广渠道（SEO、社交媒体、网络广告）、策略逻辑与工具应用原理，明晰企业目标、产品特点与推广方案的匹配要点，了解推广在品牌知名度提升、产品销量增长中的作用逻辑。</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能依据企业目标与产品特点制定有效推广方案；熟练运用SEO、社交媒体推广、网络广告投放等手段，具备数据分析与推广策略调整能力，可为企业拓展网络市场提供支持。</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提升网络营销领域专业素养，形成以效果为导向的推广思维，增强方案制定、工具运用与策略优化能力</w:t>
            </w:r>
            <w:r>
              <w:rPr>
                <w:rFonts w:hint="eastAsia" w:ascii="仿宋_GB2312" w:hAnsi="仿宋_GB2312" w:eastAsia="仿宋_GB2312" w:cs="仿宋_GB2312"/>
                <w:color w:val="auto"/>
                <w:spacing w:val="-6"/>
                <w:sz w:val="24"/>
                <w:szCs w:val="24"/>
                <w:highlight w:val="none"/>
                <w:lang w:val="en-US" w:eastAsia="zh-CN"/>
              </w:rPr>
              <w:t>，为从事网络推广工作奠定基础，适配行业岗位竞争力需求。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树立合规推广、诚信营销理念，培养数据安全意识与社会责任，坚守推广内容真实性底线，助力企业通过规范网络推广实现可持续发展，促进行业健康生态构建。</w:t>
            </w:r>
          </w:p>
        </w:tc>
        <w:tc>
          <w:tcPr>
            <w:tcW w:w="2675"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理论部分介绍网络推广的发展历程、常见渠道（搜索引擎、社交媒体、电商平台等）与推广策略（关键词策略、口碑营销策略等）。讲解网络推广工具（百度推广、微信公众号后台等）的使用方法与数据分析方法。实践环节安排学生制定网络推广方案，选择合适的推广渠道进行实际操作，监测推广效果并进行数据分析与策略优化，强化学生的网络推广实践能力。</w:t>
            </w:r>
          </w:p>
        </w:tc>
        <w:tc>
          <w:tcPr>
            <w:tcW w:w="212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理论讲授、案例分析、实践操作相结合的教学方法。系统讲解网络推广理论，通过成功推广案例分析引导学生理解策略运用。学生进行网络推广实践操作，指导，培养学生的推广方案制定、渠道运用与数据分析能力，确保学生能够有效开展网络推广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88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营销渠道运维</w:t>
            </w:r>
          </w:p>
        </w:tc>
        <w:tc>
          <w:tcPr>
            <w:tcW w:w="43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掌握营销渠道运维知识，包括渠道类型（线上电商平台、线下实体店铺等）、拓展方法及运营管理要点，明晰渠道运维与产品市场覆盖率、销售业绩的关联逻辑。</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能对线上线下营销渠道进行有效运营与维护；具备渠道沟通、资源整合及问题解决能力，可保障渠道顺畅运行，助力提升产品市场覆盖率与销售业绩。</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形成契合营销渠道管理需求的运维思维，提升渠道运营专业素养，为该领域职业发展奠定基础，增强岗位适配力与市场竞争力。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树立诚信合作、责任担当的职业理念，培养渠道伙伴共赢意识，坚守商业伦理底线，助力构建健康稳定的营销渠道生态，促进行业可持续发展。</w:t>
            </w:r>
          </w:p>
        </w:tc>
        <w:tc>
          <w:tcPr>
            <w:tcW w:w="2675"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理论部分涵盖营销渠道的基本概念、分类与发展趋势。讲解渠道拓展策略，寻找合作伙伴、开拓新市场等方法。深入剖析渠道运营管理知识，包括库存管理、物流配送协调、渠道冲突解决等。实践环节安排学生进行营销渠道的调研与分析，制定渠道运营方案，模拟渠道运营中的问题处理，提升学生的实践操作能力。</w:t>
            </w:r>
          </w:p>
        </w:tc>
        <w:tc>
          <w:tcPr>
            <w:tcW w:w="212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取理论讲授、案例分析、模拟实践相结合的教学方法。系统阐述营销渠道运维理论，通过实际案例分析引导学生理解渠道管理要点。学生进行模拟实践，指导，培养学生的渠道拓展、运营管理与问题解决能力，确保学生能够胜任营销渠道运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88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直播运营</w:t>
            </w:r>
          </w:p>
        </w:tc>
        <w:tc>
          <w:tcPr>
            <w:tcW w:w="43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掌握直播运营知识体系，包括直播运营流程、团队管理方法及数据分析要点，明晰直播活动策划、效果优化与业务高效开展的关联逻辑。</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能策划并执行直播活动，组织管理直播团队；熟练运用数据分析优化直播效果，具备团队协调与数据驱动决策能力，为直播业务高效开展提供支持。</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形成贴合直播运营需求的系统思维，提升直播策划、团队管理与数据应用的综合能力，为该领域职业发展奠基，增强岗位竞争力。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树立责任担当与协作共赢的职业理念，培养严谨务实的运营态度，坚守直播内容合规与数据诚信底线，助力构建健康有序的直播运营生态。</w:t>
            </w:r>
          </w:p>
        </w:tc>
        <w:tc>
          <w:tcPr>
            <w:tcW w:w="2675"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理论部分介绍直播运营的行业生态、直播流程规划、团队架构与职责。讲解直播数据分析方法，流量分析、用户行为分析、销售数据分析等。实践环节安排学生制定直播运营方案，包括直播主题策划、人员安排、直播脚本撰写等，进行直播活动的实际执行与数据分析，依据数据结果调整运营策略，强化学生的直播运营实践能力。</w:t>
            </w:r>
          </w:p>
        </w:tc>
        <w:tc>
          <w:tcPr>
            <w:tcW w:w="212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理论讲授、案例分析、实践操作相结合的教学方法。系统讲解直播运营理论，通过成功直播运营案例分析引导学生学习。学生进行直播运营实践操作，指导，培养学生的直播活动策划、团队管理与数据分析能力，确保学生能够熟练开展直播运营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88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新媒体运营</w:t>
            </w:r>
          </w:p>
        </w:tc>
        <w:tc>
          <w:tcPr>
            <w:tcW w:w="43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掌握新媒体运营知识，包括新媒体平台特点、内容运营、用户运营、活动运营要点，明晰运营策略与品牌建设、业务拓展的关联逻辑。</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能制定新媒体运营策略，开展平台日常运营维护；具备吸引用户关注、提升用户粘性的能力，熟练运用创意策划、沟通协调及数据分析技能，为企业新媒体业务提供支持。</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形成适配新媒体领域的运营思维，提升综合业务能力，为该领域职业发展奠定基础，增强在新媒体运营岗位的竞争力与适配力。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树立合规运营、诚信传播的职业理念，培养用户至上的服务意识，坚守内容真实性与价值观底线，助力构建健康的新媒体生态。</w:t>
            </w:r>
          </w:p>
        </w:tc>
        <w:tc>
          <w:tcPr>
            <w:tcW w:w="2675"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理论部分涵盖新媒体运营的基本概念、主流新媒体平台（微信、微博、抖音等）的特点与运营规则。讲解新媒体内容创作、用户增长策略、活动策划与执行方法。介绍新媒体数据分析工具与方法。实践环节安排学生进行新媒体账号的创建与运营，制定内容发布计划、开展用户互动活动、进行数据分析与运营策略优化，强化学生的新媒体运营实践能力。</w:t>
            </w:r>
          </w:p>
        </w:tc>
        <w:tc>
          <w:tcPr>
            <w:tcW w:w="212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取理论讲授、案例展示、实践操作相结合的教学方法。系统阐述新媒体运营理论，通过优秀新媒体运营案例启发学生思路。学生进行新媒体运营实践操作，指导，培养学生的新媒体平台运营、内容创作与用户运营能力，确保学生能够有效开展新媒体运营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88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客户服务与管理</w:t>
            </w:r>
          </w:p>
        </w:tc>
        <w:tc>
          <w:tcPr>
            <w:tcW w:w="43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掌握客户服务与管理知识体系，包括客户服务流程、沟通技巧、客户关系维护要点，明晰服务管理与客户满意度、忠诚度的关联逻辑。</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能运用专业服务技巧提供优质客户服务，处理客户投诉与问题；具备客户关系有效管理能力，熟练运用沟通表达、问题解决技能，助力提升企业客户黏性。</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形成适配客户服务领域的服务思维，提升综合业务能力，为该领域职业发展奠定基础，增强在客户服务岗位的竞争力与岗位适配力。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树立客户至上、诚信服务的职业理念，培养责任担当与共情意识，坚守服务伦理底线，助力构建企业与客户间的信任关系，促进行业良性发展</w:t>
            </w:r>
            <w:r>
              <w:rPr>
                <w:rFonts w:ascii="Segoe UI" w:hAnsi="Segoe UI" w:eastAsia="Segoe UI" w:cs="Segoe UI"/>
                <w:i w:val="0"/>
                <w:iCs w:val="0"/>
                <w:caps w:val="0"/>
                <w:color w:val="1F2329"/>
                <w:spacing w:val="0"/>
                <w:sz w:val="24"/>
                <w:szCs w:val="24"/>
                <w:shd w:val="clear" w:color="auto" w:fill="auto"/>
              </w:rPr>
              <w:t>。</w:t>
            </w:r>
          </w:p>
        </w:tc>
        <w:tc>
          <w:tcPr>
            <w:tcW w:w="2675"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理论部分介绍客户服务与管理的基本概念、重要性与发展趋势。讲解客户服务流程设计、沟通话术技巧、客户投诉处理原则与方法。深入剖析客户关系管理系统（CRM）的应用与客户生命周期管理知识。实践环节安排学生进行客户服务模拟场景训练，包括客户咨询解答、投诉处理等，运用CRM系统进行客户信息管理与分析，提升学生的实践操作能力。</w:t>
            </w:r>
          </w:p>
        </w:tc>
        <w:tc>
          <w:tcPr>
            <w:tcW w:w="212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理论讲授、案例分析、模拟实践相结合的教学方法。系统讲解客户服务与管理理论，通过实际案例分析引导学生学习沟通与问题处理技巧。学生进行模拟实践，指导，培养学生的沟通表达、问题解决与客户关系管理能力，确保学生能够胜任客户服务与管理工作。</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bookmarkStart w:id="33" w:name="_Toc90734991"/>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33"/>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专业拓展课程紧密贴合岗位迁移需求，顺应网络营销与直播电商行业的动态发展趋势，通过深入的企业用人需求调研，精心打造了网络营销与直播电商专业拓展课程体系，并将相关辅修方向课程融合其中。本专业拓展课程涵盖了人工智能导论、智慧商业、项目管理、零售门店O2O运营、数据化运营、社群运营、数据可视化、消费者行为分析、短视频策划与制作、主播素养、思维训练、艺术鉴赏、商务礼仪与沟通、管理学、经济学基础等。这些课程全方位助力学生拓展知识边界，提升综合素养，以适应不断变化的行业需求，为学生在网络营销与直播电商领域的多元发展奠定坚实基础。</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0" w:firstLineChars="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表5 专业拓展课课程目标、主要教学内容与要求</w:t>
      </w:r>
    </w:p>
    <w:tbl>
      <w:tblPr>
        <w:tblStyle w:val="17"/>
        <w:tblpPr w:leftFromText="180" w:rightFromText="180" w:vertAnchor="text" w:tblpXSpec="center" w:tblpY="1"/>
        <w:tblOverlap w:val="never"/>
        <w:tblW w:w="10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831"/>
        <w:gridCol w:w="5275"/>
        <w:gridCol w:w="2200"/>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831"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课程名称</w:t>
            </w:r>
          </w:p>
        </w:tc>
        <w:tc>
          <w:tcPr>
            <w:tcW w:w="5275"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课程目标</w:t>
            </w:r>
          </w:p>
        </w:tc>
        <w:tc>
          <w:tcPr>
            <w:tcW w:w="2200"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主要教学内容</w:t>
            </w:r>
          </w:p>
        </w:tc>
        <w:tc>
          <w:tcPr>
            <w:tcW w:w="1862"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8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人工智能导论</w:t>
            </w:r>
          </w:p>
        </w:tc>
        <w:tc>
          <w:tcPr>
            <w:tcW w:w="527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掌握人工智能概念、发展历程，理解机器学习、深度学习、自然语言处理等技术，熟悉人工智能在医疗、交通、金融等领域应用。</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能运用简单人工智能工具解决实际问题，培养对人工智能的兴趣与探索精神。</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激发对人工智能的学习热情，增强科技认知与应用意识。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结合人工智能助力</w:t>
            </w:r>
            <w:r>
              <w:rPr>
                <w:rFonts w:hint="eastAsia" w:ascii="仿宋_GB2312" w:hAnsi="仿宋_GB2312" w:eastAsia="仿宋_GB2312" w:cs="仿宋_GB2312"/>
                <w:color w:val="auto"/>
                <w:sz w:val="24"/>
                <w:szCs w:val="24"/>
                <w:highlight w:val="none"/>
                <w:lang w:val="en-US" w:eastAsia="zh-CN"/>
              </w:rPr>
              <w:t>地方</w:t>
            </w:r>
            <w:r>
              <w:rPr>
                <w:rFonts w:hint="eastAsia" w:ascii="仿宋_GB2312" w:hAnsi="仿宋_GB2312" w:eastAsia="仿宋_GB2312" w:cs="仿宋_GB2312"/>
                <w:color w:val="auto"/>
                <w:sz w:val="24"/>
                <w:szCs w:val="24"/>
                <w:highlight w:val="none"/>
              </w:rPr>
              <w:t>发展，引导学生理解科技对地方进步的价值，树立科技报国与服务地方意识</w:t>
            </w:r>
            <w:r>
              <w:rPr>
                <w:rFonts w:hint="eastAsia" w:ascii="仿宋_GB2312" w:hAnsi="仿宋_GB2312" w:eastAsia="仿宋_GB2312" w:cs="仿宋_GB2312"/>
                <w:color w:val="auto"/>
                <w:sz w:val="24"/>
                <w:szCs w:val="24"/>
                <w:highlight w:val="none"/>
                <w:lang w:eastAsia="zh-CN"/>
              </w:rPr>
              <w:t>。</w:t>
            </w:r>
          </w:p>
        </w:tc>
        <w:tc>
          <w:tcPr>
            <w:tcW w:w="2200" w:type="dxa"/>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i w:val="0"/>
                <w:iCs w:val="0"/>
                <w:color w:val="000000"/>
                <w:kern w:val="0"/>
                <w:sz w:val="24"/>
                <w:szCs w:val="24"/>
                <w:u w:val="none"/>
                <w:lang w:val="en-US" w:eastAsia="zh-CN" w:bidi="ar"/>
              </w:rPr>
              <w:t>介绍人工智能概念、发展历程；讲解机器学习、深度学习、自然语言处理等技术；分析人工智能在医疗、交通、金融等领域应用；组织人工智能案例分析。</w:t>
            </w:r>
          </w:p>
        </w:tc>
        <w:tc>
          <w:tcPr>
            <w:tcW w:w="1862" w:type="dxa"/>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通过理论讲解与案例分析教学；安排人工智能工具实践操作；组织项目小组；开展知识竞赛。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8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智慧商业</w:t>
            </w:r>
          </w:p>
        </w:tc>
        <w:tc>
          <w:tcPr>
            <w:tcW w:w="52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掌握智慧商业概念、特点，理解物联网、大数据、人工智能等技术在商业中的应用，熟悉智慧商业运营模式与发展趋势。</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能分析智慧商业案例，为企业数字化转型</w:t>
            </w:r>
            <w:r>
              <w:rPr>
                <w:rFonts w:hint="eastAsia" w:ascii="仿宋_GB2312" w:hAnsi="仿宋_GB2312" w:eastAsia="仿宋_GB2312" w:cs="仿宋_GB2312"/>
                <w:color w:val="auto"/>
                <w:sz w:val="24"/>
                <w:szCs w:val="24"/>
                <w:highlight w:val="none"/>
                <w:lang w:eastAsia="zh-CN"/>
              </w:rPr>
              <w:t>提供</w:t>
            </w:r>
            <w:r>
              <w:rPr>
                <w:rFonts w:hint="eastAsia" w:ascii="仿宋_GB2312" w:hAnsi="仿宋_GB2312" w:eastAsia="仿宋_GB2312" w:cs="仿宋_GB2312"/>
                <w:color w:val="auto"/>
                <w:sz w:val="24"/>
                <w:szCs w:val="24"/>
                <w:highlight w:val="none"/>
              </w:rPr>
              <w:t>建议，提升商业创新思维。</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培养数字化商业思维，增强对智慧商业的理解与应用能力。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结合商业数字化转型需求，引导学生用智慧商业知识助力地方产业升级，树立服务区域经济创新发展意识</w:t>
            </w:r>
            <w:r>
              <w:rPr>
                <w:rFonts w:hint="eastAsia" w:ascii="仿宋_GB2312" w:hAnsi="仿宋_GB2312" w:eastAsia="仿宋_GB2312" w:cs="仿宋_GB2312"/>
                <w:color w:val="auto"/>
                <w:sz w:val="24"/>
                <w:szCs w:val="24"/>
                <w:highlight w:val="none"/>
                <w:lang w:eastAsia="zh-CN"/>
              </w:rPr>
              <w:t>。</w:t>
            </w:r>
          </w:p>
        </w:tc>
        <w:tc>
          <w:tcPr>
            <w:tcW w:w="2200"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介绍智慧商业概念、特点；讲解物联网、大数据、人工智能等技术在商业中的应用；分析智慧商业运营模式；探讨智慧商业发展趋势；组织智慧商业案例研讨。</w:t>
            </w:r>
          </w:p>
        </w:tc>
        <w:tc>
          <w:tcPr>
            <w:tcW w:w="1862"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课堂讲授智慧商业知识；组织企业参观；邀请企业专家分享经验；安排项目分析作业；开展主题讨论。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8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项目管理</w:t>
            </w:r>
          </w:p>
        </w:tc>
        <w:tc>
          <w:tcPr>
            <w:tcW w:w="527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highlight w:val="none"/>
              </w:rPr>
              <w:t>掌握项目管理概念、流程，理解项目范围/时间/成本/质量管理方法，熟悉团队管理、风险管理策略。</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highlight w:val="none"/>
              </w:rPr>
              <w:t>能运用知识进行项目规划、执行与监控，提升项目管理能力，助力企业项目成功。</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highlight w:val="none"/>
              </w:rPr>
              <w:t>培养全局思维、团队协作与风险意识，增强项目把控能力。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highlight w:val="none"/>
              </w:rPr>
              <w:t>结合本地项目，引导学生用项目管理技能服务地方发展，树立助力区域建设的意识</w:t>
            </w:r>
            <w:r>
              <w:rPr>
                <w:rFonts w:hint="eastAsia" w:ascii="仿宋_GB2312" w:hAnsi="仿宋_GB2312" w:eastAsia="仿宋_GB2312" w:cs="仿宋_GB2312"/>
                <w:color w:val="auto"/>
                <w:sz w:val="24"/>
                <w:szCs w:val="24"/>
                <w:highlight w:val="none"/>
                <w:lang w:eastAsia="zh-CN"/>
              </w:rPr>
              <w:t>。</w:t>
            </w:r>
          </w:p>
        </w:tc>
        <w:tc>
          <w:tcPr>
            <w:tcW w:w="2200" w:type="dxa"/>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介绍项目管理概念、流程；讲解项目启动、规划、执行、监控、收尾阶段工作；分析项目范围、时间、成本、质量等管理方法；探讨项目团队管理、风险管理策略。</w:t>
            </w:r>
          </w:p>
        </w:tc>
        <w:tc>
          <w:tcPr>
            <w:tcW w:w="1862" w:type="dxa"/>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采用理论讲授与项目实践结合；组织项目管理案例研讨；安排小组项目实践；指导运用项目管理工具。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8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零售门店O2O运营</w:t>
            </w:r>
          </w:p>
        </w:tc>
        <w:tc>
          <w:tcPr>
            <w:tcW w:w="52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lang w:val="en-US" w:eastAsia="zh-CN"/>
              </w:rPr>
              <w:t>掌握零售门店O2O运营涉及的运营数据采集、分析，商品规划、发布优化，行业商家管理、活动及用户运营等知识，熟悉电商平台与行业特点，掌握用户模型、漏斗模型及商品配置策略等。</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lang w:val="en-US" w:eastAsia="zh-CN"/>
              </w:rPr>
              <w:t>能运用数据采集与处理、促销活动等工具，制定商品规划与全渠道促销策略，发布优化商品信息，开展活动推广与用户精准营销，实现O2O运营目标。</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lang w:val="en-US" w:eastAsia="zh-CN"/>
              </w:rPr>
              <w:t>培养数据驱动、跨渠道协同的运营思维，提升市场洞察与资源整合能力，树立创新、高效的运营理念。</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lang w:val="en-US" w:eastAsia="zh-CN"/>
              </w:rPr>
              <w:t>融入零售行业创新服务与协同发展理念，通过助力本地零售企业O2O转型案例，增强学生服务区域经济、推动行业升级的责任感，树立科技赋能商业的正确价值观。</w:t>
            </w:r>
          </w:p>
        </w:tc>
        <w:tc>
          <w:tcPr>
            <w:tcW w:w="2200"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电商平台与行业特点；用户模型、漏斗模型应用，用户需求、市场及竞品分析，商品规划方案制定与配置策略；新品全渠道促销策略，商品信息发布与优化；O2O运营目标设定，资源整合，促销活动工具与营销产品运用，全渠道活动推广；用户成长体系建立与精准营销。</w:t>
            </w:r>
          </w:p>
        </w:tc>
        <w:tc>
          <w:tcPr>
            <w:tcW w:w="1862"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采用课堂讲授构建知识框架；开展案例研讨，分组剖析典型案例并</w:t>
            </w:r>
            <w:r>
              <w:rPr>
                <w:rFonts w:hint="eastAsia" w:ascii="仿宋_GB2312" w:hAnsi="仿宋_GB2312" w:eastAsia="仿宋_GB2312" w:cs="仿宋_GB2312"/>
                <w:i w:val="0"/>
                <w:iCs w:val="0"/>
                <w:color w:val="000000"/>
                <w:kern w:val="0"/>
                <w:sz w:val="24"/>
                <w:szCs w:val="24"/>
                <w:highlight w:val="none"/>
                <w:u w:val="none"/>
                <w:lang w:val="en-US" w:eastAsia="zh-CN" w:bidi="ar"/>
              </w:rPr>
              <w:t>提出</w:t>
            </w:r>
            <w:r>
              <w:rPr>
                <w:rFonts w:hint="eastAsia" w:ascii="仿宋_GB2312" w:hAnsi="仿宋_GB2312" w:eastAsia="仿宋_GB2312" w:cs="仿宋_GB2312"/>
                <w:i w:val="0"/>
                <w:iCs w:val="0"/>
                <w:color w:val="000000"/>
                <w:kern w:val="0"/>
                <w:sz w:val="24"/>
                <w:szCs w:val="24"/>
                <w:u w:val="none"/>
                <w:lang w:val="en-US" w:eastAsia="zh-CN" w:bidi="ar"/>
              </w:rPr>
              <w:t>解决方案；进行项目实践，让学生实操运营数据采集分析、商品规划发布等任务，全面提升O2O运营知识与实践能力。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8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数据化运营</w:t>
            </w:r>
          </w:p>
        </w:tc>
        <w:tc>
          <w:tcPr>
            <w:tcW w:w="5275" w:type="dxa"/>
            <w:shd w:val="clear" w:color="auto" w:fill="auto"/>
            <w:vAlign w:val="top"/>
          </w:tcPr>
          <w:p>
            <w:pPr>
              <w:keepNext w:val="0"/>
              <w:keepLines w:val="0"/>
              <w:pageBreakBefore w:val="0"/>
              <w:kinsoku/>
              <w:wordWrap/>
              <w:overflowPunct/>
              <w:topLinePunct w:val="0"/>
              <w:autoSpaceDE/>
              <w:autoSpaceDN/>
              <w:bidi w:val="0"/>
              <w:adjustRightInd/>
              <w:snapToGrid/>
              <w:spacing w:after="0"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掌握数据化运营基础概念方法，包括数据收集、整理、分析、可视化，熟悉数据在企业运营决策中的作用，掌握数据分析工具操作及数据分析方法应用。</w:t>
            </w:r>
          </w:p>
          <w:p>
            <w:pPr>
              <w:keepNext w:val="0"/>
              <w:keepLines w:val="0"/>
              <w:pageBreakBefore w:val="0"/>
              <w:kinsoku/>
              <w:wordWrap/>
              <w:overflowPunct/>
              <w:topLinePunct w:val="0"/>
              <w:autoSpaceDE/>
              <w:autoSpaceDN/>
              <w:bidi w:val="0"/>
              <w:adjustRightInd/>
              <w:snapToGrid/>
              <w:spacing w:after="0"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能运用工具进行数据处理分析，运用分析结果指导运营实践，诊断企业运营问题、预测趋势，提出优化建议，提升数据驱动决策能力。</w:t>
            </w:r>
          </w:p>
          <w:p>
            <w:pPr>
              <w:keepNext w:val="0"/>
              <w:keepLines w:val="0"/>
              <w:pageBreakBefore w:val="0"/>
              <w:kinsoku/>
              <w:wordWrap/>
              <w:overflowPunct/>
              <w:topLinePunct w:val="0"/>
              <w:autoSpaceDE/>
              <w:autoSpaceDN/>
              <w:bidi w:val="0"/>
              <w:adjustRightInd/>
              <w:snapToGrid/>
              <w:spacing w:after="0"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培养数据思维、逻辑分析与持续学习能力，提升数据洞察与运营优化能力，树立理性、精准的运营决策理念。</w:t>
            </w:r>
          </w:p>
          <w:p>
            <w:pPr>
              <w:keepNext w:val="0"/>
              <w:keepLines w:val="0"/>
              <w:pageBreakBefore w:val="0"/>
              <w:kinsoku/>
              <w:wordWrap/>
              <w:overflowPunct/>
              <w:topLinePunct w:val="0"/>
              <w:autoSpaceDE/>
              <w:autoSpaceDN/>
              <w:bidi w:val="0"/>
              <w:adjustRightInd/>
              <w:snapToGrid/>
              <w:spacing w:after="0" w:line="320" w:lineRule="exact"/>
              <w:jc w:val="both"/>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融入数据价值与理性决策理念，通过数据驱动本地企业发展案例，让学生认识数据对区域经济重要性，树立用数据服务地方发展意识</w:t>
            </w:r>
            <w:r>
              <w:rPr>
                <w:rFonts w:hint="eastAsia" w:ascii="仿宋_GB2312" w:hAnsi="仿宋_GB2312" w:eastAsia="仿宋_GB2312" w:cs="仿宋_GB2312"/>
                <w:color w:val="auto"/>
                <w:sz w:val="24"/>
                <w:szCs w:val="24"/>
                <w:lang w:eastAsia="zh-CN"/>
              </w:rPr>
              <w:t>。</w:t>
            </w:r>
          </w:p>
        </w:tc>
        <w:tc>
          <w:tcPr>
            <w:tcW w:w="2200"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数据化运营概念、发展背景、意义，企业运营各环节应用场景；数据来源渠道，收集方法工具，清洗预处理技巧；描述性统计、相关性分析、回归分析等方法及在企业问题诊断、趋势预测中的应用；数据可视化工具使用，将分析结果直观展示；Excel高级功能、SQL数据库查询及实际数据处理分析案例练习。</w:t>
            </w:r>
          </w:p>
        </w:tc>
        <w:tc>
          <w:tcPr>
            <w:tcW w:w="1862"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运用课堂讲授讲解理论；让学生实操数据分析工具，通过实际数据处理项目提升技能；组织案例分析讨论，运用数据分析方法解决企业实际运营问题；开展小组项目，培养团队协作与综合应用能力。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8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社群运营</w:t>
            </w:r>
          </w:p>
        </w:tc>
        <w:tc>
          <w:tcPr>
            <w:tcW w:w="5275" w:type="dxa"/>
            <w:shd w:val="clear" w:color="auto" w:fill="auto"/>
            <w:vAlign w:val="top"/>
          </w:tcPr>
          <w:p>
            <w:pPr>
              <w:keepNext w:val="0"/>
              <w:keepLines w:val="0"/>
              <w:pageBreakBefore w:val="0"/>
              <w:kinsoku/>
              <w:wordWrap/>
              <w:overflowPunct/>
              <w:topLinePunct w:val="0"/>
              <w:autoSpaceDE/>
              <w:autoSpaceDN/>
              <w:bidi w:val="0"/>
              <w:adjustRightInd/>
              <w:snapToGrid/>
              <w:spacing w:after="0"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掌握社群营销基础理论策略，包括社群定位、成员招募管理、运营变现，熟悉用户关系维护、口碑传播方法，掌握社交媒体平台社群营销技能，了解社群广告、付费会员等变现模式。</w:t>
            </w:r>
          </w:p>
          <w:p>
            <w:pPr>
              <w:keepNext w:val="0"/>
              <w:keepLines w:val="0"/>
              <w:pageBreakBefore w:val="0"/>
              <w:kinsoku/>
              <w:wordWrap/>
              <w:overflowPunct/>
              <w:topLinePunct w:val="0"/>
              <w:autoSpaceDE/>
              <w:autoSpaceDN/>
              <w:bidi w:val="0"/>
              <w:adjustRightInd/>
              <w:snapToGrid/>
              <w:spacing w:after="0"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能运用知识创建运营具有商业价值的社群，制定社群运营规划，招募管理成员，策划执行营销活动，实现产品推广销售目标，提升社交网络环境下营销创新与用户运营能力。</w:t>
            </w:r>
          </w:p>
          <w:p>
            <w:pPr>
              <w:keepNext w:val="0"/>
              <w:keepLines w:val="0"/>
              <w:pageBreakBefore w:val="0"/>
              <w:kinsoku/>
              <w:wordWrap/>
              <w:overflowPunct/>
              <w:topLinePunct w:val="0"/>
              <w:autoSpaceDE/>
              <w:autoSpaceDN/>
              <w:bidi w:val="0"/>
              <w:adjustRightInd/>
              <w:snapToGrid/>
              <w:spacing w:after="0"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培养社群运营、用户洞察与社交协作能力，提升营销创新与用户</w:t>
            </w:r>
            <w:r>
              <w:rPr>
                <w:rFonts w:hint="eastAsia" w:ascii="仿宋_GB2312" w:hAnsi="仿宋_GB2312" w:eastAsia="仿宋_GB2312" w:cs="仿宋_GB2312"/>
                <w:color w:val="auto"/>
                <w:sz w:val="24"/>
                <w:szCs w:val="24"/>
                <w:highlight w:val="none"/>
              </w:rPr>
              <w:t>粘性</w:t>
            </w:r>
            <w:r>
              <w:rPr>
                <w:rFonts w:hint="eastAsia" w:ascii="仿宋_GB2312" w:hAnsi="仿宋_GB2312" w:eastAsia="仿宋_GB2312" w:cs="仿宋_GB2312"/>
                <w:color w:val="auto"/>
                <w:sz w:val="24"/>
                <w:szCs w:val="24"/>
              </w:rPr>
              <w:t>维护能力，树立以用户为中心的社群运营理念。</w:t>
            </w:r>
          </w:p>
          <w:p>
            <w:pPr>
              <w:keepNext w:val="0"/>
              <w:keepLines w:val="0"/>
              <w:pageBreakBefore w:val="0"/>
              <w:kinsoku/>
              <w:wordWrap/>
              <w:overflowPunct/>
              <w:topLinePunct w:val="0"/>
              <w:autoSpaceDE/>
              <w:autoSpaceDN/>
              <w:bidi w:val="0"/>
              <w:adjustRightInd/>
              <w:snapToGrid/>
              <w:spacing w:after="0" w:line="320" w:lineRule="exact"/>
              <w:jc w:val="both"/>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融入社群共生与价值共享理念，通过助力本地社群经济发展案例，增强学生服务地方、促进社群繁荣的责任感，树立共享、共赢的社群价值观</w:t>
            </w:r>
            <w:r>
              <w:rPr>
                <w:rFonts w:hint="eastAsia" w:ascii="仿宋_GB2312" w:hAnsi="仿宋_GB2312" w:eastAsia="仿宋_GB2312" w:cs="仿宋_GB2312"/>
                <w:color w:val="auto"/>
                <w:sz w:val="24"/>
                <w:szCs w:val="24"/>
                <w:lang w:eastAsia="zh-CN"/>
              </w:rPr>
              <w:t>。</w:t>
            </w:r>
          </w:p>
        </w:tc>
        <w:tc>
          <w:tcPr>
            <w:tcW w:w="2200"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社群营销概念、特点、发展趋势，与传统营销区别；社群定位与运营规划制定；社群成员招募渠道与管理方法；社群内容运营；基于社群的营销活动形式策划执行；社群变现途径与操作技巧。</w:t>
            </w:r>
          </w:p>
        </w:tc>
        <w:tc>
          <w:tcPr>
            <w:tcW w:w="1862"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采用课堂讲授传授理论；组织案例学习，剖析成功社群营销案例的策略技巧；开展实操训练，让学生在社交媒体平台创建运营社群；布置社群营销项目作业，为产品或品牌制定并执行社群营销方案，考核成果提升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8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数据可视化</w:t>
            </w:r>
          </w:p>
        </w:tc>
        <w:tc>
          <w:tcPr>
            <w:tcW w:w="52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掌握数据可视化基本原理、设计原则及常用工具操作知识。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rPr>
              <w:t>能将复杂数据转化为直观易懂可视化图表，有效传达信息，评估可视化效果，提升数据可视化设计与表达能力。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rPr>
              <w:t>培养审美素养、创新思维与细节意识，增强数据信息传达的精准性与有效性。</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rPr>
              <w:t>融入数据审美与有效沟通理念，通过优秀数据可视化作品展示，引导学生以清晰数据表达助力本地企业信息传递，提升服务地方经济的专业素养</w:t>
            </w:r>
            <w:r>
              <w:rPr>
                <w:rFonts w:hint="eastAsia" w:ascii="仿宋_GB2312" w:hAnsi="仿宋_GB2312" w:eastAsia="仿宋_GB2312" w:cs="仿宋_GB2312"/>
                <w:color w:val="auto"/>
                <w:sz w:val="24"/>
                <w:szCs w:val="24"/>
                <w:highlight w:val="none"/>
                <w:lang w:eastAsia="zh-CN"/>
              </w:rPr>
              <w:t>。</w:t>
            </w:r>
          </w:p>
        </w:tc>
        <w:tc>
          <w:tcPr>
            <w:tcW w:w="22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sz w:val="24"/>
                <w:szCs w:val="24"/>
              </w:rPr>
              <w:t>数据可视化基础；可视化设计原则；Python数据可视化；PowerBI数据可视化</w:t>
            </w:r>
            <w:r>
              <w:rPr>
                <w:rFonts w:hint="eastAsia" w:ascii="仿宋_GB2312" w:hAnsi="仿宋_GB2312" w:eastAsia="仿宋_GB2312" w:cs="仿宋_GB2312"/>
                <w:sz w:val="24"/>
                <w:szCs w:val="24"/>
                <w:lang w:eastAsia="zh-CN"/>
              </w:rPr>
              <w:t>。</w:t>
            </w:r>
          </w:p>
        </w:tc>
        <w:tc>
          <w:tcPr>
            <w:tcW w:w="186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sz w:val="24"/>
                <w:szCs w:val="24"/>
              </w:rPr>
              <w:t>通过理论讲解传授原理原则；安排软件实操让学生掌握工具操作；开展案例赏析学习优秀思路；布置设计作业锻炼实际设计能力；组织作品展示与互评，提升审美与信息表达能力，全面提升数据可视化水平</w:t>
            </w:r>
            <w:r>
              <w:rPr>
                <w:rFonts w:hint="eastAsia" w:ascii="仿宋_GB2312" w:hAnsi="仿宋_GB2312" w:eastAsia="仿宋_GB2312" w:cs="仿宋_GB231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8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消费者行为分析</w:t>
            </w:r>
          </w:p>
        </w:tc>
        <w:tc>
          <w:tcPr>
            <w:tcW w:w="527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highlight w:val="none"/>
              </w:rPr>
              <w:t>掌握消费者行为研究方法，理解文化、社会、个人、心理等影响因素，熟悉消费者决策过程，明晰消费者行为与营销策略关系，了解消费行为新趋势。</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highlight w:val="none"/>
              </w:rPr>
              <w:t>能运用知识分析消费者行为特点，为企业制定营销策略提供专业建议，提升市场洞察能力。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highlight w:val="none"/>
              </w:rPr>
              <w:t>培养关注消费需求、洞察消费心理的思维，增强以用户为中心的营销意识。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highlight w:val="none"/>
              </w:rPr>
              <w:t>结合本地消费市场，引导学生通过分析消费者行为助力本土品牌发展，树立服务地方产业的意识</w:t>
            </w:r>
            <w:r>
              <w:rPr>
                <w:rFonts w:hint="eastAsia" w:ascii="仿宋_GB2312" w:hAnsi="仿宋_GB2312" w:eastAsia="仿宋_GB2312" w:cs="仿宋_GB2312"/>
                <w:color w:val="auto"/>
                <w:sz w:val="24"/>
                <w:szCs w:val="24"/>
                <w:highlight w:val="none"/>
                <w:lang w:eastAsia="zh-CN"/>
              </w:rPr>
              <w:t>。</w:t>
            </w:r>
          </w:p>
        </w:tc>
        <w:tc>
          <w:tcPr>
            <w:tcW w:w="2200" w:type="dxa"/>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介绍消费者行为研究方法；分析文化、社会、个人、心理等影响因素；讲解消费者决策过程；探讨消费者行为与营销策略关系；分析消费者行为新趋势。</w:t>
            </w:r>
          </w:p>
        </w:tc>
        <w:tc>
          <w:tcPr>
            <w:tcW w:w="1862" w:type="dxa"/>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采用理论讲解与案例分析结合；组织小组讨论；安排市场观察任务；布置消费者行为分析作业。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8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短视频策划与制作</w:t>
            </w:r>
          </w:p>
        </w:tc>
        <w:tc>
          <w:tcPr>
            <w:tcW w:w="52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知识目标：</w:t>
            </w:r>
            <w:r>
              <w:rPr>
                <w:rFonts w:hint="eastAsia" w:ascii="仿宋_GB2312" w:hAnsi="仿宋_GB2312" w:eastAsia="仿宋_GB2312" w:cs="仿宋_GB2312"/>
                <w:sz w:val="24"/>
                <w:szCs w:val="24"/>
              </w:rPr>
              <w:t>掌握视频制作流程，熟悉拍摄设备使用、技巧，理解视频创意与策划重要性，能运用软件完成剪辑、特效制作。</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能力目标：</w:t>
            </w:r>
            <w:r>
              <w:rPr>
                <w:rFonts w:hint="eastAsia" w:ascii="仿宋_GB2312" w:hAnsi="仿宋_GB2312" w:eastAsia="仿宋_GB2312" w:cs="仿宋_GB2312"/>
                <w:sz w:val="24"/>
                <w:szCs w:val="24"/>
              </w:rPr>
              <w:t>能独立完成视频拍摄、剪辑、特效制作，提升视频创作能力。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素质目标：</w:t>
            </w:r>
            <w:r>
              <w:rPr>
                <w:rFonts w:hint="eastAsia" w:ascii="仿宋_GB2312" w:hAnsi="仿宋_GB2312" w:eastAsia="仿宋_GB2312" w:cs="仿宋_GB2312"/>
                <w:sz w:val="24"/>
                <w:szCs w:val="24"/>
              </w:rPr>
              <w:t>培养创意策划、视频制作实操能力，增强视觉内容创作素养。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sz w:val="24"/>
                <w:szCs w:val="24"/>
              </w:rPr>
              <w:t>课程思政育人目标：</w:t>
            </w:r>
            <w:r>
              <w:rPr>
                <w:rFonts w:hint="eastAsia" w:ascii="仿宋_GB2312" w:hAnsi="仿宋_GB2312" w:eastAsia="仿宋_GB2312" w:cs="仿宋_GB2312"/>
                <w:sz w:val="24"/>
                <w:szCs w:val="24"/>
              </w:rPr>
              <w:t>结合本地题材，引导学生用视频记录与推广地方，树立文化宣传与产业推广意识</w:t>
            </w:r>
            <w:r>
              <w:rPr>
                <w:rFonts w:hint="eastAsia" w:ascii="仿宋_GB2312" w:hAnsi="仿宋_GB2312" w:eastAsia="仿宋_GB2312" w:cs="仿宋_GB2312"/>
                <w:sz w:val="24"/>
                <w:szCs w:val="24"/>
                <w:lang w:eastAsia="zh-CN"/>
              </w:rPr>
              <w:t>。</w:t>
            </w:r>
          </w:p>
        </w:tc>
        <w:tc>
          <w:tcPr>
            <w:tcW w:w="2200"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介绍视频制作流程；讲解视频拍摄设备使用、拍摄技巧；分析视频剪辑软件操作；介绍视频特效制作方法；组织视频制作案例分析。</w:t>
            </w:r>
          </w:p>
        </w:tc>
        <w:tc>
          <w:tcPr>
            <w:tcW w:w="1862"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理论讲解与实践操作结合；安排视频拍摄与剪辑实践项目；指导特效制作；举办视频作品展示。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w:t>
            </w:r>
          </w:p>
        </w:tc>
        <w:tc>
          <w:tcPr>
            <w:tcW w:w="8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主播素养</w:t>
            </w:r>
          </w:p>
        </w:tc>
        <w:tc>
          <w:tcPr>
            <w:tcW w:w="527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rPr>
              <w:t>掌握主播素养相关知识，包括语言表达技巧、形象塑造要点、直播实操方法及粉丝运营逻辑，明晰各知识模块与直播效果、粉丝</w:t>
            </w:r>
            <w:r>
              <w:rPr>
                <w:rFonts w:hint="eastAsia" w:ascii="仿宋_GB2312" w:hAnsi="仿宋_GB2312" w:eastAsia="仿宋_GB2312" w:cs="仿宋_GB2312"/>
                <w:color w:val="auto"/>
                <w:sz w:val="24"/>
                <w:szCs w:val="24"/>
                <w:highlight w:val="none"/>
                <w:lang w:eastAsia="zh-CN"/>
              </w:rPr>
              <w:t>黏性</w:t>
            </w:r>
            <w:r>
              <w:rPr>
                <w:rFonts w:hint="eastAsia" w:ascii="仿宋_GB2312" w:hAnsi="仿宋_GB2312" w:eastAsia="仿宋_GB2312" w:cs="仿宋_GB2312"/>
                <w:color w:val="auto"/>
                <w:sz w:val="24"/>
                <w:szCs w:val="24"/>
                <w:highlight w:val="none"/>
              </w:rPr>
              <w:t>及交易转化的关联。</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rPr>
              <w:t>能在直播场景中展现良好形象与语言魅力；熟练运用直播技巧吸引观众、促成交易，具备直播主持、沟通表达能力，可开展粉丝互动与维护工作。</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ascii="Segoe UI" w:hAnsi="Segoe UI" w:eastAsia="Segoe UI" w:cs="Segoe UI"/>
                <w:i w:val="0"/>
                <w:iCs w:val="0"/>
                <w:caps w:val="0"/>
                <w:color w:val="1F2329"/>
                <w:spacing w:val="0"/>
                <w:sz w:val="24"/>
                <w:szCs w:val="24"/>
                <w:shd w:val="clear" w:fill="EFF0F1"/>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rPr>
              <w:t>形成契合主播岗位需求的职业素养，提升直播综合能力，为从事直播主播工作奠定坚实基础，增强在直播行业的岗位适配力与核心竞争力。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rPr>
              <w:t>树立诚信直播、正向引导的职业理念，培养尊重粉丝、坚守底线的职业操守，传递积极健康的直播内容，助力营造风清气正的直播行业生态。</w:t>
            </w:r>
          </w:p>
        </w:tc>
        <w:tc>
          <w:tcPr>
            <w:tcW w:w="2200"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介绍主播行业发展现状与职业要求。讲解主播的语言表达技巧，包括发声训练、话术设计等。剖析主播形象塑造方法，服装搭配、妆容设计等。介绍直播技巧（产品展示、互动环节等）与粉丝运营策略。实践环节安排学生进行直播模拟训练，包括直播场景搭建、直播话术演练、粉丝互动实践等，提升学生的主播实践能力。</w:t>
            </w:r>
          </w:p>
        </w:tc>
        <w:tc>
          <w:tcPr>
            <w:tcW w:w="1862"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采用理论讲授、案例分析、模拟实践相结合的教学方法。系统讲解主播素养理论，通过优秀主播案例分析引导学生学习技巧。学生进行模拟实践，指导，培养学生的语言表达、形象塑造与直播运营能力，确保学生能够胜任主播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w:t>
            </w:r>
          </w:p>
        </w:tc>
        <w:tc>
          <w:tcPr>
            <w:tcW w:w="8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思维训练</w:t>
            </w:r>
          </w:p>
        </w:tc>
        <w:tc>
          <w:tcPr>
            <w:tcW w:w="52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掌握创新思维、逻辑思维、批判性思维等方法，熟悉思维训练技巧，理解思维模式对问题解决、决策的影响。</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能运用多种思维解决实际问题，提升思维敏捷性、灵活性与创新性。</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培养多元思维习惯，增强问题解决与决策能力。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引导学生运用思维能力助力地方发展，树立用智慧服务区域建设的意识</w:t>
            </w:r>
            <w:r>
              <w:rPr>
                <w:rFonts w:hint="eastAsia" w:ascii="仿宋_GB2312" w:hAnsi="仿宋_GB2312" w:eastAsia="仿宋_GB2312" w:cs="仿宋_GB2312"/>
                <w:color w:val="auto"/>
                <w:sz w:val="24"/>
                <w:szCs w:val="24"/>
                <w:highlight w:val="none"/>
                <w:lang w:eastAsia="zh-CN"/>
              </w:rPr>
              <w:t>。</w:t>
            </w:r>
          </w:p>
        </w:tc>
        <w:tc>
          <w:tcPr>
            <w:tcW w:w="2200"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介绍创新思维、逻辑思维、批判性思维等方法；讲解思维训练技巧；分析思维在问题解决、决策制定中的应用；组织思维训练游戏与案例分析。</w:t>
            </w:r>
          </w:p>
        </w:tc>
        <w:tc>
          <w:tcPr>
            <w:tcW w:w="1862"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通过思维训练游戏激发兴趣；组织案例分析培养能力；开展小组讨论；布置思维训练作业。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8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艺术鉴赏</w:t>
            </w:r>
          </w:p>
        </w:tc>
        <w:tc>
          <w:tcPr>
            <w:tcW w:w="52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掌握艺术鉴赏概念、方法，熟悉绘画、音乐、舞蹈、文学等艺术形式特点，理解艺术作品风格、流派，明晰艺术与生活关系。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rPr>
              <w:t>能欣赏、评价艺术作品，提升艺术素养与审美能力，丰富精神文化。</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rPr>
              <w:t>培养艺术审美、文化修养，增强对艺术的感知与热爱。</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rPr>
              <w:t>结合本土艺术，引导学生传承与鉴赏地方艺术，树立文化自信与传承意识</w:t>
            </w:r>
            <w:r>
              <w:rPr>
                <w:rFonts w:hint="eastAsia" w:ascii="仿宋_GB2312" w:hAnsi="仿宋_GB2312" w:eastAsia="仿宋_GB2312" w:cs="仿宋_GB2312"/>
                <w:color w:val="auto"/>
                <w:sz w:val="24"/>
                <w:szCs w:val="24"/>
                <w:highlight w:val="none"/>
                <w:lang w:eastAsia="zh-CN"/>
              </w:rPr>
              <w:t>。</w:t>
            </w:r>
          </w:p>
        </w:tc>
        <w:tc>
          <w:tcPr>
            <w:tcW w:w="2200"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介绍艺术鉴赏概念、方法；讲解绘画、音乐、舞蹈、文学等艺术形式特点；分析艺术作品风格、流派；组织艺术作品赏析活动；探讨艺术与生活关系。</w:t>
            </w:r>
          </w:p>
        </w:tc>
        <w:tc>
          <w:tcPr>
            <w:tcW w:w="1862" w:type="dxa"/>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课堂讲授艺术知识；组织艺术作品赏析实践；邀请艺术家分享心得；安排艺术鉴赏写作任务；开展艺术鉴赏讲座与讨论。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13</w:t>
            </w:r>
          </w:p>
        </w:tc>
        <w:tc>
          <w:tcPr>
            <w:tcW w:w="831"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商务礼仪与沟通</w:t>
            </w:r>
          </w:p>
        </w:tc>
        <w:tc>
          <w:tcPr>
            <w:tcW w:w="5275" w:type="dxa"/>
            <w:vAlign w:val="top"/>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掌握商务礼仪与沟通知识，包括商务着装、接待、会议等礼仪规范，明晰商务沟通的方法与技巧，理解礼仪规范、沟通能力与商务活动成效的关联逻辑。</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rPr>
              <w:t>能在商务活动中展现专业形象，熟练运用商务礼仪规范；具备有效沟通技巧，可与客户、合作伙伴顺畅交流，拥有沟通表达与人际交往能力，助力商务活动开展。</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rPr>
              <w:t>形成适配商务领域的职业素养，提升礼仪与沟通综合能力，为商务领域职业发展奠定基础，增强在商务岗位的竞争力与职业适配力。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highlight w:val="none"/>
              </w:rPr>
              <w:t>树立尊重他人、诚信友善的职业理念，培养专业严谨的职业态度，坚守商务交往中的伦理底线，助力构建和谐互信的商务合作关系，促进行业良性发展。</w:t>
            </w:r>
          </w:p>
        </w:tc>
        <w:tc>
          <w:tcPr>
            <w:tcW w:w="22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理论部分介绍商务礼仪的基本概念、重要性与文化差异。讲解商务着装礼仪、见面礼仪、宴请礼仪、会议礼仪等规范。介绍商务沟通的原则、技巧（倾听技巧、表达技巧、谈判技巧等）与沟通渠道。实践环节安排学生进行商务礼仪场景模拟，包括商务接待、商务谈判等，进行沟通技巧训练，提升学生的商务礼仪与沟通实践能力。</w:t>
            </w:r>
          </w:p>
        </w:tc>
        <w:tc>
          <w:tcPr>
            <w:tcW w:w="186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 w:hAnsi="仿宋" w:eastAsia="仿宋" w:cs="仿宋"/>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采用理论讲授、案例分析、模拟实践相结合的教学方法。系统讲解商务礼仪与沟通理论，通过实际案例分析引导学生学习规范与技巧。学生进行模拟实践，指导，培养学生的礼仪规范、沟通表达与人际交往能力，确保学生能够在商务场合中得体应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14</w:t>
            </w:r>
          </w:p>
        </w:tc>
        <w:tc>
          <w:tcPr>
            <w:tcW w:w="8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管理学</w:t>
            </w:r>
          </w:p>
        </w:tc>
        <w:tc>
          <w:tcPr>
            <w:tcW w:w="527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掌握管理定义、层次、领域，科学管理等理论，管理道德、社会责任，信息管理、决策、计划、战略规划，组织设计、人力管理、组织变革与文化等知识。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rPr>
              <w:t>能运用管理知识分析解决实际问题，提升领导力、团队管理及创新应变能力。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rPr>
              <w:t>培养系统思维、责任担当与团队协作精神，树立科学管理理念。</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rPr>
              <w:t>融入管理伦理教育，强调管理者社会责任，通过中国管理实践案例，厚植家国情怀，引导学生以管理才能服务社会发展</w:t>
            </w:r>
            <w:r>
              <w:rPr>
                <w:rFonts w:hint="eastAsia" w:ascii="仿宋_GB2312" w:hAnsi="仿宋_GB2312" w:eastAsia="仿宋_GB2312" w:cs="仿宋_GB2312"/>
                <w:color w:val="auto"/>
                <w:sz w:val="24"/>
                <w:szCs w:val="24"/>
                <w:highlight w:val="none"/>
                <w:lang w:eastAsia="zh-CN"/>
              </w:rPr>
              <w:t>。</w:t>
            </w:r>
          </w:p>
        </w:tc>
        <w:tc>
          <w:tcPr>
            <w:tcW w:w="22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管理定义、层次、领域，科学管理等理论；管理道德、社会责任；信息管理、决策方法、计划工作、战略规划；组织设计、人力资源管理、组织变革与文化。</w:t>
            </w:r>
          </w:p>
        </w:tc>
        <w:tc>
          <w:tcPr>
            <w:tcW w:w="186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运用讲授法讲理论；案例分析法剖析实际问题；小组讨论法促进交流；角色扮演法体验管理实践，培养管理知识应用能力。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15</w:t>
            </w:r>
          </w:p>
        </w:tc>
        <w:tc>
          <w:tcPr>
            <w:tcW w:w="8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经济学基础</w:t>
            </w:r>
          </w:p>
        </w:tc>
        <w:tc>
          <w:tcPr>
            <w:tcW w:w="527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掌握供求关系、市场机制等经济学基本概念，理解企业生产决策、消费者行为理论等微观经济学知识，以及国民收入核算、财政货币政策等宏观经济学内容，熟悉经济增长、通货膨胀等经济现象相关原理。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能运用经济学分析方法解读现实经济问题，具备经济思维，提升经济决策辅助能力，增强对经济现象的敏感度。</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培养理性经济思考习惯，树立关注经济动态、洞察经济规律的意识。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融入经济发展与民生关联理</w:t>
            </w:r>
            <w:r>
              <w:rPr>
                <w:rFonts w:hint="eastAsia" w:ascii="仿宋_GB2312" w:hAnsi="仿宋_GB2312" w:eastAsia="仿宋_GB2312" w:cs="仿宋_GB2312"/>
                <w:color w:val="auto"/>
                <w:spacing w:val="-17"/>
                <w:sz w:val="24"/>
                <w:szCs w:val="24"/>
                <w:lang w:val="en-US" w:eastAsia="zh-CN"/>
              </w:rPr>
              <w:t>念，通</w:t>
            </w:r>
            <w:r>
              <w:rPr>
                <w:rFonts w:hint="eastAsia" w:ascii="仿宋_GB2312" w:hAnsi="仿宋_GB2312" w:eastAsia="仿宋_GB2312" w:cs="仿宋_GB2312"/>
                <w:color w:val="auto"/>
                <w:spacing w:val="-6"/>
                <w:sz w:val="24"/>
                <w:szCs w:val="24"/>
                <w:lang w:val="en-US" w:eastAsia="zh-CN"/>
              </w:rPr>
              <w:t>过分析国家经济政策对区域发展的影</w:t>
            </w:r>
            <w:r>
              <w:rPr>
                <w:rFonts w:hint="eastAsia" w:ascii="仿宋_GB2312" w:hAnsi="仿宋_GB2312" w:eastAsia="仿宋_GB2312" w:cs="仿宋_GB2312"/>
                <w:color w:val="auto"/>
                <w:spacing w:val="-11"/>
                <w:sz w:val="24"/>
                <w:szCs w:val="24"/>
                <w:lang w:val="en-US" w:eastAsia="zh-CN"/>
              </w:rPr>
              <w:t>响，引</w:t>
            </w:r>
            <w:r>
              <w:rPr>
                <w:rFonts w:hint="eastAsia" w:ascii="仿宋_GB2312" w:hAnsi="仿宋_GB2312" w:eastAsia="仿宋_GB2312" w:cs="仿宋_GB2312"/>
                <w:color w:val="auto"/>
                <w:spacing w:val="-6"/>
                <w:sz w:val="24"/>
                <w:szCs w:val="24"/>
                <w:lang w:val="en-US" w:eastAsia="zh-CN"/>
              </w:rPr>
              <w:t>导学生理解经济工作服务社会的价</w:t>
            </w:r>
            <w:r>
              <w:rPr>
                <w:rFonts w:hint="eastAsia" w:ascii="仿宋_GB2312" w:hAnsi="仿宋_GB2312" w:eastAsia="仿宋_GB2312" w:cs="仿宋_GB2312"/>
                <w:color w:val="auto"/>
                <w:spacing w:val="-17"/>
                <w:sz w:val="24"/>
                <w:szCs w:val="24"/>
                <w:lang w:val="en-US" w:eastAsia="zh-CN"/>
              </w:rPr>
              <w:t>值，增</w:t>
            </w:r>
            <w:r>
              <w:rPr>
                <w:rFonts w:hint="eastAsia" w:ascii="仿宋_GB2312" w:hAnsi="仿宋_GB2312" w:eastAsia="仿宋_GB2312" w:cs="仿宋_GB2312"/>
                <w:color w:val="auto"/>
                <w:spacing w:val="-6"/>
                <w:sz w:val="24"/>
                <w:szCs w:val="24"/>
                <w:lang w:val="en-US" w:eastAsia="zh-CN"/>
              </w:rPr>
              <w:t>强家国情怀。</w:t>
            </w:r>
          </w:p>
        </w:tc>
        <w:tc>
          <w:tcPr>
            <w:tcW w:w="2200" w:type="dxa"/>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介绍经济学基本概念；阐述微观经济学；讲解宏观经济学；分析经济增长、通货膨胀等经济现象。</w:t>
            </w:r>
          </w:p>
        </w:tc>
        <w:tc>
          <w:tcPr>
            <w:tcW w:w="1862" w:type="dxa"/>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通过课堂讲授传授理论；运用案例分析引导解析经济问题；布置课后作业巩固；开展经济热点讨论提升分析能力。</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4.实践性教学环节：包括毕业设计、岗位实习。</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0" w:firstLineChars="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表6 实践性教学环节课程目标、主要教学内容与要求</w:t>
      </w:r>
    </w:p>
    <w:tbl>
      <w:tblPr>
        <w:tblStyle w:val="17"/>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845"/>
        <w:gridCol w:w="4842"/>
        <w:gridCol w:w="1886"/>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szCs w:val="24"/>
              </w:rPr>
            </w:pPr>
            <w:bookmarkStart w:id="34" w:name="OLE_LINK21"/>
            <w:r>
              <w:rPr>
                <w:rFonts w:hint="eastAsia" w:ascii="仿宋_GB2312" w:hAnsi="仿宋_GB2312" w:eastAsia="仿宋_GB2312" w:cs="仿宋_GB2312"/>
                <w:color w:val="auto"/>
                <w:sz w:val="24"/>
                <w:szCs w:val="24"/>
              </w:rPr>
              <w:t>序号</w:t>
            </w:r>
          </w:p>
        </w:tc>
        <w:tc>
          <w:tcPr>
            <w:tcW w:w="845"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课程名称</w:t>
            </w:r>
          </w:p>
        </w:tc>
        <w:tc>
          <w:tcPr>
            <w:tcW w:w="4842"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1886"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1716"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7" w:type="dxa"/>
            <w:vAlign w:val="center"/>
          </w:tcPr>
          <w:p>
            <w:pPr>
              <w:overflowPunct w:val="0"/>
              <w:adjustRightInd w:val="0"/>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8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毕业设计</w:t>
            </w:r>
          </w:p>
        </w:tc>
        <w:tc>
          <w:tcPr>
            <w:tcW w:w="484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i w:val="0"/>
                <w:iCs w:val="0"/>
                <w:caps w:val="0"/>
                <w:color w:val="1F2329"/>
                <w:spacing w:val="0"/>
                <w:sz w:val="24"/>
                <w:szCs w:val="24"/>
                <w:shd w:val="clear" w:fill="EFF0F1"/>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系统回顾网络营销与直播电商领域基础理论及专业知识（如直播运营、新媒体营销等），明晰理论与论文选题（如直播带货策略、电商营销方案）的结合逻辑，掌握论文撰写的规范与方法。</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具备开发设计论文框架的能力，能综合运用专业知识分析、解决实际问题（如电商营销痛点）；提升独立思考、计算机操作能力，可借助工具处理数据、完成论文撰写，实现理论与实践融合。</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i w:val="0"/>
                <w:iCs w:val="0"/>
                <w:caps w:val="0"/>
                <w:color w:val="1F2329"/>
                <w:spacing w:val="0"/>
                <w:sz w:val="24"/>
                <w:szCs w:val="24"/>
                <w:shd w:val="clear" w:fill="EFF0F1"/>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形成严谨的学术思维与研究素养，强化知识整合与实践应用能力，为后续职业发展或深造奠定研究基础，增强在行业中的综合竞争力。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树立求真务实的学术态度，培养诚信写作、拒绝抄袭的学术道德，坚守科学严谨的研究底线，助力形成行业正向研究风气，促进行业高质量发展。</w:t>
            </w:r>
          </w:p>
        </w:tc>
        <w:tc>
          <w:tcPr>
            <w:tcW w:w="1886"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选题和资料收集，分析和计划，开题报告，撰写初稿，修改定稿，答辩。</w:t>
            </w:r>
          </w:p>
        </w:tc>
        <w:tc>
          <w:tcPr>
            <w:tcW w:w="1716"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通过导师指导制、阶段性检查与反馈、毕业答辩模拟等教学方法，确保学生高质量完成毕业设计，提升综合应用能力和创新能力。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3" w:hRule="atLeast"/>
          <w:jc w:val="center"/>
        </w:trPr>
        <w:tc>
          <w:tcPr>
            <w:tcW w:w="657" w:type="dxa"/>
            <w:vAlign w:val="center"/>
          </w:tcPr>
          <w:p>
            <w:pPr>
              <w:overflowPunct w:val="0"/>
              <w:adjustRightInd w:val="0"/>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8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eastAsia="zh-CN"/>
              </w:rPr>
              <w:t>岗位实习</w:t>
            </w:r>
          </w:p>
        </w:tc>
        <w:tc>
          <w:tcPr>
            <w:tcW w:w="484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巩固网络营销与直播电商岗位核心知识（如直播运营、新媒体推广、客户服务等），明晰岗位工作流程与行业标准，掌握岗位实操中理论知识的应用场景与逻辑。</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提升实际操作能力，熟练完成岗位任务（如直播策划、营销推广、客户问题处理）；增强专业应用与岗位适应能力，能结合岗位需求解决实际问题，为获取用人单位正式聘用奠定基础。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强化知识与实践的融合素养，形成符合岗位要求的职业行为习惯，提升职业竞争力，适配网络营销与直播电商行业岗位发展需求。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培养吃苦耐劳、团结合作的精神品质，树立正确处事原则与职业价值观，坚守行业伦理底线，助力学生以正向职业素养融入职场，促进行业人才生态建设。</w:t>
            </w:r>
          </w:p>
        </w:tc>
        <w:tc>
          <w:tcPr>
            <w:tcW w:w="1886"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直播销售员岗位实习、直播运营主管岗位实习、新媒体运营主管岗位实习、内容策划主管岗位实习。</w:t>
            </w:r>
          </w:p>
        </w:tc>
        <w:tc>
          <w:tcPr>
            <w:tcW w:w="1716"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通过校企合作模式、实习导师制、实习日志与报告撰写等教学方法，让学生在真实的工作环境中锻炼技能，积累实践经验。</w:t>
            </w:r>
          </w:p>
        </w:tc>
      </w:tr>
      <w:bookmarkEnd w:id="34"/>
    </w:tbl>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35" w:name="_Toc4778"/>
      <w:r>
        <w:rPr>
          <w:rFonts w:hint="eastAsia" w:ascii="楷体" w:hAnsi="楷体" w:eastAsia="楷体" w:cs="楷体"/>
          <w:color w:val="auto"/>
          <w:sz w:val="32"/>
          <w:szCs w:val="32"/>
          <w:lang w:val="en-US" w:eastAsia="zh-CN"/>
        </w:rPr>
        <w:t>（三）第二课堂素质教育课</w:t>
      </w:r>
      <w:bookmarkEnd w:id="35"/>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第二课堂素质教育课包括思想成长、实践实习、创新创业、志愿公益、文体活动、工作履历、专业技能特长等其他各类课程及活动。</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0" w:firstLineChars="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表7第二课堂素质教育课安排表</w:t>
      </w:r>
    </w:p>
    <w:tbl>
      <w:tblPr>
        <w:tblStyle w:val="17"/>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4"/>
        <w:gridCol w:w="1245"/>
        <w:gridCol w:w="1065"/>
        <w:gridCol w:w="1215"/>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模块</w:t>
            </w:r>
          </w:p>
        </w:tc>
        <w:tc>
          <w:tcPr>
            <w:tcW w:w="3573"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884"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1245"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65"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215"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996"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1.思想政治教育</w:t>
            </w:r>
            <w:r>
              <w:rPr>
                <w:rFonts w:hint="eastAsia" w:ascii="仿宋_GB2312" w:hAnsi="仿宋_GB2312" w:eastAsia="仿宋_GB2312" w:cs="仿宋_GB2312"/>
                <w:b w:val="0"/>
                <w:bCs w:val="0"/>
                <w:color w:val="000000"/>
                <w:sz w:val="24"/>
                <w:szCs w:val="24"/>
              </w:rPr>
              <w:t>主题</w:t>
            </w:r>
            <w:r>
              <w:rPr>
                <w:rFonts w:hint="eastAsia" w:ascii="仿宋_GB2312" w:hAnsi="仿宋_GB2312" w:eastAsia="仿宋_GB2312" w:cs="仿宋_GB2312"/>
                <w:b w:val="0"/>
                <w:bCs w:val="0"/>
                <w:color w:val="000000"/>
                <w:sz w:val="24"/>
                <w:szCs w:val="24"/>
                <w:lang w:val="en-US" w:eastAsia="zh-CN"/>
              </w:rPr>
              <w:t>讲</w:t>
            </w:r>
            <w:r>
              <w:rPr>
                <w:rFonts w:hint="eastAsia" w:ascii="仿宋_GB2312" w:hAnsi="仿宋_GB2312" w:eastAsia="仿宋_GB2312" w:cs="仿宋_GB2312"/>
                <w:b w:val="0"/>
                <w:bCs w:val="0"/>
                <w:color w:val="000000"/>
                <w:sz w:val="24"/>
                <w:szCs w:val="24"/>
              </w:rPr>
              <w:t>座、形势与政策报告会</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2.</w:t>
            </w:r>
            <w:r>
              <w:rPr>
                <w:rFonts w:hint="eastAsia" w:ascii="仿宋_GB2312" w:hAnsi="仿宋_GB2312" w:eastAsia="仿宋_GB2312" w:cs="仿宋_GB2312"/>
                <w:b w:val="0"/>
                <w:bCs w:val="0"/>
                <w:color w:val="000000"/>
                <w:sz w:val="24"/>
                <w:szCs w:val="24"/>
              </w:rPr>
              <w:t>爱国主义教育活动</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3.</w:t>
            </w:r>
            <w:r>
              <w:rPr>
                <w:rFonts w:hint="eastAsia" w:ascii="仿宋_GB2312" w:hAnsi="仿宋_GB2312" w:eastAsia="仿宋_GB2312" w:cs="仿宋_GB2312"/>
                <w:b w:val="0"/>
                <w:bCs w:val="0"/>
                <w:color w:val="000000"/>
                <w:sz w:val="24"/>
                <w:szCs w:val="24"/>
              </w:rPr>
              <w:t>党团组织生活</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000000"/>
                <w:sz w:val="24"/>
                <w:szCs w:val="24"/>
                <w:lang w:eastAsia="zh-CN"/>
              </w:rPr>
            </w:pPr>
            <w:r>
              <w:rPr>
                <w:rFonts w:hint="eastAsia" w:ascii="仿宋_GB2312" w:hAnsi="仿宋_GB2312" w:eastAsia="仿宋_GB2312" w:cs="仿宋_GB2312"/>
                <w:b w:val="0"/>
                <w:bCs w:val="0"/>
                <w:color w:val="000000"/>
                <w:sz w:val="24"/>
                <w:szCs w:val="24"/>
                <w:lang w:val="en-US" w:eastAsia="zh-CN"/>
              </w:rPr>
              <w:t>4.</w:t>
            </w:r>
            <w:r>
              <w:rPr>
                <w:rFonts w:hint="eastAsia" w:ascii="仿宋_GB2312" w:hAnsi="仿宋_GB2312" w:eastAsia="仿宋_GB2312" w:cs="仿宋_GB2312"/>
                <w:b w:val="0"/>
                <w:bCs w:val="0"/>
                <w:color w:val="000000"/>
                <w:sz w:val="24"/>
                <w:szCs w:val="24"/>
              </w:rPr>
              <w:t>党团培训</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青年大学习</w:t>
            </w:r>
          </w:p>
        </w:tc>
        <w:tc>
          <w:tcPr>
            <w:tcW w:w="88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24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bookmarkStart w:id="36" w:name="OLE_LINK4"/>
            <w:r>
              <w:rPr>
                <w:rFonts w:hint="eastAsia" w:ascii="仿宋_GB2312" w:hAnsi="仿宋_GB2312" w:eastAsia="仿宋_GB2312" w:cs="仿宋_GB2312"/>
                <w:color w:val="auto"/>
                <w:sz w:val="24"/>
                <w:szCs w:val="24"/>
                <w:lang w:val="en-US" w:eastAsia="zh-CN"/>
              </w:rPr>
              <w:t>经济管理学院党支部、经济管理学院分团委</w:t>
            </w:r>
            <w:bookmarkEnd w:id="36"/>
            <w:r>
              <w:rPr>
                <w:rFonts w:hint="eastAsia" w:ascii="仿宋_GB2312" w:hAnsi="仿宋_GB2312" w:eastAsia="仿宋_GB2312" w:cs="仿宋_GB2312"/>
                <w:color w:val="auto"/>
                <w:sz w:val="24"/>
                <w:szCs w:val="24"/>
                <w:lang w:val="en-US" w:eastAsia="zh-CN"/>
              </w:rPr>
              <w:t>、经济管理学院</w:t>
            </w:r>
          </w:p>
        </w:tc>
        <w:tc>
          <w:tcPr>
            <w:tcW w:w="10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21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9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rPr>
              <w:t>第二课堂成绩</w:t>
            </w:r>
            <w:r>
              <w:rPr>
                <w:rFonts w:hint="eastAsia" w:ascii="仿宋_GB2312" w:hAnsi="仿宋_GB2312" w:eastAsia="仿宋_GB2312" w:cs="仿宋_GB2312"/>
                <w:b w:val="0"/>
                <w:bCs w:val="0"/>
                <w:color w:val="000000"/>
                <w:sz w:val="24"/>
                <w:szCs w:val="24"/>
                <w:lang w:val="en-US" w:eastAsia="zh-CN"/>
              </w:rPr>
              <w:t>由</w:t>
            </w:r>
            <w:r>
              <w:rPr>
                <w:rFonts w:hint="eastAsia" w:ascii="仿宋_GB2312" w:hAnsi="仿宋_GB2312" w:eastAsia="仿宋_GB2312" w:cs="仿宋_GB2312"/>
                <w:b w:val="0"/>
                <w:bCs w:val="0"/>
                <w:color w:val="000000"/>
                <w:sz w:val="24"/>
                <w:szCs w:val="24"/>
              </w:rPr>
              <w:t>网络管理系统（到梦空间）实时记录，学生在大一、</w:t>
            </w:r>
            <w:r>
              <w:rPr>
                <w:rFonts w:hint="eastAsia" w:ascii="仿宋_GB2312" w:hAnsi="仿宋_GB2312" w:eastAsia="仿宋_GB2312" w:cs="仿宋_GB2312"/>
                <w:b w:val="0"/>
                <w:bCs w:val="0"/>
                <w:color w:val="000000"/>
                <w:sz w:val="24"/>
                <w:szCs w:val="24"/>
                <w:lang w:val="en-US" w:eastAsia="zh-CN"/>
              </w:rPr>
              <w:t>大</w:t>
            </w:r>
            <w:r>
              <w:rPr>
                <w:rFonts w:hint="eastAsia" w:ascii="仿宋_GB2312" w:hAnsi="仿宋_GB2312" w:eastAsia="仿宋_GB2312" w:cs="仿宋_GB2312"/>
                <w:b w:val="0"/>
                <w:bCs w:val="0"/>
                <w:color w:val="000000"/>
                <w:sz w:val="24"/>
                <w:szCs w:val="24"/>
              </w:rPr>
              <w:t>二期间</w:t>
            </w:r>
            <w:r>
              <w:rPr>
                <w:rFonts w:hint="eastAsia" w:ascii="仿宋_GB2312" w:hAnsi="仿宋_GB2312" w:eastAsia="仿宋_GB2312" w:cs="仿宋_GB2312"/>
                <w:b w:val="0"/>
                <w:bCs w:val="0"/>
                <w:color w:val="000000"/>
                <w:sz w:val="24"/>
                <w:szCs w:val="24"/>
                <w:lang w:val="en-US" w:eastAsia="zh-CN"/>
              </w:rPr>
              <w:t>积分达60分及以上，可获4</w:t>
            </w:r>
            <w:r>
              <w:rPr>
                <w:rFonts w:hint="eastAsia" w:ascii="仿宋_GB2312" w:hAnsi="仿宋_GB2312" w:eastAsia="仿宋_GB2312" w:cs="仿宋_GB2312"/>
                <w:b w:val="0"/>
                <w:bCs w:val="0"/>
                <w:color w:val="000000"/>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000000"/>
                <w:sz w:val="24"/>
                <w:szCs w:val="24"/>
                <w:lang w:eastAsia="zh-CN"/>
              </w:rPr>
            </w:pPr>
            <w:r>
              <w:rPr>
                <w:rFonts w:hint="eastAsia" w:ascii="仿宋_GB2312" w:hAnsi="仿宋_GB2312" w:eastAsia="仿宋_GB2312" w:cs="仿宋_GB2312"/>
                <w:b w:val="0"/>
                <w:bCs w:val="0"/>
                <w:color w:val="000000"/>
                <w:sz w:val="24"/>
                <w:szCs w:val="24"/>
                <w:lang w:val="en-US" w:eastAsia="zh-CN"/>
              </w:rPr>
              <w:t>1.</w:t>
            </w:r>
            <w:r>
              <w:rPr>
                <w:rFonts w:hint="eastAsia" w:ascii="仿宋_GB2312" w:hAnsi="仿宋_GB2312" w:eastAsia="仿宋_GB2312" w:cs="仿宋_GB2312"/>
                <w:b w:val="0"/>
                <w:bCs w:val="0"/>
                <w:color w:val="000000"/>
                <w:sz w:val="24"/>
                <w:szCs w:val="24"/>
              </w:rPr>
              <w:t>暑期“三下乡”社会实践活动</w:t>
            </w:r>
            <w:r>
              <w:rPr>
                <w:rFonts w:hint="eastAsia" w:ascii="仿宋_GB2312" w:hAnsi="仿宋_GB2312" w:eastAsia="仿宋_GB2312" w:cs="仿宋_GB2312"/>
                <w:b w:val="0"/>
                <w:bCs w:val="0"/>
                <w:color w:val="000000"/>
                <w:sz w:val="24"/>
                <w:szCs w:val="24"/>
                <w:lang w:val="en-US" w:eastAsia="zh-CN"/>
              </w:rPr>
              <w:t>2.</w:t>
            </w:r>
            <w:r>
              <w:rPr>
                <w:rFonts w:hint="eastAsia" w:ascii="仿宋_GB2312" w:hAnsi="仿宋_GB2312" w:eastAsia="仿宋_GB2312" w:cs="仿宋_GB2312"/>
                <w:b w:val="0"/>
                <w:bCs w:val="0"/>
                <w:color w:val="000000"/>
                <w:sz w:val="24"/>
                <w:szCs w:val="24"/>
              </w:rPr>
              <w:t>寒暑假“返家乡”实践活动</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000000"/>
                <w:sz w:val="24"/>
                <w:szCs w:val="24"/>
                <w:lang w:eastAsia="zh-CN"/>
              </w:rPr>
            </w:pPr>
            <w:r>
              <w:rPr>
                <w:rFonts w:hint="eastAsia" w:ascii="仿宋_GB2312" w:hAnsi="仿宋_GB2312" w:eastAsia="仿宋_GB2312" w:cs="仿宋_GB2312"/>
                <w:b w:val="0"/>
                <w:bCs w:val="0"/>
                <w:color w:val="000000"/>
                <w:sz w:val="24"/>
                <w:szCs w:val="24"/>
                <w:lang w:val="en-US" w:eastAsia="zh-CN"/>
              </w:rPr>
              <w:t>3.</w:t>
            </w:r>
            <w:r>
              <w:rPr>
                <w:rFonts w:hint="eastAsia" w:ascii="仿宋_GB2312" w:hAnsi="仿宋_GB2312" w:eastAsia="仿宋_GB2312" w:cs="仿宋_GB2312"/>
                <w:b w:val="0"/>
                <w:bCs w:val="0"/>
                <w:color w:val="000000"/>
                <w:sz w:val="24"/>
                <w:szCs w:val="24"/>
              </w:rPr>
              <w:t>企业见习实践</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000000"/>
                <w:sz w:val="24"/>
                <w:szCs w:val="24"/>
                <w:lang w:eastAsia="zh-CN"/>
              </w:rPr>
            </w:pPr>
            <w:r>
              <w:rPr>
                <w:rFonts w:hint="eastAsia" w:ascii="仿宋_GB2312" w:hAnsi="仿宋_GB2312" w:eastAsia="仿宋_GB2312" w:cs="仿宋_GB2312"/>
                <w:b w:val="0"/>
                <w:bCs w:val="0"/>
                <w:color w:val="000000"/>
                <w:sz w:val="24"/>
                <w:szCs w:val="24"/>
                <w:lang w:val="en-US" w:eastAsia="zh-CN"/>
              </w:rPr>
              <w:t>4.</w:t>
            </w:r>
            <w:r>
              <w:rPr>
                <w:rFonts w:hint="eastAsia" w:ascii="仿宋_GB2312" w:hAnsi="仿宋_GB2312" w:eastAsia="仿宋_GB2312" w:cs="仿宋_GB2312"/>
                <w:b w:val="0"/>
                <w:bCs w:val="0"/>
                <w:color w:val="000000"/>
                <w:sz w:val="24"/>
                <w:szCs w:val="24"/>
              </w:rPr>
              <w:t>上级、校院交予专项工作项目实践活动含兼挂职锻炼</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新闻宣传报道被学校、学院采用或转发</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default"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b w:val="0"/>
                <w:bCs w:val="0"/>
                <w:color w:val="000000"/>
                <w:sz w:val="24"/>
                <w:szCs w:val="24"/>
                <w:lang w:val="en-US" w:eastAsia="zh-CN"/>
              </w:rPr>
              <w:t>7</w:t>
            </w:r>
            <w:r>
              <w:rPr>
                <w:rFonts w:hint="eastAsia" w:ascii="仿宋_GB2312" w:hAnsi="仿宋_GB2312" w:eastAsia="仿宋_GB2312" w:cs="仿宋_GB2312"/>
                <w:b w:val="0"/>
                <w:bCs w:val="0"/>
                <w:color w:val="000000"/>
                <w:sz w:val="24"/>
                <w:szCs w:val="24"/>
              </w:rPr>
              <w:t>.劳动精神、劳模精神、工匠精神专题教育</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8.</w:t>
            </w:r>
            <w:r>
              <w:rPr>
                <w:rFonts w:hint="eastAsia" w:ascii="仿宋_GB2312" w:hAnsi="仿宋_GB2312" w:eastAsia="仿宋_GB2312" w:cs="仿宋_GB2312"/>
                <w:b w:val="0"/>
                <w:bCs w:val="0"/>
                <w:color w:val="000000"/>
                <w:sz w:val="24"/>
                <w:szCs w:val="24"/>
              </w:rPr>
              <w:t>实践活动的相关荣誉</w:t>
            </w:r>
          </w:p>
        </w:tc>
        <w:tc>
          <w:tcPr>
            <w:tcW w:w="88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24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校团委、经济管理学院</w:t>
            </w:r>
          </w:p>
        </w:tc>
        <w:tc>
          <w:tcPr>
            <w:tcW w:w="10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1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9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73"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发表文章、出版专著</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发明专利</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创新创业项目竞赛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创新创业项目培训</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创新创业课程、讲座</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88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24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活动组织单位</w:t>
            </w:r>
          </w:p>
        </w:tc>
        <w:tc>
          <w:tcPr>
            <w:tcW w:w="10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1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9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5"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1.校级、学院、社团、班级等学生组织开展的志愿服务活动</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2.无偿献血活动</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3.捐献造血干细胞</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公益劳动</w:t>
            </w:r>
          </w:p>
        </w:tc>
        <w:tc>
          <w:tcPr>
            <w:tcW w:w="88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24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招生就业处、经济管理学院</w:t>
            </w:r>
          </w:p>
        </w:tc>
        <w:tc>
          <w:tcPr>
            <w:tcW w:w="10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1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9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b w:val="0"/>
                <w:bCs w:val="0"/>
                <w:color w:val="000000"/>
                <w:sz w:val="24"/>
                <w:szCs w:val="24"/>
              </w:rPr>
              <w:t>文体活动</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1.文艺竞赛</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2.体育竞赛</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3.文艺演出</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4.体育活动</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5.文体讲座</w:t>
            </w:r>
          </w:p>
        </w:tc>
        <w:tc>
          <w:tcPr>
            <w:tcW w:w="88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24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校团委、经济管理学院</w:t>
            </w:r>
          </w:p>
        </w:tc>
        <w:tc>
          <w:tcPr>
            <w:tcW w:w="10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1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9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仿宋_GB2312" w:hAnsi="仿宋_GB2312" w:eastAsia="仿宋_GB2312" w:cs="仿宋_GB2312"/>
                <w:b w:val="0"/>
                <w:bCs w:val="0"/>
                <w:color w:val="000000"/>
                <w:sz w:val="24"/>
                <w:szCs w:val="24"/>
                <w:lang w:eastAsia="zh-CN"/>
              </w:rPr>
            </w:pPr>
            <w:r>
              <w:rPr>
                <w:rFonts w:hint="eastAsia" w:ascii="仿宋_GB2312" w:hAnsi="仿宋_GB2312" w:eastAsia="仿宋_GB2312" w:cs="仿宋_GB2312"/>
                <w:b w:val="0"/>
                <w:bCs w:val="0"/>
                <w:color w:val="000000"/>
                <w:sz w:val="24"/>
                <w:szCs w:val="24"/>
              </w:rPr>
              <w:t>工作履历</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4.社会任职</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5.退伍军人</w:t>
            </w:r>
          </w:p>
        </w:tc>
        <w:tc>
          <w:tcPr>
            <w:tcW w:w="88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24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校团委、经济管理学院</w:t>
            </w:r>
          </w:p>
        </w:tc>
        <w:tc>
          <w:tcPr>
            <w:tcW w:w="10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1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9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技能特长</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1.职业资格证书</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2.职业技能证书</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4.从业人员上岗资格证</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88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24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学生工作处、校团委、经济管理学院</w:t>
            </w:r>
          </w:p>
        </w:tc>
        <w:tc>
          <w:tcPr>
            <w:tcW w:w="10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1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9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1.其他证书（社会职业类证书）</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2.校内各单位其他类型活动</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3.升旗仪式工作人员</w:t>
            </w:r>
          </w:p>
        </w:tc>
        <w:tc>
          <w:tcPr>
            <w:tcW w:w="88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24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继续教育学院、经济管理学院</w:t>
            </w:r>
          </w:p>
        </w:tc>
        <w:tc>
          <w:tcPr>
            <w:tcW w:w="10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1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9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37" w:name="_Toc28677"/>
      <w:bookmarkStart w:id="38" w:name="_Toc27936"/>
      <w:r>
        <w:rPr>
          <w:rFonts w:hint="eastAsia" w:ascii="黑体" w:hAnsi="黑体" w:eastAsia="黑体" w:cs="黑体"/>
          <w:b w:val="0"/>
          <w:bCs w:val="0"/>
          <w:color w:val="auto"/>
          <w:sz w:val="32"/>
          <w:szCs w:val="32"/>
          <w:highlight w:val="none"/>
          <w:lang w:val="en-US" w:eastAsia="zh-CN"/>
        </w:rPr>
        <w:t>八、教学进程总体安排</w:t>
      </w:r>
      <w:bookmarkEnd w:id="37"/>
      <w:bookmarkEnd w:id="38"/>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39" w:name="_Toc8190"/>
      <w:r>
        <w:rPr>
          <w:rFonts w:hint="eastAsia" w:ascii="楷体" w:hAnsi="楷体" w:eastAsia="楷体" w:cs="楷体"/>
          <w:color w:val="auto"/>
          <w:sz w:val="32"/>
          <w:szCs w:val="32"/>
          <w:lang w:val="en-US" w:eastAsia="zh-CN"/>
        </w:rPr>
        <w:t>（一）教学环节分配表</w:t>
      </w:r>
      <w:bookmarkEnd w:id="39"/>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教学周数分配表每学期总周数合计应为20周，各学期教学周数应与教学计划进程表一致，军训、入学教育、考试环节、实习开展、毕业设计、社会实践及毕业教育等，学期合计周数为20周。</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0" w:firstLineChars="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表8 教育活动时间分配表（单位：周）</w:t>
      </w:r>
    </w:p>
    <w:tbl>
      <w:tblPr>
        <w:tblStyle w:val="17"/>
        <w:tblW w:w="9506"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2733" w:type="dxa"/>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仿宋_GB2312" w:hAnsi="仿宋_GB2312" w:eastAsia="仿宋_GB2312" w:cs="仿宋_GB2312"/>
                <w:color w:val="auto"/>
                <w:sz w:val="24"/>
                <w:szCs w:val="24"/>
              </w:rPr>
            </w:pPr>
          </w:p>
          <w:p>
            <w:pPr>
              <w:spacing w:after="0" w:line="240" w:lineRule="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pPr>
              <w:spacing w:after="0" w:line="240" w:lineRule="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pPr>
              <w:spacing w:after="0" w:line="240" w:lineRule="auto"/>
              <w:rPr>
                <w:rFonts w:hint="eastAsia" w:ascii="仿宋_GB2312" w:hAnsi="仿宋_GB2312" w:eastAsia="仿宋_GB2312" w:cs="仿宋_GB2312"/>
                <w:color w:val="auto"/>
                <w:sz w:val="24"/>
                <w:szCs w:val="24"/>
                <w:lang w:val="en-US" w:eastAsia="zh-CN"/>
              </w:rPr>
            </w:pPr>
          </w:p>
          <w:p>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pPr>
              <w:spacing w:after="0" w:line="240" w:lineRule="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2338" w:type="dxa"/>
            <w:gridSpan w:val="2"/>
            <w:vAlign w:val="center"/>
          </w:tcPr>
          <w:p>
            <w:pPr>
              <w:spacing w:after="0" w:line="240" w:lineRule="auto"/>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2216" w:type="dxa"/>
            <w:gridSpan w:val="2"/>
            <w:vAlign w:val="center"/>
          </w:tcPr>
          <w:p>
            <w:pPr>
              <w:spacing w:after="0" w:line="240" w:lineRule="auto"/>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2219" w:type="dxa"/>
            <w:gridSpan w:val="2"/>
            <w:vAlign w:val="center"/>
          </w:tcPr>
          <w:p>
            <w:pPr>
              <w:spacing w:after="0" w:line="240" w:lineRule="auto"/>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733" w:type="dxa"/>
            <w:vMerge w:val="continue"/>
          </w:tcPr>
          <w:p>
            <w:pPr>
              <w:spacing w:after="0" w:line="240" w:lineRule="auto"/>
              <w:rPr>
                <w:rFonts w:hint="eastAsia" w:ascii="仿宋_GB2312" w:hAnsi="仿宋_GB2312" w:eastAsia="仿宋_GB2312" w:cs="仿宋_GB2312"/>
                <w:sz w:val="24"/>
                <w:szCs w:val="24"/>
              </w:rPr>
            </w:pPr>
          </w:p>
        </w:tc>
        <w:tc>
          <w:tcPr>
            <w:tcW w:w="1230" w:type="dxa"/>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1111" w:type="dxa"/>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2733" w:type="dxa"/>
            <w:vAlign w:val="center"/>
          </w:tcPr>
          <w:p>
            <w:pPr>
              <w:spacing w:after="0"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课堂教学</w:t>
            </w:r>
          </w:p>
        </w:tc>
        <w:tc>
          <w:tcPr>
            <w:tcW w:w="1230" w:type="dxa"/>
            <w:vAlign w:val="center"/>
          </w:tcPr>
          <w:p>
            <w:pPr>
              <w:spacing w:after="0"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1-18</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1111" w:type="dxa"/>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733" w:type="dxa"/>
            <w:vAlign w:val="center"/>
          </w:tcPr>
          <w:p>
            <w:pPr>
              <w:spacing w:after="0"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考试</w:t>
            </w:r>
          </w:p>
        </w:tc>
        <w:tc>
          <w:tcPr>
            <w:tcW w:w="1230" w:type="dxa"/>
            <w:vAlign w:val="center"/>
          </w:tcPr>
          <w:p>
            <w:pPr>
              <w:spacing w:after="0"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19-20</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1111" w:type="dxa"/>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733" w:type="dxa"/>
            <w:vAlign w:val="center"/>
          </w:tcPr>
          <w:p>
            <w:pPr>
              <w:spacing w:after="0"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军训</w:t>
            </w:r>
          </w:p>
        </w:tc>
        <w:tc>
          <w:tcPr>
            <w:tcW w:w="1230" w:type="dxa"/>
            <w:vAlign w:val="center"/>
          </w:tcPr>
          <w:p>
            <w:pPr>
              <w:spacing w:after="0"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11" w:type="dxa"/>
            <w:vAlign w:val="center"/>
          </w:tcPr>
          <w:p>
            <w:pPr>
              <w:spacing w:after="0" w:line="240" w:lineRule="auto"/>
              <w:jc w:val="center"/>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733" w:type="dxa"/>
            <w:vAlign w:val="center"/>
          </w:tcPr>
          <w:p>
            <w:pPr>
              <w:spacing w:after="0" w:line="240" w:lineRule="auto"/>
              <w:jc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入学教育</w:t>
            </w:r>
          </w:p>
        </w:tc>
        <w:tc>
          <w:tcPr>
            <w:tcW w:w="1230" w:type="dxa"/>
            <w:vAlign w:val="center"/>
          </w:tcPr>
          <w:p>
            <w:pPr>
              <w:spacing w:after="0"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3-8</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11" w:type="dxa"/>
            <w:vAlign w:val="center"/>
          </w:tcPr>
          <w:p>
            <w:pPr>
              <w:spacing w:after="0" w:line="240" w:lineRule="auto"/>
              <w:jc w:val="center"/>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733" w:type="dxa"/>
            <w:vAlign w:val="center"/>
          </w:tcPr>
          <w:p>
            <w:pPr>
              <w:spacing w:after="0" w:line="240" w:lineRule="auto"/>
              <w:jc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毕业设计</w:t>
            </w:r>
          </w:p>
        </w:tc>
        <w:tc>
          <w:tcPr>
            <w:tcW w:w="1230" w:type="dxa"/>
            <w:vAlign w:val="center"/>
          </w:tcPr>
          <w:p>
            <w:pPr>
              <w:spacing w:after="0" w:line="240" w:lineRule="auto"/>
              <w:jc w:val="center"/>
              <w:rPr>
                <w:rFonts w:hint="eastAsia" w:ascii="仿宋_GB2312" w:hAnsi="仿宋_GB2312" w:eastAsia="仿宋_GB2312" w:cs="仿宋_GB2312"/>
                <w:sz w:val="24"/>
                <w:szCs w:val="24"/>
                <w:lang w:val="en-US" w:eastAsia="zh-CN"/>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1111" w:type="dxa"/>
            <w:vAlign w:val="center"/>
          </w:tcPr>
          <w:p>
            <w:pPr>
              <w:spacing w:after="0" w:line="240" w:lineRule="auto"/>
              <w:jc w:val="center"/>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733" w:type="dxa"/>
            <w:vAlign w:val="center"/>
          </w:tcPr>
          <w:p>
            <w:pPr>
              <w:spacing w:after="0"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岗位实习</w:t>
            </w:r>
          </w:p>
        </w:tc>
        <w:tc>
          <w:tcPr>
            <w:tcW w:w="1230" w:type="dxa"/>
            <w:vAlign w:val="center"/>
          </w:tcPr>
          <w:p>
            <w:pPr>
              <w:spacing w:after="0" w:line="240" w:lineRule="auto"/>
              <w:jc w:val="center"/>
              <w:rPr>
                <w:rFonts w:hint="eastAsia" w:ascii="仿宋_GB2312" w:hAnsi="仿宋_GB2312" w:eastAsia="仿宋_GB2312" w:cs="仿宋_GB2312"/>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1111" w:type="dxa"/>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733" w:type="dxa"/>
            <w:vAlign w:val="center"/>
          </w:tcPr>
          <w:p>
            <w:pPr>
              <w:spacing w:after="0" w:line="240" w:lineRule="auto"/>
              <w:jc w:val="center"/>
              <w:rPr>
                <w:rFonts w:hint="eastAsia" w:ascii="仿宋_GB2312" w:hAnsi="仿宋_GB2312" w:eastAsia="仿宋_GB2312" w:cs="仿宋_GB2312"/>
                <w:b w:val="0"/>
                <w:bCs w:val="0"/>
                <w:color w:val="000000"/>
                <w:sz w:val="24"/>
                <w:szCs w:val="24"/>
                <w:highlight w:val="green"/>
                <w:lang w:val="en-US" w:eastAsia="zh-CN"/>
              </w:rPr>
            </w:pPr>
            <w:r>
              <w:rPr>
                <w:rFonts w:hint="eastAsia" w:ascii="仿宋_GB2312" w:hAnsi="仿宋_GB2312" w:eastAsia="仿宋_GB2312" w:cs="仿宋_GB2312"/>
                <w:b w:val="0"/>
                <w:bCs w:val="0"/>
                <w:color w:val="000000"/>
                <w:sz w:val="24"/>
                <w:szCs w:val="24"/>
                <w:highlight w:val="none"/>
                <w:lang w:val="en-US" w:eastAsia="zh-CN"/>
              </w:rPr>
              <w:t>社会实践</w:t>
            </w:r>
          </w:p>
        </w:tc>
        <w:tc>
          <w:tcPr>
            <w:tcW w:w="1230" w:type="dxa"/>
            <w:vAlign w:val="center"/>
          </w:tcPr>
          <w:p>
            <w:pPr>
              <w:spacing w:after="0" w:line="240" w:lineRule="auto"/>
              <w:jc w:val="center"/>
              <w:rPr>
                <w:rFonts w:hint="eastAsia" w:ascii="仿宋_GB2312" w:hAnsi="仿宋_GB2312" w:eastAsia="仿宋_GB2312" w:cs="仿宋_GB2312"/>
                <w:sz w:val="24"/>
                <w:szCs w:val="24"/>
                <w:highlight w:val="green"/>
              </w:rPr>
            </w:pPr>
            <w:r>
              <w:rPr>
                <w:rFonts w:hint="eastAsia" w:ascii="仿宋_GB2312" w:hAnsi="仿宋_GB2312" w:eastAsia="仿宋_GB2312" w:cs="仿宋_GB2312"/>
                <w:color w:val="auto"/>
                <w:sz w:val="24"/>
                <w:szCs w:val="24"/>
                <w:lang w:val="en-US" w:eastAsia="zh-CN"/>
              </w:rPr>
              <w:t>1-20</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1111" w:type="dxa"/>
            <w:vAlign w:val="center"/>
          </w:tcPr>
          <w:p>
            <w:pPr>
              <w:spacing w:after="0" w:line="240" w:lineRule="auto"/>
              <w:jc w:val="center"/>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733" w:type="dxa"/>
            <w:vAlign w:val="center"/>
          </w:tcPr>
          <w:p>
            <w:pPr>
              <w:spacing w:after="0" w:line="240" w:lineRule="auto"/>
              <w:jc w:val="center"/>
              <w:rPr>
                <w:rFonts w:hint="eastAsia"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毕业教育</w:t>
            </w:r>
          </w:p>
        </w:tc>
        <w:tc>
          <w:tcPr>
            <w:tcW w:w="1230" w:type="dxa"/>
            <w:vAlign w:val="center"/>
          </w:tcPr>
          <w:p>
            <w:pPr>
              <w:spacing w:after="0" w:line="240" w:lineRule="auto"/>
              <w:jc w:val="center"/>
              <w:rPr>
                <w:rFonts w:hint="eastAsia" w:ascii="仿宋_GB2312" w:hAnsi="仿宋_GB2312" w:eastAsia="仿宋_GB2312" w:cs="仿宋_GB2312"/>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rPr>
            </w:pPr>
          </w:p>
        </w:tc>
        <w:tc>
          <w:tcPr>
            <w:tcW w:w="1108" w:type="dxa"/>
            <w:vAlign w:val="center"/>
          </w:tcPr>
          <w:p>
            <w:pPr>
              <w:spacing w:after="0" w:line="240" w:lineRule="auto"/>
              <w:jc w:val="center"/>
              <w:rPr>
                <w:rFonts w:hint="eastAsia" w:ascii="仿宋_GB2312" w:hAnsi="仿宋_GB2312" w:eastAsia="仿宋_GB2312" w:cs="仿宋_GB2312"/>
                <w:color w:val="auto"/>
                <w:sz w:val="24"/>
                <w:szCs w:val="24"/>
                <w:lang w:val="en-US" w:eastAsia="zh-CN"/>
              </w:rPr>
            </w:pPr>
          </w:p>
        </w:tc>
        <w:tc>
          <w:tcPr>
            <w:tcW w:w="1111" w:type="dxa"/>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733" w:type="dxa"/>
            <w:vAlign w:val="center"/>
          </w:tcPr>
          <w:p>
            <w:pPr>
              <w:spacing w:after="0"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学期教学总周数</w:t>
            </w:r>
          </w:p>
        </w:tc>
        <w:tc>
          <w:tcPr>
            <w:tcW w:w="1230" w:type="dxa"/>
            <w:vAlign w:val="center"/>
          </w:tcPr>
          <w:p>
            <w:pPr>
              <w:spacing w:after="0"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20周</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1108" w:type="dxa"/>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1111" w:type="dxa"/>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r>
    </w:tbl>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40" w:name="_Toc15849"/>
      <w:r>
        <w:rPr>
          <w:rFonts w:hint="eastAsia" w:ascii="楷体" w:hAnsi="楷体" w:eastAsia="楷体" w:cs="楷体"/>
          <w:color w:val="auto"/>
          <w:sz w:val="32"/>
          <w:szCs w:val="32"/>
          <w:lang w:val="en-US" w:eastAsia="zh-CN"/>
        </w:rPr>
        <w:t>（二）课程结构与学时、学分分配</w:t>
      </w:r>
      <w:bookmarkEnd w:id="40"/>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本专业教学总学时为2714学时。其中理论教学1226学时，占45.17%；实践教学1488学时，占54.83%，其中岗位实习时间累计一般为6个月。公共基础课954学时，占35.15%；选修课272学时，占10.02%。</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0" w:firstLineChars="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表9 课程学时、学分分配表</w:t>
      </w:r>
    </w:p>
    <w:tbl>
      <w:tblPr>
        <w:tblStyle w:val="16"/>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3"/>
        <w:gridCol w:w="1628"/>
        <w:gridCol w:w="1280"/>
        <w:gridCol w:w="718"/>
        <w:gridCol w:w="1118"/>
        <w:gridCol w:w="896"/>
        <w:gridCol w:w="759"/>
        <w:gridCol w:w="1261"/>
        <w:gridCol w:w="750"/>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5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0"/>
                <w:szCs w:val="20"/>
                <w:u w:val="none"/>
                <w:lang w:val="en-US" w:eastAsia="zh-CN" w:bidi="ar"/>
              </w:rPr>
              <w:t>课程类别</w:t>
            </w:r>
          </w:p>
        </w:tc>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0"/>
                <w:szCs w:val="20"/>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000000"/>
                <w:sz w:val="24"/>
                <w:szCs w:val="24"/>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000000"/>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rPr>
                <w:rFonts w:hint="eastAsia" w:ascii="仿宋_GB2312" w:hAnsi="仿宋_GB2312" w:eastAsia="仿宋_GB2312" w:cs="仿宋_GB2312"/>
                <w:i w:val="0"/>
                <w:iCs w:val="0"/>
                <w:color w:val="000000"/>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仿宋_GB2312" w:hAnsi="仿宋_GB2312" w:eastAsia="仿宋_GB2312" w:cs="仿宋_GB2312"/>
                <w:i w:val="0"/>
                <w:iCs w:val="0"/>
                <w:color w:val="000000"/>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000000"/>
                <w:sz w:val="24"/>
                <w:szCs w:val="24"/>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000000"/>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rPr>
                <w:rFonts w:hint="eastAsia" w:ascii="仿宋_GB2312" w:hAnsi="仿宋_GB2312" w:eastAsia="仿宋_GB2312" w:cs="仿宋_GB2312"/>
                <w:i w:val="0"/>
                <w:iCs w:val="0"/>
                <w:color w:val="000000"/>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仿宋_GB2312" w:hAnsi="仿宋_GB2312" w:eastAsia="仿宋_GB2312" w:cs="仿宋_GB2312"/>
                <w:i w:val="0"/>
                <w:iCs w:val="0"/>
                <w:color w:val="000000"/>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tLeast"/>
              <w:rPr>
                <w:rFonts w:hint="eastAsia" w:ascii="仿宋_GB2312" w:hAnsi="仿宋_GB2312" w:eastAsia="仿宋_GB2312" w:cs="仿宋_GB2312"/>
                <w:i w:val="0"/>
                <w:iCs w:val="0"/>
                <w:color w:val="000000"/>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公共基础课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29.93%</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16.43%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5.44%</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35.37%</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19.38%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15.77%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专业课</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专业基础课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21.77%</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528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356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13.12%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172</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专业核心课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21.77%</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252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9.29%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324</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11.94%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4"/>
                <w:szCs w:val="24"/>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专业拓展课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5.44%</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144</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2.65%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72</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pPr>
            <w:r>
              <w:rPr>
                <w:rFonts w:hint="eastAsia" w:ascii="仿宋_GB2312" w:hAnsi="仿宋_GB2312" w:eastAsia="仿宋_GB2312" w:cs="仿宋_GB2312"/>
                <w:i w:val="0"/>
                <w:iCs w:val="0"/>
                <w:color w:val="000000"/>
                <w:sz w:val="20"/>
                <w:szCs w:val="20"/>
                <w:u w:val="none"/>
              </w:rPr>
              <w:t>实践</w:t>
            </w:r>
            <w:r>
              <w:rPr>
                <w:rFonts w:hint="eastAsia" w:ascii="仿宋_GB2312" w:hAnsi="仿宋_GB2312" w:eastAsia="仿宋_GB2312" w:cs="仿宋_GB2312"/>
                <w:i w:val="0"/>
                <w:iCs w:val="0"/>
                <w:color w:val="000000"/>
                <w:sz w:val="20"/>
                <w:szCs w:val="20"/>
                <w:u w:val="none"/>
                <w:lang w:val="en-US" w:eastAsia="zh-CN"/>
              </w:rPr>
              <w:t>性</w:t>
            </w:r>
            <w:r>
              <w:rPr>
                <w:rFonts w:hint="eastAsia" w:ascii="仿宋_GB2312" w:hAnsi="仿宋_GB2312" w:eastAsia="仿宋_GB2312" w:cs="仿宋_GB2312"/>
                <w:i w:val="0"/>
                <w:iCs w:val="0"/>
                <w:color w:val="000000"/>
                <w:sz w:val="20"/>
                <w:szCs w:val="20"/>
                <w:u w:val="none"/>
              </w:rPr>
              <w:t>教学环节</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15.65%</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0.74%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18.13%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2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pPr>
            <w:r>
              <w:rPr>
                <w:rFonts w:hint="eastAsia" w:ascii="仿宋_GB2312" w:hAnsi="仿宋_GB2312" w:eastAsia="仿宋_GB2312" w:cs="仿宋_GB2312"/>
                <w:i w:val="0"/>
                <w:color w:val="000000"/>
                <w:kern w:val="0"/>
                <w:sz w:val="20"/>
                <w:szCs w:val="20"/>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95</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64.63%</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1760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25.79%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1060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39.06%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0"/>
                <w:szCs w:val="20"/>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147</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2714</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1226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45.17%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1488</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54.83%</w:t>
            </w:r>
          </w:p>
        </w:tc>
      </w:tr>
    </w:tbl>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41" w:name="_Toc2263"/>
      <w:r>
        <w:rPr>
          <w:rFonts w:hint="eastAsia" w:ascii="楷体" w:hAnsi="楷体" w:eastAsia="楷体" w:cs="楷体"/>
          <w:color w:val="auto"/>
          <w:sz w:val="32"/>
          <w:szCs w:val="32"/>
          <w:lang w:val="en-US" w:eastAsia="zh-CN"/>
        </w:rPr>
        <w:t>（三）教学计划进程</w:t>
      </w:r>
      <w:bookmarkEnd w:id="41"/>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0" w:firstLineChars="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表10 教学计划进程安排表</w:t>
      </w:r>
    </w:p>
    <w:tbl>
      <w:tblPr>
        <w:tblStyle w:val="16"/>
        <w:tblW w:w="106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3"/>
        <w:gridCol w:w="382"/>
        <w:gridCol w:w="480"/>
        <w:gridCol w:w="539"/>
        <w:gridCol w:w="1233"/>
        <w:gridCol w:w="1622"/>
        <w:gridCol w:w="782"/>
        <w:gridCol w:w="817"/>
        <w:gridCol w:w="850"/>
        <w:gridCol w:w="833"/>
        <w:gridCol w:w="540"/>
        <w:gridCol w:w="343"/>
        <w:gridCol w:w="247"/>
        <w:gridCol w:w="354"/>
        <w:gridCol w:w="354"/>
        <w:gridCol w:w="1"/>
        <w:gridCol w:w="347"/>
        <w:gridCol w:w="8"/>
        <w:gridCol w:w="625"/>
        <w:gridCol w:w="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312" w:hRule="atLeast"/>
          <w:jc w:val="center"/>
        </w:trPr>
        <w:tc>
          <w:tcPr>
            <w:tcW w:w="118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bookmarkStart w:id="42" w:name="OLE_LINK3"/>
            <w:r>
              <w:rPr>
                <w:rFonts w:hint="eastAsia" w:ascii="仿宋_GB2312" w:hAnsi="仿宋_GB2312" w:eastAsia="仿宋_GB2312" w:cs="仿宋_GB2312"/>
                <w:i w:val="0"/>
                <w:color w:val="000000"/>
                <w:kern w:val="0"/>
                <w:sz w:val="20"/>
                <w:szCs w:val="20"/>
                <w:u w:val="none"/>
                <w:lang w:val="en-US" w:eastAsia="zh-CN" w:bidi="ar"/>
              </w:rPr>
              <w:t>课程类型</w:t>
            </w:r>
          </w:p>
        </w:tc>
        <w:tc>
          <w:tcPr>
            <w:tcW w:w="5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序号</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课程代码</w:t>
            </w:r>
          </w:p>
        </w:tc>
        <w:tc>
          <w:tcPr>
            <w:tcW w:w="16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课程名称</w:t>
            </w:r>
          </w:p>
        </w:tc>
        <w:tc>
          <w:tcPr>
            <w:tcW w:w="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学分</w:t>
            </w:r>
          </w:p>
        </w:tc>
        <w:tc>
          <w:tcPr>
            <w:tcW w:w="250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教学学时数</w:t>
            </w:r>
          </w:p>
        </w:tc>
        <w:tc>
          <w:tcPr>
            <w:tcW w:w="2186"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开课学期和周学时</w:t>
            </w:r>
          </w:p>
        </w:tc>
        <w:tc>
          <w:tcPr>
            <w:tcW w:w="6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考核类型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8" w:type="dxa"/>
          <w:trHeight w:val="361"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16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250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2186"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6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6"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16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合计</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理论学时</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实践学时</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一</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二</w:t>
            </w: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三</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四</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五</w:t>
            </w: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六</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jc w:val="center"/>
        </w:trPr>
        <w:tc>
          <w:tcPr>
            <w:tcW w:w="7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公共基础课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必修</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1B410101101</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思想道德与法治</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48</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36</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1A410101102</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形势与政策</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218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1到4学期开课，每学期8学时。</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1A410101103</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国家安全教育</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16</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1A410101104</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军事理论</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36</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8" w:type="dxa"/>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1C410101105</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军训</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112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112</w:t>
            </w:r>
          </w:p>
        </w:tc>
        <w:tc>
          <w:tcPr>
            <w:tcW w:w="218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第1学期，实际训练时间不少于14天</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1B410101106</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计算机基础</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64</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1B410101107</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高等数学</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64</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64</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1B410101108</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大学英语</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8</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128</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104</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1C410101109</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大学体育</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8</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144</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144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1B410101110</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大学生职业发展与就业指导</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38</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26</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11</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1B410101111</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大学生心理健康教育</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12</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1C410101112</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劳动教育</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16</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13</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1B410101113</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毛泽东思想和中国特色社会主义理论体系概论</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28</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14</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1B410101114</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创新创业教育</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12</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15</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1B410101115</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习近平新时代中国特色社会主义思想概论</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48</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40</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8</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选修</w:t>
            </w:r>
          </w:p>
        </w:tc>
        <w:tc>
          <w:tcPr>
            <w:tcW w:w="5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1B410101201</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中国民俗剪纸技法</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8</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24</w:t>
            </w:r>
          </w:p>
        </w:tc>
        <w:tc>
          <w:tcPr>
            <w:tcW w:w="2186" w:type="dxa"/>
            <w:gridSpan w:val="7"/>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公共选修课最低学分要求为8学分，其中要求2个学分为思政选修课学分。</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 w:type="dxa"/>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1B410101202</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影视与鉴赏</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8</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24</w:t>
            </w:r>
          </w:p>
        </w:tc>
        <w:tc>
          <w:tcPr>
            <w:tcW w:w="218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 w:type="dxa"/>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1A410101203</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中华优秀传统文化</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218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 w:type="dxa"/>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1A410101204</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中国共产党简史</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218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1A410101205</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改革开放简史</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218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 w:type="dxa"/>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1A410101206</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中华人民共和国简史</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218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 w:type="dxa"/>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1A410101207</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社会主义发展简史</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218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 w:type="dxa"/>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1A410101208</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中华民族共同体概论</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218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 w:type="dxa"/>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1A410101210</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语文</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218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1A410101214</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商业文化</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2186" w:type="dxa"/>
            <w:gridSpan w:val="7"/>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公共必修课程学分、学时小计</w:t>
            </w:r>
          </w:p>
        </w:tc>
        <w:tc>
          <w:tcPr>
            <w:tcW w:w="78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44</w:t>
            </w:r>
          </w:p>
        </w:tc>
        <w:tc>
          <w:tcPr>
            <w:tcW w:w="81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826</w:t>
            </w:r>
          </w:p>
        </w:tc>
        <w:tc>
          <w:tcPr>
            <w:tcW w:w="8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446</w:t>
            </w:r>
          </w:p>
        </w:tc>
        <w:tc>
          <w:tcPr>
            <w:tcW w:w="83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380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公共必修课程学分、学时占比</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29.93%</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30.43%</w:t>
            </w:r>
          </w:p>
        </w:tc>
        <w:tc>
          <w:tcPr>
            <w:tcW w:w="8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16.43%</w:t>
            </w:r>
          </w:p>
        </w:tc>
        <w:tc>
          <w:tcPr>
            <w:tcW w:w="8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14.00%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公共选修课程学分、学时小计</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8</w:t>
            </w:r>
          </w:p>
        </w:tc>
        <w:tc>
          <w:tcPr>
            <w:tcW w:w="81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128</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80</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48</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公共选修课程学分、学时占比</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5.44%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4.72%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2.95%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1.77%</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23"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专业课</w:t>
            </w:r>
          </w:p>
        </w:tc>
        <w:tc>
          <w:tcPr>
            <w:tcW w:w="382"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专业基础课</w:t>
            </w:r>
          </w:p>
        </w:tc>
        <w:tc>
          <w:tcPr>
            <w:tcW w:w="48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必修</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5A530701304</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零售基础</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64</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64</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5A530701301</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财税基础</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5A530701302</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电子商务法律法规</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64</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64</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5B530704304</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商品拍摄与素材编辑</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64</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5A530701305</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电子商务基础</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64</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64</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5B530701306</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市场营销</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72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40</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5B530704307</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选品与采购</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64</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5B530704308</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商务数据分析与应用</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72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24</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48</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8"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9</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5B530302309</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习近平经济思想概论</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28</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w:t>
            </w: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专业核心课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必修</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5B530704401</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直播销售</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72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24</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48</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1"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5B530704402</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市场策划</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72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36</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36</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5B530704403</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内容策划与编辑</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72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24</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48</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1"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5B530704404</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网络推广</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72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36</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36</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5B530704405</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营销渠道运维</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72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61"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5B530704406</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直播运营</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72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24</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48</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5B530704407</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新媒体运营</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72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5B530704408</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客户服务与管理</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72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专业拓展课</w:t>
            </w:r>
          </w:p>
        </w:tc>
        <w:tc>
          <w:tcPr>
            <w:tcW w:w="48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选修</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3B510205501</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人工智能导论</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2194" w:type="dxa"/>
            <w:gridSpan w:val="8"/>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专业拓展课最低学分要求为8学分。</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5B530701514</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智慧商业</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2194" w:type="dxa"/>
            <w:gridSpan w:val="8"/>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5B530701508</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项目管理</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2194" w:type="dxa"/>
            <w:gridSpan w:val="8"/>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5B530704504</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零售门店O2O运营</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2194" w:type="dxa"/>
            <w:gridSpan w:val="8"/>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5B530704505</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数据化运营</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3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2194" w:type="dxa"/>
            <w:gridSpan w:val="8"/>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5B530704506</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社群运营</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3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2194" w:type="dxa"/>
            <w:gridSpan w:val="8"/>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5B530704507</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数据可视化</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3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2194" w:type="dxa"/>
            <w:gridSpan w:val="8"/>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5B530701503</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消费者行为分析</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3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2194" w:type="dxa"/>
            <w:gridSpan w:val="8"/>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5B530605503</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短视频策划与制作</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3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2194" w:type="dxa"/>
            <w:gridSpan w:val="8"/>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5B530704510</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主播素养</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3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2194" w:type="dxa"/>
            <w:gridSpan w:val="8"/>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11</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5B530704511</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思维训练</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3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2194" w:type="dxa"/>
            <w:gridSpan w:val="8"/>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12</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5B530701512</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艺术鉴赏</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3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2194" w:type="dxa"/>
            <w:gridSpan w:val="8"/>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13</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5B530704513</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商务礼仪与沟通</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3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2194" w:type="dxa"/>
            <w:gridSpan w:val="8"/>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14</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5B530302510</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管理学</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3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2194" w:type="dxa"/>
            <w:gridSpan w:val="8"/>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15</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5B530701501</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经济学基础</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3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2194" w:type="dxa"/>
            <w:gridSpan w:val="8"/>
            <w:vMerge w:val="continue"/>
            <w:tcBorders>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4"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实践性教学环节</w:t>
            </w:r>
          </w:p>
        </w:tc>
        <w:tc>
          <w:tcPr>
            <w:tcW w:w="48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必修</w:t>
            </w:r>
          </w:p>
        </w:tc>
        <w:tc>
          <w:tcPr>
            <w:tcW w:w="539"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w:t>
            </w:r>
          </w:p>
        </w:tc>
        <w:tc>
          <w:tcPr>
            <w:tcW w:w="123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1B410101601</w:t>
            </w:r>
          </w:p>
        </w:tc>
        <w:tc>
          <w:tcPr>
            <w:tcW w:w="162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毕业设计</w:t>
            </w:r>
          </w:p>
        </w:tc>
        <w:tc>
          <w:tcPr>
            <w:tcW w:w="78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5</w:t>
            </w:r>
          </w:p>
        </w:tc>
        <w:tc>
          <w:tcPr>
            <w:tcW w:w="81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80</w:t>
            </w:r>
          </w:p>
        </w:tc>
        <w:tc>
          <w:tcPr>
            <w:tcW w:w="85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20</w:t>
            </w:r>
          </w:p>
        </w:tc>
        <w:tc>
          <w:tcPr>
            <w:tcW w:w="833" w:type="dxa"/>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60</w:t>
            </w:r>
          </w:p>
        </w:tc>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20</w:t>
            </w:r>
          </w:p>
        </w:tc>
        <w:tc>
          <w:tcPr>
            <w:tcW w:w="35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382"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11"/>
                <w:kern w:val="0"/>
                <w:sz w:val="20"/>
                <w:szCs w:val="20"/>
                <w:u w:val="none"/>
                <w:lang w:val="en-US" w:eastAsia="zh-CN" w:bidi="ar"/>
                <w14:textFill>
                  <w14:solidFill>
                    <w14:schemeClr w14:val="tx1"/>
                  </w14:solidFill>
                </w14:textFill>
              </w:rPr>
              <w:t>1C410101602</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岗位实习</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0</w:t>
            </w:r>
          </w:p>
        </w:tc>
        <w:tc>
          <w:tcPr>
            <w:tcW w:w="83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432</w:t>
            </w:r>
          </w:p>
        </w:tc>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18</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highlight w:val="none"/>
                <w:u w:val="none"/>
                <w:lang w:val="en-US" w:eastAsia="zh-CN" w:bidi="ar"/>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4579"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专业必修课程学分、学时小计</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87</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1616</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628</w:t>
            </w:r>
          </w:p>
        </w:tc>
        <w:tc>
          <w:tcPr>
            <w:tcW w:w="83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988</w:t>
            </w:r>
          </w:p>
        </w:tc>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45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专业必修课程学分、学时占比</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spacing w:val="-20"/>
                <w:kern w:val="0"/>
                <w:sz w:val="20"/>
                <w:szCs w:val="20"/>
                <w:u w:val="none"/>
                <w:lang w:val="en-US" w:eastAsia="zh-CN" w:bidi="ar"/>
                <w14:textFill>
                  <w14:solidFill>
                    <w14:schemeClr w14:val="tx1"/>
                  </w14:solidFill>
                </w14:textFill>
              </w:rPr>
              <w:t>59.18%</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59.54%</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23.14%</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36.40%</w:t>
            </w:r>
          </w:p>
        </w:tc>
        <w:tc>
          <w:tcPr>
            <w:tcW w:w="54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45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专业拓展课程学分、学时小计</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8</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144</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72</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72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45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专业拓展课程学分、学时占比</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5.44%</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5.31%</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2.65%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2.65%</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45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总学分、学时合计</w:t>
            </w:r>
          </w:p>
        </w:tc>
        <w:tc>
          <w:tcPr>
            <w:tcW w:w="78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147</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2714</w:t>
            </w:r>
          </w:p>
        </w:tc>
        <w:tc>
          <w:tcPr>
            <w:tcW w:w="8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1226</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t>1488</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2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000000" w:themeColor="text1"/>
                <w:kern w:val="0"/>
                <w:sz w:val="20"/>
                <w:szCs w:val="20"/>
                <w:u w:val="none"/>
                <w:lang w:val="en-US" w:eastAsia="zh-CN" w:bidi="ar"/>
                <w14:textFill>
                  <w14:solidFill>
                    <w14:schemeClr w14:val="tx1"/>
                  </w14:solidFill>
                </w14:textFill>
              </w:rPr>
            </w:pPr>
          </w:p>
        </w:tc>
      </w:tr>
      <w:bookmarkEnd w:id="42"/>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default" w:ascii="黑体" w:hAnsi="黑体" w:eastAsia="黑体" w:cs="黑体"/>
          <w:b w:val="0"/>
          <w:bCs w:val="0"/>
          <w:color w:val="auto"/>
          <w:sz w:val="32"/>
          <w:szCs w:val="32"/>
          <w:highlight w:val="none"/>
          <w:lang w:val="en-US" w:eastAsia="zh-CN"/>
        </w:rPr>
      </w:pPr>
      <w:bookmarkStart w:id="43" w:name="_Toc14726"/>
      <w:bookmarkStart w:id="44" w:name="_Toc28528"/>
      <w:r>
        <w:rPr>
          <w:rFonts w:hint="eastAsia" w:ascii="黑体" w:hAnsi="黑体" w:eastAsia="黑体" w:cs="黑体"/>
          <w:b w:val="0"/>
          <w:bCs w:val="0"/>
          <w:color w:val="auto"/>
          <w:sz w:val="32"/>
          <w:szCs w:val="32"/>
          <w:highlight w:val="none"/>
          <w:lang w:val="en-US" w:eastAsia="zh-CN"/>
        </w:rPr>
        <w:t>九、师资队伍</w:t>
      </w:r>
      <w:bookmarkEnd w:id="43"/>
      <w:bookmarkEnd w:id="44"/>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按照“四有好老师”“四个相统一”“四个引路人”的要求建设专业教师队伍，将师德师风作为教师队伍建设的第一标准。</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default" w:ascii="楷体" w:hAnsi="楷体" w:eastAsia="楷体" w:cs="楷体"/>
          <w:color w:val="auto"/>
          <w:sz w:val="32"/>
          <w:szCs w:val="32"/>
          <w:lang w:val="en-US" w:eastAsia="zh-CN"/>
        </w:rPr>
      </w:pPr>
      <w:bookmarkStart w:id="45" w:name="_Toc1320"/>
      <w:r>
        <w:rPr>
          <w:rFonts w:hint="eastAsia" w:ascii="楷体" w:hAnsi="楷体" w:eastAsia="楷体" w:cs="楷体"/>
          <w:color w:val="auto"/>
          <w:sz w:val="32"/>
          <w:szCs w:val="32"/>
          <w:lang w:val="en-US" w:eastAsia="zh-CN"/>
        </w:rPr>
        <w:t>（一）队伍结构</w:t>
      </w:r>
      <w:bookmarkEnd w:id="45"/>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学生数与本专业专任教师数比例不高于25∶1，“双师型”教师占专业课教师数比例一般不低于60%，高级职称专任教师的比例不低于20%，专任教师队伍要考虑职称、年龄、工作经验，形成合理的梯队结构。能够整合校内外优质人才资源，选聘企业高级技术人员担任行业导师，组建校企合作、专兼结合的教师团队，建立定期开展专业（学科）教研机制。</w:t>
      </w:r>
      <w:r>
        <w:rPr>
          <w:rFonts w:hint="eastAsia" w:ascii="仿宋_GB2312" w:hAnsi="仿宋_GB2312" w:eastAsia="仿宋_GB2312" w:cs="仿宋_GB2312"/>
          <w:color w:val="auto"/>
          <w:sz w:val="32"/>
          <w:szCs w:val="32"/>
          <w:lang w:val="en-US" w:eastAsia="zh-CN"/>
        </w:rPr>
        <w:t>本专业秉持“四个相统一”，持续完善专任教师学历与职称结构，强化实践能力以提升教学效果，通过科研教学互动，打造兼具专业素养与学术水平、践行“四有好老师”标准的师资队伍。</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46" w:name="_Toc18534"/>
      <w:r>
        <w:rPr>
          <w:rFonts w:hint="eastAsia" w:ascii="楷体" w:hAnsi="楷体" w:eastAsia="楷体" w:cs="楷体"/>
          <w:color w:val="auto"/>
          <w:sz w:val="32"/>
          <w:szCs w:val="32"/>
          <w:lang w:val="en-US" w:eastAsia="zh-CN"/>
        </w:rPr>
        <w:t>（二）专业带头人</w:t>
      </w:r>
      <w:bookmarkEnd w:id="46"/>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楷体" w:hAnsi="楷体" w:eastAsia="楷体" w:cs="楷体"/>
          <w:color w:val="auto"/>
          <w:sz w:val="32"/>
          <w:szCs w:val="32"/>
          <w:lang w:val="en-US" w:eastAsia="zh-CN"/>
        </w:rPr>
      </w:pPr>
      <w:r>
        <w:rPr>
          <w:rFonts w:hint="eastAsia" w:ascii="仿宋_GB2312" w:hAnsi="仿宋_GB2312" w:eastAsia="仿宋_GB2312" w:cs="仿宋_GB2312"/>
          <w:color w:val="auto"/>
          <w:sz w:val="32"/>
          <w:szCs w:val="32"/>
          <w:lang w:val="en-US" w:eastAsia="zh-CN"/>
        </w:rPr>
        <w:t>专业带头人原则上应具有副高及以上职称，能够较好地把握国内外网络营销与直播电商行业、专业发展，能广泛联系行业企业，了解行业企业对本专业人才的需求实际，教学设计、专业研究能力强，组织开展教科研工作能力强，在本专业改革发展中起引领作用。本专业带头人以“四个引路人”为使命，负责本专业的规划与建设、主持专业人才培养方案、课程标准的制定与修订、教材、专业教学标准、专业认证体系的建设工作、负责本专业教学改革和实践技能培养方案的制定等工作，引领团队落实“四有好老师”要求，推动专业发展与“四个相统一”实践。</w:t>
      </w:r>
      <w:r>
        <w:rPr>
          <w:rFonts w:hint="eastAsia" w:ascii="楷体" w:hAnsi="楷体" w:eastAsia="楷体" w:cs="楷体"/>
          <w:color w:val="auto"/>
          <w:sz w:val="32"/>
          <w:szCs w:val="32"/>
        </w:rPr>
        <w:br w:type="textWrapping"/>
      </w:r>
      <w:r>
        <w:rPr>
          <w:rFonts w:hint="eastAsia" w:ascii="楷体" w:hAnsi="楷体" w:eastAsia="楷体" w:cs="楷体"/>
          <w:color w:val="auto"/>
          <w:sz w:val="32"/>
          <w:szCs w:val="32"/>
          <w:lang w:val="en-US" w:eastAsia="zh-CN"/>
        </w:rPr>
        <w:t xml:space="preserve">   </w:t>
      </w:r>
      <w:r>
        <w:rPr>
          <w:rFonts w:hint="eastAsia" w:ascii="楷体" w:hAnsi="楷体" w:eastAsia="楷体" w:cs="楷体"/>
          <w:color w:val="auto"/>
          <w:kern w:val="2"/>
          <w:sz w:val="32"/>
          <w:szCs w:val="32"/>
          <w:lang w:val="en-US" w:eastAsia="zh-CN" w:bidi="ar-SA"/>
        </w:rPr>
        <w:t xml:space="preserve"> （三）专任教师</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lang w:val="en-US" w:eastAsia="zh-CN"/>
        </w:rPr>
        <w:t>具有高校教师资格；原则上具有电子商务类、工商管理类、计算机类、设计学类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5年累计不少于6个月的企业实践经历。</w:t>
      </w:r>
      <w:r>
        <w:rPr>
          <w:rFonts w:hint="eastAsia" w:ascii="楷体" w:hAnsi="楷体" w:eastAsia="楷体" w:cs="楷体"/>
          <w:color w:val="auto"/>
          <w:sz w:val="32"/>
          <w:szCs w:val="32"/>
        </w:rPr>
        <w:br w:type="textWrapping"/>
      </w:r>
      <w:r>
        <w:rPr>
          <w:rFonts w:hint="eastAsia" w:ascii="楷体" w:hAnsi="楷体" w:eastAsia="楷体" w:cs="楷体"/>
          <w:color w:val="auto"/>
          <w:sz w:val="32"/>
          <w:szCs w:val="32"/>
          <w:lang w:val="en-US" w:eastAsia="zh-CN"/>
        </w:rPr>
        <w:t xml:space="preserve">    （四）</w:t>
      </w:r>
      <w:r>
        <w:rPr>
          <w:rFonts w:hint="eastAsia" w:ascii="楷体" w:hAnsi="楷体" w:eastAsia="楷体" w:cs="楷体"/>
          <w:color w:val="auto"/>
          <w:sz w:val="32"/>
          <w:szCs w:val="32"/>
        </w:rPr>
        <w:t>兼职教师</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贯彻“四个相统一”，以自身实践经验为学生成长成才担当“引路人”。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47" w:name="_Toc3756"/>
      <w:bookmarkStart w:id="48" w:name="_Toc24654"/>
      <w:r>
        <w:rPr>
          <w:rFonts w:hint="eastAsia" w:ascii="黑体" w:hAnsi="黑体" w:eastAsia="黑体" w:cs="黑体"/>
          <w:b w:val="0"/>
          <w:bCs w:val="0"/>
          <w:color w:val="auto"/>
          <w:sz w:val="32"/>
          <w:szCs w:val="32"/>
          <w:highlight w:val="none"/>
          <w:lang w:val="en-US" w:eastAsia="zh-CN"/>
        </w:rPr>
        <w:t>十、教学条件</w:t>
      </w:r>
      <w:bookmarkEnd w:id="47"/>
      <w:bookmarkEnd w:id="48"/>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49" w:name="_Toc29772"/>
      <w:r>
        <w:rPr>
          <w:rFonts w:hint="eastAsia" w:ascii="楷体" w:hAnsi="楷体" w:eastAsia="楷体" w:cs="楷体"/>
          <w:color w:val="auto"/>
          <w:sz w:val="32"/>
          <w:szCs w:val="32"/>
          <w:lang w:val="en-US" w:eastAsia="zh-CN"/>
        </w:rPr>
        <w:t>（一）教学设施</w:t>
      </w:r>
      <w:bookmarkEnd w:id="49"/>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教学设施主要包括能够满足正常的课程教学、实习实训所需的专业教室、校内实训室和校外实训基地等。</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1.专业教室要求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学校为该专业配备公共教室（配备有多媒体设施）、多媒体教室等，满足理论教学要求。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配有黑板、多媒体计算机、投影设备、音响设备，安装应急照明装置并保持良好状态，符合紧急疏散要求，标志明显，逃生通道畅通无阻。</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2.校内实训资源</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0" w:firstLineChars="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表11 校内实训资源列表</w:t>
      </w:r>
    </w:p>
    <w:tbl>
      <w:tblPr>
        <w:tblStyle w:val="17"/>
        <w:tblW w:w="10187"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293"/>
        <w:gridCol w:w="2330"/>
        <w:gridCol w:w="2400"/>
        <w:gridCol w:w="2290"/>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实验实训室名称</w:t>
            </w:r>
          </w:p>
        </w:tc>
        <w:tc>
          <w:tcPr>
            <w:tcW w:w="233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实训适用课程</w:t>
            </w:r>
          </w:p>
        </w:tc>
        <w:tc>
          <w:tcPr>
            <w:tcW w:w="240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实训项目</w:t>
            </w:r>
          </w:p>
        </w:tc>
        <w:tc>
          <w:tcPr>
            <w:tcW w:w="229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主要设备名称</w:t>
            </w:r>
          </w:p>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及配置数量</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p>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1</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电子商务模拟实训室</w:t>
            </w:r>
          </w:p>
        </w:tc>
        <w:tc>
          <w:tcPr>
            <w:tcW w:w="233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商品拍摄与素材编辑、选品与采购、商务数据分析与应用、客户服务与管理。</w:t>
            </w:r>
          </w:p>
        </w:tc>
        <w:tc>
          <w:tcPr>
            <w:tcW w:w="240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商品拍摄与素材编辑、选品与采购操作、商务数据分析应用、客户服务与管理。</w:t>
            </w:r>
          </w:p>
        </w:tc>
        <w:tc>
          <w:tcPr>
            <w:tcW w:w="229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微型计算机</w:t>
            </w:r>
          </w:p>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60台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2</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会计电算化实训室</w:t>
            </w:r>
          </w:p>
        </w:tc>
        <w:tc>
          <w:tcPr>
            <w:tcW w:w="233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财税基础</w:t>
            </w:r>
          </w:p>
        </w:tc>
        <w:tc>
          <w:tcPr>
            <w:tcW w:w="240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原始凭证的识别与填制、记账凭证的编制、增值税计算与申报</w:t>
            </w:r>
            <w:r>
              <w:rPr>
                <w:rFonts w:hint="eastAsia" w:ascii="仿宋_GB2312" w:hAnsi="仿宋_GB2312" w:eastAsia="仿宋_GB2312" w:cs="仿宋_GB2312"/>
                <w:color w:val="auto"/>
                <w:sz w:val="24"/>
                <w:lang w:eastAsia="zh-CN"/>
              </w:rPr>
              <w:t>。</w:t>
            </w:r>
          </w:p>
        </w:tc>
        <w:tc>
          <w:tcPr>
            <w:tcW w:w="229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微型计算机</w:t>
            </w:r>
          </w:p>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60台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3</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计算机实验中心</w:t>
            </w:r>
          </w:p>
        </w:tc>
        <w:tc>
          <w:tcPr>
            <w:tcW w:w="233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市场策划、营销渠道运维、内容策划与编辑。</w:t>
            </w:r>
          </w:p>
        </w:tc>
        <w:tc>
          <w:tcPr>
            <w:tcW w:w="240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市场策划实践、营销渠道运维、内容策划与编辑实操。</w:t>
            </w:r>
          </w:p>
        </w:tc>
        <w:tc>
          <w:tcPr>
            <w:tcW w:w="229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微型计算机</w:t>
            </w:r>
          </w:p>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60台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新媒体实训中心</w:t>
            </w:r>
          </w:p>
        </w:tc>
        <w:tc>
          <w:tcPr>
            <w:tcW w:w="233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直播销售、直播运营、新媒体运营。</w:t>
            </w:r>
          </w:p>
        </w:tc>
        <w:tc>
          <w:tcPr>
            <w:tcW w:w="240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直播销售技巧演练、直播运营操作、新媒体运营实践。</w:t>
            </w:r>
          </w:p>
        </w:tc>
        <w:tc>
          <w:tcPr>
            <w:tcW w:w="229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直播系统1套</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60</w:t>
            </w:r>
          </w:p>
        </w:tc>
      </w:tr>
    </w:tbl>
    <w:p>
      <w:pPr>
        <w:pStyle w:val="2"/>
        <w:pageBreakBefore w:val="0"/>
        <w:widowControl/>
        <w:kinsoku/>
        <w:wordWrap/>
        <w:topLinePunct w:val="0"/>
        <w:autoSpaceDE/>
        <w:autoSpaceDN/>
        <w:bidi w:val="0"/>
        <w:snapToGrid/>
        <w:spacing w:before="0"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3.校外实训资源</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（1）校外实训基地基本要求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具有稳定的校外实训基地2个以上；能够开展网站广告投</w:t>
      </w:r>
      <w:r>
        <w:rPr>
          <w:rFonts w:hint="default" w:ascii="仿宋_GB2312" w:hAnsi="仿宋_GB2312" w:eastAsia="仿宋_GB2312" w:cs="仿宋_GB2312"/>
          <w:color w:val="auto"/>
          <w:sz w:val="32"/>
          <w:szCs w:val="32"/>
          <w:lang w:val="en-US" w:eastAsia="zh-CN"/>
        </w:rPr>
        <w:t>放</w:t>
      </w:r>
      <w:r>
        <w:rPr>
          <w:rFonts w:hint="eastAsia" w:ascii="仿宋_GB2312" w:hAnsi="仿宋_GB2312" w:eastAsia="仿宋_GB2312" w:cs="仿宋_GB2312"/>
          <w:color w:val="auto"/>
          <w:sz w:val="32"/>
          <w:szCs w:val="32"/>
          <w:lang w:val="en-US" w:eastAsia="zh-CN"/>
        </w:rPr>
        <w:t>、直播策划、直播技术操作、直播内容创作、直播销售技巧等实训活动；实训设施齐备，实训岗位、实训指导教师确定，实训管理及实施规章制度齐全。</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（2）学生实习基地基本要求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具有稳定的校外实习基地2个以上；能提供网络营销人员、网站美工、电子商务专员、网络推广、在线客服、电商直播、网店运营等相关实习岗位，能涵盖当前相关产业的主流技术，可接纳一定规模的学生实习；能够配备相应数量的指导教师对学生实习进行指导和管理；有保证实习生日常工作、学习、生活的规章制度，有安全、保险保障。</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0" w:firstLineChars="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表12 校外实习基地一览表</w:t>
      </w:r>
    </w:p>
    <w:tbl>
      <w:tblPr>
        <w:tblStyle w:val="17"/>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854"/>
        <w:gridCol w:w="2356"/>
        <w:gridCol w:w="1998"/>
        <w:gridCol w:w="2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校外实习基地名称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合作企业名称</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合作</w:t>
            </w:r>
            <w:r>
              <w:rPr>
                <w:rFonts w:hint="eastAsia" w:ascii="仿宋_GB2312" w:hAnsi="仿宋_GB2312" w:eastAsia="仿宋_GB2312" w:cs="仿宋_GB2312"/>
                <w:color w:val="auto"/>
                <w:sz w:val="24"/>
                <w:lang w:val="en-US" w:eastAsia="zh-CN"/>
              </w:rPr>
              <w:t>内容</w:t>
            </w:r>
          </w:p>
        </w:tc>
        <w:tc>
          <w:tcPr>
            <w:tcW w:w="21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val="en-US" w:eastAsia="zh-CN"/>
              </w:rPr>
              <w:t>1</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eastAsia="zh-CN"/>
              </w:rPr>
              <w:t>广西工程职业学院</w:t>
            </w:r>
            <w:r>
              <w:rPr>
                <w:rFonts w:hint="eastAsia" w:ascii="仿宋_GB2312" w:hAnsi="仿宋_GB2312" w:eastAsia="仿宋_GB2312" w:cs="仿宋_GB2312"/>
                <w:color w:val="auto"/>
                <w:sz w:val="24"/>
                <w:szCs w:val="24"/>
                <w:lang w:val="en-US" w:eastAsia="zh-CN"/>
              </w:rPr>
              <w:t>网络营销与直播电商专业校外实习基地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eastAsia="zh-CN"/>
              </w:rPr>
              <w:t>广西壮言淘电子商务有限公司</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sz w:val="24"/>
                <w:szCs w:val="24"/>
              </w:rPr>
              <w:t>共同建设实训实习平台</w:t>
            </w:r>
            <w:r>
              <w:rPr>
                <w:rFonts w:hint="eastAsia" w:ascii="仿宋_GB2312" w:hAnsi="仿宋_GB2312" w:eastAsia="仿宋_GB2312" w:cs="仿宋_GB2312"/>
                <w:sz w:val="24"/>
                <w:szCs w:val="24"/>
                <w:lang w:eastAsia="zh-CN"/>
              </w:rPr>
              <w:t>、共同研究人才培养方案</w:t>
            </w:r>
          </w:p>
        </w:tc>
        <w:tc>
          <w:tcPr>
            <w:tcW w:w="21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val="en-US" w:eastAsia="zh-CN"/>
              </w:rPr>
              <w:t>2</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eastAsia="zh-CN"/>
              </w:rPr>
              <w:t>广西工程职业学院</w:t>
            </w:r>
            <w:r>
              <w:rPr>
                <w:rFonts w:hint="eastAsia" w:ascii="仿宋_GB2312" w:hAnsi="仿宋_GB2312" w:eastAsia="仿宋_GB2312" w:cs="仿宋_GB2312"/>
                <w:color w:val="auto"/>
                <w:sz w:val="24"/>
                <w:szCs w:val="24"/>
                <w:lang w:val="en-US" w:eastAsia="zh-CN"/>
              </w:rPr>
              <w:t>网络营销与直播电商专业校外实习基地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eastAsia="zh-CN"/>
              </w:rPr>
              <w:t>平果鸿仁传媒科技有限公司</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sz w:val="24"/>
                <w:szCs w:val="24"/>
              </w:rPr>
              <w:t>共同建设实训实习平台</w:t>
            </w:r>
          </w:p>
        </w:tc>
        <w:tc>
          <w:tcPr>
            <w:tcW w:w="21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val="en-US" w:eastAsia="zh-CN"/>
              </w:rPr>
              <w:t>3</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eastAsia="zh-CN"/>
              </w:rPr>
              <w:t>广西工程职业学院</w:t>
            </w:r>
            <w:r>
              <w:rPr>
                <w:rFonts w:hint="eastAsia" w:ascii="仿宋_GB2312" w:hAnsi="仿宋_GB2312" w:eastAsia="仿宋_GB2312" w:cs="仿宋_GB2312"/>
                <w:color w:val="auto"/>
                <w:sz w:val="24"/>
                <w:szCs w:val="24"/>
                <w:lang w:val="en-US" w:eastAsia="zh-CN"/>
              </w:rPr>
              <w:t>网络营销与直播电商专业校外实习基地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eastAsia="zh-CN"/>
              </w:rPr>
              <w:t>广西平果庆源电子科技有限责任公司</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sz w:val="24"/>
                <w:szCs w:val="24"/>
              </w:rPr>
              <w:t>共同建设实训实习平台</w:t>
            </w:r>
          </w:p>
        </w:tc>
        <w:tc>
          <w:tcPr>
            <w:tcW w:w="21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val="en-US" w:eastAsia="zh-CN"/>
              </w:rPr>
              <w:t>4</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eastAsia="zh-CN"/>
              </w:rPr>
              <w:t>广西工程职业学院</w:t>
            </w:r>
            <w:r>
              <w:rPr>
                <w:rFonts w:hint="eastAsia" w:ascii="仿宋_GB2312" w:hAnsi="仿宋_GB2312" w:eastAsia="仿宋_GB2312" w:cs="仿宋_GB2312"/>
                <w:color w:val="auto"/>
                <w:sz w:val="24"/>
                <w:szCs w:val="24"/>
                <w:lang w:val="en-US" w:eastAsia="zh-CN"/>
              </w:rPr>
              <w:t>网络营销与直播电商专业校外实习基地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eastAsia="zh-CN"/>
              </w:rPr>
              <w:t>平果亿鑫国际家居有限公司</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sz w:val="24"/>
                <w:szCs w:val="24"/>
              </w:rPr>
              <w:t>共同建设实训实习平台</w:t>
            </w:r>
          </w:p>
        </w:tc>
        <w:tc>
          <w:tcPr>
            <w:tcW w:w="21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val="en-US" w:eastAsia="zh-CN"/>
              </w:rPr>
              <w:t>5</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eastAsia="zh-CN"/>
              </w:rPr>
              <w:t>广西工程职业学院</w:t>
            </w:r>
            <w:r>
              <w:rPr>
                <w:rFonts w:hint="eastAsia" w:ascii="仿宋_GB2312" w:hAnsi="仿宋_GB2312" w:eastAsia="仿宋_GB2312" w:cs="仿宋_GB2312"/>
                <w:color w:val="auto"/>
                <w:sz w:val="24"/>
                <w:szCs w:val="24"/>
                <w:lang w:val="en-US" w:eastAsia="zh-CN"/>
              </w:rPr>
              <w:t>网络营销与直播电商专业校外实习基地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eastAsia="zh-CN"/>
              </w:rPr>
              <w:t>平果县皓远商贸有限公司</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sz w:val="24"/>
                <w:szCs w:val="24"/>
              </w:rPr>
              <w:t>共同建设实训实习平台</w:t>
            </w:r>
          </w:p>
        </w:tc>
        <w:tc>
          <w:tcPr>
            <w:tcW w:w="21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szCs w:val="24"/>
                <w:lang w:val="en-US" w:eastAsia="zh-CN"/>
              </w:rPr>
              <w:t>40</w:t>
            </w:r>
          </w:p>
        </w:tc>
      </w:tr>
    </w:tbl>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50" w:name="_Toc8388"/>
      <w:r>
        <w:rPr>
          <w:rFonts w:hint="eastAsia" w:ascii="楷体" w:hAnsi="楷体" w:eastAsia="楷体" w:cs="楷体"/>
          <w:color w:val="auto"/>
          <w:sz w:val="32"/>
          <w:szCs w:val="32"/>
          <w:lang w:val="en-US" w:eastAsia="zh-CN"/>
        </w:rPr>
        <w:t>（二）教学资源</w:t>
      </w:r>
      <w:bookmarkEnd w:id="50"/>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教学资源主要包括能满足学生专业学习、教师专业教学研究和教学实施所需的教材、图书文献及数字教学资源等。</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1.教材选用基本要求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2.图书文献配备基本要求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图书文献配备能满足人才培养、专业建设、教科研等工作的需要，方便师生查询、借阅。专业类文献主要包括：网络营销与直播电商相关行业政策法规、行业标准、技术规范等与服务相关专业类图书和实务案例类图书。专业图书资料（含电子图书）不低于500册，5种以上网络营销、直播电商、电子商务等紧密相关的专业学术期刊，如《电子商务研究》《网络营销》《直播电商观察》《新媒体与广告》等专业学术期刊，并能保持每年更新。</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3.数字教学资源配置基本要求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建设、配备与专业相关的音视频素材、教学课件、数字化教学案例库、虚拟仿真软件、数字教材等专业教学资源库，应种类丰富、形式多样、使用便捷、动态更新，能满足教学要求。</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51" w:name="_Toc12094"/>
      <w:r>
        <w:rPr>
          <w:rFonts w:hint="eastAsia" w:ascii="楷体" w:hAnsi="楷体" w:eastAsia="楷体" w:cs="楷体"/>
          <w:color w:val="auto"/>
          <w:sz w:val="32"/>
          <w:szCs w:val="32"/>
          <w:lang w:val="en-US" w:eastAsia="zh-CN"/>
        </w:rPr>
        <w:t>（三）教学方法</w:t>
      </w:r>
      <w:bookmarkEnd w:id="51"/>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根据不同课程的性质</w:t>
      </w:r>
      <w:r>
        <w:rPr>
          <w:rFonts w:hint="eastAsia" w:ascii="仿宋_GB2312" w:hAnsi="仿宋_GB2312" w:eastAsia="仿宋_GB2312" w:cs="仿宋_GB2312"/>
          <w:color w:val="auto"/>
          <w:sz w:val="32"/>
          <w:szCs w:val="32"/>
          <w:lang w:val="en-US" w:eastAsia="zh-CN"/>
        </w:rPr>
        <w:t>特点</w:t>
      </w:r>
      <w:r>
        <w:rPr>
          <w:rFonts w:hint="default" w:ascii="仿宋_GB2312" w:hAnsi="仿宋_GB2312" w:eastAsia="仿宋_GB2312" w:cs="仿宋_GB2312"/>
          <w:color w:val="auto"/>
          <w:sz w:val="32"/>
          <w:szCs w:val="32"/>
          <w:lang w:val="en-US" w:eastAsia="zh-CN"/>
        </w:rPr>
        <w:t>，在保留传统讲授法、演示法、讨论法、问答法、案例分析法等的基础上</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US" w:eastAsia="zh-CN"/>
        </w:rPr>
        <w:t>应充分利用信息化教学资源，尽量将项目驱动法、探究式教学、翻转课堂等新型教学模式及方法引入课堂，遵循“学生为主体，教师为主导”的原则，积极探索多种教学方法</w:t>
      </w:r>
      <w:r>
        <w:rPr>
          <w:rFonts w:hint="eastAsia" w:ascii="仿宋_GB2312" w:hAnsi="仿宋_GB2312" w:eastAsia="仿宋_GB2312" w:cs="仿宋_GB2312"/>
          <w:color w:val="auto"/>
          <w:sz w:val="32"/>
          <w:szCs w:val="32"/>
          <w:lang w:val="en-US" w:eastAsia="zh-CN"/>
        </w:rPr>
        <w:t>。</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52" w:name="_Toc1118"/>
      <w:r>
        <w:rPr>
          <w:rFonts w:hint="eastAsia" w:ascii="楷体" w:hAnsi="楷体" w:eastAsia="楷体" w:cs="楷体"/>
          <w:color w:val="auto"/>
          <w:sz w:val="32"/>
          <w:szCs w:val="32"/>
          <w:lang w:val="en-US" w:eastAsia="zh-CN"/>
        </w:rPr>
        <w:t>（四）学习评价</w:t>
      </w:r>
      <w:bookmarkEnd w:id="52"/>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1.课程考核方法</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2.教学评价方式</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53" w:name="_Toc3784"/>
      <w:bookmarkStart w:id="54" w:name="_Toc12283"/>
      <w:r>
        <w:rPr>
          <w:rFonts w:hint="eastAsia" w:ascii="黑体" w:hAnsi="黑体" w:eastAsia="黑体" w:cs="黑体"/>
          <w:b w:val="0"/>
          <w:bCs w:val="0"/>
          <w:color w:val="auto"/>
          <w:sz w:val="32"/>
          <w:szCs w:val="32"/>
          <w:highlight w:val="none"/>
          <w:lang w:val="en-US" w:eastAsia="zh-CN"/>
        </w:rPr>
        <w:t>十一、质量保障</w:t>
      </w:r>
      <w:bookmarkEnd w:id="53"/>
      <w:bookmarkEnd w:id="54"/>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3.专业教研室建立线上线下相结合的集中备课制度，定期召开教学研讨会议，利用评价分析结果有效改进专业教学，持续提高人才培养质量。</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5.充分利用评价分析结果有效改进专业教学，持续提高人才培养质量。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55" w:name="_Toc28633"/>
      <w:bookmarkStart w:id="56" w:name="_Toc32023"/>
      <w:r>
        <w:rPr>
          <w:rFonts w:hint="eastAsia" w:ascii="黑体" w:hAnsi="黑体" w:eastAsia="黑体" w:cs="黑体"/>
          <w:b w:val="0"/>
          <w:bCs w:val="0"/>
          <w:color w:val="auto"/>
          <w:sz w:val="32"/>
          <w:szCs w:val="32"/>
          <w:highlight w:val="none"/>
          <w:lang w:val="en-US" w:eastAsia="zh-CN"/>
        </w:rPr>
        <w:t>十二、毕业要求</w:t>
      </w:r>
      <w:bookmarkEnd w:id="55"/>
      <w:bookmarkEnd w:id="56"/>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57" w:name="_Toc12975"/>
      <w:r>
        <w:rPr>
          <w:rFonts w:hint="eastAsia" w:ascii="楷体" w:hAnsi="楷体" w:eastAsia="楷体" w:cs="楷体"/>
          <w:color w:val="auto"/>
          <w:sz w:val="32"/>
          <w:szCs w:val="32"/>
          <w:lang w:val="en-US" w:eastAsia="zh-CN"/>
        </w:rPr>
        <w:t>（一）学分要求</w:t>
      </w:r>
      <w:bookmarkEnd w:id="57"/>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专业要求学生根据人才培养方案确定的目标和培养规格，完成规定的实习实训，全部课程考核合格且修满至少147学分。其中，必修课131学分，选修课16学分。公共必修课44学分，公共选修课8学分。专业必修课87学分，专业选修课8学分。</w:t>
      </w:r>
    </w:p>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58" w:name="_Toc17217"/>
      <w:r>
        <w:rPr>
          <w:rFonts w:hint="eastAsia" w:ascii="楷体" w:hAnsi="楷体" w:eastAsia="楷体" w:cs="楷体"/>
          <w:color w:val="auto"/>
          <w:sz w:val="32"/>
          <w:szCs w:val="32"/>
          <w:lang w:val="en-US" w:eastAsia="zh-CN"/>
        </w:rPr>
        <w:t>（二）职业类证书要求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将直播电商（初级）等职业证书纳入培养要求，鼓励学生考取相关证书。通过职业证书的考取，提高学生的专业技能和就业竞争力，使学生更好地适应社会和企业的需求。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学生接受职业培训取得的职业技能等级证书、培训证书等学习成果，经学校认定，可以转化为相应的学历教育学分，以支撑学生未来在就业、创业、学业等方面持续发展。</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网络营销与直播专业职业证书一览表</w:t>
      </w:r>
    </w:p>
    <w:tbl>
      <w:tblPr>
        <w:tblStyle w:val="17"/>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3"/>
        <w:gridCol w:w="3732"/>
        <w:gridCol w:w="4144"/>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043" w:type="dxa"/>
            <w:vAlign w:val="center"/>
          </w:tcPr>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732" w:type="dxa"/>
            <w:vAlign w:val="center"/>
          </w:tcPr>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4144" w:type="dxa"/>
            <w:vAlign w:val="center"/>
          </w:tcPr>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161" w:type="dxa"/>
            <w:vAlign w:val="center"/>
          </w:tcPr>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3"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732"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高职学历证书</w:t>
            </w:r>
          </w:p>
        </w:tc>
        <w:tc>
          <w:tcPr>
            <w:tcW w:w="4144"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广西工程职业学院</w:t>
            </w:r>
          </w:p>
        </w:tc>
        <w:tc>
          <w:tcPr>
            <w:tcW w:w="1161"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3"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732"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大学英语B级证书</w:t>
            </w:r>
          </w:p>
        </w:tc>
        <w:tc>
          <w:tcPr>
            <w:tcW w:w="4144"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国家教育部、高等学校英语应用能力考试委员会</w:t>
            </w:r>
          </w:p>
        </w:tc>
        <w:tc>
          <w:tcPr>
            <w:tcW w:w="1161"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3"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732"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“1+X”职业技能等级证书</w:t>
            </w:r>
          </w:p>
        </w:tc>
        <w:tc>
          <w:tcPr>
            <w:tcW w:w="4144"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国家教育部</w:t>
            </w:r>
          </w:p>
        </w:tc>
        <w:tc>
          <w:tcPr>
            <w:tcW w:w="1161"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3"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732"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全国计算机等级考试（一级）证书</w:t>
            </w:r>
          </w:p>
        </w:tc>
        <w:tc>
          <w:tcPr>
            <w:tcW w:w="4144" w:type="dxa"/>
            <w:shd w:val="clear" w:color="auto" w:fill="auto"/>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国家教育部</w:t>
            </w:r>
          </w:p>
        </w:tc>
        <w:tc>
          <w:tcPr>
            <w:tcW w:w="1161" w:type="dxa"/>
            <w:shd w:val="clear" w:color="auto" w:fill="auto"/>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3"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732"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直播电商（初级）</w:t>
            </w:r>
          </w:p>
        </w:tc>
        <w:tc>
          <w:tcPr>
            <w:tcW w:w="4144"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百色市职业技能鉴定中心</w:t>
            </w:r>
          </w:p>
        </w:tc>
        <w:tc>
          <w:tcPr>
            <w:tcW w:w="1161" w:type="dxa"/>
            <w:vAlign w:val="center"/>
          </w:tcPr>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bl>
    <w:p>
      <w:pPr>
        <w:pStyle w:val="2"/>
        <w:keepNext/>
        <w:keepLines/>
        <w:pageBreakBefore w:val="0"/>
        <w:widowControl/>
        <w:kinsoku/>
        <w:wordWrap/>
        <w:overflowPunct/>
        <w:topLinePunct w:val="0"/>
        <w:autoSpaceDE/>
        <w:autoSpaceDN/>
        <w:bidi w:val="0"/>
        <w:adjustRightInd/>
        <w:snapToGrid/>
        <w:spacing w:before="0"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（三）综合素质要求</w:t>
      </w:r>
      <w:bookmarkEnd w:id="58"/>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20" w:lineRule="exact"/>
        <w:ind w:left="0" w:right="0" w:firstLine="640" w:firstLineChars="20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经鉴定思想品德符合要求，践行社会主义核心价值观，坚定拥护党的领导，厚植爱国情怀与民族自豪感，强化社会责任感与担当精神。具备良好人文、科学与数字素养，扎实掌握文化基础与专业理论，拥有较强语言表达、文字创作及沟通协作能力，树立团队合作意识，适应行业数字化、智能化发展趋势。恪守职业规范与法律法规，秉持爱岗敬业、精益求精的职业精神与工匠精神，树立正确劳动观，弘扬劳模精神与时代新风。同时具备合格身心素质，学生体质健康测试合格，养成良好生活习惯与心理调适能力。备创新意识、探究与终身学习能力，能运用专业知识解决实际问题，拥有良好职业适应力与可持续发展能力，全面展现网络营销与直播电商专业人才素养，适配批发、零售及互联网相关服务业等领域发展需求。</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p>
    <w:sectPr>
      <w:footerReference r:id="rId5" w:type="default"/>
      <w:pgSz w:w="11906" w:h="16838"/>
      <w:pgMar w:top="1417" w:right="1417" w:bottom="1417"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5C1821-C6B0-4287-9C38-9ED3954D077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roman"/>
    <w:pitch w:val="default"/>
    <w:sig w:usb0="E4002EFF" w:usb1="C000247B" w:usb2="00000009" w:usb3="00000000" w:csb0="200001FF" w:csb1="00000000"/>
  </w:font>
  <w:font w:name="仿宋">
    <w:panose1 w:val="02010609060101010101"/>
    <w:charset w:val="86"/>
    <w:family w:val="decorative"/>
    <w:pitch w:val="default"/>
    <w:sig w:usb0="800002BF" w:usb1="38CF7CFA" w:usb2="00000016" w:usb3="00000000" w:csb0="00040001" w:csb1="00000000"/>
    <w:embedRegular r:id="rId2" w:fontKey="{BD38B399-FACA-43C0-A90A-25D4940ECB17}"/>
  </w:font>
  <w:font w:name="华文新魏">
    <w:panose1 w:val="02010800040101010101"/>
    <w:charset w:val="86"/>
    <w:family w:val="auto"/>
    <w:pitch w:val="default"/>
    <w:sig w:usb0="00000001" w:usb1="080F0000" w:usb2="00000000" w:usb3="00000000" w:csb0="00040000" w:csb1="00000000"/>
    <w:embedRegular r:id="rId3" w:fontKey="{F0E7B4C5-44F5-44FD-90F2-4449CC5645FD}"/>
  </w:font>
  <w:font w:name="方正小标宋简体">
    <w:panose1 w:val="02010601030101010101"/>
    <w:charset w:val="86"/>
    <w:family w:val="script"/>
    <w:pitch w:val="default"/>
    <w:sig w:usb0="00000001" w:usb1="080E0000" w:usb2="00000000" w:usb3="00000000" w:csb0="00040000" w:csb1="00000000"/>
    <w:embedRegular r:id="rId4" w:fontKey="{4FA99DE7-3018-4E4C-BE5B-4A563C89CBFE}"/>
  </w:font>
  <w:font w:name="仿宋_GB2312">
    <w:panose1 w:val="02010609030101010101"/>
    <w:charset w:val="86"/>
    <w:family w:val="decorative"/>
    <w:pitch w:val="default"/>
    <w:sig w:usb0="00000001" w:usb1="080E0000" w:usb2="00000000" w:usb3="00000000" w:csb0="00040000" w:csb1="00000000"/>
    <w:embedRegular r:id="rId5" w:fontKey="{87325B0E-1067-43CB-8F20-33895CD8BCD1}"/>
  </w:font>
  <w:font w:name="楷体">
    <w:panose1 w:val="02010609060101010101"/>
    <w:charset w:val="86"/>
    <w:family w:val="decorative"/>
    <w:pitch w:val="default"/>
    <w:sig w:usb0="800002BF" w:usb1="38CF7CFA" w:usb2="00000016" w:usb3="00000000" w:csb0="00040001" w:csb1="00000000"/>
    <w:embedRegular r:id="rId6" w:fontKey="{47A68F2E-B9BA-429F-930D-240399BB9E90}"/>
  </w:font>
  <w:font w:name="Segoe UI">
    <w:panose1 w:val="020B0502040204020203"/>
    <w:charset w:val="00"/>
    <w:family w:val="auto"/>
    <w:pitch w:val="default"/>
    <w:sig w:usb0="E4002EFF" w:usb1="C000E47F" w:usb2="00000009" w:usb3="00000000" w:csb0="200001FF" w:csb1="00000000"/>
    <w:embedRegular r:id="rId7" w:fontKey="{AF1BE513-601E-4B76-B4AE-82811558C12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786F4B"/>
    <w:rsid w:val="01AA3877"/>
    <w:rsid w:val="02661E94"/>
    <w:rsid w:val="02CD5374"/>
    <w:rsid w:val="03304250"/>
    <w:rsid w:val="039F4688"/>
    <w:rsid w:val="03A07894"/>
    <w:rsid w:val="045A1A5F"/>
    <w:rsid w:val="04736588"/>
    <w:rsid w:val="048C3708"/>
    <w:rsid w:val="04BC3FEE"/>
    <w:rsid w:val="051223C4"/>
    <w:rsid w:val="062E0F1B"/>
    <w:rsid w:val="06471FDD"/>
    <w:rsid w:val="066033D2"/>
    <w:rsid w:val="06C90C44"/>
    <w:rsid w:val="070954E4"/>
    <w:rsid w:val="07322345"/>
    <w:rsid w:val="082F2519"/>
    <w:rsid w:val="084C7436"/>
    <w:rsid w:val="08AE7496"/>
    <w:rsid w:val="08DA7138"/>
    <w:rsid w:val="08F70DAF"/>
    <w:rsid w:val="09075A53"/>
    <w:rsid w:val="094D790A"/>
    <w:rsid w:val="095347F5"/>
    <w:rsid w:val="09CB082F"/>
    <w:rsid w:val="09D45935"/>
    <w:rsid w:val="0A1E1839"/>
    <w:rsid w:val="0A1E4E03"/>
    <w:rsid w:val="0A634F0B"/>
    <w:rsid w:val="0AC91212"/>
    <w:rsid w:val="0AFF69E2"/>
    <w:rsid w:val="0B64718D"/>
    <w:rsid w:val="0B9E269F"/>
    <w:rsid w:val="0BB93035"/>
    <w:rsid w:val="0C0A3BA0"/>
    <w:rsid w:val="0CE642FD"/>
    <w:rsid w:val="0D13161F"/>
    <w:rsid w:val="0D3000CB"/>
    <w:rsid w:val="0DE924A0"/>
    <w:rsid w:val="0E2350DD"/>
    <w:rsid w:val="0E3E4A1A"/>
    <w:rsid w:val="0E5E6115"/>
    <w:rsid w:val="0E641F51"/>
    <w:rsid w:val="0ED4462A"/>
    <w:rsid w:val="0F386966"/>
    <w:rsid w:val="0FA47B58"/>
    <w:rsid w:val="0FA67D74"/>
    <w:rsid w:val="0FD20B69"/>
    <w:rsid w:val="0FE4089C"/>
    <w:rsid w:val="10093E5F"/>
    <w:rsid w:val="10152804"/>
    <w:rsid w:val="10234F21"/>
    <w:rsid w:val="10914580"/>
    <w:rsid w:val="10EE36A0"/>
    <w:rsid w:val="113D682C"/>
    <w:rsid w:val="116752E1"/>
    <w:rsid w:val="11CA7E02"/>
    <w:rsid w:val="12485112"/>
    <w:rsid w:val="127F665A"/>
    <w:rsid w:val="12DC3AAD"/>
    <w:rsid w:val="12F708E7"/>
    <w:rsid w:val="13203999"/>
    <w:rsid w:val="135C5E82"/>
    <w:rsid w:val="139B5716"/>
    <w:rsid w:val="13BD5C31"/>
    <w:rsid w:val="13C77F07"/>
    <w:rsid w:val="13F454F6"/>
    <w:rsid w:val="14A800EA"/>
    <w:rsid w:val="15001CD4"/>
    <w:rsid w:val="150317C5"/>
    <w:rsid w:val="15202377"/>
    <w:rsid w:val="15542020"/>
    <w:rsid w:val="165F0C7D"/>
    <w:rsid w:val="1699418F"/>
    <w:rsid w:val="16995FBA"/>
    <w:rsid w:val="16A42B33"/>
    <w:rsid w:val="16DC051F"/>
    <w:rsid w:val="170B4961"/>
    <w:rsid w:val="1740285C"/>
    <w:rsid w:val="1749510D"/>
    <w:rsid w:val="1796247C"/>
    <w:rsid w:val="187207BE"/>
    <w:rsid w:val="188F1EDE"/>
    <w:rsid w:val="18CB084B"/>
    <w:rsid w:val="19481E9C"/>
    <w:rsid w:val="19AF3CC9"/>
    <w:rsid w:val="1A262FB5"/>
    <w:rsid w:val="1AE45BF4"/>
    <w:rsid w:val="1B68135A"/>
    <w:rsid w:val="1B981912"/>
    <w:rsid w:val="1BAE7956"/>
    <w:rsid w:val="1BCC19A4"/>
    <w:rsid w:val="1BF93A5C"/>
    <w:rsid w:val="1C27223D"/>
    <w:rsid w:val="1C6F14EE"/>
    <w:rsid w:val="1CB25FAA"/>
    <w:rsid w:val="1D0377EB"/>
    <w:rsid w:val="1D24677C"/>
    <w:rsid w:val="1DD51824"/>
    <w:rsid w:val="1DEA56C7"/>
    <w:rsid w:val="1E4B3DFE"/>
    <w:rsid w:val="1E91399D"/>
    <w:rsid w:val="1EA77665"/>
    <w:rsid w:val="1ECC6B87"/>
    <w:rsid w:val="1F3A7811"/>
    <w:rsid w:val="1F4B5723"/>
    <w:rsid w:val="1F5350F7"/>
    <w:rsid w:val="1FB17C46"/>
    <w:rsid w:val="1FB21E1D"/>
    <w:rsid w:val="1FBC2C9C"/>
    <w:rsid w:val="207417C9"/>
    <w:rsid w:val="20AA343C"/>
    <w:rsid w:val="20AD7038"/>
    <w:rsid w:val="20BE4D41"/>
    <w:rsid w:val="20E56222"/>
    <w:rsid w:val="210E0F0E"/>
    <w:rsid w:val="2170143C"/>
    <w:rsid w:val="21EB3D26"/>
    <w:rsid w:val="22123047"/>
    <w:rsid w:val="223461B5"/>
    <w:rsid w:val="22967FAA"/>
    <w:rsid w:val="22A00653"/>
    <w:rsid w:val="22A44B14"/>
    <w:rsid w:val="2338088B"/>
    <w:rsid w:val="236773C3"/>
    <w:rsid w:val="237D0994"/>
    <w:rsid w:val="23954DD6"/>
    <w:rsid w:val="23D42CAA"/>
    <w:rsid w:val="249D12EE"/>
    <w:rsid w:val="24E76143"/>
    <w:rsid w:val="24F353B2"/>
    <w:rsid w:val="26742E4A"/>
    <w:rsid w:val="267A11BB"/>
    <w:rsid w:val="26D427CA"/>
    <w:rsid w:val="27075144"/>
    <w:rsid w:val="27214C63"/>
    <w:rsid w:val="27441EF5"/>
    <w:rsid w:val="27AE3812"/>
    <w:rsid w:val="27F5401D"/>
    <w:rsid w:val="28557849"/>
    <w:rsid w:val="285A12A4"/>
    <w:rsid w:val="28625BDC"/>
    <w:rsid w:val="289A5B44"/>
    <w:rsid w:val="28BD30CD"/>
    <w:rsid w:val="296E1A2F"/>
    <w:rsid w:val="2992023A"/>
    <w:rsid w:val="29B449E4"/>
    <w:rsid w:val="29C72B81"/>
    <w:rsid w:val="29F55728"/>
    <w:rsid w:val="2B0F281A"/>
    <w:rsid w:val="2B8D373E"/>
    <w:rsid w:val="2BF11F1F"/>
    <w:rsid w:val="2C802418"/>
    <w:rsid w:val="2CB341C7"/>
    <w:rsid w:val="2CC66F08"/>
    <w:rsid w:val="2CEB2E12"/>
    <w:rsid w:val="2D5704A8"/>
    <w:rsid w:val="2D8165B1"/>
    <w:rsid w:val="2D964B2C"/>
    <w:rsid w:val="2DAC4350"/>
    <w:rsid w:val="2DE47F8D"/>
    <w:rsid w:val="2F083808"/>
    <w:rsid w:val="2F34284F"/>
    <w:rsid w:val="2F436F36"/>
    <w:rsid w:val="2F594B9D"/>
    <w:rsid w:val="2F7A2E0A"/>
    <w:rsid w:val="2F8D1F5F"/>
    <w:rsid w:val="2FA96B3D"/>
    <w:rsid w:val="2FD933F6"/>
    <w:rsid w:val="30A6152A"/>
    <w:rsid w:val="30A77050"/>
    <w:rsid w:val="30DC27D6"/>
    <w:rsid w:val="3115220C"/>
    <w:rsid w:val="31342FDA"/>
    <w:rsid w:val="318A49A8"/>
    <w:rsid w:val="31A83FF1"/>
    <w:rsid w:val="31AA329C"/>
    <w:rsid w:val="31D2634F"/>
    <w:rsid w:val="321D581C"/>
    <w:rsid w:val="32D34B01"/>
    <w:rsid w:val="32F32A21"/>
    <w:rsid w:val="32F92E4C"/>
    <w:rsid w:val="32FA3DAF"/>
    <w:rsid w:val="33260700"/>
    <w:rsid w:val="33266952"/>
    <w:rsid w:val="33AE06F6"/>
    <w:rsid w:val="33B93C14"/>
    <w:rsid w:val="343B43DD"/>
    <w:rsid w:val="348B3F97"/>
    <w:rsid w:val="34B65AB4"/>
    <w:rsid w:val="34C46423"/>
    <w:rsid w:val="34EA50C0"/>
    <w:rsid w:val="357449D1"/>
    <w:rsid w:val="35E93C67"/>
    <w:rsid w:val="364315C9"/>
    <w:rsid w:val="364C08A9"/>
    <w:rsid w:val="36657792"/>
    <w:rsid w:val="36C34F9B"/>
    <w:rsid w:val="370E7E29"/>
    <w:rsid w:val="376B0DD8"/>
    <w:rsid w:val="3770165B"/>
    <w:rsid w:val="37960DB8"/>
    <w:rsid w:val="37AD2573"/>
    <w:rsid w:val="381153F4"/>
    <w:rsid w:val="38481119"/>
    <w:rsid w:val="38877EE4"/>
    <w:rsid w:val="38C22C79"/>
    <w:rsid w:val="39372651"/>
    <w:rsid w:val="395F496C"/>
    <w:rsid w:val="39A700C1"/>
    <w:rsid w:val="3A451367"/>
    <w:rsid w:val="3A60099C"/>
    <w:rsid w:val="3A7A7584"/>
    <w:rsid w:val="3AEA4709"/>
    <w:rsid w:val="3B4007CD"/>
    <w:rsid w:val="3C17152E"/>
    <w:rsid w:val="3C327B65"/>
    <w:rsid w:val="3C5B385E"/>
    <w:rsid w:val="3D0047E4"/>
    <w:rsid w:val="3D766728"/>
    <w:rsid w:val="3D9F7A2D"/>
    <w:rsid w:val="3E4D7489"/>
    <w:rsid w:val="3E725142"/>
    <w:rsid w:val="3EB92D70"/>
    <w:rsid w:val="3F6A4DBB"/>
    <w:rsid w:val="3F785DC7"/>
    <w:rsid w:val="3FF86C17"/>
    <w:rsid w:val="3FFC1167"/>
    <w:rsid w:val="40077B0C"/>
    <w:rsid w:val="404B5C4A"/>
    <w:rsid w:val="40664832"/>
    <w:rsid w:val="4084115C"/>
    <w:rsid w:val="4099592E"/>
    <w:rsid w:val="40B53BBC"/>
    <w:rsid w:val="40B557B9"/>
    <w:rsid w:val="40BC3318"/>
    <w:rsid w:val="40C8470D"/>
    <w:rsid w:val="413D6362"/>
    <w:rsid w:val="41540B2E"/>
    <w:rsid w:val="415648A7"/>
    <w:rsid w:val="41727207"/>
    <w:rsid w:val="41A42FA1"/>
    <w:rsid w:val="41BB6E00"/>
    <w:rsid w:val="41CF62FB"/>
    <w:rsid w:val="41DE5079"/>
    <w:rsid w:val="422A57D8"/>
    <w:rsid w:val="42817701"/>
    <w:rsid w:val="428611BC"/>
    <w:rsid w:val="42B86E9B"/>
    <w:rsid w:val="43105F3B"/>
    <w:rsid w:val="436463B1"/>
    <w:rsid w:val="43713C1A"/>
    <w:rsid w:val="43792ACE"/>
    <w:rsid w:val="43A538C3"/>
    <w:rsid w:val="43C755E8"/>
    <w:rsid w:val="43CD55F8"/>
    <w:rsid w:val="44380293"/>
    <w:rsid w:val="447D65EE"/>
    <w:rsid w:val="44892780"/>
    <w:rsid w:val="44A43B7B"/>
    <w:rsid w:val="44B71B00"/>
    <w:rsid w:val="44B862E9"/>
    <w:rsid w:val="455530C7"/>
    <w:rsid w:val="457A7860"/>
    <w:rsid w:val="4602706C"/>
    <w:rsid w:val="46733805"/>
    <w:rsid w:val="46B856BC"/>
    <w:rsid w:val="46EE10DD"/>
    <w:rsid w:val="46F661E4"/>
    <w:rsid w:val="47103740"/>
    <w:rsid w:val="471C3E9C"/>
    <w:rsid w:val="4803505C"/>
    <w:rsid w:val="480A0199"/>
    <w:rsid w:val="480B3218"/>
    <w:rsid w:val="48963482"/>
    <w:rsid w:val="48A57EC2"/>
    <w:rsid w:val="48AE4FC8"/>
    <w:rsid w:val="48BA396D"/>
    <w:rsid w:val="48BD16AF"/>
    <w:rsid w:val="48DF1625"/>
    <w:rsid w:val="48E56510"/>
    <w:rsid w:val="49395702"/>
    <w:rsid w:val="49843F7B"/>
    <w:rsid w:val="49A63EF1"/>
    <w:rsid w:val="4A3C6604"/>
    <w:rsid w:val="4AA20B5D"/>
    <w:rsid w:val="4AD8632C"/>
    <w:rsid w:val="4AF15640"/>
    <w:rsid w:val="4AFA62A3"/>
    <w:rsid w:val="4B45058C"/>
    <w:rsid w:val="4B4B6FA0"/>
    <w:rsid w:val="4B726781"/>
    <w:rsid w:val="4C0272E2"/>
    <w:rsid w:val="4C0C0983"/>
    <w:rsid w:val="4C1149B8"/>
    <w:rsid w:val="4C675BBA"/>
    <w:rsid w:val="4D135D42"/>
    <w:rsid w:val="4D1473C4"/>
    <w:rsid w:val="4E514358"/>
    <w:rsid w:val="4E5C7274"/>
    <w:rsid w:val="4F585C8E"/>
    <w:rsid w:val="4F6B3C13"/>
    <w:rsid w:val="4F7D56F4"/>
    <w:rsid w:val="509C4C8B"/>
    <w:rsid w:val="5135219E"/>
    <w:rsid w:val="51C30881"/>
    <w:rsid w:val="51D535C6"/>
    <w:rsid w:val="51FE1E87"/>
    <w:rsid w:val="522105B9"/>
    <w:rsid w:val="5259656B"/>
    <w:rsid w:val="535B634F"/>
    <w:rsid w:val="53807561"/>
    <w:rsid w:val="53C71634"/>
    <w:rsid w:val="542919A7"/>
    <w:rsid w:val="55D87B28"/>
    <w:rsid w:val="56397652"/>
    <w:rsid w:val="565C2507"/>
    <w:rsid w:val="566118CC"/>
    <w:rsid w:val="56A23A63"/>
    <w:rsid w:val="56F95FA8"/>
    <w:rsid w:val="572D5C52"/>
    <w:rsid w:val="57BC55BA"/>
    <w:rsid w:val="58337298"/>
    <w:rsid w:val="58680DC2"/>
    <w:rsid w:val="588673C8"/>
    <w:rsid w:val="58E02A3F"/>
    <w:rsid w:val="5900361E"/>
    <w:rsid w:val="592F7A5F"/>
    <w:rsid w:val="59345076"/>
    <w:rsid w:val="59361DA9"/>
    <w:rsid w:val="59575208"/>
    <w:rsid w:val="595C12A3"/>
    <w:rsid w:val="5979371D"/>
    <w:rsid w:val="5996188C"/>
    <w:rsid w:val="59C77C98"/>
    <w:rsid w:val="59DE1485"/>
    <w:rsid w:val="5A9F0C15"/>
    <w:rsid w:val="5AD36B10"/>
    <w:rsid w:val="5AE64A95"/>
    <w:rsid w:val="5B137EF8"/>
    <w:rsid w:val="5B1F1DFE"/>
    <w:rsid w:val="5B322D65"/>
    <w:rsid w:val="5BBC75A4"/>
    <w:rsid w:val="5BCC4E68"/>
    <w:rsid w:val="5C0E6052"/>
    <w:rsid w:val="5C38700F"/>
    <w:rsid w:val="5C4E644E"/>
    <w:rsid w:val="5C606182"/>
    <w:rsid w:val="5C8C341B"/>
    <w:rsid w:val="5C9B365E"/>
    <w:rsid w:val="5CD1707F"/>
    <w:rsid w:val="5D01298C"/>
    <w:rsid w:val="5D206DB4"/>
    <w:rsid w:val="5D292A17"/>
    <w:rsid w:val="5D3347E5"/>
    <w:rsid w:val="5E043D85"/>
    <w:rsid w:val="5E510503"/>
    <w:rsid w:val="5E7540E3"/>
    <w:rsid w:val="5E8B1BDC"/>
    <w:rsid w:val="5E93321A"/>
    <w:rsid w:val="5E9B7945"/>
    <w:rsid w:val="5EA2053A"/>
    <w:rsid w:val="5EBD5B0D"/>
    <w:rsid w:val="5F07293D"/>
    <w:rsid w:val="5F1B4F3C"/>
    <w:rsid w:val="5F2B6F1B"/>
    <w:rsid w:val="5F335DCF"/>
    <w:rsid w:val="5F475456"/>
    <w:rsid w:val="5F4C0C3F"/>
    <w:rsid w:val="5FC058B5"/>
    <w:rsid w:val="5FE1582B"/>
    <w:rsid w:val="5FF23595"/>
    <w:rsid w:val="5FF437B1"/>
    <w:rsid w:val="601C4AB5"/>
    <w:rsid w:val="608D150F"/>
    <w:rsid w:val="611D2893"/>
    <w:rsid w:val="613D1187"/>
    <w:rsid w:val="614442C4"/>
    <w:rsid w:val="61750921"/>
    <w:rsid w:val="617A5F38"/>
    <w:rsid w:val="61926DDD"/>
    <w:rsid w:val="62386256"/>
    <w:rsid w:val="62D11B87"/>
    <w:rsid w:val="62E80EC0"/>
    <w:rsid w:val="631D301E"/>
    <w:rsid w:val="631F49AF"/>
    <w:rsid w:val="632717A7"/>
    <w:rsid w:val="6384309D"/>
    <w:rsid w:val="638D0589"/>
    <w:rsid w:val="63A64CB2"/>
    <w:rsid w:val="63CE39A4"/>
    <w:rsid w:val="63D27965"/>
    <w:rsid w:val="64025D70"/>
    <w:rsid w:val="643017E4"/>
    <w:rsid w:val="644840CB"/>
    <w:rsid w:val="64966BE4"/>
    <w:rsid w:val="65165F77"/>
    <w:rsid w:val="65DD0DD9"/>
    <w:rsid w:val="65FE0EE5"/>
    <w:rsid w:val="663F14FE"/>
    <w:rsid w:val="66707909"/>
    <w:rsid w:val="668A3A1E"/>
    <w:rsid w:val="66B141AA"/>
    <w:rsid w:val="67470A9D"/>
    <w:rsid w:val="6773145F"/>
    <w:rsid w:val="67B90B06"/>
    <w:rsid w:val="67FA56DC"/>
    <w:rsid w:val="681A3FD0"/>
    <w:rsid w:val="6888718C"/>
    <w:rsid w:val="68B25FB7"/>
    <w:rsid w:val="69164798"/>
    <w:rsid w:val="699852A0"/>
    <w:rsid w:val="69C67986"/>
    <w:rsid w:val="69D837FB"/>
    <w:rsid w:val="6A246A40"/>
    <w:rsid w:val="6A9C6F1F"/>
    <w:rsid w:val="6ABA1153"/>
    <w:rsid w:val="6AF44665"/>
    <w:rsid w:val="6BDB75D3"/>
    <w:rsid w:val="6BF80185"/>
    <w:rsid w:val="6C2B055A"/>
    <w:rsid w:val="6C423AF6"/>
    <w:rsid w:val="6C8A72E3"/>
    <w:rsid w:val="6C923EBF"/>
    <w:rsid w:val="6CB32FBD"/>
    <w:rsid w:val="6D1D49F8"/>
    <w:rsid w:val="6D8F2D6B"/>
    <w:rsid w:val="6DFF610A"/>
    <w:rsid w:val="6E0C43BB"/>
    <w:rsid w:val="6EF07839"/>
    <w:rsid w:val="6F2F65B3"/>
    <w:rsid w:val="6F5C0369"/>
    <w:rsid w:val="6FC4358D"/>
    <w:rsid w:val="6FF128C8"/>
    <w:rsid w:val="6FF60E7F"/>
    <w:rsid w:val="713C6D66"/>
    <w:rsid w:val="71DD2CB4"/>
    <w:rsid w:val="72011973"/>
    <w:rsid w:val="72563E57"/>
    <w:rsid w:val="72D24CB5"/>
    <w:rsid w:val="72DA6836"/>
    <w:rsid w:val="72F21DD2"/>
    <w:rsid w:val="72FF629D"/>
    <w:rsid w:val="730022F6"/>
    <w:rsid w:val="732301DD"/>
    <w:rsid w:val="732950C8"/>
    <w:rsid w:val="735E76C4"/>
    <w:rsid w:val="73C60B68"/>
    <w:rsid w:val="73FD2CDB"/>
    <w:rsid w:val="74024296"/>
    <w:rsid w:val="74185868"/>
    <w:rsid w:val="742510D0"/>
    <w:rsid w:val="74257F85"/>
    <w:rsid w:val="744F0B5E"/>
    <w:rsid w:val="749A44CF"/>
    <w:rsid w:val="74F55BA9"/>
    <w:rsid w:val="74F6722B"/>
    <w:rsid w:val="751A53DD"/>
    <w:rsid w:val="75504B8E"/>
    <w:rsid w:val="759626BB"/>
    <w:rsid w:val="75A118BC"/>
    <w:rsid w:val="76191423"/>
    <w:rsid w:val="76326989"/>
    <w:rsid w:val="76562678"/>
    <w:rsid w:val="7718792D"/>
    <w:rsid w:val="77D965A0"/>
    <w:rsid w:val="77DE6301"/>
    <w:rsid w:val="77FC484A"/>
    <w:rsid w:val="782C5979"/>
    <w:rsid w:val="7847671C"/>
    <w:rsid w:val="789254BD"/>
    <w:rsid w:val="79002D6F"/>
    <w:rsid w:val="791660EE"/>
    <w:rsid w:val="79751DE3"/>
    <w:rsid w:val="7A1E674C"/>
    <w:rsid w:val="7AA65838"/>
    <w:rsid w:val="7B821819"/>
    <w:rsid w:val="7BAC4AE8"/>
    <w:rsid w:val="7BC21CB9"/>
    <w:rsid w:val="7C9C690A"/>
    <w:rsid w:val="7D1172F8"/>
    <w:rsid w:val="7D7B6E68"/>
    <w:rsid w:val="7DAC0DCF"/>
    <w:rsid w:val="7E372159"/>
    <w:rsid w:val="7EAF501B"/>
    <w:rsid w:val="7F080287"/>
    <w:rsid w:val="7F1255AA"/>
    <w:rsid w:val="7F2457A8"/>
    <w:rsid w:val="7F491DA9"/>
    <w:rsid w:val="7FB623D9"/>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3">
    <w:name w:val="toc 7"/>
    <w:basedOn w:val="1"/>
    <w:next w:val="1"/>
    <w:qFormat/>
    <w:uiPriority w:val="0"/>
    <w:pPr>
      <w:ind w:left="2520" w:leftChars="1200"/>
    </w:pPr>
  </w:style>
  <w:style w:type="paragraph" w:styleId="4">
    <w:name w:val="Body Text"/>
    <w:basedOn w:val="1"/>
    <w:semiHidden/>
    <w:qFormat/>
    <w:uiPriority w:val="0"/>
    <w:rPr>
      <w:rFonts w:ascii="宋体" w:hAnsi="宋体" w:cs="宋体"/>
      <w:szCs w:val="21"/>
      <w:lang w:eastAsia="en-US"/>
    </w:rPr>
  </w:style>
  <w:style w:type="paragraph" w:styleId="5">
    <w:name w:val="toc 5"/>
    <w:basedOn w:val="1"/>
    <w:next w:val="1"/>
    <w:qFormat/>
    <w:uiPriority w:val="0"/>
    <w:pPr>
      <w:ind w:left="1680" w:leftChars="800"/>
    </w:pPr>
  </w:style>
  <w:style w:type="paragraph" w:styleId="6">
    <w:name w:val="toc 3"/>
    <w:basedOn w:val="1"/>
    <w:next w:val="1"/>
    <w:qFormat/>
    <w:uiPriority w:val="0"/>
    <w:pPr>
      <w:ind w:left="840" w:leftChars="400"/>
    </w:pPr>
  </w:style>
  <w:style w:type="paragraph" w:styleId="7">
    <w:name w:val="toc 8"/>
    <w:basedOn w:val="1"/>
    <w:next w:val="1"/>
    <w:qFormat/>
    <w:uiPriority w:val="0"/>
    <w:pPr>
      <w:ind w:left="2940" w:leftChars="1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style>
  <w:style w:type="paragraph" w:styleId="11">
    <w:name w:val="toc 4"/>
    <w:basedOn w:val="1"/>
    <w:next w:val="1"/>
    <w:qFormat/>
    <w:uiPriority w:val="0"/>
    <w:pPr>
      <w:ind w:left="1260" w:leftChars="600"/>
    </w:pPr>
  </w:style>
  <w:style w:type="paragraph" w:styleId="12">
    <w:name w:val="toc 6"/>
    <w:basedOn w:val="1"/>
    <w:next w:val="1"/>
    <w:qFormat/>
    <w:uiPriority w:val="0"/>
    <w:pPr>
      <w:ind w:left="2100" w:leftChars="1000"/>
    </w:pPr>
  </w:style>
  <w:style w:type="paragraph" w:styleId="13">
    <w:name w:val="toc 2"/>
    <w:basedOn w:val="1"/>
    <w:next w:val="1"/>
    <w:qFormat/>
    <w:uiPriority w:val="0"/>
    <w:pPr>
      <w:ind w:left="420" w:leftChars="200"/>
    </w:pPr>
  </w:style>
  <w:style w:type="paragraph" w:styleId="14">
    <w:name w:val="toc 9"/>
    <w:basedOn w:val="1"/>
    <w:next w:val="1"/>
    <w:qFormat/>
    <w:uiPriority w:val="0"/>
    <w:pPr>
      <w:ind w:left="3360" w:leftChars="1600"/>
    </w:p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paragraph" w:customStyle="1" w:styleId="20">
    <w:name w:val="Table Text"/>
    <w:basedOn w:val="1"/>
    <w:semiHidden/>
    <w:qFormat/>
    <w:uiPriority w:val="0"/>
    <w:rPr>
      <w:rFonts w:ascii="宋体" w:hAnsi="宋体" w:cs="宋体"/>
      <w:sz w:val="18"/>
      <w:szCs w:val="18"/>
      <w:lang w:eastAsia="en-US"/>
    </w:rPr>
  </w:style>
  <w:style w:type="table" w:customStyle="1" w:styleId="21">
    <w:name w:val="Table Normal"/>
    <w:unhideWhenUsed/>
    <w:qFormat/>
    <w:uiPriority w:val="0"/>
    <w:tblPr>
      <w:tblCellMar>
        <w:top w:w="0" w:type="dxa"/>
        <w:left w:w="0" w:type="dxa"/>
        <w:bottom w:w="0" w:type="dxa"/>
        <w:right w:w="0" w:type="dxa"/>
      </w:tblCellMar>
    </w:tbl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paragraph" w:customStyle="1" w:styleId="23">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9bac2af2-a1b6-41ee-bad6-12f34d03c525</errorID>
      <errorWord>适于</errorWord>
      <group>L1_AI</group>
      <groupName>深度校对</groupName>
      <ability>L2_AI_Word</ability>
      <abilityName>字词纠错</abilityName>
      <candidateList>
        <item>适用于</item>
      </candidateList>
      <explain/>
      <paraID>2423CB08</paraID>
      <start>9</start>
      <end>11</end>
      <status>unmodified</status>
      <modifiedWord/>
      <trackRevisions>false</trackRevisions>
    </reviewItem>
    <reviewItem>
      <errorID>5ec2b488-2458-42f1-89d6-f6bead21fd5f</errorID>
      <errorWord>，</errorWord>
      <group>L1_AI</group>
      <groupName>深度校对</groupName>
      <ability>L2_AI_Grammar</ability>
      <abilityName>语法纠错</abilityName>
      <candidateList>
        <item>教育，</item>
      </candidateList>
      <explain/>
      <paraID>2423CB08</paraID>
      <start>22</start>
      <end>23</end>
      <status>unmodified</status>
      <modifiedWord/>
      <trackRevisions>false</trackRevisions>
    </reviewItem>
    <reviewItem>
      <errorID>b84bbcfd-2dc1-4032-bd62-22f590fb2d60</errorID>
      <errorWord>制订</errorWord>
      <group>L1_AI</group>
      <groupName>深度校对</groupName>
      <ability>L2_AI_Word</ability>
      <abilityName>字词纠错</abilityName>
      <candidateList>
        <item>制定</item>
      </candidateList>
      <explain/>
      <paraID>2423CB08</paraID>
      <start>63</start>
      <end>65</end>
      <status>unmodified</status>
      <modifiedWord/>
      <trackRevisions>false</trackRevisions>
    </reviewItem>
    <reviewItem>
      <errorID>cf504350-8069-4e58-8b07-6fbb7bf53f08</errorID>
      <errorWord>联席会</errorWord>
      <group>L1_AI</group>
      <groupName>深度校对</groupName>
      <ability>L2_AI_Word</ability>
      <abilityName>字词纠错</abilityName>
      <candidateList>
        <item>联席会议</item>
      </candidateList>
      <explain/>
      <paraID>2423CB08</paraID>
      <start>74</start>
      <end>77</end>
      <status>unmodified</status>
      <modifiedWord/>
      <trackRevisions>false</trackRevisions>
    </reviewItem>
    <reviewItem>
      <errorID>7dd6bf84-3aa3-4696-90c9-2eead9b34fe2</errorID>
      <errorWord>，</errorWord>
      <group>L1_AI</group>
      <groupName>深度校对</groupName>
      <ability>L2_AI_Punc</ability>
      <abilityName>标点纠错</abilityName>
      <candidateList>
        <item>、</item>
      </candidateList>
      <explain/>
      <paraID>2423CB08</paraID>
      <start>93</start>
      <end>94</end>
      <status>unmodified</status>
      <modifiedWord/>
      <trackRevisions>false</trackRevisions>
    </reviewItem>
    <reviewItem>
      <errorID>b4d19423-af6c-4e4b-95a1-2c34c7a0a2ba</errorID>
      <errorWord>，</errorWord>
      <group>L1_AI</group>
      <groupName>深度校对</groupName>
      <ability>L2_AI_Word</ability>
      <abilityName>字词纠错</abilityName>
      <candidateList>
        <item>后</item>
      </candidateList>
      <explain/>
      <paraID>2423CB08</paraID>
      <start>109</start>
      <end>110</end>
      <status>unmodified</status>
      <modifiedWord/>
      <trackRevisions>false</trackRevisions>
    </reviewItem>
    <reviewItem>
      <errorID>654aa2d9-346e-4d0e-8245-80ea0e79dc9f</errorID>
      <errorWord>同等学力</errorWord>
      <group>L1_Word</group>
      <groupName>字词问题</groupName>
      <ability>L2_Typo</ability>
      <abilityName>字词错误</abilityName>
      <candidateList>
        <item>同等学历</item>
      </candidateList>
      <explain/>
      <paraID>71DC8241</paraID>
      <start>20</start>
      <end>24</end>
      <status>modified</status>
      <modifiedWord>同等学历</modifiedWord>
      <trackRevisions>false</trackRevisions>
    </reviewItem>
    <reviewItem>
      <errorID>5beef73d-9926-4866-8c99-e9a50b95130e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38F4DE7B</paraID>
      <start>22</start>
      <end>23</end>
      <status>unmodified</status>
      <modifiedWord/>
      <trackRevisions>false</trackRevisions>
    </reviewItem>
    <reviewItem>
      <errorID>a7f4449d-9381-4da7-9886-1bfd2cad9857</errorID>
      <errorWord>务</errorWord>
      <group>L1_Word</group>
      <groupName>字词问题</groupName>
      <ability>L2_Typo</ability>
      <abilityName>字词错误</abilityName>
      <candidateList>
        <item>务业</item>
      </candidateList>
      <explain/>
      <paraID>6A81D5F4</paraID>
      <start>159</start>
      <end>161</end>
      <status>modified</status>
      <modifiedWord>务业</modifiedWord>
      <trackRevisions>false</trackRevisions>
    </reviewItem>
    <reviewItem>
      <errorID>6ab68d5c-4a9c-46c5-ab7c-4a7535d5aac2</errorID>
      <errorWord>客户关3系</errorWord>
      <group>L1_AI</group>
      <groupName>深度校对</groupName>
      <ability>L2_AI_Word</ability>
      <abilityName>字词纠错</abilityName>
      <candidateList>
        <item>客户关系</item>
      </candidateList>
      <explain/>
      <paraID>345C4983</paraID>
      <start>38</start>
      <end>42</end>
      <status>modified</status>
      <modifiedWord>客户关系</modifiedWord>
      <trackRevisions>false</trackRevisions>
    </reviewItem>
    <reviewItem>
      <errorID>aefe3323-43a7-42a3-bb5f-9f87d4b0e134</errorID>
      <errorWord>基础课</errorWord>
      <group>L1_AI</group>
      <groupName>深度校对</groupName>
      <ability>L2_AI_Word</ability>
      <abilityName>字词纠错</abilityName>
      <candidateList>
        <item>基础</item>
      </candidateList>
      <explain/>
      <paraID>756CB5AD</paraID>
      <start>5</start>
      <end>8</end>
      <status>unmodified</status>
      <modifiedWord/>
      <trackRevisions>false</trackRevisions>
    </reviewItem>
    <reviewItem>
      <errorID>6ceadeb2-3418-415c-8e06-ce43e5cb22f1</errorID>
      <errorWord>判断上</errorWord>
      <group>L1_Word</group>
      <groupName>字词问题</groupName>
      <ability>L2_Typo</ability>
      <abilityName>字词错误</abilityName>
      <candidateList>
        <item>判断</item>
      </candidateList>
      <explain/>
      <paraID>7E1F9C1A</paraID>
      <start>49</start>
      <end>52</end>
      <status>unmodified</status>
      <modifiedWord/>
      <trackRevisions>false</trackRevisions>
    </reviewItem>
    <reviewItem>
      <errorID>bebb3f6e-b9ef-48f3-8eac-3f0b00c6d370</errorID>
      <errorWord>提高政治辨别力</errorWord>
      <group>L1_Political</group>
      <groupName>政治性问题</groupName>
      <ability>L2_Keyword</ability>
      <abilityName>固定表述</abilityName>
      <candidateList>
        <item>提高政治能力</item>
      </candidateList>
      <explain>词汇“提高政治能力”在特定场景下为固定表述形式，请确认此处的“提高政治辨别力”是否存在不当。</explain>
      <paraID>7E8F7FB8</paraID>
      <start>108</start>
      <end>115</end>
      <status>unmodified</status>
      <modifiedWord/>
      <trackRevisions>false</trackRevisions>
    </reviewItem>
    <reviewItem>
      <errorID>cfdd82d7-cdf9-4815-b505-2bad34a965e6</errorID>
      <errorWord>围绕在</errorWord>
      <group>L1_Word</group>
      <groupName>字词问题</groupName>
      <ability>L2_Typo</ability>
      <abilityName>字词错误</abilityName>
      <candidateList>
        <item>围绕</item>
      </candidateList>
      <explain/>
      <paraID>7E8F7FB8</paraID>
      <start>118</start>
      <end>121</end>
      <status>unmodified</status>
      <modifiedWord/>
      <trackRevisions>false</trackRevisions>
    </reviewItem>
    <reviewItem>
      <errorID>816e2acc-1775-4876-8137-8a2085552be5</errorID>
      <errorWord>，为</errorWord>
      <group>L1_Word</group>
      <groupName>字词问题</groupName>
      <ability>L2_Typo</ability>
      <abilityName>字词错误</abilityName>
      <candidateList>
        <item>，</item>
      </candidateList>
      <explain/>
      <paraID>5CC2BAA9</paraID>
      <start>57</start>
      <end>59</end>
      <status>unmodified</status>
      <modifiedWord/>
      <trackRevisions>false</trackRevisions>
    </reviewItem>
    <reviewItem>
      <errorID>03f1adb6-3e72-490a-90c8-bf4e2d50554d</errorID>
      <errorWord>情景</errorWord>
      <group>L1_Word</group>
      <groupName>字词问题</groupName>
      <ability>L2_Typo</ability>
      <abilityName>字词错误</abilityName>
      <candidateList>
        <item>情境</item>
      </candidateList>
      <explain>存在发音相同字词的误用。</explain>
      <paraID>30C74D8D</paraID>
      <start>2</start>
      <end>4</end>
      <status>unmodified</status>
      <modifiedWord/>
      <trackRevisions>false</trackRevisions>
    </reviewItem>
    <reviewItem>
      <errorID>f26d1e62-1021-4ba3-9f2b-7e31c7a0d6ab</errorID>
      <errorWord>的</errorWord>
      <group>L1_Word</group>
      <groupName>字词问题</groupName>
      <ability>L2_Typo</ability>
      <abilityName>字词错误</abilityName>
      <candidateList>
        <item>的新</item>
      </candidateList>
      <explain/>
      <paraID> A84487D</paraID>
      <start>49</start>
      <end>50</end>
      <status>unmodified</status>
      <modifiedWord/>
      <trackRevisions>false</trackRevisions>
    </reviewItem>
    <reviewItem>
      <errorID>1b0202c9-f066-4be6-a627-9362670371c3</errorID>
      <errorWord>；</errorWord>
      <group>L1_Word</group>
      <groupName>字词问题</groupName>
      <ability>L2_Typo</ability>
      <abilityName>字词错误</abilityName>
      <candidateList>
        <item>；在</item>
      </candidateList>
      <explain/>
      <paraID>499A2E49</paraID>
      <start>18</start>
      <end>19</end>
      <status>unmodified</status>
      <modifiedWord/>
      <trackRevisions>false</trackRevisions>
    </reviewItem>
    <reviewItem>
      <errorID>266218aa-7093-4e4a-8a53-c93d422ddbe0</errorID>
      <errorWord>“中国共产党为什么能”“马克思主义为什么行”“中国特色社会主义为什么好</errorWord>
      <group>L1_Political</group>
      <groupName>政治性问题</groupName>
      <ability>L2_Keyword</ability>
      <abilityName>固定表述</abilityName>
      <candidateList>
        <item>中国共产党为什么能、马克思主义为什么行、中国特色社会主义为什么好</item>
      </candidateList>
      <explain>注意检查当前固定表述标点是否使用规范。</explain>
      <paraID>34732DC0</paraID>
      <start>31</start>
      <end>66</end>
      <status>unmodified</status>
      <modifiedWord/>
      <trackRevisions>false</trackRevisions>
    </reviewItem>
    <reviewItem>
      <errorID>7bdec6eb-1985-4ba6-9bf3-ff09ca43c824</errorID>
      <errorWord>坚持和加强党的领导</errorWord>
      <group>L1_Word</group>
      <groupName>字词问题</groupName>
      <ability>L2_Typo</ability>
      <abilityName>字词错误</abilityName>
      <candidateList>
        <item>坚持和加强党的全面领导</item>
      </candidateList>
      <explain/>
      <paraID>50D15B45</paraID>
      <start>100</start>
      <end>109</end>
      <status>unmodified</status>
      <modifiedWord/>
      <trackRevisions>false</trackRevisions>
    </reviewItem>
    <reviewItem>
      <errorID>7ceec5fd-684c-483a-be3a-7dde48d2abc7</errorID>
      <errorWord>，</errorWord>
      <group>L1_Word</group>
      <groupName>字词问题</groupName>
      <ability>L2_Typo</ability>
      <abilityName>字词错误</abilityName>
      <candidateList>
        <item>，及</item>
      </candidateList>
      <explain/>
      <paraID>460BC5BC</paraID>
      <start>35</start>
      <end>36</end>
      <status>unmodified</status>
      <modifiedWord/>
      <trackRevisions>false</trackRevisions>
    </reviewItem>
    <reviewItem>
      <errorID>5cc19c0e-e887-4ca8-9032-ec00379e454a</errorID>
      <errorWord>的</errorWord>
      <group>L1_Word</group>
      <groupName>字词问题</groupName>
      <ability>L2_Typo</ability>
      <abilityName>字词错误</abilityName>
      <candidateList>
        <item>的国</item>
      </candidateList>
      <explain/>
      <paraID>460BC5BC</paraID>
      <start>154</start>
      <end>155</end>
      <status>unmodified</status>
      <modifiedWord/>
      <trackRevisions>false</trackRevisions>
    </reviewItem>
    <reviewItem>
      <errorID>e3ebf3b9-175c-418b-9295-bd61587d1a4f</errorID>
      <errorWord>全面建设小康社会</errorWord>
      <group>L1_Word</group>
      <groupName>字词问题</groupName>
      <ability>L2_Typo</ability>
      <abilityName>字词错误</abilityName>
      <candidateList>
        <item>全面建成小康社会</item>
      </candidateList>
      <explain/>
      <paraID> 52D90CF</paraID>
      <start>90</start>
      <end>98</end>
      <status>unmodified</status>
      <modifiedWord/>
      <trackRevisions>false</trackRevisions>
    </reviewItem>
    <reviewItem>
      <errorID>38684a60-9c40-45c1-a936-4388b5301ec8</errorID>
      <errorWord>中国特色社会主义的伟大实践</errorWord>
      <group>L1_Political</group>
      <groupName>政治性问题</groupName>
      <ability>L2_Keyword</ability>
      <abilityName>固定表述</abilityName>
      <candidateList>
        <item>中国特色社会主义伟大实践</item>
      </candidateList>
      <explain>词汇“中国特色社会主义伟大实践”在特定场景下为固定表述形式，请确认此处的“中国特色社会主义的伟大实践”是否存在不当。</explain>
      <paraID>3A7BE982</paraID>
      <start>123</start>
      <end>136</end>
      <status>unmodified</status>
      <modifiedWord/>
      <trackRevisions>false</trackRevisions>
    </reviewItem>
    <reviewItem>
      <errorID>5fd4a275-ff01-46f7-926f-97e48de5e9c8</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 C48B2B5</paraID>
      <start>0</start>
      <end>8</end>
      <status>unmodified</status>
      <modifiedWord/>
      <trackRevisions>false</trackRevisions>
    </reviewItem>
    <reviewItem>
      <errorID>85bbdb30-9d62-4570-9d84-4b6ce7ce682a</errorID>
      <errorWord>增强</errorWord>
      <group>L1_Grammar</group>
      <groupName>语法问题</groupName>
      <ability>L2_Grammar</ability>
      <abilityName>语法错误</abilityName>
      <candidateList>
        <item>加深</item>
      </candidateList>
      <explain>“增强～认识”搭配不当，建议修改为“加深～认识”。</explain>
      <paraID>67C22C63</paraID>
      <start>92</start>
      <end>94</end>
      <status>unmodified</status>
      <modifiedWord/>
      <trackRevisions>false</trackRevisions>
    </reviewItem>
    <reviewItem>
      <errorID>e18124db-aa4c-4982-a82c-e8165730c76d</errorID>
      <errorWord>界线</errorWord>
      <group>L1_Word</group>
      <groupName>字词问题</groupName>
      <ability>L2_Typo</ability>
      <abilityName>字词错误</abilityName>
      <candidateList>
        <item>界限</item>
      </candidateList>
      <explain/>
      <paraID>4B243E01</paraID>
      <start>161</start>
      <end>163</end>
      <status>unmodified</status>
      <modifiedWord/>
      <trackRevisions>false</trackRevisions>
    </reviewItem>
    <reviewItem>
      <errorID>323fdec5-282f-425c-8448-5bef7f9737a6</errorID>
      <errorWord>了解了</errorWord>
      <group>L1_Word</group>
      <groupName>字词问题</groupName>
      <ability>L2_Typo</ability>
      <abilityName>字词错误</abilityName>
      <candidateList>
        <item>了解</item>
      </candidateList>
      <explain/>
      <paraID>263A7B67</paraID>
      <start>34</start>
      <end>37</end>
      <status>unmodified</status>
      <modifiedWord/>
      <trackRevisions>false</trackRevisions>
    </reviewItem>
    <reviewItem>
      <errorID>95436275-a075-4ce4-805a-7fddc17c18f2</errorID>
      <errorWord>推动中华民族共同体建设</errorWord>
      <group>L1_Political</group>
      <groupName>政治性问题</groupName>
      <ability>L2_Keyword</ability>
      <abilityName>固定表述</abilityName>
      <candidateList>
        <item>推进中华民族共同体建设</item>
      </candidateList>
      <explain>词汇“推进中华民族共同体建设”在特定场景下为固定表述形式，请确认此处的“推动中华民族共同体建设”是否存在不当。</explain>
      <paraID>2D89845A</paraID>
      <start>163</start>
      <end>174</end>
      <status>unmodified</status>
      <modifiedWord/>
      <trackRevisions>false</trackRevisions>
    </reviewItem>
    <reviewItem>
      <errorID>f9cae399-848b-4fa9-b877-9a571a970c2d</errorID>
      <errorWord>学</errorWord>
      <group>L1_Word</group>
      <groupName>字词问题</groupName>
      <ability>L2_Typo</ability>
      <abilityName>字词错误</abilityName>
      <candidateList>
        <item>学方</item>
      </candidateList>
      <explain/>
      <paraID>5A234806</paraID>
      <start>26</start>
      <end>28</end>
      <status>modified</status>
      <modifiedWord>学方</modifiedWord>
      <trackRevisions>false</trackRevisions>
    </reviewItem>
    <reviewItem>
      <errorID>ddd9efe6-4fbd-4a4c-a10a-20422f31351d</errorID>
      <errorWord>粘性</errorWord>
      <group>L1_Word</group>
      <groupName>字词问题</groupName>
      <ability>L2_Typo</ability>
      <abilityName>字词错误</abilityName>
      <candidateList>
        <item>黏性</item>
      </candidateList>
      <explain/>
      <paraID>14497F96</paraID>
      <start>70</start>
      <end>72</end>
      <status>modified</status>
      <modifiedWord>黏性</modifiedWord>
      <trackRevisions>false</trackRevisions>
    </reviewItem>
    <reviewItem>
      <errorID>dd11f112-6713-4d74-90e9-e8839173813d</errorID>
      <errorWord>析</errorWord>
      <group>L1_Word</group>
      <groupName>字词问题</groupName>
      <ability>L2_Typo</ability>
      <abilityName>字词错误</abilityName>
      <candidateList>
        <item>析相</item>
      </candidateList>
      <explain/>
      <paraID>3C1DF82D</paraID>
      <start>10</start>
      <end>11</end>
      <status>unmodified</status>
      <modifiedWord/>
      <trackRevisions>false</trackRevisions>
    </reviewItem>
    <reviewItem>
      <errorID>37d32c44-6fa5-48f6-bbae-32eb41a3edca</errorID>
      <errorWord>粘性</errorWord>
      <group>L1_Word</group>
      <groupName>字词问题</groupName>
      <ability>L2_Typo</ability>
      <abilityName>字词错误</abilityName>
      <candidateList>
        <item>黏性</item>
      </candidateList>
      <explain/>
      <paraID> AE8A534</paraID>
      <start>61</start>
      <end>63</end>
      <status>modified</status>
      <modifiedWord>黏性</modifiedWord>
      <trackRevisions>false</trackRevisions>
    </reviewItem>
    <reviewItem>
      <errorID>f9d1a15e-a0a4-4ad7-841b-4efff396cdfc</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5B406EB8</paraID>
      <start>0</start>
      <end>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52e6ad-0b48-4a57-a67a-b5665f47cfc2}">
  <ds:schemaRefs/>
</ds:datastoreItem>
</file>

<file path=docProps/app.xml><?xml version="1.0" encoding="utf-8"?>
<Properties xmlns="http://schemas.openxmlformats.org/officeDocument/2006/extended-properties" xmlns:vt="http://schemas.openxmlformats.org/officeDocument/2006/docPropsVTypes">
  <Template>Normal</Template>
  <Pages>49</Pages>
  <Words>34594</Words>
  <Characters>35171</Characters>
  <Lines>1850</Lines>
  <Paragraphs>1270</Paragraphs>
  <TotalTime>18</TotalTime>
  <ScaleCrop>false</ScaleCrop>
  <LinksUpToDate>false</LinksUpToDate>
  <CharactersWithSpaces>35442</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何莹苑</cp:lastModifiedBy>
  <cp:lastPrinted>2026-03-24T12:47:06Z</cp:lastPrinted>
  <dcterms:modified xsi:type="dcterms:W3CDTF">2026-03-24T14:08:21Z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BEB3555F0E6440C6872ABE3DDD2CEB46_13</vt:lpwstr>
  </property>
  <property fmtid="{D5CDD505-2E9C-101B-9397-08002B2CF9AE}" pid="4" name="KSOTemplateDocerSaveRecord">
    <vt:lpwstr>eyJoZGlkIjoiOTlkYjc2ZWYyMDRiNWJjZTRkYjI2Yzk5M2I2MDljMjYiLCJ1c2VySWQiOiIyOTg5OTU1NTEifQ==</vt:lpwstr>
  </property>
</Properties>
</file>