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djustRightInd w:val="0"/>
        <w:snapToGrid w:val="0"/>
        <w:jc w:val="both"/>
        <w:rPr>
          <w:rFonts w:hint="eastAsia" w:ascii="仿宋" w:hAnsi="仿宋" w:eastAsia="仿宋"/>
          <w:color w:val="auto"/>
          <w:szCs w:val="32"/>
          <w:highlight w:val="none"/>
        </w:rPr>
      </w:pPr>
      <w:r>
        <w:rPr>
          <w:rFonts w:ascii="宋体" w:hAnsi="宋体" w:eastAsia="宋体" w:cs="宋体"/>
          <w:color w:val="auto"/>
          <w:sz w:val="24"/>
          <w:szCs w:val="24"/>
          <w:highlight w:val="none"/>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6"/>
                    <a:stretch>
                      <a:fillRect/>
                    </a:stretch>
                  </pic:blipFill>
                  <pic:spPr>
                    <a:xfrm>
                      <a:off x="0" y="0"/>
                      <a:ext cx="5684520" cy="1270635"/>
                    </a:xfrm>
                    <a:prstGeom prst="rect">
                      <a:avLst/>
                    </a:prstGeom>
                    <a:noFill/>
                    <a:ln>
                      <a:noFill/>
                    </a:ln>
                  </pic:spPr>
                </pic:pic>
              </a:graphicData>
            </a:graphic>
          </wp:anchor>
        </w:drawing>
      </w: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华文新魏" w:hAnsi="仿宋" w:eastAsia="华文新魏"/>
          <w:b/>
          <w:color w:val="auto"/>
          <w:sz w:val="100"/>
          <w:szCs w:val="100"/>
          <w:highlight w:val="none"/>
        </w:rPr>
      </w:pP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highlight w:val="none"/>
        </w:rPr>
      </w:pPr>
      <w:r>
        <w:rPr>
          <w:rFonts w:hint="eastAsia" w:ascii="方正小标宋简体" w:hAnsi="方正小标宋简体" w:eastAsia="方正小标宋简体" w:cs="方正小标宋简体"/>
          <w:b w:val="0"/>
          <w:bCs/>
          <w:color w:val="auto"/>
          <w:sz w:val="72"/>
          <w:szCs w:val="72"/>
          <w:highlight w:val="none"/>
        </w:rPr>
        <w:t>202</w:t>
      </w:r>
      <w:r>
        <w:rPr>
          <w:rFonts w:hint="eastAsia" w:ascii="方正小标宋简体" w:hAnsi="方正小标宋简体" w:eastAsia="方正小标宋简体" w:cs="方正小标宋简体"/>
          <w:b w:val="0"/>
          <w:bCs/>
          <w:color w:val="auto"/>
          <w:sz w:val="72"/>
          <w:szCs w:val="72"/>
          <w:highlight w:val="none"/>
          <w:lang w:val="en-US" w:eastAsia="zh-CN"/>
        </w:rPr>
        <w:t>5</w:t>
      </w:r>
      <w:r>
        <w:rPr>
          <w:rFonts w:hint="eastAsia" w:ascii="方正小标宋简体" w:hAnsi="方正小标宋简体" w:eastAsia="方正小标宋简体" w:cs="方正小标宋简体"/>
          <w:b w:val="0"/>
          <w:bCs/>
          <w:color w:val="auto"/>
          <w:sz w:val="72"/>
          <w:szCs w:val="72"/>
          <w:highlight w:val="none"/>
        </w:rPr>
        <w:t>级专业人才培养方案</w:t>
      </w:r>
    </w:p>
    <w:p>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highlight w:val="none"/>
          <w:shd w:val="clear" w:color="auto" w:fill="FFFFFF"/>
        </w:rPr>
      </w:pP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shd w:val="clear" w:color="auto" w:fill="FFFFFF"/>
          <w:lang w:val="en-US" w:eastAsia="zh-CN"/>
        </w:rPr>
        <w:t>专  业  名  称</w:t>
      </w:r>
      <w:r>
        <w:rPr>
          <w:rFonts w:hint="eastAsia" w:ascii="仿宋_GB2312" w:hAnsi="仿宋_GB2312" w:eastAsia="仿宋_GB2312" w:cs="仿宋_GB2312"/>
          <w:color w:val="auto"/>
          <w:kern w:val="0"/>
          <w:sz w:val="32"/>
          <w:szCs w:val="32"/>
          <w:highlight w:val="none"/>
          <w:shd w:val="clear" w:color="auto" w:fill="FFFFFF"/>
        </w:rPr>
        <w:t>：</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u w:val="single"/>
        </w:rPr>
        <w:t xml:space="preserve"> 城市轨道交通工程技术  </w:t>
      </w:r>
      <w:r>
        <w:rPr>
          <w:rFonts w:hint="eastAsia" w:ascii="仿宋_GB2312" w:hAnsi="仿宋_GB2312" w:eastAsia="仿宋_GB2312" w:cs="仿宋_GB2312"/>
          <w:color w:val="auto"/>
          <w:kern w:val="0"/>
          <w:sz w:val="32"/>
          <w:szCs w:val="32"/>
          <w:highlight w:val="non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shd w:val="clear" w:color="auto" w:fill="FFFFFF"/>
        </w:rPr>
        <w:t>专  业</w:t>
      </w:r>
      <w:r>
        <w:rPr>
          <w:rFonts w:hint="eastAsia" w:ascii="仿宋_GB2312" w:hAnsi="仿宋_GB2312" w:eastAsia="仿宋_GB2312" w:cs="仿宋_GB2312"/>
          <w:color w:val="auto"/>
          <w:kern w:val="0"/>
          <w:sz w:val="32"/>
          <w:szCs w:val="32"/>
          <w:highlight w:val="none"/>
          <w:shd w:val="clear" w:color="auto" w:fill="FFFFFF"/>
          <w:lang w:val="en-US" w:eastAsia="zh-CN"/>
        </w:rPr>
        <w:t xml:space="preserve">  代  码</w:t>
      </w:r>
      <w:r>
        <w:rPr>
          <w:rFonts w:hint="eastAsia" w:ascii="仿宋_GB2312" w:hAnsi="仿宋_GB2312" w:eastAsia="仿宋_GB2312" w:cs="仿宋_GB2312"/>
          <w:color w:val="auto"/>
          <w:kern w:val="0"/>
          <w:sz w:val="32"/>
          <w:szCs w:val="32"/>
          <w:highlight w:val="none"/>
          <w:shd w:val="clear" w:color="auto" w:fill="FFFFFF"/>
        </w:rPr>
        <w:t>：</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u w:val="single"/>
        </w:rPr>
        <w:t xml:space="preserve"> 500601</w:t>
      </w:r>
      <w:r>
        <w:rPr>
          <w:rFonts w:hint="eastAsia" w:ascii="仿宋_GB2312" w:hAnsi="仿宋_GB2312" w:eastAsia="仿宋_GB2312" w:cs="仿宋_GB2312"/>
          <w:color w:val="auto"/>
          <w:kern w:val="0"/>
          <w:sz w:val="32"/>
          <w:szCs w:val="32"/>
          <w:highlight w:val="none"/>
          <w:u w:val="single"/>
          <w:lang w:val="en-US" w:eastAsia="zh-CN"/>
        </w:rPr>
        <w:t xml:space="preserve">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shd w:val="clear" w:color="auto" w:fill="FFFFFF"/>
          <w:lang w:val="en-US" w:eastAsia="zh-CN"/>
        </w:rPr>
        <w:t>专  业</w:t>
      </w:r>
      <w:r>
        <w:rPr>
          <w:rFonts w:hint="eastAsia" w:ascii="仿宋_GB2312" w:hAnsi="仿宋_GB2312" w:eastAsia="仿宋_GB2312" w:cs="仿宋_GB2312"/>
          <w:color w:val="auto"/>
          <w:kern w:val="0"/>
          <w:sz w:val="32"/>
          <w:szCs w:val="32"/>
          <w:highlight w:val="none"/>
          <w:shd w:val="clear" w:color="auto" w:fill="FFFFFF"/>
        </w:rPr>
        <w:t xml:space="preserve">  学  制：</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single"/>
          <w:lang w:val="en-US" w:eastAsia="zh-CN"/>
        </w:rPr>
        <w:t>三年制</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shd w:val="clear" w:color="auto" w:fill="FFFFFF"/>
        </w:rPr>
        <w:t>制</w:t>
      </w:r>
      <w:r>
        <w:rPr>
          <w:rFonts w:hint="eastAsia" w:ascii="仿宋_GB2312" w:hAnsi="仿宋_GB2312" w:eastAsia="仿宋_GB2312" w:cs="仿宋_GB2312"/>
          <w:color w:val="auto"/>
          <w:kern w:val="0"/>
          <w:sz w:val="32"/>
          <w:szCs w:val="32"/>
          <w:highlight w:val="none"/>
          <w:shd w:val="clear" w:color="auto" w:fill="FFFFFF"/>
          <w:lang w:eastAsia="zh-CN"/>
        </w:rPr>
        <w:t>（</w:t>
      </w:r>
      <w:r>
        <w:rPr>
          <w:rFonts w:hint="eastAsia" w:ascii="仿宋_GB2312" w:hAnsi="仿宋_GB2312" w:eastAsia="仿宋_GB2312" w:cs="仿宋_GB2312"/>
          <w:color w:val="auto"/>
          <w:kern w:val="0"/>
          <w:sz w:val="32"/>
          <w:szCs w:val="32"/>
          <w:highlight w:val="none"/>
          <w:shd w:val="clear" w:color="auto" w:fill="FFFFFF"/>
          <w:lang w:val="en-US" w:eastAsia="zh-CN"/>
        </w:rPr>
        <w:t>修</w:t>
      </w:r>
      <w:r>
        <w:rPr>
          <w:rFonts w:hint="eastAsia" w:ascii="仿宋_GB2312" w:hAnsi="仿宋_GB2312" w:eastAsia="仿宋_GB2312" w:cs="仿宋_GB2312"/>
          <w:color w:val="auto"/>
          <w:kern w:val="0"/>
          <w:sz w:val="32"/>
          <w:szCs w:val="32"/>
          <w:highlight w:val="none"/>
          <w:shd w:val="clear" w:color="auto" w:fill="FFFFFF"/>
          <w:lang w:eastAsia="zh-CN"/>
        </w:rPr>
        <w:t>）</w:t>
      </w:r>
      <w:r>
        <w:rPr>
          <w:rFonts w:hint="eastAsia" w:ascii="仿宋_GB2312" w:hAnsi="仿宋_GB2312" w:eastAsia="仿宋_GB2312" w:cs="仿宋_GB2312"/>
          <w:color w:val="auto"/>
          <w:kern w:val="0"/>
          <w:sz w:val="32"/>
          <w:szCs w:val="32"/>
          <w:highlight w:val="none"/>
          <w:shd w:val="clear" w:color="auto" w:fill="FFFFFF"/>
        </w:rPr>
        <w:t xml:space="preserve">定时间：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single"/>
          <w:lang w:val="en-US" w:eastAsia="zh-CN"/>
        </w:rPr>
        <w:t>2025年4月</w:t>
      </w:r>
      <w:r>
        <w:rPr>
          <w:rFonts w:hint="eastAsia" w:ascii="仿宋_GB2312" w:hAnsi="仿宋_GB2312" w:eastAsia="仿宋_GB2312" w:cs="仿宋_GB2312"/>
          <w:color w:val="auto"/>
          <w:kern w:val="0"/>
          <w:sz w:val="32"/>
          <w:szCs w:val="32"/>
          <w:highlight w:val="none"/>
          <w:u w:val="singl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highlight w:val="none"/>
          <w:u w:val="single"/>
        </w:rPr>
      </w:pPr>
      <w:r>
        <w:rPr>
          <w:rFonts w:hint="eastAsia" w:ascii="仿宋_GB2312" w:hAnsi="仿宋_GB2312" w:eastAsia="仿宋_GB2312" w:cs="仿宋_GB2312"/>
          <w:color w:val="auto"/>
          <w:kern w:val="0"/>
          <w:sz w:val="32"/>
          <w:szCs w:val="32"/>
          <w:highlight w:val="none"/>
          <w:lang w:val="en-US" w:eastAsia="zh-CN"/>
        </w:rPr>
        <w:t>所</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val="en-US" w:eastAsia="zh-CN"/>
        </w:rPr>
        <w:t>属</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val="en-US" w:eastAsia="zh-CN"/>
        </w:rPr>
        <w:t>学  院</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single"/>
          <w:lang w:val="en-US" w:eastAsia="zh-CN"/>
        </w:rPr>
        <w:t>铁道与航空学院</w:t>
      </w:r>
      <w:r>
        <w:rPr>
          <w:rFonts w:hint="eastAsia" w:ascii="仿宋_GB2312" w:hAnsi="仿宋_GB2312" w:eastAsia="仿宋_GB2312" w:cs="仿宋_GB2312"/>
          <w:color w:val="auto"/>
          <w:kern w:val="0"/>
          <w:sz w:val="32"/>
          <w:szCs w:val="32"/>
          <w:highlight w:val="none"/>
          <w:u w:val="single"/>
        </w:rPr>
        <w:t xml:space="preserve">       </w:t>
      </w:r>
    </w:p>
    <w:p>
      <w:pPr>
        <w:rPr>
          <w:rFonts w:hint="eastAsia" w:ascii="仿宋_GB2312" w:hAnsi="仿宋_GB2312" w:eastAsia="仿宋_GB2312" w:cs="仿宋_GB2312"/>
          <w:color w:val="auto"/>
          <w:kern w:val="0"/>
          <w:sz w:val="32"/>
          <w:szCs w:val="32"/>
          <w:highlight w:val="none"/>
          <w:shd w:val="clear" w:color="auto" w:fill="FFFFFF"/>
        </w:rPr>
      </w:pPr>
    </w:p>
    <w:p>
      <w:pPr>
        <w:rPr>
          <w:rFonts w:hint="eastAsia" w:ascii="仿宋_GB2312" w:hAnsi="仿宋_GB2312" w:eastAsia="仿宋_GB2312" w:cs="仿宋_GB2312"/>
          <w:color w:val="auto"/>
          <w:kern w:val="0"/>
          <w:sz w:val="32"/>
          <w:szCs w:val="32"/>
          <w:highlight w:val="none"/>
          <w:shd w:val="clear" w:color="auto" w:fill="FFFFFF"/>
        </w:rPr>
      </w:pP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highlight w:val="none"/>
          <w:shd w:val="clear" w:color="auto" w:fill="FFFFFF"/>
        </w:rPr>
      </w:pPr>
      <w:r>
        <w:rPr>
          <w:rFonts w:hint="eastAsia" w:ascii="仿宋_GB2312" w:hAnsi="仿宋_GB2312" w:eastAsia="仿宋_GB2312" w:cs="仿宋_GB2312"/>
          <w:color w:val="auto"/>
          <w:kern w:val="0"/>
          <w:sz w:val="32"/>
          <w:szCs w:val="32"/>
          <w:highlight w:val="none"/>
          <w:shd w:val="clear" w:color="auto" w:fill="FFFFFF"/>
        </w:rPr>
        <w:t>广西工程职业学院</w:t>
      </w:r>
      <w:r>
        <w:rPr>
          <w:rFonts w:hint="eastAsia" w:ascii="仿宋_GB2312" w:hAnsi="仿宋_GB2312" w:eastAsia="仿宋_GB2312" w:cs="仿宋_GB2312"/>
          <w:color w:val="auto"/>
          <w:kern w:val="0"/>
          <w:sz w:val="32"/>
          <w:szCs w:val="32"/>
          <w:highlight w:val="none"/>
          <w:shd w:val="clear" w:color="auto" w:fill="FFFFFF"/>
          <w:lang w:val="en-US" w:eastAsia="zh-CN"/>
        </w:rPr>
        <w:t xml:space="preserve">  </w:t>
      </w:r>
      <w:r>
        <w:rPr>
          <w:rFonts w:hint="eastAsia" w:ascii="仿宋_GB2312" w:hAnsi="仿宋_GB2312" w:eastAsia="仿宋_GB2312" w:cs="仿宋_GB2312"/>
          <w:color w:val="auto"/>
          <w:kern w:val="0"/>
          <w:sz w:val="32"/>
          <w:szCs w:val="32"/>
          <w:highlight w:val="none"/>
          <w:shd w:val="clear" w:color="auto" w:fill="FFFFFF"/>
        </w:rPr>
        <w:t>制</w:t>
      </w: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仿宋_GB2312" w:hAnsi="仿宋_GB2312" w:eastAsia="仿宋_GB2312" w:cs="仿宋_GB2312"/>
          <w:color w:val="auto"/>
          <w:kern w:val="0"/>
          <w:sz w:val="32"/>
          <w:szCs w:val="32"/>
          <w:highlight w:val="none"/>
          <w:shd w:val="clear" w:color="auto" w:fill="FFFFFF"/>
          <w:lang w:val="en-US" w:eastAsia="zh-CN"/>
        </w:rPr>
        <w:t>2025年4月</w:t>
      </w:r>
    </w:p>
    <w:p>
      <w:pPr>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仿宋_GB2312" w:hAnsi="仿宋_GB2312" w:eastAsia="仿宋_GB2312" w:cs="仿宋_GB2312"/>
          <w:color w:val="auto"/>
          <w:kern w:val="0"/>
          <w:sz w:val="32"/>
          <w:szCs w:val="32"/>
          <w:highlight w:val="none"/>
          <w:shd w:val="clear" w:color="auto" w:fill="FFFFFF"/>
          <w:lang w:val="en-US" w:eastAsia="zh-CN"/>
        </w:rPr>
        <w:br w:type="page"/>
      </w:r>
    </w:p>
    <w:p>
      <w:pPr>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仿宋_GB2312" w:hAnsi="仿宋_GB2312" w:eastAsia="仿宋_GB2312" w:cs="仿宋_GB2312"/>
          <w:color w:val="auto"/>
          <w:kern w:val="0"/>
          <w:sz w:val="32"/>
          <w:szCs w:val="32"/>
          <w:highlight w:val="none"/>
          <w:shd w:val="clear" w:color="auto" w:fill="FFFFFF"/>
          <w:lang w:val="en-US" w:eastAsia="zh-CN"/>
        </w:rPr>
        <w:br w:type="page"/>
      </w:r>
    </w:p>
    <w:p>
      <w:pPr>
        <w:keepNext w:val="0"/>
        <w:keepLines w:val="0"/>
        <w:pageBreakBefore w:val="0"/>
        <w:widowControl w:val="0"/>
        <w:kinsoku/>
        <w:wordWrap/>
        <w:overflowPunct/>
        <w:topLinePunct w:val="0"/>
        <w:autoSpaceDE/>
        <w:autoSpaceDN/>
        <w:bidi w:val="0"/>
        <w:adjustRightInd/>
        <w:snapToGrid/>
        <w:spacing w:after="40" w:line="520" w:lineRule="exact"/>
        <w:jc w:val="both"/>
        <w:textAlignment w:val="auto"/>
        <w:rPr>
          <w:rFonts w:hint="eastAsia" w:ascii="仿宋_GB2312" w:hAnsi="仿宋_GB2312" w:eastAsia="仿宋_GB2312" w:cs="仿宋_GB2312"/>
          <w:color w:val="auto"/>
          <w:kern w:val="0"/>
          <w:sz w:val="32"/>
          <w:szCs w:val="32"/>
          <w:highlight w:val="none"/>
          <w:shd w:val="clear" w:color="auto" w:fill="FFFFFF"/>
          <w:lang w:val="en-US" w:eastAsia="zh-CN"/>
        </w:rPr>
      </w:pPr>
    </w:p>
    <w:p>
      <w:pPr>
        <w:jc w:val="center"/>
        <w:rPr>
          <w:rFonts w:hint="eastAsia" w:ascii="黑体" w:hAnsi="黑体" w:eastAsia="黑体" w:cs="黑体"/>
          <w:b w:val="0"/>
          <w:bCs/>
          <w:color w:val="auto"/>
          <w:sz w:val="44"/>
          <w:szCs w:val="44"/>
          <w:highlight w:val="none"/>
        </w:rPr>
      </w:pPr>
      <w:r>
        <w:rPr>
          <w:rFonts w:hint="eastAsia" w:ascii="黑体" w:hAnsi="黑体" w:eastAsia="黑体" w:cs="黑体"/>
          <w:b w:val="0"/>
          <w:bCs/>
          <w:color w:val="auto"/>
          <w:sz w:val="44"/>
          <w:szCs w:val="44"/>
          <w:highlight w:val="none"/>
        </w:rPr>
        <w:t>编制说明</w:t>
      </w:r>
    </w:p>
    <w:p>
      <w:pPr>
        <w:ind w:firstLine="880" w:firstLineChars="200"/>
        <w:rPr>
          <w:rFonts w:hint="eastAsia" w:ascii="黑体" w:hAnsi="黑体" w:eastAsia="黑体" w:cs="黑体"/>
          <w:b w:val="0"/>
          <w:bCs/>
          <w:color w:val="auto"/>
          <w:sz w:val="44"/>
          <w:szCs w:val="44"/>
          <w:highlight w:val="none"/>
        </w:rPr>
      </w:pPr>
    </w:p>
    <w:p>
      <w:pPr>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本专业人才培养方案适于</w:t>
      </w:r>
      <w:r>
        <w:rPr>
          <w:rFonts w:hint="eastAsia" w:ascii="仿宋_GB2312" w:hAnsi="仿宋_GB2312" w:eastAsia="仿宋_GB2312" w:cs="仿宋_GB2312"/>
          <w:b w:val="0"/>
          <w:bCs/>
          <w:color w:val="auto"/>
          <w:sz w:val="32"/>
          <w:szCs w:val="32"/>
          <w:highlight w:val="none"/>
          <w:lang w:val="en-US" w:eastAsia="zh-CN"/>
        </w:rPr>
        <w:t>我校</w:t>
      </w:r>
      <w:r>
        <w:rPr>
          <w:rFonts w:hint="eastAsia" w:ascii="仿宋_GB2312" w:hAnsi="仿宋_GB2312" w:eastAsia="仿宋_GB2312" w:cs="仿宋_GB2312"/>
          <w:b w:val="0"/>
          <w:bCs/>
          <w:color w:val="auto"/>
          <w:sz w:val="32"/>
          <w:szCs w:val="32"/>
          <w:highlight w:val="none"/>
        </w:rPr>
        <w:t>三年全日制高职专科，由广西</w:t>
      </w:r>
      <w:r>
        <w:rPr>
          <w:rFonts w:hint="eastAsia" w:ascii="仿宋_GB2312" w:hAnsi="仿宋_GB2312" w:eastAsia="仿宋_GB2312" w:cs="仿宋_GB2312"/>
          <w:b w:val="0"/>
          <w:bCs/>
          <w:color w:val="auto"/>
          <w:sz w:val="32"/>
          <w:szCs w:val="32"/>
          <w:highlight w:val="none"/>
          <w:lang w:val="en-US" w:eastAsia="zh-CN"/>
        </w:rPr>
        <w:t>工程职业学院城市轨道交通工程技术</w:t>
      </w:r>
      <w:r>
        <w:rPr>
          <w:rFonts w:hint="eastAsia" w:ascii="仿宋_GB2312" w:hAnsi="仿宋_GB2312" w:eastAsia="仿宋_GB2312" w:cs="仿宋_GB2312"/>
          <w:b w:val="0"/>
          <w:bCs/>
          <w:color w:val="auto"/>
          <w:sz w:val="32"/>
          <w:szCs w:val="32"/>
          <w:highlight w:val="none"/>
        </w:rPr>
        <w:t>专业团队与</w:t>
      </w:r>
      <w:r>
        <w:rPr>
          <w:rFonts w:hint="eastAsia" w:ascii="仿宋_GB2312" w:hAnsi="仿宋_GB2312" w:eastAsia="仿宋_GB2312" w:cs="仿宋_GB2312"/>
          <w:color w:val="auto"/>
          <w:sz w:val="32"/>
          <w:szCs w:val="32"/>
          <w:highlight w:val="none"/>
        </w:rPr>
        <w:t>深圳市罗湖保安服务有限</w:t>
      </w:r>
      <w:r>
        <w:rPr>
          <w:rFonts w:hint="eastAsia" w:ascii="仿宋_GB2312" w:hAnsi="仿宋_GB2312" w:eastAsia="仿宋_GB2312" w:cs="仿宋_GB2312"/>
          <w:b w:val="0"/>
          <w:bCs/>
          <w:color w:val="auto"/>
          <w:sz w:val="32"/>
          <w:szCs w:val="32"/>
          <w:highlight w:val="none"/>
        </w:rPr>
        <w:t>公司</w:t>
      </w:r>
      <w:r>
        <w:rPr>
          <w:rFonts w:hint="eastAsia" w:ascii="仿宋_GB2312" w:hAnsi="仿宋_GB2312" w:eastAsia="仿宋_GB2312" w:cs="仿宋_GB2312"/>
          <w:b w:val="0"/>
          <w:bCs/>
          <w:color w:val="auto"/>
          <w:sz w:val="32"/>
          <w:szCs w:val="32"/>
          <w:highlight w:val="none"/>
          <w:lang w:val="en-US" w:eastAsia="zh-CN"/>
        </w:rPr>
        <w:t>等</w:t>
      </w:r>
      <w:r>
        <w:rPr>
          <w:rFonts w:hint="eastAsia" w:ascii="仿宋_GB2312" w:hAnsi="仿宋_GB2312" w:eastAsia="仿宋_GB2312" w:cs="仿宋_GB2312"/>
          <w:b w:val="0"/>
          <w:bCs/>
          <w:color w:val="auto"/>
          <w:sz w:val="32"/>
          <w:szCs w:val="32"/>
          <w:highlight w:val="none"/>
        </w:rPr>
        <w:t>共同制订，并经</w:t>
      </w:r>
      <w:r>
        <w:rPr>
          <w:rFonts w:hint="eastAsia" w:ascii="仿宋_GB2312" w:hAnsi="仿宋_GB2312" w:eastAsia="仿宋_GB2312" w:cs="仿宋_GB2312"/>
          <w:b w:val="0"/>
          <w:bCs/>
          <w:color w:val="auto"/>
          <w:sz w:val="32"/>
          <w:szCs w:val="32"/>
          <w:highlight w:val="none"/>
          <w:lang w:val="en-US" w:eastAsia="zh-CN"/>
        </w:rPr>
        <w:t>二级学院党政联席会审定、</w:t>
      </w:r>
      <w:r>
        <w:rPr>
          <w:rFonts w:hint="eastAsia" w:ascii="仿宋_GB2312" w:hAnsi="仿宋_GB2312" w:eastAsia="仿宋_GB2312" w:cs="仿宋_GB2312"/>
          <w:b w:val="0"/>
          <w:bCs/>
          <w:color w:val="auto"/>
          <w:sz w:val="32"/>
          <w:szCs w:val="32"/>
          <w:highlight w:val="none"/>
        </w:rPr>
        <w:t>学校</w:t>
      </w:r>
      <w:r>
        <w:rPr>
          <w:rFonts w:hint="eastAsia" w:ascii="仿宋_GB2312" w:hAnsi="仿宋_GB2312" w:eastAsia="仿宋_GB2312" w:cs="仿宋_GB2312"/>
          <w:b w:val="0"/>
          <w:bCs/>
          <w:color w:val="auto"/>
          <w:sz w:val="32"/>
          <w:szCs w:val="32"/>
          <w:highlight w:val="none"/>
          <w:lang w:val="en-US" w:eastAsia="zh-CN"/>
        </w:rPr>
        <w:t>专业建设</w:t>
      </w:r>
      <w:r>
        <w:rPr>
          <w:rFonts w:hint="eastAsia" w:ascii="仿宋_GB2312" w:hAnsi="仿宋_GB2312" w:eastAsia="仿宋_GB2312" w:cs="仿宋_GB2312"/>
          <w:b w:val="0"/>
          <w:bCs/>
          <w:color w:val="auto"/>
          <w:sz w:val="32"/>
          <w:szCs w:val="32"/>
          <w:highlight w:val="none"/>
        </w:rPr>
        <w:t>指导委员会</w:t>
      </w:r>
      <w:r>
        <w:rPr>
          <w:rFonts w:hint="eastAsia" w:ascii="仿宋_GB2312" w:hAnsi="仿宋_GB2312" w:eastAsia="仿宋_GB2312" w:cs="仿宋_GB2312"/>
          <w:b w:val="0"/>
          <w:bCs/>
          <w:color w:val="auto"/>
          <w:sz w:val="32"/>
          <w:szCs w:val="32"/>
          <w:highlight w:val="none"/>
          <w:lang w:val="en-US" w:eastAsia="zh-CN"/>
        </w:rPr>
        <w:t>论证</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校长办公</w:t>
      </w:r>
      <w:r>
        <w:rPr>
          <w:rFonts w:hint="eastAsia" w:ascii="仿宋_GB2312" w:hAnsi="仿宋_GB2312" w:eastAsia="仿宋_GB2312" w:cs="仿宋_GB2312"/>
          <w:b w:val="0"/>
          <w:bCs/>
          <w:color w:val="auto"/>
          <w:sz w:val="32"/>
          <w:szCs w:val="32"/>
          <w:highlight w:val="none"/>
        </w:rPr>
        <w:t>会</w:t>
      </w:r>
      <w:r>
        <w:rPr>
          <w:rFonts w:hint="eastAsia" w:ascii="仿宋_GB2312" w:hAnsi="仿宋_GB2312" w:eastAsia="仿宋_GB2312" w:cs="仿宋_GB2312"/>
          <w:b w:val="0"/>
          <w:bCs/>
          <w:color w:val="auto"/>
          <w:sz w:val="32"/>
          <w:szCs w:val="32"/>
          <w:highlight w:val="none"/>
          <w:lang w:val="en-US" w:eastAsia="zh-CN"/>
        </w:rPr>
        <w:t>审议</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学校</w:t>
      </w:r>
      <w:r>
        <w:rPr>
          <w:rFonts w:hint="eastAsia" w:ascii="仿宋_GB2312" w:hAnsi="仿宋_GB2312" w:eastAsia="仿宋_GB2312" w:cs="仿宋_GB2312"/>
          <w:b w:val="0"/>
          <w:bCs/>
          <w:color w:val="auto"/>
          <w:sz w:val="32"/>
          <w:szCs w:val="32"/>
          <w:highlight w:val="none"/>
        </w:rPr>
        <w:t>党委会审定，批准实施。</w:t>
      </w:r>
    </w:p>
    <w:p>
      <w:pPr>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主要编制人：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262"/>
        <w:gridCol w:w="3486"/>
        <w:gridCol w:w="1587"/>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0" w:type="auto"/>
            <w:vAlign w:val="center"/>
          </w:tcPr>
          <w:p>
            <w:pPr>
              <w:keepNext w:val="0"/>
              <w:keepLines w:val="0"/>
              <w:pageBreakBefore w:val="0"/>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序号</w:t>
            </w:r>
          </w:p>
        </w:tc>
        <w:tc>
          <w:tcPr>
            <w:tcW w:w="1262" w:type="dxa"/>
            <w:vAlign w:val="center"/>
          </w:tcPr>
          <w:p>
            <w:pPr>
              <w:keepNext w:val="0"/>
              <w:keepLines w:val="0"/>
              <w:pageBreakBefore w:val="0"/>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姓名</w:t>
            </w:r>
          </w:p>
        </w:tc>
        <w:tc>
          <w:tcPr>
            <w:tcW w:w="3487" w:type="dxa"/>
            <w:vAlign w:val="center"/>
          </w:tcPr>
          <w:p>
            <w:pPr>
              <w:keepNext w:val="0"/>
              <w:keepLines w:val="0"/>
              <w:pageBreakBefore w:val="0"/>
              <w:kinsoku/>
              <w:wordWrap/>
              <w:overflowPunct/>
              <w:topLinePunct w:val="0"/>
              <w:autoSpaceDE/>
              <w:autoSpaceDN/>
              <w:bidi w:val="0"/>
              <w:adjustRightInd/>
              <w:snapToGrid/>
              <w:spacing w:after="0"/>
              <w:jc w:val="center"/>
              <w:textAlignment w:val="auto"/>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单位名称</w:t>
            </w:r>
          </w:p>
        </w:tc>
        <w:tc>
          <w:tcPr>
            <w:tcW w:w="0" w:type="auto"/>
            <w:vAlign w:val="center"/>
          </w:tcPr>
          <w:p>
            <w:pPr>
              <w:keepNext w:val="0"/>
              <w:keepLines w:val="0"/>
              <w:pageBreakBefore w:val="0"/>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职务</w:t>
            </w:r>
          </w:p>
        </w:tc>
        <w:tc>
          <w:tcPr>
            <w:tcW w:w="0" w:type="auto"/>
            <w:vAlign w:val="center"/>
          </w:tcPr>
          <w:p>
            <w:pPr>
              <w:keepNext w:val="0"/>
              <w:keepLines w:val="0"/>
              <w:pageBreakBefore w:val="0"/>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0" w:type="auto"/>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1</w:t>
            </w:r>
          </w:p>
        </w:tc>
        <w:tc>
          <w:tcPr>
            <w:tcW w:w="1262" w:type="dxa"/>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廖夏明</w:t>
            </w:r>
          </w:p>
        </w:tc>
        <w:tc>
          <w:tcPr>
            <w:tcW w:w="3487" w:type="dxa"/>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color w:val="auto"/>
                <w:sz w:val="32"/>
                <w:szCs w:val="32"/>
                <w:highlight w:val="none"/>
              </w:rPr>
              <w:t>深圳市罗湖保安服务有限</w:t>
            </w:r>
            <w:r>
              <w:rPr>
                <w:rFonts w:hint="eastAsia" w:ascii="仿宋_GB2312" w:hAnsi="仿宋_GB2312" w:eastAsia="仿宋_GB2312" w:cs="仿宋_GB2312"/>
                <w:b w:val="0"/>
                <w:bCs/>
                <w:color w:val="auto"/>
                <w:sz w:val="32"/>
                <w:szCs w:val="32"/>
                <w:highlight w:val="none"/>
              </w:rPr>
              <w:t>公司</w:t>
            </w:r>
          </w:p>
        </w:tc>
        <w:tc>
          <w:tcPr>
            <w:tcW w:w="0" w:type="auto"/>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执行董事</w:t>
            </w:r>
          </w:p>
        </w:tc>
        <w:tc>
          <w:tcPr>
            <w:tcW w:w="0" w:type="auto"/>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高级经济师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0" w:type="auto"/>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2</w:t>
            </w:r>
          </w:p>
        </w:tc>
        <w:tc>
          <w:tcPr>
            <w:tcW w:w="1262" w:type="dxa"/>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黄祥</w:t>
            </w:r>
          </w:p>
        </w:tc>
        <w:tc>
          <w:tcPr>
            <w:tcW w:w="3487" w:type="dxa"/>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铁道与航空学院</w:t>
            </w:r>
          </w:p>
        </w:tc>
        <w:tc>
          <w:tcPr>
            <w:tcW w:w="0" w:type="auto"/>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0" w:type="auto"/>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rPr>
              <w:t>高级工程师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0" w:type="auto"/>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3</w:t>
            </w:r>
          </w:p>
        </w:tc>
        <w:tc>
          <w:tcPr>
            <w:tcW w:w="1262" w:type="dxa"/>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徐琳</w:t>
            </w:r>
          </w:p>
        </w:tc>
        <w:tc>
          <w:tcPr>
            <w:tcW w:w="3487" w:type="dxa"/>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铁道与航空学院</w:t>
            </w:r>
          </w:p>
        </w:tc>
        <w:tc>
          <w:tcPr>
            <w:tcW w:w="0" w:type="auto"/>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教研室主任</w:t>
            </w:r>
          </w:p>
        </w:tc>
        <w:tc>
          <w:tcPr>
            <w:tcW w:w="0" w:type="auto"/>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0" w:type="auto"/>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4</w:t>
            </w:r>
          </w:p>
        </w:tc>
        <w:tc>
          <w:tcPr>
            <w:tcW w:w="1262" w:type="dxa"/>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color w:val="auto"/>
                <w:sz w:val="32"/>
                <w:szCs w:val="32"/>
                <w:highlight w:val="none"/>
              </w:rPr>
              <w:t>苏世淋</w:t>
            </w:r>
          </w:p>
        </w:tc>
        <w:tc>
          <w:tcPr>
            <w:tcW w:w="3487" w:type="dxa"/>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铁道与航空学院</w:t>
            </w:r>
          </w:p>
        </w:tc>
        <w:tc>
          <w:tcPr>
            <w:tcW w:w="0" w:type="auto"/>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0" w:type="auto"/>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rPr>
              <w:t>助工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0" w:type="auto"/>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5</w:t>
            </w:r>
          </w:p>
        </w:tc>
        <w:tc>
          <w:tcPr>
            <w:tcW w:w="1262" w:type="dxa"/>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color w:val="auto"/>
                <w:sz w:val="32"/>
                <w:szCs w:val="32"/>
                <w:highlight w:val="none"/>
                <w:lang w:val="en-US" w:eastAsia="zh-CN"/>
              </w:rPr>
              <w:t>李光涛</w:t>
            </w:r>
          </w:p>
        </w:tc>
        <w:tc>
          <w:tcPr>
            <w:tcW w:w="3487" w:type="dxa"/>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铁道与航空学院</w:t>
            </w:r>
          </w:p>
        </w:tc>
        <w:tc>
          <w:tcPr>
            <w:tcW w:w="0" w:type="auto"/>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0" w:type="auto"/>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无</w:t>
            </w:r>
          </w:p>
        </w:tc>
      </w:tr>
    </w:tbl>
    <w:p>
      <w:pPr>
        <w:rPr>
          <w:rFonts w:hint="eastAsia" w:ascii="黑体" w:hAnsi="黑体" w:eastAsia="黑体" w:cs="黑体"/>
          <w:b w:val="0"/>
          <w:bCs/>
          <w:color w:val="auto"/>
          <w:sz w:val="44"/>
          <w:szCs w:val="44"/>
          <w:highlight w:val="none"/>
        </w:rPr>
      </w:pPr>
      <w:r>
        <w:rPr>
          <w:rFonts w:hint="eastAsia" w:ascii="黑体" w:hAnsi="黑体" w:eastAsia="黑体" w:cs="黑体"/>
          <w:b w:val="0"/>
          <w:bCs/>
          <w:color w:val="auto"/>
          <w:sz w:val="44"/>
          <w:szCs w:val="44"/>
          <w:highlight w:val="none"/>
        </w:rPr>
        <w:br w:type="page"/>
      </w:r>
    </w:p>
    <w:p>
      <w:pPr>
        <w:rPr>
          <w:rFonts w:hint="eastAsia" w:ascii="黑体" w:hAnsi="黑体" w:eastAsia="黑体" w:cs="黑体"/>
          <w:b w:val="0"/>
          <w:bCs/>
          <w:color w:val="auto"/>
          <w:sz w:val="44"/>
          <w:szCs w:val="44"/>
          <w:highlight w:val="none"/>
        </w:rPr>
      </w:pPr>
      <w:r>
        <w:rPr>
          <w:rFonts w:hint="eastAsia" w:ascii="黑体" w:hAnsi="黑体" w:eastAsia="黑体" w:cs="黑体"/>
          <w:b w:val="0"/>
          <w:bCs/>
          <w:color w:val="auto"/>
          <w:sz w:val="44"/>
          <w:szCs w:val="44"/>
          <w:highlight w:val="none"/>
        </w:rPr>
        <w:br w:type="page"/>
      </w: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黑体" w:hAnsi="黑体" w:eastAsia="黑体" w:cs="黑体"/>
          <w:b w:val="0"/>
          <w:bCs/>
          <w:color w:val="auto"/>
          <w:sz w:val="44"/>
          <w:szCs w:val="44"/>
          <w:highlight w:val="none"/>
          <w:lang w:val="en-US" w:eastAsia="zh-CN"/>
        </w:rPr>
      </w:pPr>
      <w:r>
        <w:rPr>
          <w:rFonts w:hint="eastAsia" w:ascii="黑体" w:hAnsi="黑体" w:eastAsia="黑体" w:cs="黑体"/>
          <w:b w:val="0"/>
          <w:bCs/>
          <w:color w:val="auto"/>
          <w:sz w:val="44"/>
          <w:szCs w:val="44"/>
          <w:highlight w:val="none"/>
          <w:lang w:val="en-US" w:eastAsia="zh-CN"/>
        </w:rPr>
        <w:t>目  录</w:t>
      </w:r>
    </w:p>
    <w:p>
      <w:pPr>
        <w:keepNext w:val="0"/>
        <w:keepLines w:val="0"/>
        <w:pageBreakBefore w:val="0"/>
        <w:widowControl w:val="0"/>
        <w:kinsoku/>
        <w:wordWrap/>
        <w:overflowPunct w:val="0"/>
        <w:topLinePunct w:val="0"/>
        <w:autoSpaceDE/>
        <w:autoSpaceDN/>
        <w:bidi w:val="0"/>
        <w:adjustRightInd w:val="0"/>
        <w:snapToGrid w:val="0"/>
        <w:spacing w:after="0" w:line="440" w:lineRule="exact"/>
        <w:jc w:val="center"/>
        <w:textAlignment w:val="auto"/>
        <w:rPr>
          <w:rFonts w:hint="eastAsia" w:ascii="黑体" w:hAnsi="黑体" w:eastAsia="黑体" w:cs="黑体"/>
          <w:b w:val="0"/>
          <w:bCs/>
          <w:color w:val="auto"/>
          <w:sz w:val="44"/>
          <w:szCs w:val="44"/>
          <w:highlight w:val="none"/>
          <w:lang w:val="en-US" w:eastAsia="zh-CN"/>
        </w:rPr>
      </w:pP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一、专业名称及代码</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二、入学要求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三、基本修业年限</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四、职业面向</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五、培养目标</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六、培养规格</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 xml:space="preserve"> 2                          </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（一）知识目标</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（二）能力目标</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（三）素质目标</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七、课程设置</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（一）公共基础课程</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（二）专业课程</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20</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（三）第二课堂素质教育课</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八、教学进程总体安排</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35</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（一）教学环节分配表</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35</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（二）课程结构与学时、学分分配</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36</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（三）教学计划进程</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36</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九、师资队伍</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37</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（一）队伍结构</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37</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（二）专业带头人</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37</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（三）专任教师</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37</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（四）兼职教师</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38</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十、教学条件</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38</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（一）教学设施</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38</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（二）教学资源</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（三）教学方法</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43</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（四）学习评价</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43</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十一、质量保障</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十二、毕业要求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（一）学分要求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职业类证书要求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45</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（三）综合素质要求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45</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20" w:lineRule="exact"/>
        <w:jc w:val="left"/>
        <w:textAlignment w:val="auto"/>
        <w:rPr>
          <w:rFonts w:hint="eastAsia" w:ascii="仿宋_GB2312" w:hAnsi="仿宋_GB2312" w:eastAsia="仿宋_GB2312" w:cs="仿宋_GB2312"/>
          <w:b w:val="0"/>
          <w:bCs/>
          <w:color w:val="auto"/>
          <w:sz w:val="32"/>
          <w:szCs w:val="32"/>
          <w:highlight w:val="none"/>
          <w:lang w:val="en-US" w:eastAsia="zh-CN"/>
        </w:rPr>
      </w:pP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20" w:lineRule="exact"/>
        <w:jc w:val="left"/>
        <w:textAlignment w:val="auto"/>
        <w:rPr>
          <w:rFonts w:hint="eastAsia" w:ascii="仿宋_GB2312" w:hAnsi="仿宋_GB2312" w:eastAsia="仿宋_GB2312" w:cs="仿宋_GB2312"/>
          <w:b w:val="0"/>
          <w:bCs/>
          <w:color w:val="auto"/>
          <w:sz w:val="32"/>
          <w:szCs w:val="32"/>
          <w:highlight w:val="none"/>
          <w:lang w:val="en-US" w:eastAsia="zh-CN"/>
        </w:rPr>
        <w:sectPr>
          <w:headerReference r:id="rId3" w:type="default"/>
          <w:pgSz w:w="11906" w:h="16838"/>
          <w:pgMar w:top="1417" w:right="1417" w:bottom="1417" w:left="1984" w:header="851" w:footer="992" w:gutter="0"/>
          <w:pgNumType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rPr>
      </w:pPr>
      <w:r>
        <w:rPr>
          <w:rFonts w:hint="eastAsia" w:ascii="方正小标宋简体" w:hAnsi="方正小标宋简体" w:eastAsia="方正小标宋简体" w:cs="方正小标宋简体"/>
          <w:bCs/>
          <w:color w:val="auto"/>
          <w:sz w:val="44"/>
          <w:szCs w:val="44"/>
          <w:highlight w:val="none"/>
          <w:lang w:val="en-US" w:eastAsia="zh-CN"/>
        </w:rPr>
        <w:t>城市轨道交通工程技术</w:t>
      </w:r>
      <w:r>
        <w:rPr>
          <w:rFonts w:hint="eastAsia" w:ascii="方正小标宋简体" w:hAnsi="方正小标宋简体" w:eastAsia="方正小标宋简体" w:cs="方正小标宋简体"/>
          <w:bCs/>
          <w:color w:val="auto"/>
          <w:sz w:val="44"/>
          <w:szCs w:val="44"/>
          <w:highlight w:val="none"/>
        </w:rPr>
        <w:t>专业人才培养方案</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一、专业名称及代码</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专业名称：</w:t>
      </w:r>
      <w:r>
        <w:rPr>
          <w:rFonts w:hint="eastAsia" w:ascii="仿宋_GB2312" w:hAnsi="仿宋_GB2312" w:eastAsia="仿宋_GB2312" w:cs="仿宋_GB2312"/>
          <w:color w:val="auto"/>
          <w:sz w:val="32"/>
          <w:szCs w:val="32"/>
          <w:highlight w:val="none"/>
          <w:lang w:val="en-US" w:eastAsia="zh-CN"/>
        </w:rPr>
        <w:t>城市轨道交通工程技术</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专业代码：</w:t>
      </w:r>
      <w:r>
        <w:rPr>
          <w:rFonts w:hint="eastAsia" w:ascii="仿宋_GB2312" w:hAnsi="仿宋_GB2312" w:eastAsia="仿宋_GB2312" w:cs="仿宋_GB2312"/>
          <w:color w:val="auto"/>
          <w:sz w:val="32"/>
          <w:szCs w:val="32"/>
          <w:highlight w:val="none"/>
          <w:lang w:val="en-US" w:eastAsia="zh-CN"/>
        </w:rPr>
        <w:t xml:space="preserve">500601 </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二、入学要求</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中等职业学校毕业、普通高级中学毕业或具备同等学力</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三、</w:t>
      </w:r>
      <w:r>
        <w:rPr>
          <w:rFonts w:hint="eastAsia" w:ascii="黑体" w:hAnsi="黑体" w:eastAsia="黑体" w:cs="黑体"/>
          <w:color w:val="auto"/>
          <w:sz w:val="32"/>
          <w:szCs w:val="32"/>
          <w:highlight w:val="none"/>
          <w:lang w:val="en-US" w:eastAsia="zh-CN"/>
        </w:rPr>
        <w:t>基本</w:t>
      </w:r>
      <w:r>
        <w:rPr>
          <w:rFonts w:hint="eastAsia" w:ascii="黑体" w:hAnsi="黑体" w:eastAsia="黑体" w:cs="黑体"/>
          <w:color w:val="auto"/>
          <w:sz w:val="32"/>
          <w:szCs w:val="32"/>
          <w:highlight w:val="none"/>
        </w:rPr>
        <w:t>修业年限</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标准修业年限为3年，弹性学分有效修业年限为2-5年。</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四、职业面向</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jc w:val="center"/>
        <w:textAlignment w:val="auto"/>
        <w:rPr>
          <w:rFonts w:hint="eastAsia" w:ascii="仿宋" w:hAnsi="仿宋" w:eastAsia="仿宋"/>
          <w:color w:val="auto"/>
          <w:sz w:val="32"/>
          <w:szCs w:val="32"/>
          <w:highlight w:val="none"/>
        </w:rPr>
      </w:pPr>
      <w:r>
        <w:rPr>
          <w:rFonts w:hint="eastAsia" w:ascii="仿宋_GB2312" w:hAnsi="仿宋_GB2312" w:eastAsia="仿宋_GB2312" w:cs="仿宋_GB2312"/>
          <w:color w:val="auto"/>
          <w:sz w:val="32"/>
          <w:szCs w:val="32"/>
          <w:highlight w:val="none"/>
        </w:rPr>
        <w:t>表1职业岗位分析表</w:t>
      </w:r>
    </w:p>
    <w:tbl>
      <w:tblPr>
        <w:tblStyle w:val="8"/>
        <w:tblW w:w="9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523"/>
        <w:gridCol w:w="1284"/>
        <w:gridCol w:w="1728"/>
        <w:gridCol w:w="2184"/>
        <w:gridCol w:w="1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13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所属专业大类</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（代码）</w:t>
            </w: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所属专业类</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（代码）</w:t>
            </w:r>
          </w:p>
        </w:tc>
        <w:tc>
          <w:tcPr>
            <w:tcW w:w="128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对应行业（代码）</w:t>
            </w:r>
          </w:p>
        </w:tc>
        <w:tc>
          <w:tcPr>
            <w:tcW w:w="172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主要职业类别（代码）</w:t>
            </w:r>
          </w:p>
        </w:tc>
        <w:tc>
          <w:tcPr>
            <w:tcW w:w="218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主要岗位（群）或技术领域</w:t>
            </w:r>
          </w:p>
        </w:tc>
        <w:tc>
          <w:tcPr>
            <w:tcW w:w="186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职业类证书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jc w:val="center"/>
        </w:trPr>
        <w:tc>
          <w:tcPr>
            <w:tcW w:w="1321" w:type="dxa"/>
            <w:vAlign w:val="top"/>
          </w:tcPr>
          <w:p>
            <w:pPr>
              <w:overflowPunct w:val="0"/>
              <w:adjustRightInd w:val="0"/>
              <w:spacing w:after="0" w:line="240" w:lineRule="auto"/>
              <w:jc w:val="center"/>
              <w:rPr>
                <w:rFonts w:hint="eastAsia" w:ascii="仿宋_GB2312" w:hAnsi="仿宋_GB2312" w:eastAsia="仿宋_GB2312" w:cs="仿宋_GB2312"/>
                <w:color w:val="auto"/>
                <w:sz w:val="24"/>
                <w:highlight w:val="none"/>
              </w:rPr>
            </w:pPr>
            <w:bookmarkStart w:id="0" w:name="OLE_LINK1" w:colFirst="0" w:colLast="5"/>
            <w:r>
              <w:rPr>
                <w:rFonts w:hint="eastAsia" w:ascii="仿宋_GB2312" w:hAnsi="仿宋_GB2312" w:eastAsia="仿宋_GB2312" w:cs="仿宋_GB2312"/>
                <w:color w:val="auto"/>
                <w:sz w:val="24"/>
                <w:highlight w:val="none"/>
              </w:rPr>
              <w:t>交通运输大类（50）</w:t>
            </w:r>
          </w:p>
        </w:tc>
        <w:tc>
          <w:tcPr>
            <w:tcW w:w="1523" w:type="dxa"/>
            <w:vAlign w:val="top"/>
          </w:tcPr>
          <w:p>
            <w:pPr>
              <w:overflowPunct w:val="0"/>
              <w:adjustRightInd w:val="0"/>
              <w:spacing w:after="0"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城市轨道交通类（5006）</w:t>
            </w:r>
          </w:p>
        </w:tc>
        <w:tc>
          <w:tcPr>
            <w:tcW w:w="1284" w:type="dxa"/>
            <w:vAlign w:val="top"/>
          </w:tcPr>
          <w:p>
            <w:pPr>
              <w:overflowPunct w:val="0"/>
              <w:adjustRightInd w:val="0"/>
              <w:spacing w:after="0"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城市轨道交通工程建筑（4814）、城市轨道交通（5412）</w:t>
            </w:r>
          </w:p>
        </w:tc>
        <w:tc>
          <w:tcPr>
            <w:tcW w:w="1728" w:type="dxa"/>
            <w:vAlign w:val="top"/>
          </w:tcPr>
          <w:p>
            <w:pPr>
              <w:overflowPunct w:val="0"/>
              <w:adjustRightInd w:val="0"/>
              <w:spacing w:after="0"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w w:val="90"/>
                <w:sz w:val="24"/>
                <w:highlight w:val="none"/>
              </w:rPr>
              <w:t>铁路建筑工程技术人员（2-02-18-11）</w:t>
            </w:r>
            <w:r>
              <w:rPr>
                <w:rFonts w:ascii="宋体" w:hAnsi="宋体" w:cs="宋体"/>
                <w:color w:val="auto"/>
                <w:w w:val="90"/>
                <w:sz w:val="24"/>
                <w:highlight w:val="none"/>
              </w:rPr>
              <w:t>、</w:t>
            </w:r>
            <w:r>
              <w:rPr>
                <w:rFonts w:hint="eastAsia" w:ascii="仿宋_GB2312" w:hAnsi="仿宋_GB2312" w:eastAsia="仿宋_GB2312" w:cs="仿宋_GB2312"/>
                <w:color w:val="auto"/>
                <w:w w:val="90"/>
                <w:sz w:val="24"/>
                <w:highlight w:val="none"/>
              </w:rPr>
              <w:t>铁道工务工程技术人员（2-02-17-06）、铁路综合维修工（6-29-02-16）、城市轨道交通 检修工（6-29-02-17）</w:t>
            </w:r>
          </w:p>
        </w:tc>
        <w:tc>
          <w:tcPr>
            <w:tcW w:w="2184" w:type="dxa"/>
            <w:vAlign w:val="top"/>
          </w:tcPr>
          <w:p>
            <w:pPr>
              <w:overflowPunct w:val="0"/>
              <w:adjustRightInd w:val="0"/>
              <w:spacing w:after="0"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轨道工程施工、工程检测、基础设施养护、工程项目管理</w:t>
            </w:r>
          </w:p>
        </w:tc>
        <w:tc>
          <w:tcPr>
            <w:tcW w:w="1866" w:type="dxa"/>
            <w:vAlign w:val="top"/>
          </w:tcPr>
          <w:p>
            <w:pPr>
              <w:overflowPunct w:val="0"/>
              <w:adjustRightInd w:val="0"/>
              <w:spacing w:after="0"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城市轨道交通线路维护、建筑信息模型（BIM）</w:t>
            </w:r>
          </w:p>
        </w:tc>
      </w:tr>
      <w:bookmarkEnd w:id="0"/>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五、培养目标</w:t>
      </w:r>
    </w:p>
    <w:p>
      <w:pPr>
        <w:keepNext w:val="0"/>
        <w:keepLines w:val="0"/>
        <w:pageBreakBefore w:val="0"/>
        <w:widowControl w:val="0"/>
        <w:kinsoku/>
        <w:wordWrap/>
        <w:topLinePunct w:val="0"/>
        <w:autoSpaceDE w:val="0"/>
        <w:autoSpaceDN w:val="0"/>
        <w:bidi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专业培养能够践行社会主义核心价值观，传承技能文明，德、智、体、美、劳全面发展，掌握城市轨道交通工程专业知识与技术技能，适应区域经济发展需要的高技能人才。具有良好的人文素养、科学素养、数字素养、职业道德与创新意识，具备爱岗敬业的职业精神、精益求精的工匠精神，以及较强的就业创业和可持续发展能力。应熟悉行业技术现状，能够胜任城市轨道交通工程的勘测、线路设计、施工管理、质量检测、设施养护和安全管理等工作，具备施工技术方案编制以及施工、检测、监测、维修等行动能力。</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val="en-US" w:eastAsia="zh-CN"/>
        </w:rPr>
        <w:t>六</w:t>
      </w:r>
      <w:r>
        <w:rPr>
          <w:rFonts w:hint="eastAsia" w:ascii="黑体" w:hAnsi="黑体" w:eastAsia="黑体" w:cs="黑体"/>
          <w:color w:val="auto"/>
          <w:sz w:val="32"/>
          <w:szCs w:val="32"/>
          <w:highlight w:val="none"/>
        </w:rPr>
        <w:t>、培养</w:t>
      </w:r>
      <w:r>
        <w:rPr>
          <w:rFonts w:hint="eastAsia" w:ascii="黑体" w:hAnsi="黑体" w:eastAsia="黑体" w:cs="黑体"/>
          <w:color w:val="auto"/>
          <w:sz w:val="32"/>
          <w:szCs w:val="32"/>
          <w:highlight w:val="none"/>
          <w:lang w:val="en-US" w:eastAsia="zh-CN"/>
        </w:rPr>
        <w:t>规格</w:t>
      </w:r>
    </w:p>
    <w:p>
      <w:pPr>
        <w:pStyle w:val="3"/>
        <w:keepNext w:val="0"/>
        <w:keepLines w:val="0"/>
        <w:pageBreakBefore w:val="0"/>
        <w:widowControl w:val="0"/>
        <w:kinsoku/>
        <w:wordWrap/>
        <w:topLinePunct w:val="0"/>
        <w:autoSpaceDE/>
        <w:autoSpaceDN/>
        <w:bidi w:val="0"/>
        <w:snapToGrid/>
        <w:spacing w:after="0" w:line="520" w:lineRule="exact"/>
        <w:ind w:left="0" w:right="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本专业学生应在系统学习本专业知识并完成有关实习实训基础上，全面提升知识、能力、素质，掌握并实际运用岗位（群）需要的专业核心技术技能，实现德智体美劳全面发展,</w:t>
      </w:r>
      <w:r>
        <w:rPr>
          <w:rFonts w:hint="eastAsia" w:ascii="仿宋_GB2312" w:hAnsi="仿宋_GB2312" w:eastAsia="仿宋_GB2312" w:cs="仿宋_GB2312"/>
          <w:color w:val="auto"/>
          <w:sz w:val="32"/>
          <w:szCs w:val="32"/>
          <w:highlight w:val="none"/>
          <w:lang w:eastAsia="zh-CN"/>
        </w:rPr>
        <w:t>总体上须达到以下要求：</w:t>
      </w:r>
    </w:p>
    <w:p>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0" w:right="0" w:rightChars="0" w:firstLine="640" w:firstLineChars="200"/>
        <w:textAlignment w:val="auto"/>
        <w:outlineLvl w:val="0"/>
        <w:rPr>
          <w:rFonts w:hint="eastAsia" w:ascii="楷体" w:hAnsi="楷体" w:eastAsia="楷体" w:cs="楷体"/>
          <w:color w:val="auto"/>
          <w:sz w:val="32"/>
          <w:szCs w:val="32"/>
          <w:highlight w:val="none"/>
          <w:lang w:val="en-US" w:eastAsia="zh-CN"/>
        </w:rPr>
      </w:pPr>
      <w:r>
        <w:rPr>
          <w:rFonts w:hint="eastAsia" w:ascii="楷体" w:hAnsi="楷体" w:eastAsia="楷体" w:cs="楷体"/>
          <w:color w:val="auto"/>
          <w:sz w:val="32"/>
          <w:szCs w:val="32"/>
          <w:highlight w:val="none"/>
        </w:rPr>
        <w:t>知识</w:t>
      </w:r>
      <w:r>
        <w:rPr>
          <w:rFonts w:hint="eastAsia" w:ascii="楷体" w:hAnsi="楷体" w:eastAsia="楷体" w:cs="楷体"/>
          <w:color w:val="auto"/>
          <w:sz w:val="32"/>
          <w:szCs w:val="32"/>
          <w:highlight w:val="none"/>
          <w:lang w:val="en-US" w:eastAsia="zh-CN"/>
        </w:rPr>
        <w:t>目标</w:t>
      </w:r>
    </w:p>
    <w:p>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掌握制图、测量、力学、工程材料等方面的专业基础理论知识；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（2）掌握一般性城市轨道线路选线、测绘、水文和地质勘察等技术，具有基本的城市轨道交通线路勘察设计能力；</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（3）掌握土木工程材料常规试验和检测技术，具有土木工程材料试验与检测的能力；</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（4）掌握一般性城市轨道交通工程施工技术方案编制以及施工、检测、监测、维修等技术，具有指导方案实施、开展城市轨道交通工程施工、检测、监测、维修等的能力；</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（5）掌握基本的城市轨道工程质量验收与评定技术，具有对城市轨道交通工程主要结构进行现场质量检测、竣工验收、编制竣工验收资料的能力；</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（6）掌握城市轨道交通工程施工管理与概预算编制技术，具有开展施工质量、进度、成本、合同管理的能力；</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0"/>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（7）掌握城市轨道交通工程施工安全和管理技术，具有在工程施工中做好安全监管、确保施工科学化、规范化的能力。</w:t>
      </w:r>
    </w:p>
    <w:p>
      <w:pPr>
        <w:keepNext w:val="0"/>
        <w:keepLines w:val="0"/>
        <w:pageBreakBefore w:val="0"/>
        <w:widowControl w:val="0"/>
        <w:kinsoku/>
        <w:wordWrap/>
        <w:overflowPunct w:val="0"/>
        <w:topLinePunct w:val="0"/>
        <w:autoSpaceDE/>
        <w:autoSpaceDN/>
        <w:bidi w:val="0"/>
        <w:adjustRightInd w:val="0"/>
        <w:snapToGrid/>
        <w:spacing w:after="0" w:line="520" w:lineRule="exact"/>
        <w:ind w:left="0" w:right="0" w:firstLine="640" w:firstLineChars="200"/>
        <w:textAlignment w:val="auto"/>
        <w:outlineLvl w:val="0"/>
        <w:rPr>
          <w:rFonts w:hint="eastAsia" w:ascii="楷体" w:hAnsi="楷体" w:eastAsia="楷体" w:cs="楷体"/>
          <w:color w:val="auto"/>
          <w:sz w:val="32"/>
          <w:szCs w:val="32"/>
          <w:highlight w:val="none"/>
          <w:lang w:val="en-US" w:eastAsia="zh-CN"/>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二</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能力</w:t>
      </w:r>
      <w:r>
        <w:rPr>
          <w:rFonts w:hint="eastAsia" w:ascii="楷体" w:hAnsi="楷体" w:eastAsia="楷体" w:cs="楷体"/>
          <w:color w:val="auto"/>
          <w:sz w:val="32"/>
          <w:szCs w:val="32"/>
          <w:highlight w:val="none"/>
          <w:lang w:val="en-US" w:eastAsia="zh-CN"/>
        </w:rPr>
        <w:t>目标</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（1）掌握支撑本专业学习和可持续发展必备的数学、外语（英语等）、信息技术等文化基础知识，具有良好的人文素养与科学素养，具备职业生涯规划能力；</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（2）具有良好的语言表达能力、文字表达能力、沟通合作能力，具有较强的集体意识和团队合作意识，学习1门外语并结合本专业加以运用；</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（3）掌握信息技术基础知识，具有适应本行业数字化和智能化发展需求的数字技能；</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（4）具有探究学习、终身学习和可持续发展的能力，具有整合知识和综合运用知识分析2问题和解决问题的能力；</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（5）掌握身体运动的基本知识和至少1项体育运动技能，达到国家大学生体质健康测试合格标准，养成良好的运动习惯、卫生习惯和行为习惯，具备一定的心理调适能力；</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（6）掌握必备的美育知识，具有一定的文化修养、审美能力，形成至少1项艺术特长或爱好。</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楷体" w:hAnsi="楷体" w:eastAsia="楷体" w:cs="楷体"/>
          <w:color w:val="auto"/>
          <w:sz w:val="32"/>
          <w:szCs w:val="32"/>
          <w:highlight w:val="none"/>
          <w:lang w:val="en-US" w:eastAsia="zh-CN"/>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素质</w:t>
      </w:r>
      <w:r>
        <w:rPr>
          <w:rFonts w:hint="eastAsia" w:ascii="楷体" w:hAnsi="楷体" w:eastAsia="楷体" w:cs="楷体"/>
          <w:color w:val="auto"/>
          <w:sz w:val="32"/>
          <w:szCs w:val="32"/>
          <w:highlight w:val="none"/>
          <w:lang w:val="en-US" w:eastAsia="zh-CN"/>
        </w:rPr>
        <w:t>目标</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（1）坚定拥护中国共产党领导和中国特色社会主义制度，以习近平新时代中国特色社会主义思想为指导，践行社会主义核心价值观，具有坚定的理想信念、深厚的爱国情感和中华民族自豪感；</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0"/>
        <w:rPr>
          <w:rFonts w:hint="eastAsia" w:ascii="楷体" w:hAnsi="楷体" w:eastAsia="楷体" w:cs="楷体"/>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（3）树立正确的劳动观，尊重劳动，热爱劳动，具备与本专业职业发展相适应的劳动素养，弘扬劳模精神、劳动精神、工匠精神，弘扬劳动光荣、技能宝贵、创造伟大的时代风尚。</w:t>
      </w:r>
    </w:p>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七</w:t>
      </w:r>
      <w:r>
        <w:rPr>
          <w:rFonts w:hint="eastAsia" w:ascii="黑体" w:hAnsi="黑体" w:eastAsia="黑体" w:cs="黑体"/>
          <w:color w:val="auto"/>
          <w:sz w:val="32"/>
          <w:szCs w:val="32"/>
          <w:highlight w:val="none"/>
        </w:rPr>
        <w:t>、课程设置</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主要包括公共基础课程和专业课程。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（一）公共基础课程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bookmarkStart w:id="1"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1"/>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军事理论与军训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lang w:val="en-US" w:eastAsia="zh-CN"/>
        </w:rPr>
        <w:t>语文、物理、化学、职业素养</w:t>
      </w:r>
      <w:r>
        <w:rPr>
          <w:rFonts w:hint="eastAsia" w:ascii="仿宋_GB2312" w:hAnsi="仿宋_GB2312" w:eastAsia="仿宋_GB2312" w:cs="仿宋_GB2312"/>
          <w:b w:val="0"/>
          <w:bCs w:val="0"/>
          <w:color w:val="auto"/>
          <w:sz w:val="32"/>
          <w:szCs w:val="32"/>
          <w:highlight w:val="none"/>
          <w:lang w:eastAsia="zh-CN"/>
        </w:rPr>
        <w:t>。</w:t>
      </w:r>
    </w:p>
    <w:p>
      <w:pPr>
        <w:pageBreakBefore w:val="0"/>
        <w:kinsoku/>
        <w:wordWrap/>
        <w:overflowPunct w:val="0"/>
        <w:topLinePunct w:val="0"/>
        <w:autoSpaceDE/>
        <w:autoSpaceDN/>
        <w:bidi w:val="0"/>
        <w:adjustRightInd w:val="0"/>
        <w:spacing w:after="0" w:line="520" w:lineRule="exact"/>
        <w:ind w:left="0" w:firstLine="640" w:firstLineChars="200"/>
        <w:jc w:val="center"/>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表2公共基础课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7"/>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3928"/>
        <w:gridCol w:w="2960"/>
        <w:gridCol w:w="2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szCs w:val="24"/>
                <w:highlight w:val="none"/>
              </w:rPr>
            </w:pPr>
            <w:bookmarkStart w:id="2" w:name="_Toc90734979"/>
            <w:bookmarkStart w:id="3" w:name="_Toc2022"/>
            <w:r>
              <w:rPr>
                <w:rFonts w:hint="eastAsia" w:ascii="仿宋_GB2312" w:hAnsi="仿宋_GB2312" w:eastAsia="仿宋_GB2312" w:cs="仿宋_GB2312"/>
                <w:color w:val="auto"/>
                <w:sz w:val="24"/>
                <w:szCs w:val="24"/>
                <w:highlight w:val="none"/>
              </w:rPr>
              <w:t>序号</w:t>
            </w:r>
            <w:bookmarkEnd w:id="2"/>
            <w:bookmarkEnd w:id="3"/>
          </w:p>
        </w:tc>
        <w:tc>
          <w:tcPr>
            <w:tcW w:w="75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szCs w:val="24"/>
                <w:highlight w:val="none"/>
              </w:rPr>
            </w:pPr>
            <w:bookmarkStart w:id="4" w:name="_Toc2635"/>
            <w:bookmarkStart w:id="5" w:name="_Toc90734980"/>
            <w:r>
              <w:rPr>
                <w:rFonts w:hint="eastAsia" w:ascii="仿宋_GB2312" w:hAnsi="仿宋_GB2312" w:eastAsia="仿宋_GB2312" w:cs="仿宋_GB2312"/>
                <w:color w:val="auto"/>
                <w:sz w:val="24"/>
                <w:szCs w:val="24"/>
                <w:highlight w:val="none"/>
              </w:rPr>
              <w:t>课程名称</w:t>
            </w:r>
            <w:bookmarkEnd w:id="4"/>
            <w:bookmarkEnd w:id="5"/>
          </w:p>
        </w:tc>
        <w:tc>
          <w:tcPr>
            <w:tcW w:w="392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szCs w:val="24"/>
                <w:highlight w:val="none"/>
              </w:rPr>
            </w:pPr>
            <w:bookmarkStart w:id="6" w:name="_Toc24608"/>
            <w:bookmarkStart w:id="7" w:name="_Toc90734981"/>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bookmarkEnd w:id="6"/>
            <w:bookmarkEnd w:id="7"/>
          </w:p>
        </w:tc>
        <w:tc>
          <w:tcPr>
            <w:tcW w:w="296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szCs w:val="24"/>
                <w:highlight w:val="none"/>
              </w:rPr>
            </w:pPr>
            <w:bookmarkStart w:id="8" w:name="_Toc23051"/>
            <w:bookmarkStart w:id="9" w:name="_Toc90734982"/>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bookmarkEnd w:id="8"/>
            <w:bookmarkEnd w:id="9"/>
          </w:p>
        </w:tc>
        <w:tc>
          <w:tcPr>
            <w:tcW w:w="262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思想道德与法治</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b w:val="0"/>
                <w:bCs w:val="0"/>
                <w:color w:val="auto"/>
                <w:sz w:val="24"/>
                <w:szCs w:val="24"/>
                <w:highlight w:val="none"/>
                <w:lang w:val="en-US" w:eastAsia="zh-CN"/>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b w:val="0"/>
                <w:bCs w:val="0"/>
                <w:color w:val="auto"/>
                <w:sz w:val="24"/>
                <w:szCs w:val="24"/>
                <w:highlight w:val="none"/>
                <w:lang w:val="en-US" w:eastAsia="zh-CN"/>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auto"/>
                <w:sz w:val="24"/>
                <w:szCs w:val="24"/>
                <w:highlight w:val="none"/>
                <w:lang w:val="en-US" w:eastAsia="zh-CN"/>
              </w:rPr>
              <w:t>和</w:t>
            </w:r>
            <w:r>
              <w:rPr>
                <w:rFonts w:hint="eastAsia" w:ascii="仿宋_GB2312" w:hAnsi="仿宋_GB2312" w:eastAsia="仿宋_GB2312" w:cs="仿宋_GB2312"/>
                <w:b w:val="0"/>
                <w:bCs w:val="0"/>
                <w:color w:val="auto"/>
                <w:sz w:val="24"/>
                <w:szCs w:val="24"/>
                <w:highlight w:val="none"/>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shd w:val="clear" w:color="auto" w:fill="FFFFFF"/>
              </w:rPr>
            </w:pPr>
            <w:r>
              <w:rPr>
                <w:rFonts w:hint="eastAsia" w:ascii="仿宋_GB2312" w:hAnsi="仿宋_GB2312" w:eastAsia="仿宋_GB2312" w:cs="仿宋_GB2312"/>
                <w:color w:val="auto"/>
                <w:sz w:val="24"/>
                <w:szCs w:val="24"/>
                <w:highlight w:val="none"/>
                <w:shd w:val="clear" w:color="auto" w:fill="FFFFFF"/>
                <w:lang w:val="en-US" w:eastAsia="zh-CN"/>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形势与政策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难点问题，紧跟时代脉搏，融入变革潮流；重点是了解</w:t>
            </w:r>
            <w:r>
              <w:rPr>
                <w:rFonts w:hint="eastAsia" w:ascii="仿宋_GB2312" w:hAnsi="仿宋_GB2312" w:eastAsia="仿宋_GB2312" w:cs="仿宋_GB2312"/>
                <w:b w:val="0"/>
                <w:bCs w:val="0"/>
                <w:color w:val="auto"/>
                <w:sz w:val="24"/>
                <w:szCs w:val="24"/>
                <w:highlight w:val="none"/>
                <w:lang w:val="en-US" w:eastAsia="zh-CN"/>
              </w:rPr>
              <w:t>党的二十</w:t>
            </w:r>
            <w:r>
              <w:rPr>
                <w:rFonts w:hint="eastAsia" w:ascii="仿宋_GB2312" w:hAnsi="仿宋_GB2312" w:eastAsia="仿宋_GB2312" w:cs="仿宋_GB2312"/>
                <w:b w:val="0"/>
                <w:bCs w:val="0"/>
                <w:color w:val="auto"/>
                <w:sz w:val="24"/>
                <w:szCs w:val="24"/>
                <w:highlight w:val="none"/>
              </w:rPr>
              <w:t>大以来形成的一系列政策体系，理解党的路线、方针、政策的正确性。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培养学生掌握正确分析形势和理解政策的能力，特别是对国内外重大事件、敏感问题、社会热点、难点、疑点问题的思考、分析和判断能力。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帮助</w:t>
            </w:r>
            <w:r>
              <w:rPr>
                <w:rFonts w:hint="eastAsia" w:ascii="仿宋_GB2312" w:hAnsi="仿宋_GB2312" w:eastAsia="仿宋_GB2312" w:cs="仿宋_GB2312"/>
                <w:b w:val="0"/>
                <w:bCs w:val="0"/>
                <w:color w:val="auto"/>
                <w:sz w:val="24"/>
                <w:szCs w:val="24"/>
                <w:highlight w:val="none"/>
              </w:rPr>
              <w:t>学生感知国情民意，</w:t>
            </w:r>
            <w:r>
              <w:rPr>
                <w:rFonts w:hint="eastAsia" w:ascii="仿宋_GB2312" w:hAnsi="仿宋_GB2312" w:eastAsia="仿宋_GB2312" w:cs="仿宋_GB2312"/>
                <w:b w:val="0"/>
                <w:bCs w:val="0"/>
                <w:color w:val="auto"/>
                <w:sz w:val="24"/>
                <w:szCs w:val="24"/>
                <w:highlight w:val="none"/>
                <w:lang w:val="en-US" w:eastAsia="zh-CN"/>
              </w:rPr>
              <w:t>认可</w:t>
            </w:r>
            <w:r>
              <w:rPr>
                <w:rFonts w:hint="eastAsia" w:ascii="仿宋_GB2312" w:hAnsi="仿宋_GB2312" w:eastAsia="仿宋_GB2312" w:cs="仿宋_GB2312"/>
                <w:b w:val="0"/>
                <w:bCs w:val="0"/>
                <w:color w:val="auto"/>
                <w:sz w:val="24"/>
                <w:szCs w:val="24"/>
                <w:highlight w:val="none"/>
              </w:rPr>
              <w:t>党的路线方针政策，把对形势与政策的认识统一到党和国家的科学判断上和正确决策上，</w:t>
            </w:r>
            <w:r>
              <w:rPr>
                <w:rFonts w:hint="eastAsia" w:ascii="仿宋_GB2312" w:hAnsi="仿宋_GB2312" w:eastAsia="仿宋_GB2312" w:cs="仿宋_GB2312"/>
                <w:b w:val="0"/>
                <w:bCs w:val="0"/>
                <w:color w:val="auto"/>
                <w:sz w:val="24"/>
                <w:szCs w:val="24"/>
                <w:highlight w:val="none"/>
                <w:lang w:val="en-US" w:eastAsia="zh-CN"/>
              </w:rPr>
              <w:t>不断增强</w:t>
            </w:r>
            <w:r>
              <w:rPr>
                <w:rFonts w:hint="eastAsia" w:ascii="仿宋_GB2312" w:hAnsi="仿宋_GB2312" w:eastAsia="仿宋_GB2312" w:cs="仿宋_GB2312"/>
                <w:b w:val="0"/>
                <w:bCs w:val="0"/>
                <w:color w:val="auto"/>
                <w:sz w:val="24"/>
                <w:szCs w:val="24"/>
                <w:highlight w:val="none"/>
              </w:rPr>
              <w:t>“四个意识”</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坚定“四个自信”</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做到“两个维护”，为实现中华民族伟大复兴而发奋学习。</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根据</w:t>
            </w:r>
            <w:r>
              <w:rPr>
                <w:rFonts w:hint="eastAsia" w:ascii="仿宋_GB2312" w:hAnsi="仿宋_GB2312" w:eastAsia="仿宋_GB2312" w:cs="仿宋_GB2312"/>
                <w:color w:val="auto"/>
                <w:sz w:val="24"/>
                <w:szCs w:val="24"/>
                <w:highlight w:val="none"/>
                <w:lang w:eastAsia="zh-CN"/>
              </w:rPr>
              <w:t>新时代面临的新情况新问题，针对学生关注的热点问题和思想特点，</w:t>
            </w:r>
            <w:r>
              <w:rPr>
                <w:rFonts w:hint="eastAsia" w:ascii="仿宋_GB2312" w:hAnsi="仿宋_GB2312" w:eastAsia="仿宋_GB2312" w:cs="仿宋_GB2312"/>
                <w:color w:val="auto"/>
                <w:sz w:val="24"/>
                <w:szCs w:val="24"/>
                <w:highlight w:val="none"/>
              </w:rPr>
              <w:t>涵盖国际形势、国内形势、社会热点、国家政策等</w:t>
            </w:r>
            <w:r>
              <w:rPr>
                <w:rFonts w:hint="eastAsia" w:ascii="仿宋_GB2312" w:hAnsi="仿宋_GB2312" w:eastAsia="仿宋_GB2312" w:cs="仿宋_GB2312"/>
                <w:color w:val="auto"/>
                <w:sz w:val="24"/>
                <w:szCs w:val="24"/>
                <w:highlight w:val="none"/>
                <w:lang w:val="en-US" w:eastAsia="zh-CN"/>
              </w:rPr>
              <w:t>内容</w:t>
            </w:r>
            <w:r>
              <w:rPr>
                <w:rFonts w:hint="eastAsia" w:ascii="仿宋_GB2312" w:hAnsi="仿宋_GB2312" w:eastAsia="仿宋_GB2312" w:cs="仿宋_GB2312"/>
                <w:color w:val="auto"/>
                <w:sz w:val="24"/>
                <w:szCs w:val="24"/>
                <w:highlight w:val="none"/>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0"/>
                <w:sz w:val="24"/>
                <w:szCs w:val="24"/>
                <w:highlight w:val="none"/>
                <w:lang w:val="en-US" w:eastAsia="zh-CN" w:bidi="ar"/>
              </w:rPr>
              <w:t>按照中宣部、教育部每年每学期印发的形势与政策课教学要点、要求和内容，对指定的专题进行教学。</w:t>
            </w:r>
            <w:r>
              <w:rPr>
                <w:rFonts w:hint="eastAsia" w:ascii="仿宋_GB2312" w:hAnsi="仿宋_GB2312" w:eastAsia="仿宋_GB2312" w:cs="仿宋_GB2312"/>
                <w:color w:val="auto"/>
                <w:sz w:val="24"/>
                <w:szCs w:val="24"/>
                <w:highlight w:val="none"/>
              </w:rPr>
              <w:t>教师</w:t>
            </w:r>
            <w:r>
              <w:rPr>
                <w:rFonts w:hint="eastAsia" w:ascii="仿宋_GB2312" w:hAnsi="仿宋_GB2312" w:eastAsia="仿宋_GB2312" w:cs="仿宋_GB2312"/>
                <w:color w:val="auto"/>
                <w:sz w:val="24"/>
                <w:szCs w:val="24"/>
                <w:highlight w:val="none"/>
                <w:lang w:val="en-US" w:eastAsia="zh-CN"/>
              </w:rPr>
              <w:t>应</w:t>
            </w:r>
            <w:r>
              <w:rPr>
                <w:rFonts w:hint="eastAsia" w:ascii="仿宋_GB2312" w:hAnsi="仿宋_GB2312" w:eastAsia="仿宋_GB2312" w:cs="仿宋_GB2312"/>
                <w:color w:val="auto"/>
                <w:sz w:val="24"/>
                <w:szCs w:val="24"/>
                <w:highlight w:val="none"/>
              </w:rPr>
              <w:t>聚焦社会热点、回应学生关切问题，提高学生运用马克思主义理论的立场观点方法解决实际问题的能力，提高政治辨别力，紧密围绕在以习近平同志为核心的党中央周围，奋进新征程。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国家安全教育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能</w:t>
            </w:r>
            <w:r>
              <w:rPr>
                <w:rFonts w:hint="eastAsia" w:ascii="仿宋_GB2312" w:hAnsi="仿宋_GB2312" w:eastAsia="仿宋_GB2312" w:cs="仿宋_GB2312"/>
                <w:b/>
                <w:bCs/>
                <w:color w:val="auto"/>
                <w:sz w:val="24"/>
                <w:szCs w:val="24"/>
                <w:highlight w:val="none"/>
              </w:rPr>
              <w:t>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eastAsia="zh-CN"/>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auto"/>
                <w:sz w:val="24"/>
                <w:szCs w:val="24"/>
                <w:highlight w:val="none"/>
                <w:lang w:val="en-US" w:eastAsia="zh-CN"/>
              </w:rPr>
              <w:t>论文</w:t>
            </w:r>
            <w:r>
              <w:rPr>
                <w:rFonts w:hint="eastAsia" w:ascii="仿宋_GB2312" w:hAnsi="仿宋_GB2312" w:eastAsia="仿宋_GB2312" w:cs="仿宋_GB2312"/>
                <w:color w:val="auto"/>
                <w:sz w:val="24"/>
                <w:szCs w:val="24"/>
                <w:highlight w:val="none"/>
              </w:rPr>
              <w:t>考</w:t>
            </w:r>
            <w:r>
              <w:rPr>
                <w:rFonts w:hint="eastAsia" w:ascii="仿宋_GB2312" w:hAnsi="仿宋_GB2312" w:eastAsia="仿宋_GB2312" w:cs="仿宋_GB2312"/>
                <w:color w:val="auto"/>
                <w:sz w:val="24"/>
                <w:szCs w:val="24"/>
                <w:highlight w:val="none"/>
                <w:lang w:val="en-US" w:eastAsia="zh-CN"/>
              </w:rPr>
              <w:t>查</w:t>
            </w:r>
            <w:r>
              <w:rPr>
                <w:rFonts w:hint="eastAsia" w:ascii="仿宋_GB2312" w:hAnsi="仿宋_GB2312" w:eastAsia="仿宋_GB2312" w:cs="仿宋_GB2312"/>
                <w:color w:val="auto"/>
                <w:sz w:val="24"/>
                <w:szCs w:val="24"/>
                <w:highlight w:val="none"/>
              </w:rPr>
              <w:t>等。本课程应作为通识必修课或核心限选课开设，保障足额学时，并严格规范教学材料与案例的使用管理，遵守相关纪律要求。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军事理论</w:t>
            </w:r>
          </w:p>
        </w:tc>
        <w:tc>
          <w:tcPr>
            <w:tcW w:w="3928"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掌握基本的军事理论知识，了解中国国防政策和军事战略，认识信息化战争的特点与规律等。</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：激发学生对国家和民族的热爱之情，增强其作为公民的社会责任感和使命感；强化国防观念、国家安全意识与爱国主义精神。‌</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通过系统的知识传授和能力培养，全面提升学生的综合素质，增强学生国家安全意识和国防观念，为未来成为具有家国情怀、战略视野和创新能力的优秀人才奠定坚实基础。</w:t>
            </w:r>
          </w:p>
        </w:tc>
        <w:tc>
          <w:tcPr>
            <w:tcW w:w="2960"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课程内容包括军事基础知识、军事思想、国家安全形势分析、战略环境、军事高技术、现代战争知识等。</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c>
          <w:tcPr>
            <w:tcW w:w="2626" w:type="dxa"/>
            <w:shd w:val="clear" w:color="auto" w:fill="auto"/>
            <w:vAlign w:val="top"/>
          </w:tcPr>
          <w:p>
            <w:pPr>
              <w:pStyle w:val="6"/>
              <w:keepNext w:val="0"/>
              <w:keepLines w:val="0"/>
              <w:pageBreakBefore w:val="0"/>
              <w:widowControl w:val="0"/>
              <w:suppressLineNumbers w:val="0"/>
              <w:kinsoku/>
              <w:wordWrap/>
              <w:overflowPunct/>
              <w:topLinePunct w:val="0"/>
              <w:autoSpaceDE/>
              <w:autoSpaceDN/>
              <w:bidi w:val="0"/>
              <w:adjustRightInd/>
              <w:snapToGrid/>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本课程以马列主义、毛泽东思想、邓小平理论及习近平强军思想为指导，‌采用多媒体教学、案例研讨，使学生理解总体国家安全观，激发学生献身国防的热情、增强民族自豪感。</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军训</w:t>
            </w:r>
          </w:p>
        </w:tc>
        <w:tc>
          <w:tcPr>
            <w:tcW w:w="3928" w:type="dxa"/>
            <w:shd w:val="clear" w:color="auto" w:fill="auto"/>
            <w:vAlign w:val="top"/>
          </w:tcPr>
          <w:p>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掌握基本的军事技能、完成基础军事训练。</w:t>
            </w:r>
          </w:p>
          <w:p>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结合模拟演练和角色扮演等活动，提升学生的战略思维能力和实际操作技能，增强学生的团队意识和沟通协调能力，提高学生的应急反应速度和自我保护能力，为应对突发事件打下坚实基础。</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：培养学生的纪律性和服从意识；强化团队协作精神，锻炼学生的意志力和毅力，培养其面对困难和挑战时不屈不挠的精神风貌，鼓励其为实现中华民族伟大复兴的中国梦贡献力量。</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通过能力培养，全面提升学生的综合素质，增强学生国防观念，为成为具有家国情怀、战略视野和创新能力的优秀人才奠定坚实基础。</w:t>
            </w:r>
          </w:p>
        </w:tc>
        <w:tc>
          <w:tcPr>
            <w:tcW w:w="2960"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课程内容包括队列、战术训练等‌军事技能训练。</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c>
          <w:tcPr>
            <w:tcW w:w="2626"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循序渐进，由浅入深，逐步提高学生的军训技能；注重示范指导，通过示范动作带动学生的学习兴趣；强化实践训练，让学生通过实际操作掌握军事技能。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6</w:t>
            </w:r>
          </w:p>
        </w:tc>
        <w:tc>
          <w:tcPr>
            <w:tcW w:w="752"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计算机基础</w:t>
            </w:r>
          </w:p>
        </w:tc>
        <w:tc>
          <w:tcPr>
            <w:tcW w:w="3928"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培养计算机基本操作能力，熟练使用办公软件处理文档。提升网络应用和信息检索水平，具备解决常见计算机问题的技能。</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培养信息素养和数字思维，提高自主学习新技术能力。树立信息安全意识，养成规范使用计算机的良好习惯。</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auto"/>
                <w:kern w:val="2"/>
                <w:sz w:val="24"/>
                <w:szCs w:val="24"/>
                <w:highlight w:val="none"/>
                <w:lang w:val="en-US" w:eastAsia="zh-CN" w:bidi="ar-SA"/>
              </w:rPr>
              <w:t>最终实现“德才兼备、知行合一”的技术人才培养目标，为行业发展与社会进步输送兼具职业道德素养与专业技术能力的复合型人才。</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752"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高等数学</w:t>
            </w:r>
          </w:p>
        </w:tc>
        <w:tc>
          <w:tcPr>
            <w:tcW w:w="3928"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掌握函数、极限、导数等基础概念，理解微积分基本理论、数学建模方法，为专业课程奠定必要数学基础。</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培养数学运算和逻辑推理能力，提升运用数学工具解决实际问题的水平。增强数据分析和建模能力，适应未来职业发展需求。</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培养严谨求实的科学态度，提高抽象思维和创新能力。树立理论联系实际的观念，增强持续学习和自主探究意识。</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960"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752"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大学英语</w:t>
            </w:r>
          </w:p>
        </w:tc>
        <w:tc>
          <w:tcPr>
            <w:tcW w:w="3928"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掌握基础词汇和核心语法，学习职场英语表达。了解英语国家文化常识，熟悉专业相关术语。</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培养学生掌握语言基础知识和语言技能，具备基本的英语听、说、读、写、译能力，增强其跨文化交际意识和沟通能力，提高英语应用能力，适应未来职业需求。</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培养自主学习意识，增强跨文化理解能力。树立终身学习理念，提高团队协作和沟通能力。</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融入工匠精神教育，培养职业操守。通过中外文化对比，培养学生树立正确的世界观、人生观、价值观，正确对待中西方文化差异，增强文化自信和爱国情怀。</w:t>
            </w:r>
          </w:p>
        </w:tc>
        <w:tc>
          <w:tcPr>
            <w:tcW w:w="2960"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对教师的要求：采用情景教学法，设计职场情境任务。结合信息化手段，注重实践能力培养。</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color w:val="auto"/>
                <w:sz w:val="24"/>
                <w:szCs w:val="24"/>
                <w:highlight w:val="none"/>
              </w:rPr>
              <w:t>对学生的要求：参与课堂活动，完成实践任务。利用网络资源自主学习，提升应用能力。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大学体育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掌握体育运动基本理论知识，了解常见运动项目的规则与要领。学习科学锻炼方法和运动损伤预防知识，为终身体育锻炼奠定理论基础。</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发展学生基础运动技能，提升速度、力量、耐力等身体素质。培养1-2项运动特长，</w:t>
            </w:r>
            <w:r>
              <w:rPr>
                <w:rFonts w:hint="eastAsia" w:ascii="仿宋_GB2312" w:hAnsi="仿宋_GB2312" w:eastAsia="仿宋_GB2312" w:cs="仿宋_GB2312"/>
                <w:b w:val="0"/>
                <w:bCs w:val="0"/>
                <w:color w:val="auto"/>
                <w:sz w:val="24"/>
                <w:szCs w:val="24"/>
                <w:highlight w:val="none"/>
              </w:rPr>
              <w:t>提升体育运动能力，提高职业体能水平。</w:t>
            </w:r>
            <w:r>
              <w:rPr>
                <w:rFonts w:hint="eastAsia" w:ascii="仿宋_GB2312" w:hAnsi="仿宋_GB2312" w:eastAsia="仿宋_GB2312" w:cs="仿宋_GB2312"/>
                <w:color w:val="auto"/>
                <w:sz w:val="24"/>
                <w:szCs w:val="24"/>
                <w:highlight w:val="none"/>
              </w:rPr>
              <w:t>增强团队协作能力和体育竞赛组织能力。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基础体能训练提升身体素质；球类、田径等专项技能教学；特色项目如</w:t>
            </w:r>
            <w:r>
              <w:rPr>
                <w:rFonts w:hint="eastAsia" w:ascii="仿宋_GB2312" w:hAnsi="仿宋_GB2312" w:eastAsia="仿宋_GB2312" w:cs="仿宋_GB2312"/>
                <w:color w:val="auto"/>
                <w:sz w:val="24"/>
                <w:szCs w:val="24"/>
                <w:highlight w:val="none"/>
                <w:lang w:val="en-US" w:eastAsia="zh-CN"/>
              </w:rPr>
              <w:t>武术</w:t>
            </w:r>
            <w:r>
              <w:rPr>
                <w:rFonts w:hint="eastAsia" w:ascii="仿宋_GB2312" w:hAnsi="仿宋_GB2312" w:eastAsia="仿宋_GB2312" w:cs="仿宋_GB2312"/>
                <w:color w:val="auto"/>
                <w:sz w:val="24"/>
                <w:szCs w:val="24"/>
                <w:highlight w:val="none"/>
              </w:rPr>
              <w:t>、健身操等。融入职业体能训练，结合专业特点设计教学内容。</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lang w:val="en-US" w:eastAsia="zh-CN"/>
              </w:rPr>
              <w:t>教师需</w:t>
            </w:r>
            <w:r>
              <w:rPr>
                <w:rFonts w:hint="eastAsia" w:ascii="仿宋_GB2312" w:hAnsi="仿宋_GB2312" w:eastAsia="仿宋_GB2312" w:cs="仿宋_GB2312"/>
                <w:color w:val="auto"/>
                <w:sz w:val="24"/>
                <w:szCs w:val="24"/>
                <w:highlight w:val="none"/>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大学生职业发展与就业指导</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掌握职业生涯规划基本理论，了解就业政策与劳动法规。学习求职材料制作规范，熟悉职场礼仪与职业素养要求。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培养职业规划与决策能力，提升简历制作与面试技巧</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提高学生求职应职技巧，</w:t>
            </w:r>
            <w:r>
              <w:rPr>
                <w:rFonts w:hint="eastAsia" w:ascii="仿宋_GB2312" w:hAnsi="仿宋_GB2312" w:eastAsia="仿宋_GB2312" w:cs="仿宋_GB2312"/>
                <w:color w:val="auto"/>
                <w:sz w:val="24"/>
                <w:szCs w:val="24"/>
                <w:highlight w:val="none"/>
              </w:rPr>
              <w:t>增强就业信息获取能力，掌握职场适应与职业发展方法。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分析当前大学生面临的就业形势，帮助学生及时了解就业市场的需求形势和国家、地方有关大学生就业的政策，按照社会需求确立就业心理，树立正确的就业观念和就业取向。</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通过加强就业形势和政策的宣传教育，</w:t>
            </w:r>
            <w:r>
              <w:rPr>
                <w:rFonts w:hint="eastAsia" w:ascii="仿宋_GB2312" w:hAnsi="仿宋_GB2312" w:eastAsia="仿宋_GB2312" w:cs="仿宋_GB2312"/>
                <w:b w:val="0"/>
                <w:bCs w:val="0"/>
                <w:color w:val="auto"/>
                <w:kern w:val="2"/>
                <w:sz w:val="24"/>
                <w:szCs w:val="24"/>
                <w:highlight w:val="none"/>
                <w:lang w:val="en-US" w:eastAsia="zh-CN" w:bidi="ar-SA"/>
              </w:rPr>
              <w:t>引导广大学生深刻认识到党和国家“以人民为中心”的发展理念，切实增强对国家保就业、稳增长工作的信心，充分感知国家在相关领域的坚实能力。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大学生心理健康教育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掌握心理健康基本概念和标准，了解常见心理问题表现及成因。</w:t>
            </w:r>
            <w:r>
              <w:rPr>
                <w:rFonts w:hint="eastAsia" w:ascii="仿宋_GB2312" w:hAnsi="仿宋_GB2312" w:eastAsia="仿宋_GB2312" w:cs="仿宋_GB2312"/>
                <w:color w:val="auto"/>
                <w:sz w:val="24"/>
                <w:szCs w:val="24"/>
                <w:highlight w:val="none"/>
                <w:lang w:val="en-US" w:eastAsia="zh-CN"/>
              </w:rPr>
              <w:t>掌握</w:t>
            </w:r>
            <w:r>
              <w:rPr>
                <w:rFonts w:hint="eastAsia" w:ascii="仿宋_GB2312" w:hAnsi="仿宋_GB2312" w:eastAsia="仿宋_GB2312" w:cs="仿宋_GB2312"/>
                <w:color w:val="auto"/>
                <w:sz w:val="24"/>
                <w:szCs w:val="24"/>
                <w:highlight w:val="none"/>
              </w:rPr>
              <w:t>情绪管理、压力应对等心理调适方法，增强自我认知能力。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情绪调节与压力管理能力，提升人际沟通与冲突解决水平。使学生掌握心理自助技巧，具备初步心理问题识别与求助能力。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积极乐观的人生态度，增强心理韧性和适应能力。树立正确的自我认知，形成健康的生活方式与行为习惯。</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劳动教育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培养基本劳动技能，提升实践操作能力。掌握团队协作方法，增强问题解决与创新应用能力，适应未来职业劳动需求。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：培育吃苦耐劳精神，树立劳动光荣意识。增强责任担当，培养勤俭节约品质，形成尊重劳动、热爱劳动的良好品格。</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rPr>
              <w:t>培养学生的劳动观念，树立尊重劳动、热爱劳动、珍惜劳动成果的意识；引导学生形成正确的劳动价值观，理解劳动的社会意义和个人价值；培养新时代坚定的马克思主义者和具有工匠精神的社会主义建设者。</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弘扬劳模精神与工匠精神，强化劳动育人功能。</w:t>
            </w:r>
            <w:r>
              <w:rPr>
                <w:rFonts w:hint="eastAsia" w:ascii="仿宋_GB2312" w:hAnsi="仿宋_GB2312" w:eastAsia="仿宋_GB2312" w:cs="仿宋_GB2312"/>
                <w:b w:val="0"/>
                <w:bCs w:val="0"/>
                <w:color w:val="auto"/>
                <w:sz w:val="24"/>
                <w:szCs w:val="24"/>
                <w:highlight w:val="none"/>
              </w:rPr>
              <w:t>引导学生做社会主义核心价值观的积极践行者，培养新时代坚定的马克思主义者和具有工匠精神的社会主义建设者。</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毛泽东思想和中国特色社会主义理论体系概论</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全面理解马克思主义中国化理论成果的科学内涵、理论体系、思想精髓、精神实质</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 xml:space="preserve">系统把握马克思主义中国化理论成果所蕴含的马克思主义立场、观点和方法。 </w:t>
            </w:r>
            <w:r>
              <w:rPr>
                <w:rFonts w:hint="eastAsia" w:ascii="仿宋_GB2312" w:hAnsi="仿宋_GB2312" w:eastAsia="仿宋_GB2312" w:cs="仿宋_GB2312"/>
                <w:b w:val="0"/>
                <w:bCs w:val="0"/>
                <w:color w:val="auto"/>
                <w:sz w:val="24"/>
                <w:szCs w:val="24"/>
                <w:highlight w:val="none"/>
                <w:lang w:val="en-US" w:eastAsia="zh-CN"/>
              </w:rPr>
              <w:t xml:space="preserve">  </w:t>
            </w: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学会用马克思主义中国化理论成果分析和解决现实问题，把理论与实践、理想与现实、主观与客观统一起来，自觉投身于中国特色社会主义伟大实践。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w:t>
            </w:r>
            <w:r>
              <w:rPr>
                <w:rFonts w:hint="eastAsia" w:ascii="仿宋_GB2312" w:hAnsi="仿宋_GB2312" w:eastAsia="仿宋_GB2312" w:cs="仿宋_GB2312"/>
                <w:b/>
                <w:bCs/>
                <w:color w:val="auto"/>
                <w:sz w:val="24"/>
                <w:szCs w:val="24"/>
                <w:highlight w:val="none"/>
              </w:rPr>
              <w:t>目标</w:t>
            </w:r>
            <w:r>
              <w:rPr>
                <w:rFonts w:hint="eastAsia" w:ascii="仿宋_GB2312" w:hAnsi="仿宋_GB2312" w:eastAsia="仿宋_GB2312" w:cs="仿宋_GB2312"/>
                <w:b w:val="0"/>
                <w:bCs w:val="0"/>
                <w:color w:val="auto"/>
                <w:sz w:val="24"/>
                <w:szCs w:val="24"/>
                <w:highlight w:val="none"/>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auto"/>
                <w:sz w:val="24"/>
                <w:szCs w:val="24"/>
                <w:highlight w:val="none"/>
                <w:lang w:val="en-US" w:eastAsia="zh-CN"/>
              </w:rPr>
              <w:t>自觉</w:t>
            </w:r>
            <w:r>
              <w:rPr>
                <w:rFonts w:hint="eastAsia" w:ascii="仿宋_GB2312" w:hAnsi="仿宋_GB2312" w:eastAsia="仿宋_GB2312" w:cs="仿宋_GB2312"/>
                <w:b w:val="0"/>
                <w:bCs w:val="0"/>
                <w:color w:val="auto"/>
                <w:sz w:val="24"/>
                <w:szCs w:val="24"/>
                <w:highlight w:val="none"/>
                <w:lang w:eastAsia="zh-CN"/>
              </w:rPr>
              <w:t>增强“四个意识”、坚定“四个自信”、</w:t>
            </w:r>
            <w:r>
              <w:rPr>
                <w:rFonts w:hint="eastAsia" w:ascii="仿宋_GB2312" w:hAnsi="仿宋_GB2312" w:eastAsia="仿宋_GB2312" w:cs="仿宋_GB2312"/>
                <w:b w:val="0"/>
                <w:bCs w:val="0"/>
                <w:color w:val="auto"/>
                <w:sz w:val="24"/>
                <w:szCs w:val="24"/>
                <w:highlight w:val="none"/>
              </w:rPr>
              <w:t>做到“两个维护”，</w:t>
            </w:r>
            <w:r>
              <w:rPr>
                <w:rFonts w:hint="eastAsia" w:ascii="仿宋_GB2312" w:hAnsi="仿宋_GB2312" w:eastAsia="仿宋_GB2312" w:cs="仿宋_GB2312"/>
                <w:b w:val="0"/>
                <w:bCs w:val="0"/>
                <w:color w:val="auto"/>
                <w:sz w:val="24"/>
                <w:szCs w:val="24"/>
                <w:highlight w:val="none"/>
                <w:lang w:val="en-US" w:eastAsia="zh-CN"/>
              </w:rPr>
              <w:t>努力学习</w:t>
            </w:r>
            <w:r>
              <w:rPr>
                <w:rFonts w:hint="eastAsia" w:ascii="仿宋_GB2312" w:hAnsi="仿宋_GB2312" w:eastAsia="仿宋_GB2312" w:cs="仿宋_GB2312"/>
                <w:i w:val="0"/>
                <w:iCs w:val="0"/>
                <w:caps w:val="0"/>
                <w:color w:val="auto"/>
                <w:spacing w:val="0"/>
                <w:sz w:val="24"/>
                <w:szCs w:val="24"/>
                <w:highlight w:val="none"/>
                <w:shd w:val="clear" w:fill="FFFFFF"/>
              </w:rPr>
              <w:t>文化知识，增强自己的本领</w:t>
            </w:r>
            <w:r>
              <w:rPr>
                <w:rFonts w:hint="eastAsia" w:ascii="仿宋_GB2312" w:hAnsi="仿宋_GB2312" w:eastAsia="仿宋_GB2312" w:cs="仿宋_GB2312"/>
                <w:i w:val="0"/>
                <w:iCs w:val="0"/>
                <w:caps w:val="0"/>
                <w:color w:val="auto"/>
                <w:spacing w:val="0"/>
                <w:sz w:val="24"/>
                <w:szCs w:val="24"/>
                <w:highlight w:val="none"/>
                <w:shd w:val="clear" w:fill="FFFFFF"/>
                <w:lang w:eastAsia="zh-CN"/>
              </w:rPr>
              <w:t>，</w:t>
            </w:r>
            <w:r>
              <w:rPr>
                <w:rFonts w:hint="eastAsia" w:ascii="仿宋_GB2312" w:hAnsi="仿宋_GB2312" w:eastAsia="仿宋_GB2312" w:cs="仿宋_GB2312"/>
                <w:b w:val="0"/>
                <w:bCs w:val="0"/>
                <w:color w:val="auto"/>
                <w:sz w:val="24"/>
                <w:szCs w:val="24"/>
                <w:highlight w:val="none"/>
              </w:rPr>
              <w:t>为实现中华民族伟大复兴中国梦而努力。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highlight w:val="none"/>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p>
        </w:tc>
        <w:tc>
          <w:tcPr>
            <w:tcW w:w="2626" w:type="dxa"/>
            <w:shd w:val="clear" w:color="auto" w:fill="auto"/>
            <w:vAlign w:val="top"/>
          </w:tcPr>
          <w:p>
            <w:pPr>
              <w:pStyle w:val="6"/>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auto"/>
                <w:kern w:val="2"/>
                <w:sz w:val="24"/>
                <w:szCs w:val="24"/>
                <w:highlight w:val="none"/>
                <w:lang w:val="en-US" w:eastAsia="zh-CN" w:bidi="ar-SA"/>
              </w:rPr>
              <w:t>党话、跟党走，争做社会主义合格建设者和可靠接班人。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教学以马</w:t>
            </w:r>
            <w:r>
              <w:rPr>
                <w:rFonts w:hint="eastAsia" w:ascii="仿宋_GB2312" w:hAnsi="仿宋_GB2312" w:eastAsia="仿宋_GB2312" w:cs="仿宋_GB2312"/>
                <w:b w:val="0"/>
                <w:bCs w:val="0"/>
                <w:color w:val="auto"/>
                <w:sz w:val="24"/>
                <w:szCs w:val="24"/>
                <w:highlight w:val="none"/>
                <w:lang w:val="en-US" w:eastAsia="zh-CN"/>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创新创业教育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熟悉创新思维的内涵及其基本训练方法；</w:t>
            </w:r>
            <w:r>
              <w:rPr>
                <w:rFonts w:hint="eastAsia" w:ascii="仿宋_GB2312" w:hAnsi="仿宋_GB2312" w:eastAsia="仿宋_GB2312" w:cs="仿宋_GB2312"/>
                <w:color w:val="auto"/>
                <w:sz w:val="24"/>
                <w:szCs w:val="24"/>
                <w:highlight w:val="none"/>
                <w:lang w:val="en-US" w:eastAsia="zh-CN"/>
              </w:rPr>
              <w:t>了解商业模式设计要点，</w:t>
            </w:r>
            <w:r>
              <w:rPr>
                <w:rFonts w:hint="eastAsia" w:ascii="仿宋_GB2312" w:hAnsi="仿宋_GB2312" w:eastAsia="仿宋_GB2312" w:cs="仿宋_GB2312"/>
                <w:b w:val="0"/>
                <w:bCs w:val="0"/>
                <w:color w:val="auto"/>
                <w:sz w:val="24"/>
                <w:szCs w:val="24"/>
                <w:highlight w:val="none"/>
              </w:rPr>
              <w:t>掌握常用的创新方法；掌握保护创新成果的方法</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了解创新创业政策法规。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培养创新思维与机会识别能力，提升商业计划书撰写水平。增强资源整合与项目管理能力，掌握创业风险防范与应对方法。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培育开拓进取精神，树立正确的创业价值观。增强团队协作意识，培养抗压能力与责任担当，形成积极向上的创业心态。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auto"/>
                <w:sz w:val="24"/>
                <w:szCs w:val="24"/>
                <w:highlight w:val="none"/>
                <w:lang w:val="en-US" w:eastAsia="zh-CN"/>
              </w:rPr>
              <w:t>发展</w:t>
            </w:r>
            <w:r>
              <w:rPr>
                <w:rFonts w:hint="eastAsia" w:ascii="仿宋_GB2312" w:hAnsi="仿宋_GB2312" w:eastAsia="仿宋_GB2312" w:cs="仿宋_GB2312"/>
                <w:b w:val="0"/>
                <w:bCs w:val="0"/>
                <w:color w:val="auto"/>
                <w:sz w:val="24"/>
                <w:szCs w:val="24"/>
                <w:highlight w:val="none"/>
              </w:rPr>
              <w:t>战略。</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15</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习近平新时代中国特色社会主义思想概论</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学生能够从整体上把握习近平新时代中国特色社会主义思想，系统学习这一思想的基本内容、理论体系、时代价值与历史意义，进而增强对中国特色社会主义的道路自信、理论自信、制度自信、文化自信。</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学生能够理解党在新时代的基本理论、基本路线、基本方略，掌握中国特色社会主义进入新时代的科学内涵和基本特征。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学生能够深刻领会并掌握“十个明确”和“十四个坚持”的主要内容及相互关系，明确各项战略布局、发展理念等。</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学生能够深刻领会党和国家在经济、政治、文化、社会、生态文明等各个领域的方针政策和重大战略部署。</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学生能够深刻认识中国特色社会主义事业总体布局和战略布局，掌握实现中华民族伟大复兴的中国梦的丰富内涵和实现路径。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通过马克思主义中国化新的理论成果的学习，学生提升运用习近平新时代中国特色社会主义思想正确表达思想观点的能力。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提升学生运用辩证唯物主义和历史唯物主义的观点和方法，分析和解决问题的能力，以及正确认识新时代中国特色社会主义建设中的各种矛盾和问题，把握事物发展客观规律的能力。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学生通过整体学习习近平新时代中国特色社会主义思想的各个方面及其相互关系，提升了全面、系统地看待问题和分析问题的能力。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增强学生全面贯彻党的基本理论、基本路线和基本方略的自觉性和主动性。</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对中国共产党领导和中国特色社会主义制度的政治认同感与拥护度，增强“四个意识”、坚定“四个自信”、做到“两个维护”，始终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让学生深刻认识国家发展成就与自身责任，激发使命感，将个人发展与国家命运相连，为实现中国梦贡献力量。</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课程主要的知识模块</w:t>
            </w:r>
            <w:r>
              <w:rPr>
                <w:rFonts w:hint="eastAsia" w:ascii="仿宋_GB2312" w:hAnsi="仿宋_GB2312" w:eastAsia="仿宋_GB2312" w:cs="仿宋_GB2312"/>
                <w:color w:val="auto"/>
                <w:sz w:val="24"/>
                <w:szCs w:val="24"/>
                <w:highlight w:val="none"/>
                <w:lang w:val="en-US" w:eastAsia="zh-CN"/>
              </w:rPr>
              <w:t>包括</w:t>
            </w:r>
            <w:r>
              <w:rPr>
                <w:rFonts w:hint="eastAsia" w:ascii="仿宋_GB2312" w:hAnsi="仿宋_GB2312" w:eastAsia="仿宋_GB2312" w:cs="仿宋_GB2312"/>
                <w:color w:val="auto"/>
                <w:sz w:val="24"/>
                <w:szCs w:val="24"/>
                <w:highlight w:val="none"/>
              </w:rPr>
              <w:t>：习近平新时代中国特色社会主义思想及其历史地位、坚持和发展中国特色社会主义的总任务、</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“五位一体”总体布局、“四个全面”战略布局、实现中华民族伟大复兴的重要保障、中国特色大国外交、坚持和加强党的领导</w:t>
            </w:r>
            <w:r>
              <w:rPr>
                <w:rFonts w:hint="eastAsia" w:ascii="仿宋_GB2312" w:hAnsi="仿宋_GB2312" w:eastAsia="仿宋_GB2312" w:cs="仿宋_GB2312"/>
                <w:color w:val="auto"/>
                <w:sz w:val="24"/>
                <w:szCs w:val="24"/>
                <w:highlight w:val="none"/>
                <w:lang w:val="en-US" w:eastAsia="zh-CN"/>
              </w:rPr>
              <w:t>等内容。</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中国民俗剪纸技法</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了解剪纸的历史与文化内涵和掌握剪纸的基本知识。</w:t>
            </w:r>
            <w:r>
              <w:rPr>
                <w:rFonts w:hint="eastAsia" w:ascii="仿宋_GB2312" w:hAnsi="仿宋_GB2312" w:eastAsia="仿宋_GB2312" w:cs="仿宋_GB2312"/>
                <w:color w:val="auto"/>
                <w:sz w:val="24"/>
                <w:szCs w:val="24"/>
                <w:highlight w:val="none"/>
                <w:lang w:val="en-US" w:eastAsia="zh-CN"/>
              </w:rPr>
              <w:t>掌握剪纸艺术的历史渊源与文化内涵，了解不同地域的剪纸风格特点。学习传统剪纸纹样寓意，掌握基础剪纸工具使用方法与安全规范。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b/>
                <w:bCs/>
                <w:color w:val="auto"/>
                <w:sz w:val="24"/>
                <w:szCs w:val="24"/>
                <w:highlight w:val="none"/>
                <w:lang w:val="en-US" w:eastAsia="zh-CN"/>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学生能够熟练掌握剪纸的基本技法、剪纸的构图技巧，</w:t>
            </w:r>
            <w:r>
              <w:rPr>
                <w:rFonts w:hint="eastAsia" w:ascii="仿宋_GB2312" w:hAnsi="仿宋_GB2312" w:eastAsia="仿宋_GB2312" w:cs="仿宋_GB2312"/>
                <w:color w:val="auto"/>
                <w:sz w:val="24"/>
                <w:szCs w:val="24"/>
                <w:highlight w:val="none"/>
                <w:lang w:val="en-US" w:eastAsia="zh-CN"/>
              </w:rPr>
              <w:t>培养图案设计与剪刀运用能力，掌握对称、连续等基础剪纸技法。</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学会运用多种剪纸技法进行创作，鼓励学生在传统剪纸技法的基础上进行创新，结合现代设计理念和元素，创作出具有时代感和个性的剪纸作品。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培育耐心细致的工作态度，提升审美鉴赏能力。增强文化自信，传承非遗技艺，培养创新思维与艺术表现力。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通过剪纸艺术，弘扬中华优秀传统文化，增强民族自豪感。在技艺传承中培育工匠精神，树立文化传承的责任意识。</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影视与鉴赏</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auto"/>
                <w:sz w:val="24"/>
                <w:szCs w:val="24"/>
                <w:highlight w:val="none"/>
                <w:lang w:val="en-US" w:eastAsia="zh-CN"/>
              </w:rPr>
              <w:t>掌握影视创作基本流程。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培养影视作品分析鉴赏能力，提升视听语言理解水平。掌握影视评论写作方法，具备基础影视审美判断能力。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培育艺术审美情趣，提高文化修养水平。增强创新思维能力，树立正确的价值观和艺术观。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通过优秀影视作品弘扬社会主义核心价值观。在艺术鉴赏中增强文化自信，培养家国情怀和人文精神。</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18</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中国共产党简史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把握中国共产党历史发展脉络，了解中国共产党百年奋</w:t>
            </w:r>
            <w:r>
              <w:rPr>
                <w:rFonts w:hint="eastAsia" w:ascii="仿宋_GB2312" w:hAnsi="仿宋_GB2312" w:eastAsia="仿宋_GB2312" w:cs="仿宋_GB2312"/>
                <w:color w:val="auto"/>
                <w:sz w:val="24"/>
                <w:szCs w:val="24"/>
                <w:highlight w:val="none"/>
                <w:lang w:eastAsia="zh-CN"/>
              </w:rPr>
              <w:t>斗的</w:t>
            </w:r>
            <w:r>
              <w:rPr>
                <w:rFonts w:hint="eastAsia" w:ascii="仿宋_GB2312" w:hAnsi="仿宋_GB2312" w:eastAsia="仿宋_GB2312" w:cs="仿宋_GB2312"/>
                <w:color w:val="auto"/>
                <w:sz w:val="24"/>
                <w:szCs w:val="24"/>
                <w:highlight w:val="none"/>
              </w:rPr>
              <w:t>重大历史成就与历史经验；了解中国共产党是如何团结带领中国人民克服千难万险，创造了一个又一个彪炳史册的人间奇迹；了解一代又一代优秀中国共产党人的为民情怀与高尚情操。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课程内容包括中国共产党的创建和投身大革命</w:t>
            </w:r>
            <w:r>
              <w:rPr>
                <w:rFonts w:hint="eastAsia" w:ascii="仿宋_GB2312" w:hAnsi="仿宋_GB2312" w:eastAsia="仿宋_GB2312" w:cs="仿宋_GB2312"/>
                <w:color w:val="auto"/>
                <w:sz w:val="24"/>
                <w:szCs w:val="24"/>
                <w:highlight w:val="none"/>
                <w:lang w:val="en-US" w:eastAsia="zh-CN"/>
              </w:rPr>
              <w:t>的洪流</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掀起土地革命</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风暴</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全民族抗日战争的中流砥柱</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夺取新民主主义革命的全国性胜利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中华人民共和国的成立和社会主义制度的建立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伟大</w:t>
            </w:r>
            <w:r>
              <w:rPr>
                <w:rFonts w:hint="eastAsia" w:ascii="仿宋_GB2312" w:hAnsi="仿宋_GB2312" w:eastAsia="仿宋_GB2312" w:cs="仿宋_GB2312"/>
                <w:color w:val="auto"/>
                <w:sz w:val="24"/>
                <w:szCs w:val="24"/>
                <w:highlight w:val="none"/>
                <w:lang w:val="en-US" w:eastAsia="zh-CN"/>
              </w:rPr>
              <w:t>历史</w:t>
            </w:r>
            <w:r>
              <w:rPr>
                <w:rFonts w:hint="eastAsia" w:ascii="仿宋_GB2312" w:hAnsi="仿宋_GB2312" w:eastAsia="仿宋_GB2312" w:cs="仿宋_GB2312"/>
                <w:color w:val="auto"/>
                <w:sz w:val="24"/>
                <w:szCs w:val="24"/>
                <w:highlight w:val="none"/>
              </w:rPr>
              <w:t>转折和中国特色社会主义的开创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在新</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通过教师的理论讲授和丰富的史料佐证，以及线上线下参观历史纪念馆，引导学生树立正确的历史观，做到“</w:t>
            </w:r>
            <w:r>
              <w:rPr>
                <w:rFonts w:hint="eastAsia" w:ascii="仿宋_GB2312" w:hAnsi="仿宋_GB2312" w:eastAsia="仿宋_GB2312" w:cs="仿宋_GB2312"/>
                <w:color w:val="auto"/>
                <w:sz w:val="24"/>
                <w:szCs w:val="24"/>
                <w:highlight w:val="none"/>
                <w:lang w:eastAsia="zh-CN"/>
              </w:rPr>
              <w:t>学史明理、学史增信、学史崇德、学史力行</w:t>
            </w:r>
            <w:r>
              <w:rPr>
                <w:rFonts w:hint="eastAsia" w:ascii="仿宋_GB2312" w:hAnsi="仿宋_GB2312" w:eastAsia="仿宋_GB2312" w:cs="仿宋_GB2312"/>
                <w:color w:val="auto"/>
                <w:sz w:val="24"/>
                <w:szCs w:val="24"/>
                <w:highlight w:val="none"/>
              </w:rPr>
              <w:t>”，感悟党的伟大，做“青春心向党</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踔厉奋发建新功”的新时代青年。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中华人民共和国简史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auto"/>
                <w:spacing w:val="0"/>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i w:val="0"/>
                <w:iCs w:val="0"/>
                <w:caps w:val="0"/>
                <w:color w:val="auto"/>
                <w:spacing w:val="0"/>
                <w:sz w:val="24"/>
                <w:szCs w:val="24"/>
                <w:highlight w:val="none"/>
                <w:lang w:val="en-US" w:eastAsia="zh-CN"/>
              </w:rPr>
              <w:t>素质目标：</w:t>
            </w:r>
            <w:r>
              <w:rPr>
                <w:rFonts w:hint="eastAsia" w:ascii="仿宋_GB2312" w:hAnsi="仿宋_GB2312" w:eastAsia="仿宋_GB2312" w:cs="仿宋_GB2312"/>
                <w:i w:val="0"/>
                <w:iCs w:val="0"/>
                <w:caps w:val="0"/>
                <w:color w:val="auto"/>
                <w:spacing w:val="0"/>
                <w:sz w:val="24"/>
                <w:szCs w:val="24"/>
                <w:highlight w:val="none"/>
                <w:lang w:val="en-US" w:eastAsia="zh-CN"/>
              </w:rPr>
              <w:t>引导学生</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课程主要包括：</w:t>
            </w:r>
            <w:r>
              <w:rPr>
                <w:rFonts w:hint="eastAsia" w:ascii="仿宋_GB2312" w:hAnsi="仿宋_GB2312" w:eastAsia="仿宋_GB2312" w:cs="仿宋_GB2312"/>
                <w:color w:val="auto"/>
                <w:sz w:val="24"/>
                <w:szCs w:val="24"/>
                <w:highlight w:val="none"/>
              </w:rPr>
              <w:t>新中国成立和社会主义基本制度的确立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社会主义建设的艰辛探索和曲折发展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改革开放与中国特色社会主义的开创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建立社会主义市场经济体制和把中国特色社会主义全面推向21世纪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全面建设</w:t>
            </w:r>
            <w:r>
              <w:rPr>
                <w:rFonts w:hint="eastAsia" w:ascii="仿宋_GB2312" w:hAnsi="仿宋_GB2312" w:eastAsia="仿宋_GB2312" w:cs="仿宋_GB2312"/>
                <w:color w:val="auto"/>
                <w:sz w:val="24"/>
                <w:szCs w:val="24"/>
                <w:highlight w:val="none"/>
              </w:rPr>
              <w:t>小康社会与新的形势下坚持和发展中国特色社会主义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中国特色社会主义进入新时代和实现中华民族伟大复兴的中国梦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决胜全面建成小康社会和开启全面建成社会主义现代化强国新征程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通过课堂讲解、案例分析、小组讨论、模拟实践等方式，促进学生进一步增强民族自尊心、自信心和自豪感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 xml:space="preserve"> 坚定对马克思主义的信仰、对中国共产党的信任、对社会主义的信心。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20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改革开放简史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知识目标</w:t>
            </w:r>
            <w:r>
              <w:rPr>
                <w:rFonts w:hint="eastAsia" w:ascii="仿宋_GB2312" w:hAnsi="仿宋_GB2312" w:eastAsia="仿宋_GB2312" w:cs="仿宋_GB2312"/>
                <w:color w:val="auto"/>
                <w:kern w:val="2"/>
                <w:sz w:val="24"/>
                <w:szCs w:val="24"/>
                <w:highlight w:val="none"/>
                <w:lang w:val="en-US" w:eastAsia="zh-CN" w:bidi="ar-SA"/>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能力目标：</w:t>
            </w:r>
            <w:r>
              <w:rPr>
                <w:rFonts w:hint="eastAsia" w:ascii="仿宋_GB2312" w:hAnsi="仿宋_GB2312" w:eastAsia="仿宋_GB2312" w:cs="仿宋_GB2312"/>
                <w:color w:val="auto"/>
                <w:kern w:val="2"/>
                <w:sz w:val="24"/>
                <w:szCs w:val="24"/>
                <w:highlight w:val="none"/>
                <w:lang w:val="en-US" w:eastAsia="zh-CN" w:bidi="ar-SA"/>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素质目标：</w:t>
            </w:r>
            <w:r>
              <w:rPr>
                <w:rFonts w:hint="eastAsia" w:ascii="仿宋_GB2312" w:hAnsi="仿宋_GB2312" w:eastAsia="仿宋_GB2312" w:cs="仿宋_GB2312"/>
                <w:color w:val="auto"/>
                <w:kern w:val="2"/>
                <w:sz w:val="24"/>
                <w:szCs w:val="24"/>
                <w:highlight w:val="none"/>
                <w:lang w:val="en-US" w:eastAsia="zh-CN" w:bidi="ar-SA"/>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课程内容涵盖</w:t>
            </w:r>
            <w:r>
              <w:rPr>
                <w:rFonts w:hint="eastAsia" w:ascii="仿宋_GB2312" w:hAnsi="仿宋_GB2312" w:eastAsia="仿宋_GB2312" w:cs="仿宋_GB2312"/>
                <w:color w:val="auto"/>
                <w:sz w:val="24"/>
                <w:szCs w:val="24"/>
                <w:highlight w:val="none"/>
              </w:rPr>
              <w:t>改革开放拉开大幕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改革开放全面展开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改革开放开创新局面</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改革开放在科学发展中深化</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改革开放进入新时代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坚定不移推进全面深化改革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坚定不移扩大高水平对外开放</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通过专题讲授法、情境通过专题讲授法、情境教学法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案例教学法等</w:t>
            </w:r>
            <w:r>
              <w:rPr>
                <w:rFonts w:hint="eastAsia" w:ascii="仿宋_GB2312" w:hAnsi="仿宋_GB2312" w:eastAsia="仿宋_GB2312" w:cs="仿宋_GB2312"/>
                <w:color w:val="auto"/>
                <w:sz w:val="24"/>
                <w:szCs w:val="24"/>
                <w:highlight w:val="none"/>
              </w:rPr>
              <w:t>，让学生能够系统把握中国改革开放事业的辉煌成就、重大贡献、重要经验和深刻启示。</w:t>
            </w:r>
            <w:r>
              <w:rPr>
                <w:rFonts w:hint="eastAsia" w:ascii="仿宋_GB2312" w:hAnsi="仿宋_GB2312" w:eastAsia="仿宋_GB2312" w:cs="仿宋_GB2312"/>
                <w:color w:val="auto"/>
                <w:sz w:val="24"/>
                <w:szCs w:val="24"/>
                <w:highlight w:val="none"/>
                <w:lang w:val="en-US" w:eastAsia="zh-CN"/>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社会主义发展简史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从而增强对社会主义制度的认识与信心。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帮助大学生正确认识和理解社会主义制度的优越性，进一步增强大学生道路自信、理论自信、制度自信、文化自信，进一步提升大学生坚持和发展中国特色社会主义理论的自觉性和坚定性。</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auto"/>
                <w:sz w:val="24"/>
                <w:szCs w:val="24"/>
                <w:highlight w:val="none"/>
                <w:lang w:val="en-US" w:eastAsia="zh-CN"/>
              </w:rPr>
              <w:t>能激发学生的学习情趣</w:t>
            </w:r>
            <w:r>
              <w:rPr>
                <w:rFonts w:hint="eastAsia" w:ascii="仿宋_GB2312" w:hAnsi="仿宋_GB2312" w:eastAsia="仿宋_GB2312" w:cs="仿宋_GB2312"/>
                <w:color w:val="auto"/>
                <w:sz w:val="24"/>
                <w:szCs w:val="24"/>
                <w:highlight w:val="none"/>
              </w:rPr>
              <w:t>，又有利于提高学生的认知、动手和研究能力，进而</w:t>
            </w:r>
            <w:r>
              <w:rPr>
                <w:rFonts w:hint="eastAsia" w:ascii="仿宋_GB2312" w:hAnsi="仿宋_GB2312" w:eastAsia="仿宋_GB2312" w:cs="仿宋_GB2312"/>
                <w:color w:val="auto"/>
                <w:sz w:val="24"/>
                <w:szCs w:val="24"/>
                <w:highlight w:val="none"/>
                <w:lang w:eastAsia="zh-CN"/>
              </w:rPr>
              <w:t>增强</w:t>
            </w:r>
            <w:r>
              <w:rPr>
                <w:rFonts w:hint="eastAsia" w:ascii="仿宋_GB2312" w:hAnsi="仿宋_GB2312" w:eastAsia="仿宋_GB2312" w:cs="仿宋_GB2312"/>
                <w:color w:val="auto"/>
                <w:sz w:val="24"/>
                <w:szCs w:val="24"/>
                <w:highlight w:val="none"/>
                <w:lang w:val="en-US" w:eastAsia="zh-CN"/>
              </w:rPr>
              <w:t>学生的爱国情怀</w:t>
            </w:r>
            <w:r>
              <w:rPr>
                <w:rFonts w:hint="eastAsia" w:ascii="仿宋_GB2312" w:hAnsi="仿宋_GB2312" w:eastAsia="仿宋_GB2312" w:cs="仿宋_GB2312"/>
                <w:color w:val="auto"/>
                <w:sz w:val="24"/>
                <w:szCs w:val="24"/>
                <w:highlight w:val="none"/>
              </w:rPr>
              <w:t>、自信心和民族自豪感，帮助学生掌握关于当代社会主义的基本知识，以更深刻的视角理解认识当代中国社会，强化共产主义世界观。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中华优秀传统文化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掌握并传承中</w:t>
            </w:r>
            <w:r>
              <w:rPr>
                <w:rFonts w:hint="eastAsia" w:ascii="仿宋_GB2312" w:hAnsi="仿宋_GB2312" w:eastAsia="仿宋_GB2312" w:cs="仿宋_GB2312"/>
                <w:b w:val="0"/>
                <w:bCs w:val="0"/>
                <w:color w:val="auto"/>
                <w:sz w:val="24"/>
                <w:szCs w:val="24"/>
                <w:highlight w:val="none"/>
                <w:lang w:val="en-US" w:eastAsia="zh-CN"/>
              </w:rPr>
              <w:t>华优秀</w:t>
            </w:r>
            <w:r>
              <w:rPr>
                <w:rFonts w:hint="eastAsia" w:ascii="仿宋_GB2312" w:hAnsi="仿宋_GB2312" w:eastAsia="仿宋_GB2312" w:cs="仿宋_GB2312"/>
                <w:b w:val="0"/>
                <w:bCs w:val="0"/>
                <w:color w:val="auto"/>
                <w:sz w:val="24"/>
                <w:szCs w:val="24"/>
                <w:highlight w:val="none"/>
              </w:rPr>
              <w:t>传统文化的基本内涵</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主要内容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基本精神，了解了中国传统哲学、文学、</w:t>
            </w:r>
            <w:r>
              <w:rPr>
                <w:rFonts w:hint="eastAsia" w:ascii="仿宋_GB2312" w:hAnsi="仿宋_GB2312" w:eastAsia="仿宋_GB2312" w:cs="仿宋_GB2312"/>
                <w:b w:val="0"/>
                <w:bCs w:val="0"/>
                <w:color w:val="auto"/>
                <w:sz w:val="24"/>
                <w:szCs w:val="24"/>
                <w:highlight w:val="none"/>
                <w:lang w:val="en-US" w:eastAsia="zh-CN"/>
              </w:rPr>
              <w:t>仪式</w:t>
            </w:r>
            <w:r>
              <w:rPr>
                <w:rFonts w:hint="eastAsia" w:ascii="仿宋_GB2312" w:hAnsi="仿宋_GB2312" w:eastAsia="仿宋_GB2312" w:cs="仿宋_GB2312"/>
                <w:b w:val="0"/>
                <w:bCs w:val="0"/>
                <w:color w:val="auto"/>
                <w:sz w:val="24"/>
                <w:szCs w:val="24"/>
                <w:highlight w:val="none"/>
              </w:rPr>
              <w:t>文化精髓，扩大学生视野，读懂更多的经典名著名篇，熟悉中国古代的艺术、科技、文化成果，弘扬中国传统礼仪、风俗及美食文化。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掌握鉴赏中华优秀传统文化及其载体的能力；养成传统美德、树立文化自信、掌握文化精粹；培养发掘中华优秀传统文化的生成规律和闪光点的能力；能坚持创造性转化、创新性发展中华优秀传统文化。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培养学生具有对中华优秀传统文化的热爱敬畏之情；具有强烈的民族精神、人文精神和科学精神；</w:t>
            </w:r>
            <w:r>
              <w:rPr>
                <w:rFonts w:hint="eastAsia" w:ascii="仿宋_GB2312" w:hAnsi="仿宋_GB2312" w:eastAsia="仿宋_GB2312" w:cs="仿宋_GB2312"/>
                <w:b w:val="0"/>
                <w:bCs w:val="0"/>
                <w:color w:val="auto"/>
                <w:sz w:val="24"/>
                <w:szCs w:val="24"/>
                <w:highlight w:val="none"/>
              </w:rPr>
              <w:t>弘扬中华优秀传统文化</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树立中华优秀传统文化是我们每一个中国人的血脉和灵魂的情感；提升人格修养，培养文化情怀，</w:t>
            </w:r>
            <w:r>
              <w:rPr>
                <w:rFonts w:hint="eastAsia" w:ascii="仿宋_GB2312" w:hAnsi="仿宋_GB2312" w:eastAsia="仿宋_GB2312" w:cs="仿宋_GB2312"/>
                <w:b w:val="0"/>
                <w:bCs w:val="0"/>
                <w:color w:val="auto"/>
                <w:sz w:val="24"/>
                <w:szCs w:val="24"/>
                <w:highlight w:val="none"/>
                <w:lang w:val="en-US" w:eastAsia="zh-CN"/>
              </w:rPr>
              <w:t>具有较好的审美情趣和审美能力，</w:t>
            </w:r>
            <w:r>
              <w:rPr>
                <w:rFonts w:hint="eastAsia" w:ascii="仿宋_GB2312" w:hAnsi="仿宋_GB2312" w:eastAsia="仿宋_GB2312" w:cs="仿宋_GB2312"/>
                <w:b w:val="0"/>
                <w:bCs w:val="0"/>
                <w:color w:val="auto"/>
                <w:sz w:val="24"/>
                <w:szCs w:val="24"/>
                <w:highlight w:val="none"/>
              </w:rPr>
              <w:t>具备一定的优秀传统文化素养。</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23</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中华民族共同体概论</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auto"/>
                <w:sz w:val="24"/>
                <w:szCs w:val="24"/>
                <w:highlight w:val="none"/>
                <w:lang w:val="en-US" w:eastAsia="zh-CN"/>
              </w:rPr>
              <w:t>紧扣铸牢中华民族共同体意识的基本任务，自觉推动中华民族共同体建设。</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语文</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掌握现代汉语基础知识和常用文体特征，了解文学鉴赏基本方法。学习实用写作规范，提升语言表达准确性，培养基础文学素养。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：培养阅读理解与书面表达能力，提升职场应用写作水平。增强口语交际能力，掌握专业文献阅读方法，适应职业发展需求。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培育人文精神与审美情趣，提高文化修养。增强逻辑思维与创新意识，树立终身学习理念。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通过经典作品传承中华优秀传统文化，培育文化自信。在语言训练中融入社会主义核心价值观教育。</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教师需采用任务驱动教学法，设计真实语言应用场景。学生需积极参与课堂活动，完成实践训练任务。教学中要注重学用结合，突出职业导向，强化语言应用能力培养，提升学生人文素养和职业竞争力。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物理</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掌握力学、热学、电磁学等经典物理核心概念与规律，了解其在高新技术和工程实践中的具体应用，构建必要的物理知识体系。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能够运用物理原理分析和解决生产生活中的实际问题，具备基本的实验操作、数据处理和科学思维能力，提升技术应用与创新意识。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培养严谨求实的科学态度、精益求精的工匠精神和探索未知的好奇心，为未来职业发展和终身学习奠定坚实基础。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通过物理学史和科学家故事，弘扬科学精神和爱国情怀，培养职业道德、团队协作意识与社会责任感。</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化学</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掌握物质结构、溶液化学、反应速率、电解质溶液等基本化学原理，熟悉常见元素及其化合物的性质与重要反应律。</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能够规范进行基础化学实验操作，具备分析处理实验数据、鉴别常见物质及解决化工生产中一般性化学问题的实践能力。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培养严谨细致、实事求是的科学作风，树立环保、安全、节约的意识，为未来从事相关技术工作奠定良好的职业素养基础。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通过我国古代化工成就与现代科技发展案例，增强民族自豪感，培养绿色化学理念、社会责任感和职业道德。</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职业素养</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default" w:ascii="仿宋_GB2312" w:hAnsi="仿宋_GB2312" w:eastAsia="仿宋_GB2312" w:cs="仿宋_GB2312"/>
                <w:color w:val="auto"/>
                <w:sz w:val="24"/>
                <w:szCs w:val="24"/>
                <w:highlight w:val="none"/>
                <w:lang w:val="en-US" w:eastAsia="zh-CN"/>
              </w:rPr>
              <w:t>系统</w:t>
            </w:r>
            <w:r>
              <w:rPr>
                <w:rFonts w:hint="eastAsia" w:ascii="仿宋_GB2312" w:hAnsi="仿宋_GB2312" w:eastAsia="仿宋_GB2312" w:cs="仿宋_GB2312"/>
                <w:color w:val="auto"/>
                <w:sz w:val="24"/>
                <w:szCs w:val="24"/>
                <w:highlight w:val="none"/>
                <w:lang w:val="en-US" w:eastAsia="zh-CN"/>
              </w:rPr>
              <w:t>的</w:t>
            </w:r>
            <w:r>
              <w:rPr>
                <w:rFonts w:hint="default" w:ascii="仿宋_GB2312" w:hAnsi="仿宋_GB2312" w:eastAsia="仿宋_GB2312" w:cs="仿宋_GB2312"/>
                <w:color w:val="auto"/>
                <w:sz w:val="24"/>
                <w:szCs w:val="24"/>
                <w:highlight w:val="none"/>
                <w:lang w:val="en-US" w:eastAsia="zh-CN"/>
              </w:rPr>
              <w:t>了解职业道德、职业礼仪、沟通协作、时间管理等基本规范与要求，理解职业角色定位与责任。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b/>
                <w:bCs/>
                <w:color w:val="auto"/>
                <w:sz w:val="24"/>
                <w:szCs w:val="24"/>
                <w:highlight w:val="none"/>
                <w:lang w:val="en-US" w:eastAsia="zh-CN"/>
              </w:rPr>
              <w:t>能力目标：</w:t>
            </w:r>
            <w:r>
              <w:rPr>
                <w:rFonts w:hint="default" w:ascii="仿宋_GB2312" w:hAnsi="仿宋_GB2312" w:eastAsia="仿宋_GB2312" w:cs="仿宋_GB2312"/>
                <w:color w:val="auto"/>
                <w:sz w:val="24"/>
                <w:szCs w:val="24"/>
                <w:highlight w:val="none"/>
                <w:lang w:val="en-US" w:eastAsia="zh-CN"/>
              </w:rPr>
              <w:t>能够有效进行职场沟通与团队协作，具备解决职场常见矛盾、管理情绪与压力及进行职业规划的实践能力。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b/>
                <w:bCs/>
                <w:color w:val="auto"/>
                <w:sz w:val="24"/>
                <w:szCs w:val="24"/>
                <w:highlight w:val="none"/>
                <w:lang w:val="en-US" w:eastAsia="zh-CN"/>
              </w:rPr>
              <w:t>素质目标：</w:t>
            </w:r>
            <w:r>
              <w:rPr>
                <w:rFonts w:hint="default" w:ascii="仿宋_GB2312" w:hAnsi="仿宋_GB2312" w:eastAsia="仿宋_GB2312" w:cs="仿宋_GB2312"/>
                <w:color w:val="auto"/>
                <w:sz w:val="24"/>
                <w:szCs w:val="24"/>
                <w:highlight w:val="none"/>
                <w:lang w:val="en-US" w:eastAsia="zh-CN"/>
              </w:rPr>
              <w:t>内化敬业、诚信、责任、专注的工匠精神，塑造阳光积极的职业心态，实现从“学生”到“职业人”的角色转变。</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kern w:val="2"/>
                <w:sz w:val="24"/>
                <w:szCs w:val="24"/>
                <w:highlight w:val="none"/>
                <w:lang w:val="en-US" w:eastAsia="zh-CN" w:bidi="ar-SA"/>
              </w:rPr>
            </w:pPr>
            <w:r>
              <w:rPr>
                <w:rFonts w:hint="default" w:ascii="仿宋_GB2312" w:hAnsi="仿宋_GB2312" w:eastAsia="仿宋_GB2312" w:cs="仿宋_GB2312"/>
                <w:b/>
                <w:bCs/>
                <w:color w:val="auto"/>
                <w:sz w:val="24"/>
                <w:szCs w:val="24"/>
                <w:highlight w:val="none"/>
                <w:lang w:val="en-US" w:eastAsia="zh-CN"/>
              </w:rPr>
              <w:t>课程思政育人目标：</w:t>
            </w:r>
            <w:r>
              <w:rPr>
                <w:rFonts w:hint="default" w:ascii="仿宋_GB2312" w:hAnsi="仿宋_GB2312" w:eastAsia="仿宋_GB2312" w:cs="仿宋_GB2312"/>
                <w:color w:val="auto"/>
                <w:sz w:val="24"/>
                <w:szCs w:val="24"/>
                <w:highlight w:val="none"/>
                <w:lang w:val="en-US" w:eastAsia="zh-CN"/>
              </w:rPr>
              <w:t>培育社会主义核心价值观，强化劳动精神、劳模精神和工匠精神教育，树立正确的职业观、事业观和成才观。</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default" w:ascii="仿宋_GB2312" w:hAnsi="仿宋_GB2312" w:eastAsia="仿宋_GB2312" w:cs="仿宋_GB2312"/>
                <w:color w:val="auto"/>
                <w:sz w:val="24"/>
                <w:szCs w:val="24"/>
                <w:highlight w:val="none"/>
                <w:lang w:val="en-US" w:eastAsia="zh-CN"/>
              </w:rPr>
              <w:t>课程涵盖职业意识与角色转换；职业道德与职业行为规范；职业礼仪与形象塑造；高效沟通与团队协作技巧；情绪管理与压力应对；时间管理与执行力培养；创新思维与解决问题能力；职业规划与终身学习。内容融合大量企业案例、情景模拟和项目任务。</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default" w:ascii="仿宋_GB2312" w:hAnsi="仿宋_GB2312" w:eastAsia="仿宋_GB2312" w:cs="仿宋_GB2312"/>
                <w:color w:val="auto"/>
                <w:sz w:val="24"/>
                <w:szCs w:val="24"/>
                <w:highlight w:val="none"/>
                <w:lang w:val="en-US" w:eastAsia="zh-CN"/>
              </w:rPr>
              <w:t>以学生为中心，采用角色扮演、案例分析、小组讨论等互动方法，创设真实职场情境。邀请企业专家、优秀校友进课堂，分享实战经验。强化过程体验与反思，鼓励学生在实践活动中领悟并践行职业素养要求，注重行为习惯的养成教育。</w:t>
            </w:r>
          </w:p>
        </w:tc>
      </w:tr>
    </w:tbl>
    <w:p>
      <w:pPr>
        <w:pStyle w:val="2"/>
        <w:pageBreakBefore w:val="0"/>
        <w:widowControl/>
        <w:kinsoku/>
        <w:wordWrap/>
        <w:topLinePunct w:val="0"/>
        <w:autoSpaceDE/>
        <w:autoSpaceDN/>
        <w:bidi w:val="0"/>
        <w:snapToGrid/>
        <w:spacing w:before="0" w:after="0" w:line="520" w:lineRule="exact"/>
        <w:ind w:left="0" w:firstLine="640" w:firstLineChars="200"/>
        <w:jc w:val="left"/>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（二）专业课程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一般包括专业基础课程、专业核心课程和专业拓展课程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960" w:firstLineChars="300"/>
        <w:textAlignment w:val="auto"/>
        <w:rPr>
          <w:rFonts w:hint="eastAsia" w:ascii="仿宋_GB2312" w:hAnsi="仿宋_GB2312" w:eastAsia="仿宋_GB2312" w:cs="仿宋_GB2312"/>
          <w:b w:val="0"/>
          <w:bCs w:val="0"/>
          <w:color w:val="auto"/>
          <w:sz w:val="32"/>
          <w:szCs w:val="32"/>
          <w:highlight w:val="none"/>
        </w:rPr>
      </w:pPr>
      <w:bookmarkStart w:id="10" w:name="_Toc90734975"/>
      <w:r>
        <w:rPr>
          <w:rFonts w:hint="eastAsia" w:ascii="仿宋_GB2312" w:hAnsi="仿宋_GB2312" w:eastAsia="仿宋_GB2312" w:cs="仿宋_GB2312"/>
          <w:b w:val="0"/>
          <w:bCs w:val="0"/>
          <w:color w:val="auto"/>
          <w:sz w:val="32"/>
          <w:szCs w:val="32"/>
          <w:highlight w:val="none"/>
        </w:rPr>
        <w:t>1.专业基础课程</w:t>
      </w:r>
      <w:bookmarkEnd w:id="10"/>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960" w:firstLineChars="3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专业基础课程</w:t>
      </w:r>
      <w:r>
        <w:rPr>
          <w:rFonts w:hint="eastAsia" w:ascii="仿宋_GB2312" w:hAnsi="仿宋_GB2312" w:eastAsia="仿宋_GB2312" w:cs="仿宋_GB2312"/>
          <w:color w:val="auto"/>
          <w:sz w:val="32"/>
          <w:szCs w:val="32"/>
          <w:highlight w:val="none"/>
          <w:lang w:val="en-US" w:eastAsia="zh-CN"/>
        </w:rPr>
        <w:t>是</w:t>
      </w:r>
      <w:r>
        <w:rPr>
          <w:rFonts w:hint="eastAsia" w:ascii="仿宋_GB2312" w:hAnsi="仿宋_GB2312" w:eastAsia="仿宋_GB2312" w:cs="仿宋_GB2312"/>
          <w:color w:val="auto"/>
          <w:sz w:val="32"/>
          <w:szCs w:val="32"/>
          <w:highlight w:val="none"/>
        </w:rPr>
        <w:t>为后续专业课程学习打基础的课程。包括：城市轨道交通概论、土木工程材料、土力学与地基基础、城市轨道交通设备、工程制图与CAD、结构设计原理、地铁轨道基础、工程力学、BIM技术应用基础等</w:t>
      </w:r>
      <w:r>
        <w:rPr>
          <w:rFonts w:hint="eastAsia" w:ascii="仿宋_GB2312" w:hAnsi="仿宋_GB2312" w:eastAsia="仿宋_GB2312" w:cs="仿宋_GB2312"/>
          <w:color w:val="auto"/>
          <w:spacing w:val="-4"/>
          <w:sz w:val="32"/>
          <w:szCs w:val="32"/>
          <w:highlight w:val="none"/>
        </w:rPr>
        <w:t>课程。</w:t>
      </w:r>
    </w:p>
    <w:p>
      <w:pPr>
        <w:pageBreakBefore w:val="0"/>
        <w:kinsoku/>
        <w:wordWrap/>
        <w:overflowPunct w:val="0"/>
        <w:topLinePunct w:val="0"/>
        <w:autoSpaceDE/>
        <w:autoSpaceDN/>
        <w:bidi w:val="0"/>
        <w:adjustRightInd w:val="0"/>
        <w:spacing w:after="0" w:line="520" w:lineRule="exact"/>
        <w:ind w:left="0"/>
        <w:jc w:val="center"/>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表3专业基础课</w:t>
      </w:r>
      <w:r>
        <w:rPr>
          <w:rFonts w:hint="eastAsia" w:ascii="仿宋_GB2312" w:hAnsi="仿宋_GB2312" w:eastAsia="仿宋_GB2312" w:cs="仿宋_GB2312"/>
          <w:color w:val="auto"/>
          <w:sz w:val="32"/>
          <w:szCs w:val="32"/>
          <w:highlight w:val="none"/>
          <w:lang w:val="en-US" w:eastAsia="zh-CN"/>
        </w:rPr>
        <w:t>课</w:t>
      </w:r>
      <w:r>
        <w:rPr>
          <w:rFonts w:hint="eastAsia" w:ascii="仿宋_GB2312" w:hAnsi="仿宋_GB2312" w:eastAsia="仿宋_GB2312" w:cs="仿宋_GB2312"/>
          <w:color w:val="auto"/>
          <w:sz w:val="32"/>
          <w:szCs w:val="32"/>
          <w:highlight w:val="none"/>
        </w:rPr>
        <w:t>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8"/>
        <w:tblW w:w="108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777"/>
        <w:gridCol w:w="3240"/>
        <w:gridCol w:w="3195"/>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6"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exact"/>
              <w:ind w:firstLine="480" w:firstLineChars="200"/>
              <w:textAlignment w:val="auto"/>
              <w:rPr>
                <w:rFonts w:hint="default" w:ascii="仿宋_GB2312" w:hAnsi="仿宋_GB2312" w:eastAsia="仿宋_GB2312" w:cs="仿宋_GB2312"/>
                <w:color w:val="auto"/>
                <w:sz w:val="24"/>
                <w:highlight w:val="none"/>
                <w:lang w:val="en-US" w:eastAsia="zh-CN"/>
              </w:rPr>
            </w:pPr>
            <w:bookmarkStart w:id="11" w:name="_Toc90734977"/>
            <w:r>
              <w:rPr>
                <w:rFonts w:hint="eastAsia" w:ascii="仿宋_GB2312" w:hAnsi="仿宋_GB2312" w:eastAsia="仿宋_GB2312" w:cs="仿宋_GB2312"/>
                <w:color w:val="auto"/>
                <w:sz w:val="24"/>
                <w:highlight w:val="none"/>
                <w:lang w:val="en-US" w:eastAsia="zh-CN"/>
              </w:rPr>
              <w:t>序序号</w:t>
            </w:r>
          </w:p>
        </w:tc>
        <w:tc>
          <w:tcPr>
            <w:tcW w:w="777"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课程名称</w:t>
            </w:r>
          </w:p>
        </w:tc>
        <w:tc>
          <w:tcPr>
            <w:tcW w:w="3240"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ind w:firstLine="480" w:firstLineChars="200"/>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课程教学目标</w:t>
            </w:r>
          </w:p>
        </w:tc>
        <w:tc>
          <w:tcPr>
            <w:tcW w:w="319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ind w:firstLine="480" w:firstLineChars="200"/>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课程教学内容</w:t>
            </w:r>
          </w:p>
        </w:tc>
        <w:tc>
          <w:tcPr>
            <w:tcW w:w="3187"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ind w:firstLine="480" w:firstLineChars="200"/>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6"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ind w:firstLine="480" w:firstLineChars="200"/>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11</w:t>
            </w:r>
          </w:p>
        </w:tc>
        <w:tc>
          <w:tcPr>
            <w:tcW w:w="777"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城市轨道交通概论</w:t>
            </w:r>
          </w:p>
        </w:tc>
        <w:tc>
          <w:tcPr>
            <w:tcW w:w="3240"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掌握城市轨道交通的基本概念、系统构成、主要技术参数及发展历程，理解各子系统的功能与相互关系。</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b/>
                <w:bCs/>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能初步分析城市轨道交通系统的运营特点，识别常见设备的基本功能，具备运用基础理论解决简单实际问题的能力。</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培养严谨细致的工作态度、团队协作意识和持续学习的习惯，提升对城市交通系统的认知与适应能力。</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增强对城市公共交通事业的责任感与使命感，树立安全第一、服务人民的理念，厚植交通强国建设的家国情怀。</w:t>
            </w:r>
          </w:p>
        </w:tc>
        <w:tc>
          <w:tcPr>
            <w:tcW w:w="3195" w:type="dxa"/>
            <w:shd w:val="clear" w:color="auto" w:fill="auto"/>
          </w:tcPr>
          <w:p>
            <w:pPr>
              <w:keepNext w:val="0"/>
              <w:keepLines w:val="0"/>
              <w:pageBreakBefore w:val="0"/>
              <w:widowControl w:val="0"/>
              <w:kinsoku/>
              <w:wordWrap/>
              <w:overflowPunct/>
              <w:topLinePunct w:val="0"/>
              <w:autoSpaceDE w:val="0"/>
              <w:autoSpaceDN w:val="0"/>
              <w:bidi w:val="0"/>
              <w:adjustRightInd/>
              <w:snapToGrid/>
              <w:spacing w:after="0" w:line="240" w:lineRule="auto"/>
              <w:ind w:firstLine="480" w:firstLineChars="200"/>
              <w:textAlignment w:val="auto"/>
              <w:rPr>
                <w:rFonts w:ascii="仿宋_GB2312" w:hAnsi="仿宋_GB2312" w:eastAsia="仿宋_GB2312" w:cs="仿宋_GB2312"/>
                <w:color w:val="auto"/>
                <w:sz w:val="24"/>
                <w:highlight w:val="none"/>
              </w:rPr>
            </w:pP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城市轨道交通概论课程教学内容围绕城市轨道交通展开，首先对其进行</w:t>
            </w:r>
            <w:r>
              <w:rPr>
                <w:rFonts w:ascii="仿宋_GB2312" w:hAnsi="仿宋_GB2312" w:eastAsia="仿宋_GB2312" w:cs="仿宋_GB2312"/>
                <w:color w:val="auto"/>
                <w:sz w:val="24"/>
                <w:highlight w:val="none"/>
              </w:rPr>
              <w:t>概述，助力学习者形成整体认知；接着深入剖析系统组成与关键技术，解读核心构成要素及支撑技术；随后阐述规划与设计基础，介绍规划布局和工程设计的原则方法；在此之上，探讨运营管理内容，涉及日常组织与调度指挥等；同时关注前沿技术与趋势，展现创新方向与发展态势；最后强调安全与法规的重要性，明确安全运行的法规要求和标准。</w:t>
            </w:r>
          </w:p>
          <w:p>
            <w:pPr>
              <w:keepNext w:val="0"/>
              <w:keepLines w:val="0"/>
              <w:pageBreakBefore w:val="0"/>
              <w:widowControl w:val="0"/>
              <w:kinsoku/>
              <w:wordWrap/>
              <w:overflowPunct/>
              <w:topLinePunct w:val="0"/>
              <w:autoSpaceDE w:val="0"/>
              <w:autoSpaceDN w:val="0"/>
              <w:bidi w:val="0"/>
              <w:adjustRightInd/>
              <w:snapToGrid/>
              <w:spacing w:after="0" w:line="240" w:lineRule="auto"/>
              <w:ind w:firstLine="480" w:firstLineChars="200"/>
              <w:textAlignment w:val="auto"/>
              <w:rPr>
                <w:rFonts w:ascii="仿宋_GB2312" w:hAnsi="仿宋_GB2312" w:eastAsia="仿宋_GB2312" w:cs="仿宋_GB2312"/>
                <w:color w:val="auto"/>
                <w:sz w:val="24"/>
                <w:highlight w:val="none"/>
              </w:rPr>
            </w:pPr>
          </w:p>
        </w:tc>
        <w:tc>
          <w:tcPr>
            <w:tcW w:w="3187"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ascii="仿宋_GB2312" w:hAnsi="仿宋_GB2312" w:eastAsia="仿宋_GB2312" w:cs="仿宋_GB2312"/>
                <w:color w:val="auto"/>
                <w:sz w:val="24"/>
                <w:highlight w:val="none"/>
              </w:rPr>
              <w:t>城市轨道交通概论课程教学要求学习者需全面掌握城市轨道交通的基本概念、系统组成、规划设计原则、运营管理模式等核心知识，理解各部分内容之间的内在联系；能够运用所学知识分析城市轨道交通领域的基本问题，具备初步的识图、理解工程案例的能力；关注行业前沿动态，培养对城市轨道交通技术发展的敏感度；同时树立安全第一的理念，熟知相关法规标准，为后续深入学习和实践应用奠定坚实基础。​</w:t>
            </w:r>
          </w:p>
          <w:p>
            <w:pPr>
              <w:keepNext w:val="0"/>
              <w:keepLines w:val="0"/>
              <w:pageBreakBefore w:val="0"/>
              <w:widowControl w:val="0"/>
              <w:kinsoku/>
              <w:wordWrap/>
              <w:overflowPunct/>
              <w:topLinePunct w:val="0"/>
              <w:autoSpaceDE w:val="0"/>
              <w:autoSpaceDN w:val="0"/>
              <w:bidi w:val="0"/>
              <w:adjustRightInd/>
              <w:snapToGrid/>
              <w:spacing w:after="0" w:line="240" w:lineRule="auto"/>
              <w:ind w:firstLine="480" w:firstLineChars="200"/>
              <w:textAlignment w:val="auto"/>
              <w:rPr>
                <w:rFonts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6"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ind w:firstLine="480" w:firstLineChars="200"/>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22</w:t>
            </w:r>
          </w:p>
        </w:tc>
        <w:tc>
          <w:tcPr>
            <w:tcW w:w="777"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土木工程材料</w:t>
            </w:r>
          </w:p>
        </w:tc>
        <w:tc>
          <w:tcPr>
            <w:tcW w:w="3240"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掌握土木工程常用材料的种类、性能、技术指标、适用范围及检测方法，理解材料性能与工程质量的关联。</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能识别和选用常用土木工程材料，进行材料性能的基本检测，具备分析材料质量问题的初步能力。</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养成严谨务实的材料选用态度、节约环保的材料使用意识，提升对材料质量的把控素养。</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强化材料质量与工程安全的责任担当，树立绿色低碳的材料应用理念，激发以优质材料保障土木工程可靠建设的使命感。</w:t>
            </w:r>
          </w:p>
        </w:tc>
        <w:tc>
          <w:tcPr>
            <w:tcW w:w="3195"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课程教学内容围绕各类土木工程材料展开，首先介绍材料的</w:t>
            </w:r>
            <w:r>
              <w:rPr>
                <w:rFonts w:ascii="仿宋_GB2312" w:hAnsi="仿宋_GB2312" w:eastAsia="仿宋_GB2312" w:cs="仿宋_GB2312"/>
                <w:color w:val="auto"/>
                <w:sz w:val="24"/>
                <w:highlight w:val="none"/>
              </w:rPr>
              <w:t>基本性质，如物理性能、力学性能等，帮助学习者奠定基础认知；接着详细讲解常用材料，包括水泥、混凝土、钢材、木材、沥青等的组成、生产工艺、技术性能及应用范围；随后阐述材料的检测与试验方法，让学习者了解如何评定材料质量；同时探讨材料的合理选用与节约，结合工程实际分析不同场景下材料的选择原则；最后关注新型土木工程材料的发展，介绍其特性及在工程中的创新应用。</w:t>
            </w:r>
          </w:p>
        </w:tc>
        <w:tc>
          <w:tcPr>
            <w:tcW w:w="3187"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土木工程材料课程教学要求学习者需熟练掌握各类常用土木工程材料的基本性能、技术指标及适用条件，理解材料性能与工程应用之间的关联；能够正确进行材料的检测与试验操作，具备对材料质量进行初步判断的能力；了解新型材料的发展动态，树立合理选用材料、节约资源的意识，为后续在土木工程领域的实践应用打下坚实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6"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ind w:firstLine="480" w:firstLineChars="200"/>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33</w:t>
            </w:r>
          </w:p>
        </w:tc>
        <w:tc>
          <w:tcPr>
            <w:tcW w:w="777"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土力学与地基基础</w:t>
            </w:r>
          </w:p>
        </w:tc>
        <w:tc>
          <w:tcPr>
            <w:tcW w:w="3240"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掌握土的物理力学性质、地基应力计算、地基变形与稳定性分析等基础理论，理解地基处理方法及基础设计的基本原理。</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能运用土力学理论分析地基工程问题，具备地基承载力验算和基础选型的初步能力。</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培养理论联系实际的工程思维、严谨务实的工作作风和精益求精的专业精神，提升解决复杂地质条件下工程问题的适应力。</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强化工程安全与质量意识，树立尊重自然、因地制宜的生态理念，厚植服务国家基础设施建设的责任担当。</w:t>
            </w:r>
          </w:p>
        </w:tc>
        <w:tc>
          <w:tcPr>
            <w:tcW w:w="3195"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包括土的成因与分类、物理性质指标及工程分类方法，土的渗透性与渗流计算，地基中应力的分布规律与计算，土的压缩性与地基沉降计算，土的抗剪强度理论与地基承载力确定，土压力理论与挡土墙的设计原理，常见地基处理技术（如换填、夯实、排水固结等）的适用条件与施工要点，以及浅基础、深基础的类型选择与设计方法，同时融入地质勘察资料的解读和工程事故案例分析。</w:t>
            </w:r>
          </w:p>
        </w:tc>
        <w:tc>
          <w:tcPr>
            <w:tcW w:w="3187"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学生需熟练掌握土力学的基本概念和理论公式，能准确进行土的物理力学性质指标换算与地基应力、沉降、承载力等关键参数的计算；学会运用规范标准进行简单地基基础的设计与验算，能结合地质条件合理选择地基处理方案和基础形式；具备解读勘察报告、分析地基工程问题的能力，培养严谨的计算习惯、规范的设计思维和对地基基础工程安全的高度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6"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ind w:firstLine="480" w:firstLineChars="200"/>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44</w:t>
            </w:r>
          </w:p>
        </w:tc>
        <w:tc>
          <w:tcPr>
            <w:tcW w:w="777"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城市轨道交通设备</w:t>
            </w:r>
          </w:p>
        </w:tc>
        <w:tc>
          <w:tcPr>
            <w:tcW w:w="3240"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掌握城市轨道交通车辆、供电、信号、通信、车站设备等的基本构造、工作原理及技术参数，理解各设备系统的联动关系。</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能识别各类轨道交通设备的功能与状态，具备设备日常维护的初步操作能力和简单故障的判断能力。</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培养规范操作的职业素养、系统思维和创新意识，提升对复杂设备系统的适应与协作能力。</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增强设备安全运行的责任意识，树立精益求精的工匠精神，激发投身城市轨道交通事业、助力交通强国建设的使命感。</w:t>
            </w:r>
          </w:p>
        </w:tc>
        <w:tc>
          <w:tcPr>
            <w:tcW w:w="3195"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涵盖城市轨道交通的车辆构造（包括车体、转向架、制动系统等）、供电系统（如接触网、牵引变电所）、信号系统（含联锁、闭塞、列车自动监控等）、通信系统、车站设备（如自动售检票、电梯、屏蔽门）及综合监控系统的组成、工作原理与技术特性，同时介绍各设备系统的联动关系和日常维护基础知识。</w:t>
            </w:r>
          </w:p>
          <w:p>
            <w:pPr>
              <w:keepNext w:val="0"/>
              <w:keepLines w:val="0"/>
              <w:pageBreakBefore w:val="0"/>
              <w:widowControl w:val="0"/>
              <w:kinsoku/>
              <w:wordWrap/>
              <w:overflowPunct/>
              <w:topLinePunct w:val="0"/>
              <w:autoSpaceDE w:val="0"/>
              <w:autoSpaceDN w:val="0"/>
              <w:bidi w:val="0"/>
              <w:adjustRightInd/>
              <w:snapToGrid/>
              <w:spacing w:after="0" w:line="240" w:lineRule="auto"/>
              <w:ind w:firstLine="480" w:firstLineChars="200"/>
              <w:textAlignment w:val="auto"/>
              <w:rPr>
                <w:rFonts w:ascii="仿宋_GB2312" w:hAnsi="仿宋_GB2312" w:eastAsia="仿宋_GB2312" w:cs="仿宋_GB2312"/>
                <w:color w:val="auto"/>
                <w:sz w:val="24"/>
                <w:highlight w:val="none"/>
              </w:rPr>
            </w:pPr>
          </w:p>
        </w:tc>
        <w:tc>
          <w:tcPr>
            <w:tcW w:w="3187"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学生需掌握城市轨道交通主要设备的基本结构与功能原理，理解各系统间的协同运作机制；能识别设备的常见类型和关键部件，分析简单的设备故障成因；学会查阅设备技术资料，具备初步的设备运行状态判断能力，培养规范操作意识和保障设备安全稳定运行的责任担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6"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ind w:firstLine="480" w:firstLineChars="200"/>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55</w:t>
            </w:r>
          </w:p>
        </w:tc>
        <w:tc>
          <w:tcPr>
            <w:tcW w:w="777"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工程制图与CAD</w:t>
            </w:r>
          </w:p>
        </w:tc>
        <w:tc>
          <w:tcPr>
            <w:tcW w:w="3240"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掌握工程制图的基本规范、投影原理、图形表达方法及 CAD 软件的操作技巧，理解图纸在工程设计与施工中的作用。</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能绘制和识读简单的工程图纸，运用 CAD 软件完成图形绘制与编辑，具备标注尺寸和技术要求的初步能力。</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养成规范绘图的职业习惯、空间想象与逻辑思维能力，提升精准表达工程设计意图的专业素养。</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强化图纸绘制的责任意识与严谨态度，树立精益求精的工匠精神，激发以规范图纸保障工程质量、助力工程建设的使命感。</w:t>
            </w:r>
          </w:p>
        </w:tc>
        <w:tc>
          <w:tcPr>
            <w:tcW w:w="3195"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包括工程制图的基本标准（如尺寸标注、比例、线形等）、正投影原理、三视图及轴测图的绘制方法，常见工程构件（如零件、建筑构件）的表达技巧，以及 CAD 软件的界面操作、绘图命令、编辑工具、图层管理和图纸打印输出等，同时结合典型工程案例进行绘图实践训练。</w:t>
            </w:r>
          </w:p>
        </w:tc>
        <w:tc>
          <w:tcPr>
            <w:tcW w:w="3187"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学生需熟练掌握工程制图的基本规范和投影规律，能独立绘制和识读中等复杂程度的工程图纸；熟练运用 CAD 软件完成图形绘制、编辑与标注，具备按行业标准规范出图的能力；培养空间想象能力、严谨细致的绘图习惯和运用技术工具解决工程表达问题的思维，为后续专业课程学习和工程实践奠定基础。</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6"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ind w:firstLine="480" w:firstLineChars="200"/>
              <w:jc w:val="center"/>
              <w:textAlignment w:val="auto"/>
              <w:rPr>
                <w:rFonts w:ascii="仿宋_GB2312" w:hAnsi="仿宋_GB2312" w:eastAsia="仿宋_GB2312" w:cs="仿宋_GB2312"/>
                <w:color w:val="auto"/>
                <w:sz w:val="24"/>
                <w:highlight w:val="none"/>
              </w:rPr>
            </w:pPr>
          </w:p>
          <w:p>
            <w:pPr>
              <w:keepNext w:val="0"/>
              <w:keepLines w:val="0"/>
              <w:pageBreakBefore w:val="0"/>
              <w:widowControl w:val="0"/>
              <w:kinsoku/>
              <w:wordWrap/>
              <w:overflowPunct/>
              <w:topLinePunct w:val="0"/>
              <w:autoSpaceDE w:val="0"/>
              <w:autoSpaceDN w:val="0"/>
              <w:bidi w:val="0"/>
              <w:adjustRightInd/>
              <w:snapToGrid/>
              <w:spacing w:after="0" w:line="240" w:lineRule="auto"/>
              <w:ind w:firstLine="480" w:firstLineChars="200"/>
              <w:jc w:val="center"/>
              <w:textAlignment w:val="auto"/>
              <w:rPr>
                <w:rFonts w:ascii="仿宋_GB2312" w:hAnsi="仿宋_GB2312" w:eastAsia="仿宋_GB2312" w:cs="仿宋_GB2312"/>
                <w:color w:val="auto"/>
                <w:sz w:val="24"/>
                <w:highlight w:val="none"/>
              </w:rPr>
            </w:pPr>
          </w:p>
          <w:p>
            <w:pPr>
              <w:keepNext w:val="0"/>
              <w:keepLines w:val="0"/>
              <w:pageBreakBefore w:val="0"/>
              <w:widowControl w:val="0"/>
              <w:kinsoku/>
              <w:wordWrap/>
              <w:overflowPunct/>
              <w:topLinePunct w:val="0"/>
              <w:autoSpaceDE w:val="0"/>
              <w:autoSpaceDN w:val="0"/>
              <w:bidi w:val="0"/>
              <w:adjustRightInd/>
              <w:snapToGrid/>
              <w:spacing w:after="0" w:line="240" w:lineRule="auto"/>
              <w:ind w:firstLine="480" w:firstLineChars="200"/>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66</w:t>
            </w:r>
          </w:p>
        </w:tc>
        <w:tc>
          <w:tcPr>
            <w:tcW w:w="777"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结构设计原理</w:t>
            </w:r>
          </w:p>
        </w:tc>
        <w:tc>
          <w:tcPr>
            <w:tcW w:w="3240"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掌握结构设计的基本原理、各类结构的受力特点、材料性能及设计规范，理解结构选型与计算的关键方法。</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能运用结构设计原理进行简单构件的设计计算，具备分析结构受力状态和优化设计方案的初步能力。</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培养科学严谨的设计思维、创新意识和工程责任感，提升综合运用理论解决实际结构问题的能力。</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强化结构安全与耐久性意识，树立精益求精的工程伦理，激发服务国家基础设施建设、保障人民生命财产安全的使命感。</w:t>
            </w:r>
          </w:p>
        </w:tc>
        <w:tc>
          <w:tcPr>
            <w:tcW w:w="3195" w:type="dxa"/>
            <w:shd w:val="clear" w:color="auto" w:fill="auto"/>
          </w:tcPr>
          <w:p>
            <w:pPr>
              <w:keepNext w:val="0"/>
              <w:keepLines w:val="0"/>
              <w:pageBreakBefore w:val="0"/>
              <w:widowControl w:val="0"/>
              <w:kinsoku/>
              <w:wordWrap/>
              <w:overflowPunct/>
              <w:topLinePunct w:val="0"/>
              <w:autoSpaceDE w:val="0"/>
              <w:autoSpaceDN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涵盖结构设计的基本原理（如荷载与作用、结构可靠度、材料力学性能等），混凝土结构、钢结构、砌体结构等常见结构的设计方法与构造要求，构件（梁、板、柱、节点等）的受力分析、承载力计算及变形验算，同时介绍结构设计规范的基本规定和典型工程结构的设计案例。</w:t>
            </w:r>
          </w:p>
        </w:tc>
        <w:tc>
          <w:tcPr>
            <w:tcW w:w="3187" w:type="dxa"/>
            <w:shd w:val="clear" w:color="auto" w:fill="auto"/>
          </w:tcPr>
          <w:p>
            <w:pPr>
              <w:keepNext w:val="0"/>
              <w:keepLines w:val="0"/>
              <w:pageBreakBefore w:val="0"/>
              <w:widowControl w:val="0"/>
              <w:kinsoku/>
              <w:wordWrap/>
              <w:overflowPunct/>
              <w:topLinePunct w:val="0"/>
              <w:autoSpaceDE w:val="0"/>
              <w:autoSpaceDN w:val="0"/>
              <w:bidi w:val="0"/>
              <w:adjustRightInd/>
              <w:snapToGrid/>
              <w:spacing w:after="0" w:line="240" w:lineRule="auto"/>
              <w:ind w:firstLine="480" w:firstLineChars="200"/>
              <w:textAlignment w:val="auto"/>
              <w:rPr>
                <w:rFonts w:ascii="仿宋_GB2312" w:hAnsi="仿宋_GB2312" w:eastAsia="仿宋_GB2312" w:cs="仿宋_GB2312"/>
                <w:color w:val="auto"/>
                <w:sz w:val="24"/>
                <w:highlight w:val="none"/>
              </w:rPr>
            </w:pPr>
          </w:p>
          <w:p>
            <w:pPr>
              <w:keepNext w:val="0"/>
              <w:keepLines w:val="0"/>
              <w:pageBreakBefore w:val="0"/>
              <w:widowControl w:val="0"/>
              <w:kinsoku/>
              <w:wordWrap/>
              <w:overflowPunct/>
              <w:topLinePunct w:val="0"/>
              <w:autoSpaceDE w:val="0"/>
              <w:autoSpaceDN w:val="0"/>
              <w:bidi w:val="0"/>
              <w:adjustRightInd/>
              <w:snapToGrid/>
              <w:spacing w:after="0" w:line="240" w:lineRule="auto"/>
              <w:textAlignment w:val="auto"/>
              <w:rPr>
                <w:rFonts w:ascii="仿宋_GB2312" w:hAnsi="仿宋_GB2312" w:eastAsia="仿宋_GB2312" w:cs="仿宋_GB2312"/>
                <w:color w:val="auto"/>
                <w:sz w:val="24"/>
                <w:highlight w:val="none"/>
              </w:rPr>
            </w:pPr>
          </w:p>
          <w:p>
            <w:pPr>
              <w:keepNext w:val="0"/>
              <w:keepLines w:val="0"/>
              <w:pageBreakBefore w:val="0"/>
              <w:widowControl w:val="0"/>
              <w:kinsoku/>
              <w:wordWrap/>
              <w:overflowPunct/>
              <w:topLinePunct w:val="0"/>
              <w:autoSpaceDE w:val="0"/>
              <w:autoSpaceDN w:val="0"/>
              <w:bidi w:val="0"/>
              <w:adjustRightInd/>
              <w:snapToGrid/>
              <w:spacing w:after="0" w:line="240" w:lineRule="auto"/>
              <w:textAlignment w:val="auto"/>
              <w:rPr>
                <w:rFonts w:ascii="仿宋_GB2312" w:hAnsi="仿宋_GB2312" w:eastAsia="仿宋_GB2312" w:cs="仿宋_GB2312"/>
                <w:color w:val="auto"/>
                <w:sz w:val="24"/>
                <w:highlight w:val="none"/>
              </w:rPr>
            </w:pPr>
          </w:p>
          <w:p>
            <w:pPr>
              <w:keepNext w:val="0"/>
              <w:keepLines w:val="0"/>
              <w:pageBreakBefore w:val="0"/>
              <w:widowControl w:val="0"/>
              <w:kinsoku/>
              <w:wordWrap/>
              <w:overflowPunct/>
              <w:topLinePunct w:val="0"/>
              <w:autoSpaceDE w:val="0"/>
              <w:autoSpaceDN w:val="0"/>
              <w:bidi w:val="0"/>
              <w:adjustRightInd/>
              <w:snapToGrid/>
              <w:spacing w:after="0" w:line="240" w:lineRule="auto"/>
              <w:textAlignment w:val="auto"/>
              <w:rPr>
                <w:rFonts w:ascii="仿宋_GB2312" w:hAnsi="仿宋_GB2312" w:eastAsia="仿宋_GB2312" w:cs="仿宋_GB2312"/>
                <w:color w:val="auto"/>
                <w:sz w:val="24"/>
                <w:highlight w:val="none"/>
              </w:rPr>
            </w:pPr>
          </w:p>
          <w:p>
            <w:pPr>
              <w:keepNext w:val="0"/>
              <w:keepLines w:val="0"/>
              <w:pageBreakBefore w:val="0"/>
              <w:widowControl w:val="0"/>
              <w:kinsoku/>
              <w:wordWrap/>
              <w:overflowPunct/>
              <w:topLinePunct w:val="0"/>
              <w:autoSpaceDE w:val="0"/>
              <w:autoSpaceDN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学生需掌握结构设计的基本理论和各类结构的设计原则，能正确进行荷载计算与构件受力分析，熟练运用设计规范完成基本构件的设计与验算；具备绘制结构施工图的初步能力，能对简单结构方案的可行性进行分析，培养严谨的设计思维、安全意识和遵循规范的职业素养。</w:t>
            </w:r>
          </w:p>
          <w:p>
            <w:pPr>
              <w:keepNext w:val="0"/>
              <w:keepLines w:val="0"/>
              <w:pageBreakBefore w:val="0"/>
              <w:widowControl w:val="0"/>
              <w:kinsoku/>
              <w:wordWrap/>
              <w:overflowPunct/>
              <w:topLinePunct w:val="0"/>
              <w:autoSpaceDE w:val="0"/>
              <w:autoSpaceDN w:val="0"/>
              <w:bidi w:val="0"/>
              <w:adjustRightInd/>
              <w:snapToGrid/>
              <w:spacing w:after="0" w:line="240" w:lineRule="auto"/>
              <w:ind w:firstLine="480" w:firstLineChars="200"/>
              <w:textAlignment w:val="auto"/>
              <w:rPr>
                <w:rFonts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6"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ind w:firstLine="480" w:firstLineChars="200"/>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7</w:t>
            </w:r>
          </w:p>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ascii="仿宋_GB2312" w:hAnsi="仿宋_GB2312" w:eastAsia="仿宋_GB2312" w:cs="仿宋_GB2312"/>
                <w:color w:val="auto"/>
                <w:sz w:val="24"/>
                <w:highlight w:val="none"/>
              </w:rPr>
            </w:pPr>
          </w:p>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7</w:t>
            </w:r>
          </w:p>
        </w:tc>
        <w:tc>
          <w:tcPr>
            <w:tcW w:w="777"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地铁轨道基础</w:t>
            </w:r>
          </w:p>
        </w:tc>
        <w:tc>
          <w:tcPr>
            <w:tcW w:w="3240"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掌握地铁轨道的组成结构、各部件功能、技术参数及轨道铺设的基本要求，理解轨道结构与地铁运行安全的关系。</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能识别地铁轨道的主要部件，判断其基本状态，具备对轨道常见简单问题的初步分析能力。</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养成关注轨道细节的观察习惯、严谨细致的学习态度，提升对地铁轨道系统的认知素养。</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强化地铁轨道安全对出行保障的责任意识，树立精益求精的专业追求，激发以扎实知识助力地铁轨道安全稳定运行的使命感。</w:t>
            </w:r>
          </w:p>
        </w:tc>
        <w:tc>
          <w:tcPr>
            <w:tcW w:w="3195"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包括地铁轨道的组成结构（如钢轨、轨枕、道床、扣件、轨道框架等），各部件的类型、规格、材料特性及作用，轨道几何形位（轨距、水平、方向、高低等）的基本参数与标准，轨道铺设、养护的基本流程与技术要求，以及轨道与车辆、隧道或路基的配合关系，同时融入轨道常见病害及防治的基础知识。</w:t>
            </w:r>
          </w:p>
        </w:tc>
        <w:tc>
          <w:tcPr>
            <w:tcW w:w="3187"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学生需掌握地铁轨道各组成部分的构造与功能，理解轨道几何形位的重要性及控制标准；能识别轨道主要部件并判断其基本状态，具备分析轨道简单病害成因的初步能力；学会查阅轨道相关技术规范，培养关注轨道安全的责任意识和严谨细致的专业态度，为后续轨道施工、养护等课程学习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6"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ind w:firstLine="480" w:firstLineChars="200"/>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88</w:t>
            </w:r>
          </w:p>
        </w:tc>
        <w:tc>
          <w:tcPr>
            <w:tcW w:w="777"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工程力学</w:t>
            </w:r>
          </w:p>
        </w:tc>
        <w:tc>
          <w:tcPr>
            <w:tcW w:w="3240"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掌握地铁轨道的组成结构、轨道几何参数、扣件系统、道床类型及轨道铺设的基本规范，理解轨道与车辆、隧道的匹配关系。</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能识别地铁轨道各部件的功能与技术要求，具备轨道状态检查和简单病害判断的初步能力。</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培养细致观察的职业素养、系统分析能力和规范操作意识，提升对轨道系统维护与安全保障的认知水平。</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课程思政育人目标：强化轨道安全运行的责任意识，树立严谨务实的工匠精神，激发为城市轨道交通顺畅运营保驾护航的使命感。</w:t>
            </w:r>
          </w:p>
        </w:tc>
        <w:tc>
          <w:tcPr>
            <w:tcW w:w="3195"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涵盖静力学和材料力学两大部分，静力学包括物体的受力分析、力系的简化与平衡条件、构件的约束与约束力计算等；材料力学涉及构件在拉压、剪切、弯曲、扭转等基本变形下的内力分析、应力计算、强度与刚度校核，以及常用工程材料的力学性能，同时结合工程构件实例讲解力学原理的应用。</w:t>
            </w:r>
          </w:p>
        </w:tc>
        <w:tc>
          <w:tcPr>
            <w:tcW w:w="3187"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学生需掌握工程力学的基本概念、定理和计算方法，能对简单工程构件进行受力分析和内力计算，熟练进行强度、刚度的校核；具备将实际工程问题抽象为力学模型的初步能力，培养运用力学知识解决工程结构强度与稳定性问题的思维，为后续专业课程中结构设计与分析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6"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ind w:firstLine="480" w:firstLineChars="200"/>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9</w:t>
            </w:r>
          </w:p>
          <w:p>
            <w:pPr>
              <w:keepNext w:val="0"/>
              <w:keepLines w:val="0"/>
              <w:pageBreakBefore w:val="0"/>
              <w:widowControl w:val="0"/>
              <w:kinsoku/>
              <w:wordWrap/>
              <w:overflowPunct/>
              <w:topLinePunct w:val="0"/>
              <w:autoSpaceDE w:val="0"/>
              <w:autoSpaceDN w:val="0"/>
              <w:bidi w:val="0"/>
              <w:adjustRightInd/>
              <w:snapToGrid/>
              <w:spacing w:after="0" w:line="240" w:lineRule="auto"/>
              <w:ind w:firstLine="480" w:firstLineChars="200"/>
              <w:jc w:val="center"/>
              <w:textAlignment w:val="auto"/>
              <w:rPr>
                <w:rFonts w:ascii="仿宋_GB2312" w:hAnsi="仿宋_GB2312" w:eastAsia="仿宋_GB2312" w:cs="仿宋_GB2312"/>
                <w:color w:val="auto"/>
                <w:sz w:val="24"/>
                <w:highlight w:val="none"/>
              </w:rPr>
            </w:pPr>
          </w:p>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9</w:t>
            </w:r>
          </w:p>
        </w:tc>
        <w:tc>
          <w:tcPr>
            <w:tcW w:w="777"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BIM技术应用基础</w:t>
            </w:r>
          </w:p>
        </w:tc>
        <w:tc>
          <w:tcPr>
            <w:tcW w:w="3240"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 BIM 技术的基本概念、核心软件操作、模型构建流程及各专业协同原理，理解 BIM 在工程全生命周期中的应用价值。</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能运用 BIM 软件进行简单模型创建、信息提取与碰撞检查，具备初步的 BIM 协同工作能力。</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培养数字化思维、跨专业协作意识和创新应用能力，提升对工程信息化技术的适应与运用水平。</w:t>
            </w: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强化技术应用的严谨性与责任感，树立以技术创新推动工程高质量发展的理念，激发助力建筑行业数字化转型的使命感。</w:t>
            </w:r>
          </w:p>
        </w:tc>
        <w:tc>
          <w:tcPr>
            <w:tcW w:w="3195"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包括 BIM 的基本概念、技术体系及发展历程，主流 BIM 软件（如 Revit、Navisworks 等）的界面操作与建模流程，BIM 在建筑设计、结构设计、机电安装等阶段的应用方法，模型的碰撞检测、工程量统计及可视化展示等功能，同时结合典型工程项目案例介绍 BIM 技术的协同管理模式。</w:t>
            </w:r>
          </w:p>
        </w:tc>
        <w:tc>
          <w:tcPr>
            <w:tcW w:w="3187" w:type="dxa"/>
            <w:shd w:val="clear" w:color="auto" w:fill="auto"/>
          </w:tcPr>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p>
          <w:p>
            <w:pPr>
              <w:keepNext w:val="0"/>
              <w:keepLines w:val="0"/>
              <w:pageBreakBefore w:val="0"/>
              <w:widowControl w:val="0"/>
              <w:kinsoku/>
              <w:wordWrap/>
              <w:overflowPunct/>
              <w:topLinePunct w:val="0"/>
              <w:bidi w:val="0"/>
              <w:adjustRightInd/>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学生需掌握 BIM 的核心概念与技术原理，能运用主流 BIM 软件完成简单建筑构件的建模与信息录入，具备进行模型碰撞检查和基础工程量计算的能力；理解 BIM 技术在工程全生命周期中的应用价值，培养基于 BIM 的协同工作思维和数字化设计理念，为后续在专业领域中深化 BIM 应用奠定基础。</w:t>
            </w:r>
          </w:p>
        </w:tc>
      </w:tr>
    </w:tbl>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2.专业核心课程</w:t>
      </w:r>
      <w:bookmarkEnd w:id="11"/>
    </w:p>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仿宋_GB2312" w:hAnsi="仿宋_GB2312" w:eastAsia="仿宋_GB2312" w:cs="仿宋_GB2312"/>
          <w:color w:val="auto"/>
          <w:spacing w:val="-4"/>
          <w:sz w:val="32"/>
          <w:szCs w:val="32"/>
          <w:highlight w:val="none"/>
        </w:rPr>
      </w:pPr>
      <w:bookmarkStart w:id="12" w:name="OLE_LINK7"/>
      <w:r>
        <w:rPr>
          <w:rFonts w:hint="eastAsia" w:ascii="仿宋_GB2312" w:hAnsi="仿宋_GB2312" w:eastAsia="仿宋_GB2312" w:cs="仿宋_GB2312"/>
          <w:color w:val="auto"/>
          <w:sz w:val="32"/>
          <w:szCs w:val="32"/>
          <w:highlight w:val="none"/>
        </w:rPr>
        <w:t>专业核心课是</w:t>
      </w:r>
      <w:bookmarkEnd w:id="12"/>
      <w:r>
        <w:rPr>
          <w:rFonts w:hint="eastAsia" w:ascii="仿宋_GB2312" w:hAnsi="仿宋_GB2312" w:eastAsia="仿宋_GB2312" w:cs="仿宋_GB2312"/>
          <w:color w:val="auto"/>
          <w:sz w:val="32"/>
          <w:szCs w:val="32"/>
          <w:highlight w:val="none"/>
          <w:lang w:val="en-US" w:eastAsia="zh-CN"/>
        </w:rPr>
        <w:t>专业核心课是面向城市轨道交通工程施工、工程检测、基础设施养护、工程项目管理等岗位（群），结合城市轨道交通工程勘测、线路设计、施工管理、质量检测、设施养护、安全管理等就业岗位，建立城市轨道交通工程技术专业核心课程，培养学生具有城市轨道交通工程设施检测、养护、维修等方面的能力。包括城市轨道交通工程测量、城市轨道交通工程施工组织与概预算编制、城市轨道线路设计、隧道及地下工程施工、轨道与路基施工、轨道与路基施工、轨道线路养护与维修、工程检测与监测、桥梁施工与维护等课程</w:t>
      </w:r>
      <w:r>
        <w:rPr>
          <w:rFonts w:hint="eastAsia" w:ascii="仿宋_GB2312" w:hAnsi="仿宋_GB2312" w:eastAsia="仿宋_GB2312" w:cs="仿宋_GB2312"/>
          <w:color w:val="auto"/>
          <w:spacing w:val="-4"/>
          <w:sz w:val="32"/>
          <w:szCs w:val="32"/>
          <w:highlight w:val="none"/>
        </w:rPr>
        <w:t>。</w:t>
      </w:r>
    </w:p>
    <w:p>
      <w:pPr>
        <w:pageBreakBefore w:val="0"/>
        <w:kinsoku/>
        <w:wordWrap/>
        <w:overflowPunct w:val="0"/>
        <w:topLinePunct w:val="0"/>
        <w:autoSpaceDE/>
        <w:autoSpaceDN/>
        <w:bidi w:val="0"/>
        <w:adjustRightInd w:val="0"/>
        <w:spacing w:after="0" w:line="520" w:lineRule="exact"/>
        <w:ind w:left="0"/>
        <w:jc w:val="center"/>
        <w:rPr>
          <w:rFonts w:hint="eastAsia" w:ascii="仿宋_GB2312" w:hAnsi="仿宋_GB2312" w:eastAsia="仿宋_GB2312" w:cs="仿宋_GB2312"/>
          <w:color w:val="auto"/>
          <w:sz w:val="32"/>
          <w:szCs w:val="32"/>
          <w:highlight w:val="none"/>
        </w:rPr>
      </w:pPr>
    </w:p>
    <w:p>
      <w:pPr>
        <w:pageBreakBefore w:val="0"/>
        <w:kinsoku/>
        <w:wordWrap/>
        <w:overflowPunct w:val="0"/>
        <w:topLinePunct w:val="0"/>
        <w:autoSpaceDE/>
        <w:autoSpaceDN/>
        <w:bidi w:val="0"/>
        <w:adjustRightInd w:val="0"/>
        <w:spacing w:after="0" w:line="520" w:lineRule="exact"/>
        <w:ind w:left="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表4专业核心课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8"/>
        <w:tblW w:w="108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1"/>
        <w:gridCol w:w="820"/>
        <w:gridCol w:w="3528"/>
        <w:gridCol w:w="3012"/>
        <w:gridCol w:w="3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91" w:type="dxa"/>
            <w:vAlign w:val="center"/>
          </w:tcPr>
          <w:p>
            <w:pPr>
              <w:keepNext w:val="0"/>
              <w:keepLines w:val="0"/>
              <w:pageBreakBefore w:val="0"/>
              <w:kinsoku/>
              <w:wordWrap/>
              <w:overflowPunct w:val="0"/>
              <w:topLinePunct w:val="0"/>
              <w:autoSpaceDE/>
              <w:autoSpaceDN/>
              <w:bidi w:val="0"/>
              <w:adjustRightInd w:val="0"/>
              <w:snapToGrid/>
              <w:spacing w:after="0" w:line="240" w:lineRule="auto"/>
              <w:jc w:val="center"/>
              <w:textAlignment w:val="auto"/>
              <w:rPr>
                <w:rFonts w:ascii="仿宋_GB2312" w:hAnsi="仿宋_GB2312" w:eastAsia="仿宋_GB2312" w:cs="仿宋_GB2312"/>
                <w:color w:val="auto"/>
                <w:sz w:val="24"/>
                <w:highlight w:val="none"/>
              </w:rPr>
            </w:pPr>
            <w:bookmarkStart w:id="13" w:name="_Toc90734991"/>
            <w:r>
              <w:rPr>
                <w:rFonts w:hint="eastAsia" w:ascii="仿宋_GB2312" w:hAnsi="仿宋_GB2312" w:eastAsia="仿宋_GB2312" w:cs="仿宋_GB2312"/>
                <w:color w:val="auto"/>
                <w:sz w:val="24"/>
                <w:highlight w:val="none"/>
              </w:rPr>
              <w:t>序号</w:t>
            </w:r>
          </w:p>
        </w:tc>
        <w:tc>
          <w:tcPr>
            <w:tcW w:w="820" w:type="dxa"/>
            <w:vAlign w:val="center"/>
          </w:tcPr>
          <w:p>
            <w:pPr>
              <w:keepNext w:val="0"/>
              <w:keepLines w:val="0"/>
              <w:pageBreakBefore w:val="0"/>
              <w:kinsoku/>
              <w:wordWrap/>
              <w:overflowPunct w:val="0"/>
              <w:topLinePunct w:val="0"/>
              <w:autoSpaceDE/>
              <w:autoSpaceDN/>
              <w:bidi w:val="0"/>
              <w:adjustRightInd w:val="0"/>
              <w:snapToGrid/>
              <w:spacing w:after="0" w:line="240" w:lineRule="auto"/>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课程名称</w:t>
            </w:r>
          </w:p>
        </w:tc>
        <w:tc>
          <w:tcPr>
            <w:tcW w:w="3528" w:type="dxa"/>
            <w:vAlign w:val="center"/>
          </w:tcPr>
          <w:p>
            <w:pPr>
              <w:keepNext w:val="0"/>
              <w:keepLines w:val="0"/>
              <w:pageBreakBefore w:val="0"/>
              <w:kinsoku/>
              <w:wordWrap/>
              <w:overflowPunct w:val="0"/>
              <w:topLinePunct w:val="0"/>
              <w:autoSpaceDE/>
              <w:autoSpaceDN/>
              <w:bidi w:val="0"/>
              <w:adjustRightInd w:val="0"/>
              <w:snapToGrid/>
              <w:spacing w:after="0" w:line="240" w:lineRule="auto"/>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课程教学目标</w:t>
            </w:r>
          </w:p>
        </w:tc>
        <w:tc>
          <w:tcPr>
            <w:tcW w:w="3012" w:type="dxa"/>
            <w:vAlign w:val="center"/>
          </w:tcPr>
          <w:p>
            <w:pPr>
              <w:keepNext w:val="0"/>
              <w:keepLines w:val="0"/>
              <w:pageBreakBefore w:val="0"/>
              <w:kinsoku/>
              <w:wordWrap/>
              <w:overflowPunct w:val="0"/>
              <w:topLinePunct w:val="0"/>
              <w:autoSpaceDE/>
              <w:autoSpaceDN/>
              <w:bidi w:val="0"/>
              <w:adjustRightInd w:val="0"/>
              <w:snapToGrid/>
              <w:spacing w:after="0" w:line="240" w:lineRule="auto"/>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课程教学内容</w:t>
            </w:r>
          </w:p>
        </w:tc>
        <w:tc>
          <w:tcPr>
            <w:tcW w:w="3010" w:type="dxa"/>
            <w:vAlign w:val="center"/>
          </w:tcPr>
          <w:p>
            <w:pPr>
              <w:keepNext w:val="0"/>
              <w:keepLines w:val="0"/>
              <w:pageBreakBefore w:val="0"/>
              <w:kinsoku/>
              <w:wordWrap/>
              <w:overflowPunct w:val="0"/>
              <w:topLinePunct w:val="0"/>
              <w:autoSpaceDE/>
              <w:autoSpaceDN/>
              <w:bidi w:val="0"/>
              <w:adjustRightInd w:val="0"/>
              <w:snapToGrid/>
              <w:spacing w:after="0" w:line="240" w:lineRule="auto"/>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dxa"/>
            <w:vAlign w:val="center"/>
          </w:tcPr>
          <w:p>
            <w:pPr>
              <w:keepNext w:val="0"/>
              <w:keepLines w:val="0"/>
              <w:pageBreakBefore w:val="0"/>
              <w:kinsoku/>
              <w:wordWrap/>
              <w:overflowPunct w:val="0"/>
              <w:topLinePunct w:val="0"/>
              <w:autoSpaceDE/>
              <w:autoSpaceDN/>
              <w:bidi w:val="0"/>
              <w:adjustRightInd w:val="0"/>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820" w:type="dxa"/>
            <w:vAlign w:val="center"/>
          </w:tcPr>
          <w:p>
            <w:pPr>
              <w:keepNext w:val="0"/>
              <w:keepLines w:val="0"/>
              <w:pageBreakBefore w:val="0"/>
              <w:kinsoku/>
              <w:wordWrap/>
              <w:overflowPunct w:val="0"/>
              <w:topLinePunct w:val="0"/>
              <w:autoSpaceDE/>
              <w:autoSpaceDN/>
              <w:bidi w:val="0"/>
              <w:adjustRightInd w:val="0"/>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城市轨道交通工程测量</w:t>
            </w:r>
          </w:p>
        </w:tc>
        <w:tc>
          <w:tcPr>
            <w:tcW w:w="3528" w:type="dxa"/>
          </w:tcPr>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掌握城市轨道交通工程测量的基本原理、常用仪器操作方法、控制测量与施工测量的流程及数据处理知识，理解测量精度要求与规范标准。</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能运用测量仪器完成轨道交通线路、车站等工程的地形测绘、施工放样及变形监测，具备数据记录、处理与成果分析的初步能力。</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培养精准细致的测量素养、团队协作精神和责任意识，提升对复杂工程环境的适应与实操能力。</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强化测量数据的真实性与严谨性意识，树立 “失之毫厘，谬以千里” 的工程态度，激发为轨道交通工程质量保驾护航的使命感。</w:t>
            </w:r>
          </w:p>
        </w:tc>
        <w:tc>
          <w:tcPr>
            <w:tcW w:w="3012" w:type="dxa"/>
          </w:tcPr>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涵盖城市轨道交通工程测量的基本原理与方法，包括控制测量（平面控制、高程控制）、线路测量（中线测量、纵横断面测量）、地下工程测量（隧道施工测量、贯通测量）、车站与区间结构施工测量，以及全站仪、GPS、水准仪等测量仪器的操作与数据处理，结合轨道交通工程各阶段特点介绍测量方案设计与误差控制要点。</w:t>
            </w:r>
          </w:p>
        </w:tc>
        <w:tc>
          <w:tcPr>
            <w:tcW w:w="3010" w:type="dxa"/>
            <w:shd w:val="clear" w:color="auto" w:fill="auto"/>
          </w:tcPr>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学生需掌握城市轨道交通工程测量的基本理论和核心技术，能熟练操作常用测量仪器进行数据采集与处理，具备独立完成线路、隧道及车站等关键部位测量作业的能力；理解测量精度对工程质量与安全的影响，培养严谨的测量态度和规范操作意识，为轨道交通工程施工与运营维护中的测量工作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dxa"/>
            <w:vAlign w:val="center"/>
          </w:tcPr>
          <w:p>
            <w:pPr>
              <w:keepNext w:val="0"/>
              <w:keepLines w:val="0"/>
              <w:pageBreakBefore w:val="0"/>
              <w:kinsoku/>
              <w:wordWrap/>
              <w:overflowPunct w:val="0"/>
              <w:topLinePunct w:val="0"/>
              <w:autoSpaceDE/>
              <w:autoSpaceDN/>
              <w:bidi w:val="0"/>
              <w:adjustRightInd w:val="0"/>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820" w:type="dxa"/>
            <w:vAlign w:val="center"/>
          </w:tcPr>
          <w:p>
            <w:pPr>
              <w:keepNext w:val="0"/>
              <w:keepLines w:val="0"/>
              <w:pageBreakBefore w:val="0"/>
              <w:kinsoku/>
              <w:wordWrap/>
              <w:overflowPunct w:val="0"/>
              <w:topLinePunct w:val="0"/>
              <w:autoSpaceDE/>
              <w:autoSpaceDN/>
              <w:bidi w:val="0"/>
              <w:adjustRightInd w:val="0"/>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城市轨道交通工程施工组织与概预算编制</w:t>
            </w:r>
          </w:p>
        </w:tc>
        <w:tc>
          <w:tcPr>
            <w:tcW w:w="3528" w:type="dxa"/>
          </w:tcPr>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掌握城市轨道交通工程施工组织设计的原则、流程、资源配置及概预算编制的依据、方法与定额标准，理解施工方案优化与造价控制的关联。</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能编制简单的施工组织计划，进行分项工程概预算的初步编制与审核，具备分析施工成本与进度关系的能力。</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培养统筹规划的全局思维、经济核算意识和严谨务实的工作作风，提升工程管理与成本控制的综合素养。</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强化工程安全与经济责任意识，树立精益求精的管理理念，激发以科学组织与合理造价助力城市轨道交通建设的使命感。</w:t>
            </w:r>
          </w:p>
        </w:tc>
        <w:tc>
          <w:tcPr>
            <w:tcW w:w="3012" w:type="dxa"/>
          </w:tcPr>
          <w:p>
            <w:pPr>
              <w:keepNext w:val="0"/>
              <w:keepLines w:val="0"/>
              <w:pageBreakBefore w:val="0"/>
              <w:kinsoku/>
              <w:wordWrap/>
              <w:overflowPunct w:val="0"/>
              <w:topLinePunct w:val="0"/>
              <w:autoSpaceDE/>
              <w:autoSpaceDN/>
              <w:bidi w:val="0"/>
              <w:adjustRightInd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涵盖城市轨道交通工程施工组织设计的基本原理与编制方法，包括施工方案制定、进度计划编排（横道图、网络图应用）、资源配置（人力、机械、材料）、施工现场布置及安全文明施工管理；同时涉及工程概预算编制的构成、定额套用、工程量计算规则，以及招投标阶段造价文件的编制要点，结合典型轨道交通项目案例分析施工组织与造价控制的协同关系。</w:t>
            </w:r>
          </w:p>
        </w:tc>
        <w:tc>
          <w:tcPr>
            <w:tcW w:w="3010" w:type="dxa"/>
            <w:shd w:val="clear" w:color="auto" w:fill="auto"/>
          </w:tcPr>
          <w:p>
            <w:pPr>
              <w:keepNext w:val="0"/>
              <w:keepLines w:val="0"/>
              <w:pageBreakBefore w:val="0"/>
              <w:kinsoku/>
              <w:wordWrap/>
              <w:overflowPunct w:val="0"/>
              <w:topLinePunct w:val="0"/>
              <w:autoSpaceDE/>
              <w:autoSpaceDN/>
              <w:bidi w:val="0"/>
              <w:adjustRightInd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学生需掌握施工组织设计的核心要素和概预算编制的基本流程，能独立完成简单分部分项工程的施工方案设计与进度计划绘制，熟练运用定额和计价规范进行工程量计算与造价文件编制；具备分析施工组织合理性与造价控制有效性的初步能力，培养统筹协调的工程管理思维和严谨规范的造价编制意识，为参与轨道交通工程施工管理与造价工作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dxa"/>
            <w:vAlign w:val="center"/>
          </w:tcPr>
          <w:p>
            <w:pPr>
              <w:keepNext w:val="0"/>
              <w:keepLines w:val="0"/>
              <w:pageBreakBefore w:val="0"/>
              <w:kinsoku/>
              <w:wordWrap/>
              <w:overflowPunct w:val="0"/>
              <w:topLinePunct w:val="0"/>
              <w:autoSpaceDE/>
              <w:autoSpaceDN/>
              <w:bidi w:val="0"/>
              <w:adjustRightInd w:val="0"/>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w:t>
            </w:r>
          </w:p>
        </w:tc>
        <w:tc>
          <w:tcPr>
            <w:tcW w:w="820" w:type="dxa"/>
            <w:vAlign w:val="center"/>
          </w:tcPr>
          <w:p>
            <w:pPr>
              <w:keepNext w:val="0"/>
              <w:keepLines w:val="0"/>
              <w:pageBreakBefore w:val="0"/>
              <w:kinsoku/>
              <w:wordWrap/>
              <w:overflowPunct w:val="0"/>
              <w:topLinePunct w:val="0"/>
              <w:autoSpaceDE/>
              <w:autoSpaceDN/>
              <w:bidi w:val="0"/>
              <w:adjustRightInd w:val="0"/>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城市轨道线路设计</w:t>
            </w:r>
          </w:p>
        </w:tc>
        <w:tc>
          <w:tcPr>
            <w:tcW w:w="3528" w:type="dxa"/>
          </w:tcPr>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掌握城市轨道线路的选线原则、平纵断面设计方法、轨道结构选型及与周边环境协调的技术标准，理解线路设计对运营安全与效率的影响。</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能进行简单线路方案的比选，完成平纵断面的初步设计，具备分析线路设计合理性的能力。</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培养系统优化的设计思维、空间规划能力和严谨细致的工作态度，提升综合考虑功能与效益的设计素养。</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强化线路设计的安全优先意识和民生服务理念，树立精益求精的设计追求，激发以科学线路设计助力城市交通发展的责任感。</w:t>
            </w:r>
          </w:p>
        </w:tc>
        <w:tc>
          <w:tcPr>
            <w:tcW w:w="3012" w:type="dxa"/>
          </w:tcPr>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涵盖城市轨道线路设计的基本原理与规范标准，包括线路选线（城市总体规划衔接、地形地质适应）、线路平面设计（曲线要素、缓和曲线设置）、纵断面设计（坡度、坡段连接、竖曲线参数），以及车站分布与站位选择、线路与其他交通方式的衔接等，结合典型城市轨道交通线路案例分析设计中的技术难点与优化方法。</w:t>
            </w:r>
          </w:p>
        </w:tc>
        <w:tc>
          <w:tcPr>
            <w:tcW w:w="3010" w:type="dxa"/>
            <w:shd w:val="clear" w:color="auto" w:fill="auto"/>
          </w:tcPr>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学生需掌握城市轨道线路设计的核心参数与规范要求，能进行简单线路的平面和纵断面设计，具备分析线路方案合理性的初步能力，培养兼顾安全、效率与经济性的设计思维和严谨的工程设计态度，为参与城市轨道交通线路规划与设计工作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dxa"/>
            <w:vAlign w:val="center"/>
          </w:tcPr>
          <w:p>
            <w:pPr>
              <w:keepNext w:val="0"/>
              <w:keepLines w:val="0"/>
              <w:pageBreakBefore w:val="0"/>
              <w:kinsoku/>
              <w:wordWrap/>
              <w:overflowPunct w:val="0"/>
              <w:topLinePunct w:val="0"/>
              <w:autoSpaceDE/>
              <w:autoSpaceDN/>
              <w:bidi w:val="0"/>
              <w:adjustRightInd w:val="0"/>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w:t>
            </w:r>
          </w:p>
        </w:tc>
        <w:tc>
          <w:tcPr>
            <w:tcW w:w="820" w:type="dxa"/>
            <w:vAlign w:val="center"/>
          </w:tcPr>
          <w:p>
            <w:pPr>
              <w:pStyle w:val="6"/>
              <w:keepNext w:val="0"/>
              <w:keepLines w:val="0"/>
              <w:pageBreakBefore w:val="0"/>
              <w:kinsoku/>
              <w:wordWrap/>
              <w:topLinePunct w:val="0"/>
              <w:autoSpaceDE/>
              <w:autoSpaceDN/>
              <w:bidi w:val="0"/>
              <w:snapToGrid/>
              <w:spacing w:before="0" w:beforeAutospacing="0" w:after="0" w:afterAutospacing="0" w:line="240" w:lineRule="auto"/>
              <w:textAlignment w:val="auto"/>
              <w:rPr>
                <w:rFonts w:ascii="仿宋_GB2312" w:hAnsi="仿宋_GB2312" w:eastAsia="仿宋_GB2312" w:cs="仿宋_GB2312"/>
                <w:color w:val="auto"/>
                <w:kern w:val="2"/>
                <w:highlight w:val="none"/>
              </w:rPr>
            </w:pPr>
            <w:r>
              <w:rPr>
                <w:rFonts w:hint="eastAsia" w:ascii="仿宋_GB2312" w:hAnsi="仿宋_GB2312" w:eastAsia="仿宋_GB2312" w:cs="仿宋_GB2312"/>
                <w:color w:val="auto"/>
                <w:kern w:val="2"/>
                <w:highlight w:val="none"/>
              </w:rPr>
              <w:t>隧道及地下工程施工</w:t>
            </w:r>
          </w:p>
          <w:p>
            <w:pPr>
              <w:keepNext w:val="0"/>
              <w:keepLines w:val="0"/>
              <w:pageBreakBefore w:val="0"/>
              <w:kinsoku/>
              <w:wordWrap/>
              <w:overflowPunct w:val="0"/>
              <w:topLinePunct w:val="0"/>
              <w:autoSpaceDE/>
              <w:autoSpaceDN/>
              <w:bidi w:val="0"/>
              <w:adjustRightInd w:val="0"/>
              <w:snapToGrid/>
              <w:spacing w:after="0" w:line="240" w:lineRule="auto"/>
              <w:jc w:val="left"/>
              <w:textAlignment w:val="auto"/>
              <w:rPr>
                <w:rFonts w:ascii="仿宋_GB2312" w:hAnsi="仿宋_GB2312" w:eastAsia="仿宋_GB2312" w:cs="仿宋_GB2312"/>
                <w:color w:val="auto"/>
                <w:sz w:val="24"/>
                <w:highlight w:val="none"/>
              </w:rPr>
            </w:pPr>
          </w:p>
        </w:tc>
        <w:tc>
          <w:tcPr>
            <w:tcW w:w="3528" w:type="dxa"/>
          </w:tcPr>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熟悉城市轨道线路选线依据、平纵断面设计规范、轨道结构类型及与环境融合的技术要求，知晓线路设计对运营的作用。</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可对比简单线路方案，开展平纵断面初步设计，能判断线路设计的合理性。</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养成系统优化设计思维、空间规划能力与严谨工作态度，提升兼顾功能与效益的设计素养。</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深化线路设计安全优先与服务民生意识，秉持精益求精的设计精神，增强以科学设计助力城市交通发展的责任感。</w:t>
            </w:r>
          </w:p>
        </w:tc>
        <w:tc>
          <w:tcPr>
            <w:tcW w:w="3012" w:type="dxa"/>
          </w:tcPr>
          <w:p>
            <w:pPr>
              <w:keepNext w:val="0"/>
              <w:keepLines w:val="0"/>
              <w:pageBreakBefore w:val="0"/>
              <w:kinsoku/>
              <w:wordWrap/>
              <w:overflowPunct w:val="0"/>
              <w:topLinePunct w:val="0"/>
              <w:autoSpaceDE/>
              <w:autoSpaceDN/>
              <w:bidi w:val="0"/>
              <w:adjustRightInd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隧道勘测，隧道施工，隧道安全防 灾方案制订，指导方案实施</w:t>
            </w:r>
          </w:p>
        </w:tc>
        <w:tc>
          <w:tcPr>
            <w:tcW w:w="3010" w:type="dxa"/>
            <w:shd w:val="clear" w:color="auto" w:fill="auto"/>
          </w:tcPr>
          <w:p>
            <w:pPr>
              <w:keepNext w:val="0"/>
              <w:keepLines w:val="0"/>
              <w:pageBreakBefore w:val="0"/>
              <w:kinsoku/>
              <w:wordWrap/>
              <w:overflowPunct w:val="0"/>
              <w:topLinePunct w:val="0"/>
              <w:autoSpaceDE/>
              <w:autoSpaceDN/>
              <w:bidi w:val="0"/>
              <w:adjustRightInd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了解城轨地下线路规划与线形设计方法；了解隧道和地下工程构造物设计方法；了解地质勘察与围岩的分级；了解地下车站与区间隧道施工方法（盖挖法、明挖法、浅埋暗挖法、盾构法、TBM 掘进机法）；了解不良和特殊地质段隧道施工方法；了解降水与防排水技术；了解监控量测及质量检测技术等。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dxa"/>
            <w:vAlign w:val="center"/>
          </w:tcPr>
          <w:p>
            <w:pPr>
              <w:keepNext w:val="0"/>
              <w:keepLines w:val="0"/>
              <w:pageBreakBefore w:val="0"/>
              <w:kinsoku/>
              <w:wordWrap/>
              <w:overflowPunct w:val="0"/>
              <w:topLinePunct w:val="0"/>
              <w:autoSpaceDE/>
              <w:autoSpaceDN/>
              <w:bidi w:val="0"/>
              <w:adjustRightInd w:val="0"/>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w:t>
            </w:r>
          </w:p>
        </w:tc>
        <w:tc>
          <w:tcPr>
            <w:tcW w:w="820" w:type="dxa"/>
            <w:shd w:val="clear" w:color="auto" w:fill="auto"/>
            <w:vAlign w:val="center"/>
          </w:tcPr>
          <w:p>
            <w:pPr>
              <w:keepNext w:val="0"/>
              <w:keepLines w:val="0"/>
              <w:pageBreakBefore w:val="0"/>
              <w:kinsoku/>
              <w:wordWrap/>
              <w:overflowPunct w:val="0"/>
              <w:topLinePunct w:val="0"/>
              <w:autoSpaceDE/>
              <w:autoSpaceDN/>
              <w:bidi w:val="0"/>
              <w:adjustRightInd w:val="0"/>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轨道与路基施工</w:t>
            </w:r>
          </w:p>
        </w:tc>
        <w:tc>
          <w:tcPr>
            <w:tcW w:w="3528" w:type="dxa"/>
            <w:shd w:val="clear" w:color="auto" w:fill="auto"/>
          </w:tcPr>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了解轨道与路基施工的工艺流程、技术标准、质量控制要点及常用设备性能，清楚施工对工程整体稳定性的影响。</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能参与简单的轨道与路基施工操作，进行施工质量的初步检查，可判断常见施工问题的原因。</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形成规范施工的操作习惯、安全防护意识与团队协作能力，提高应对施工复杂情况的适应素养。</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强化施工质量与安全责任意识，践行严谨务实的施工作风，增强以优质施工保障轨道工程安全运行的使命感。</w:t>
            </w:r>
          </w:p>
        </w:tc>
        <w:tc>
          <w:tcPr>
            <w:tcW w:w="3012" w:type="dxa"/>
            <w:shd w:val="clear" w:color="auto" w:fill="auto"/>
          </w:tcPr>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涵盖轨道与路基的构造组成、设计原理及施工技术规范，包括路基填料选择、压实标准、排水与防护工程设计，轨道结构（钢轨、轨枕、道床等）的选型与铺设工艺，轨道与路基的连接过渡设计，以及施工组织方案制定、质量检测与验收标准，结合工程案例分析施工中常见问题的处理方法。</w:t>
            </w:r>
          </w:p>
        </w:tc>
        <w:tc>
          <w:tcPr>
            <w:tcW w:w="3010" w:type="dxa"/>
            <w:shd w:val="clear" w:color="auto" w:fill="auto"/>
          </w:tcPr>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学生需掌握轨道与路基施工设计的核心技术和规范要求，能进行简单工程的路基结构设计与轨道铺设方案规划，具备分析施工难点并提出解决思路的初步能力，培养注重工程质量与安全的责任意识和综合考虑施工可行性的设计思维，为从事轨道与路基工程设计及施工管理工作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dxa"/>
            <w:vAlign w:val="center"/>
          </w:tcPr>
          <w:p>
            <w:pPr>
              <w:keepNext w:val="0"/>
              <w:keepLines w:val="0"/>
              <w:pageBreakBefore w:val="0"/>
              <w:kinsoku/>
              <w:wordWrap/>
              <w:overflowPunct w:val="0"/>
              <w:topLinePunct w:val="0"/>
              <w:autoSpaceDE/>
              <w:autoSpaceDN/>
              <w:bidi w:val="0"/>
              <w:adjustRightInd w:val="0"/>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w:t>
            </w:r>
          </w:p>
        </w:tc>
        <w:tc>
          <w:tcPr>
            <w:tcW w:w="820" w:type="dxa"/>
            <w:shd w:val="clear" w:color="auto" w:fill="auto"/>
            <w:vAlign w:val="center"/>
          </w:tcPr>
          <w:p>
            <w:pPr>
              <w:keepNext w:val="0"/>
              <w:keepLines w:val="0"/>
              <w:pageBreakBefore w:val="0"/>
              <w:kinsoku/>
              <w:wordWrap/>
              <w:overflowPunct w:val="0"/>
              <w:topLinePunct w:val="0"/>
              <w:autoSpaceDE/>
              <w:autoSpaceDN/>
              <w:bidi w:val="0"/>
              <w:adjustRightInd w:val="0"/>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轨道线路养护与维修</w:t>
            </w:r>
          </w:p>
        </w:tc>
        <w:tc>
          <w:tcPr>
            <w:tcW w:w="3528" w:type="dxa"/>
            <w:shd w:val="clear" w:color="auto" w:fill="auto"/>
          </w:tcPr>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掌握轨道线路养护与维修的基本流程、技术标准、病害检测方法及常用工具设备功能，明白养护维修对线路安全运行的重要性。</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能参与轨道线路的日常检查，进行简单病害的维修作业，可识别常见的线路故障并采取初步应对措施。</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养成细致巡检的职业习惯、应急处置意识与协同作业能力，提升保障线路持续稳定运行的专业素养。</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强化线路养护的责任担当与安全底线思维，秉持精益求精的维修精神，增强以可靠养护守护轨道运输安全的使命感。</w:t>
            </w:r>
          </w:p>
        </w:tc>
        <w:tc>
          <w:tcPr>
            <w:tcW w:w="3012" w:type="dxa"/>
            <w:shd w:val="clear" w:color="auto" w:fill="auto"/>
          </w:tcPr>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涵盖轨道线路养护与维修的基本原理、技术标准及作业流程，包括轨道几何形位（轨距、水平、方向等）的检查与调整，钢轨、轨枕、道床、扣件等部件的日常养护、病害防治及更换工艺，线路大修与中修的计划制定、施工组织，以及养护维修设备的类型与操作方法，结合实际案例分析线路常见病害的成因及处置措施。</w:t>
            </w:r>
          </w:p>
        </w:tc>
        <w:tc>
          <w:tcPr>
            <w:tcW w:w="3010" w:type="dxa"/>
            <w:shd w:val="clear" w:color="auto" w:fill="auto"/>
          </w:tcPr>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ascii="仿宋_GB2312" w:hAnsi="仿宋_GB2312" w:eastAsia="仿宋_GB2312" w:cs="仿宋_GB2312"/>
                <w:color w:val="auto"/>
                <w:sz w:val="24"/>
                <w:highlight w:val="none"/>
              </w:rPr>
              <w:t>学生需掌握轨道线路养护与维修的核心技术和标准规范，能熟练运用养护设备进行轨道几何参数的检测与调整，具备识别线路常见病害并制定针对性维修方案的初步能力，培养严谨细致的作业态度和保障轨道线路安全稳定运行的责任意识，为从事轨道养护维修工作奠定基础。​</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dxa"/>
            <w:vAlign w:val="center"/>
          </w:tcPr>
          <w:p>
            <w:pPr>
              <w:keepNext w:val="0"/>
              <w:keepLines w:val="0"/>
              <w:pageBreakBefore w:val="0"/>
              <w:kinsoku/>
              <w:wordWrap/>
              <w:overflowPunct w:val="0"/>
              <w:topLinePunct w:val="0"/>
              <w:autoSpaceDE/>
              <w:autoSpaceDN/>
              <w:bidi w:val="0"/>
              <w:adjustRightInd w:val="0"/>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7</w:t>
            </w:r>
          </w:p>
        </w:tc>
        <w:tc>
          <w:tcPr>
            <w:tcW w:w="820" w:type="dxa"/>
            <w:shd w:val="clear" w:color="auto" w:fill="auto"/>
            <w:vAlign w:val="center"/>
          </w:tcPr>
          <w:p>
            <w:pPr>
              <w:keepNext w:val="0"/>
              <w:keepLines w:val="0"/>
              <w:pageBreakBefore w:val="0"/>
              <w:kinsoku/>
              <w:wordWrap/>
              <w:overflowPunct w:val="0"/>
              <w:topLinePunct w:val="0"/>
              <w:autoSpaceDE/>
              <w:autoSpaceDN/>
              <w:bidi w:val="0"/>
              <w:adjustRightInd w:val="0"/>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工程检测与监测</w:t>
            </w:r>
          </w:p>
        </w:tc>
        <w:tc>
          <w:tcPr>
            <w:tcW w:w="3528" w:type="dxa"/>
            <w:shd w:val="clear" w:color="auto" w:fill="auto"/>
          </w:tcPr>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掌握工程检测与监测的基本原理、常用方法、仪器设备功能及数据处理规范，清楚其对工程质量与安全的保障作用。</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能操作基础检测监测仪器，进行数据的采集与初步分析，可识别工程中常见的质量隐患与安全风险。</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养成精准监测的工作习惯、数据严谨意识与问题分析能力，提升对工程全生命周期安全管控的专业素养。</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强化工程检测监测的责任意识与底线思维，秉持科学求实的工作态度，增强以精准数据守护工程安全、服务社会发展的使命感。</w:t>
            </w:r>
          </w:p>
        </w:tc>
        <w:tc>
          <w:tcPr>
            <w:tcW w:w="3012" w:type="dxa"/>
            <w:shd w:val="clear" w:color="auto" w:fill="auto"/>
          </w:tcPr>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涵盖工程检测与监测的基本原理、技术标准及工作流程，包括材料性能检测（如强度、耐久性）、结构缺陷检测（如裂缝、变形）、地基基础监测（如沉降、位移）、施工过程监测（如应力、应变）等，涉及常用检测仪器（如回弹仪、全站仪、传感器）的操作与数据处理，结合建筑、桥梁、轨道交通等工程案例分析检测监测方案的设计与结果评估。</w:t>
            </w:r>
          </w:p>
        </w:tc>
        <w:tc>
          <w:tcPr>
            <w:tcW w:w="3010" w:type="dxa"/>
            <w:shd w:val="clear" w:color="auto" w:fill="auto"/>
          </w:tcPr>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学生需掌握工程检测与监测的核心技术和标准规范，能熟练操作常用检测监测仪器并进行数据采集与分析，具备针对简单工程制定检测监测方案及评估工程质量的初步能力，培养严谨客观的工作态度和关注工程安全的责任意识，为从事工程质量检测、安全监测相关工作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dxa"/>
            <w:vAlign w:val="center"/>
          </w:tcPr>
          <w:p>
            <w:pPr>
              <w:keepNext w:val="0"/>
              <w:keepLines w:val="0"/>
              <w:pageBreakBefore w:val="0"/>
              <w:kinsoku/>
              <w:wordWrap/>
              <w:overflowPunct w:val="0"/>
              <w:topLinePunct w:val="0"/>
              <w:autoSpaceDE/>
              <w:autoSpaceDN/>
              <w:bidi w:val="0"/>
              <w:adjustRightInd w:val="0"/>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8</w:t>
            </w:r>
          </w:p>
        </w:tc>
        <w:tc>
          <w:tcPr>
            <w:tcW w:w="820" w:type="dxa"/>
            <w:shd w:val="clear" w:color="auto" w:fill="auto"/>
            <w:vAlign w:val="center"/>
          </w:tcPr>
          <w:p>
            <w:pPr>
              <w:keepNext w:val="0"/>
              <w:keepLines w:val="0"/>
              <w:pageBreakBefore w:val="0"/>
              <w:kinsoku/>
              <w:wordWrap/>
              <w:overflowPunct w:val="0"/>
              <w:topLinePunct w:val="0"/>
              <w:autoSpaceDE/>
              <w:autoSpaceDN/>
              <w:bidi w:val="0"/>
              <w:adjustRightInd w:val="0"/>
              <w:snapToGrid/>
              <w:spacing w:after="0" w:line="240" w:lineRule="auto"/>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桥梁施工与维护</w:t>
            </w:r>
          </w:p>
        </w:tc>
        <w:tc>
          <w:tcPr>
            <w:tcW w:w="3528" w:type="dxa"/>
            <w:shd w:val="clear" w:color="auto" w:fill="auto"/>
          </w:tcPr>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掌握桥梁施工的工艺流程、技术规范、结构形式及维护的基本方法，清楚施工与维护对桥梁安全耐久性的意义。</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能参与桥梁基础、上部结构的简单施工操作，进行日常维护检查及常见病害的初步处理。</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养成规范作业的职业习惯、风险预判意识与团队协作能力，提升保障桥梁安全运行的专业素养。</w:t>
            </w:r>
          </w:p>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强化桥梁施工与维护的责任担当，秉持精益求精的工匠精神，增强以优质工程服务交通建设、守护公众安全的使命感。</w:t>
            </w:r>
          </w:p>
        </w:tc>
        <w:tc>
          <w:tcPr>
            <w:tcW w:w="3012" w:type="dxa"/>
            <w:shd w:val="clear" w:color="auto" w:fill="auto"/>
          </w:tcPr>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涵盖桥梁的基本构造与分类，各类桥梁（梁桥、拱桥、斜拉桥、悬索桥等）的施工方法（如支架法、预制拼装法、悬臂施工法等）及关键技术，施工组织设计与安全控制要点，桥梁日常检查、定期检测的内容与方法，常见病害（如裂缝、渗漏、结构变形等）的成因分析与维修加固技术，同时结合典型桥梁工程案例讲解施工与维护的协同管理。</w:t>
            </w:r>
          </w:p>
        </w:tc>
        <w:tc>
          <w:tcPr>
            <w:tcW w:w="3010" w:type="dxa"/>
            <w:shd w:val="clear" w:color="auto" w:fill="auto"/>
          </w:tcPr>
          <w:p>
            <w:pPr>
              <w:keepNext w:val="0"/>
              <w:keepLines w:val="0"/>
              <w:pageBreakBefore w:val="0"/>
              <w:kinsoku/>
              <w:wordWrap/>
              <w:topLinePunct w:val="0"/>
              <w:autoSpaceDE/>
              <w:autoSpaceDN/>
              <w:bidi w:val="0"/>
              <w:snapToGrid/>
              <w:spacing w:after="0" w:line="240" w:lineRule="auto"/>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学生需掌握桥梁施工的基本工艺、维护的核心技术及相关规范标准，能分析不同类型桥梁的施工特点，识别常见病害并提出初步处理方案，具备参与桥梁施工组织及维护方案制定的初步能力，培养严谨的工程态度、安全意识和保障桥梁结构耐久性的责任担当，为从事桥梁施工、养护及管理工作奠定基础。</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专业拓展课程</w:t>
      </w:r>
      <w:bookmarkEnd w:id="13"/>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专业拓展课是核心课程的重要补充，旨在拓宽学生专业视野、深化细分领域能力、衔接行业新兴需求，同时为学生职业发展（如专升本、岗位晋升、跨领域就业）提供支撑。由安全技术与管理、线路防灾及安全防护、工程项目管理、工程监理概论、工程地质、机电实务、轨道养护设备与运用、钢轨焊接与探伤技术、绿色低碳城市轨道交通概论、绿色低碳城市轨道交通概论、交通运输概论构成专业拓展课</w:t>
      </w:r>
      <w:r>
        <w:rPr>
          <w:rFonts w:hint="eastAsia" w:ascii="仿宋_GB2312" w:hAnsi="仿宋_GB2312" w:eastAsia="仿宋_GB2312" w:cs="仿宋_GB2312"/>
          <w:b w:val="0"/>
          <w:bCs w:val="0"/>
          <w:color w:val="auto"/>
          <w:sz w:val="32"/>
          <w:szCs w:val="32"/>
          <w:highlight w:val="none"/>
        </w:rPr>
        <w:t>。</w:t>
      </w:r>
    </w:p>
    <w:p>
      <w:pPr>
        <w:pageBreakBefore w:val="0"/>
        <w:kinsoku/>
        <w:wordWrap/>
        <w:overflowPunct w:val="0"/>
        <w:topLinePunct w:val="0"/>
        <w:autoSpaceDE/>
        <w:autoSpaceDN/>
        <w:bidi w:val="0"/>
        <w:adjustRightInd w:val="0"/>
        <w:spacing w:after="0" w:line="520" w:lineRule="exact"/>
        <w:ind w:left="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专业拓展课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8"/>
        <w:tblW w:w="109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7"/>
        <w:gridCol w:w="754"/>
        <w:gridCol w:w="3468"/>
        <w:gridCol w:w="3000"/>
        <w:gridCol w:w="3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7" w:type="dxa"/>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754" w:type="dxa"/>
            <w:vAlign w:val="center"/>
          </w:tcPr>
          <w:p>
            <w:pPr>
              <w:overflowPunct w:val="0"/>
              <w:adjustRightIn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课程名称</w:t>
            </w:r>
          </w:p>
        </w:tc>
        <w:tc>
          <w:tcPr>
            <w:tcW w:w="3468" w:type="dxa"/>
            <w:vAlign w:val="center"/>
          </w:tcPr>
          <w:p>
            <w:pPr>
              <w:overflowPunct w:val="0"/>
              <w:adjustRightIn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课程教学目标</w:t>
            </w:r>
          </w:p>
        </w:tc>
        <w:tc>
          <w:tcPr>
            <w:tcW w:w="3000" w:type="dxa"/>
            <w:vAlign w:val="center"/>
          </w:tcPr>
          <w:p>
            <w:pPr>
              <w:overflowPunct w:val="0"/>
              <w:adjustRightIn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课程教学内容</w:t>
            </w:r>
          </w:p>
        </w:tc>
        <w:tc>
          <w:tcPr>
            <w:tcW w:w="3042" w:type="dxa"/>
            <w:vAlign w:val="center"/>
          </w:tcPr>
          <w:p>
            <w:pPr>
              <w:overflowPunct w:val="0"/>
              <w:adjustRightIn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7" w:type="dxa"/>
            <w:vAlign w:val="center"/>
          </w:tcPr>
          <w:p>
            <w:pPr>
              <w:overflowPunct w:val="0"/>
              <w:adjustRightIn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754" w:type="dxa"/>
            <w:shd w:val="clear" w:color="auto" w:fill="auto"/>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安全技术与管理</w:t>
            </w:r>
          </w:p>
        </w:tc>
        <w:tc>
          <w:tcPr>
            <w:tcW w:w="3468" w:type="dxa"/>
            <w:shd w:val="clear" w:color="auto" w:fill="auto"/>
          </w:tcPr>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安全技术原理、风险辨识方法、安全管理制度及应急处置流程，理解安全管理在实践中的应用要点。能力目标：能运用安全检测工具开展风险排查，制定简单的安全防控方案，具备处理常见安全问题的实操能力。</w:t>
            </w:r>
          </w:p>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养成 “安全第一” 的责任意识、严谨细致的工作作风和团队协作的安全防控素养，提升安全风险预判与应对能力。</w:t>
            </w:r>
          </w:p>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强化守护生命安全的使命担当，树立法治合规的安全理念，激发以专业能力保障生产安全、服务社会发展的责任感。</w:t>
            </w:r>
          </w:p>
        </w:tc>
        <w:tc>
          <w:tcPr>
            <w:tcW w:w="3000" w:type="dxa"/>
            <w:shd w:val="clear" w:color="auto" w:fill="auto"/>
          </w:tcPr>
          <w:p>
            <w:pPr>
              <w:overflowPunct w:val="0"/>
              <w:adjustRightInd w:val="0"/>
              <w:spacing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安全管理体系（ISO 45001）；危险源辨识与风险评估；应急演练与事故案例分析。</w:t>
            </w:r>
          </w:p>
        </w:tc>
        <w:tc>
          <w:tcPr>
            <w:tcW w:w="3042" w:type="dxa"/>
          </w:tcPr>
          <w:p>
            <w:pPr>
              <w:overflowPunct w:val="0"/>
              <w:adjustRightInd w:val="0"/>
              <w:spacing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能独立完成安全专项方案编制，模拟事故处置流程，掌握安全监测设备操作技能。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7" w:type="dxa"/>
            <w:vAlign w:val="center"/>
          </w:tcPr>
          <w:p>
            <w:pPr>
              <w:overflowPunct w:val="0"/>
              <w:adjustRightIn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754" w:type="dxa"/>
            <w:shd w:val="clear" w:color="auto" w:fill="auto"/>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线路防灾及安全防护</w:t>
            </w:r>
          </w:p>
        </w:tc>
        <w:tc>
          <w:tcPr>
            <w:tcW w:w="3468" w:type="dxa"/>
            <w:shd w:val="clear" w:color="auto" w:fill="auto"/>
          </w:tcPr>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掌握线路常见灾害类型、成因、安全防护技术标准及应急处置预案，理解防灾与防护措施在实践中的应用逻辑。</w:t>
            </w:r>
          </w:p>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能运用检测工具排查线路灾害隐患，操作防护设备进行简单处置，具备制定基础防灾方案的能力。</w:t>
            </w:r>
          </w:p>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养成警惕风险的安全意识、快速响应的应变能力和协同防护的团队精神，提升线路安全保障的实操素养。</w:t>
            </w:r>
          </w:p>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强化守护线路安全的责任担当，树立 “防患于未然” 的底线思维，激发以专业行动保障交通顺畅、守护公众出行安全的使命感。</w:t>
            </w:r>
          </w:p>
        </w:tc>
        <w:tc>
          <w:tcPr>
            <w:tcW w:w="3000" w:type="dxa"/>
            <w:shd w:val="clear" w:color="auto" w:fill="auto"/>
          </w:tcPr>
          <w:p>
            <w:pPr>
              <w:overflowPunct w:val="0"/>
              <w:adjustRightInd w:val="0"/>
              <w:spacing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防洪排水系统设计；</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地震预警与减隔震技术；安检设备与反恐应急预案。</w:t>
            </w:r>
          </w:p>
        </w:tc>
        <w:tc>
          <w:tcPr>
            <w:tcW w:w="3042" w:type="dxa"/>
          </w:tcPr>
          <w:p>
            <w:pPr>
              <w:overflowPunct w:val="0"/>
              <w:adjustRightInd w:val="0"/>
              <w:spacing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能设计车站防灾分区，掌握光纤传感监测技术，通过沙盘模拟灾害处置流程。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7" w:type="dxa"/>
            <w:vAlign w:val="center"/>
          </w:tcPr>
          <w:p>
            <w:pPr>
              <w:overflowPunct w:val="0"/>
              <w:adjustRightIn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w:t>
            </w:r>
          </w:p>
        </w:tc>
        <w:tc>
          <w:tcPr>
            <w:tcW w:w="754" w:type="dxa"/>
            <w:shd w:val="clear" w:color="auto" w:fill="auto"/>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工程项目管理</w:t>
            </w:r>
          </w:p>
        </w:tc>
        <w:tc>
          <w:tcPr>
            <w:tcW w:w="3468" w:type="dxa"/>
            <w:shd w:val="clear" w:color="auto" w:fill="auto"/>
          </w:tcPr>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掌握工程项目管理的流程、组织模式、进度控制、成本管理及质量安全要求，理解各管理环节在实践中的衔接逻辑。</w:t>
            </w:r>
          </w:p>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能参与编制简单的项目计划，运用管理工具协调资源分配，具备处理项目实施中常见问题的初步能力。</w:t>
            </w:r>
          </w:p>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养成统筹协调的全局思维、高效执行的工作作风和团队协作的沟通能力，提升项目管理的实践适应素养。</w:t>
            </w:r>
          </w:p>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强化项目管理中的责任意识与诚信理念，树立精益求精的管理追求，激发以科学管理保障工程质量、服务社会发展的使命感。</w:t>
            </w:r>
          </w:p>
        </w:tc>
        <w:tc>
          <w:tcPr>
            <w:tcW w:w="3000" w:type="dxa"/>
            <w:shd w:val="clear" w:color="auto" w:fill="auto"/>
          </w:tcPr>
          <w:p>
            <w:pPr>
              <w:overflowPunct w:val="0"/>
              <w:adjustRightInd w:val="0"/>
              <w:spacing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WBS分解与甘特图编制；BIM技术协同管理；工程变更与索赔处理。</w:t>
            </w:r>
          </w:p>
        </w:tc>
        <w:tc>
          <w:tcPr>
            <w:tcW w:w="3042" w:type="dxa"/>
          </w:tcPr>
          <w:p>
            <w:pPr>
              <w:overflowPunct w:val="0"/>
              <w:adjustRightInd w:val="0"/>
              <w:spacing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能编制进度计划，完成地铁车站施工组织设计，通过PMP案例分析考核。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37" w:type="dxa"/>
            <w:vAlign w:val="center"/>
          </w:tcPr>
          <w:p>
            <w:pPr>
              <w:overflowPunct w:val="0"/>
              <w:adjustRightIn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w:t>
            </w:r>
          </w:p>
        </w:tc>
        <w:tc>
          <w:tcPr>
            <w:tcW w:w="754" w:type="dxa"/>
            <w:shd w:val="clear" w:color="auto" w:fill="auto"/>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工程监理概论</w:t>
            </w:r>
          </w:p>
        </w:tc>
        <w:tc>
          <w:tcPr>
            <w:tcW w:w="3468" w:type="dxa"/>
            <w:shd w:val="clear" w:color="auto" w:fill="auto"/>
          </w:tcPr>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掌握工程监理的职责范围、工作程序、法律法规及质量、进度、造价监理要点，理解监理在工程建设中的监督协调作用。</w:t>
            </w:r>
          </w:p>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能参与现场监理实务，运用监理方法开展工序检查与问题反馈，具备初步的合同管理与沟通协调能力。</w:t>
            </w:r>
          </w:p>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养成客观公正的职业立场、严谨细致的工作态度和廉洁自律的监理素养，提升工程监督中的责任担当与应变能力。</w:t>
            </w:r>
          </w:p>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强化监理工作的法治意识与诚信原则，树立守护工程质量底线的使命感，激发以专业监理服务保障建设工程安全可靠的责任感。</w:t>
            </w:r>
          </w:p>
        </w:tc>
        <w:tc>
          <w:tcPr>
            <w:tcW w:w="3000" w:type="dxa"/>
            <w:shd w:val="clear" w:color="auto" w:fill="auto"/>
          </w:tcPr>
          <w:p>
            <w:pPr>
              <w:overflowPunct w:val="0"/>
              <w:adjustRightInd w:val="0"/>
              <w:spacing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监理规划与实施细则；隐蔽工程验收流程；监理文件编制（月报/通知单）。</w:t>
            </w:r>
          </w:p>
        </w:tc>
        <w:tc>
          <w:tcPr>
            <w:tcW w:w="3042" w:type="dxa"/>
          </w:tcPr>
          <w:p>
            <w:pPr>
              <w:overflowPunct w:val="0"/>
              <w:adjustRightInd w:val="0"/>
              <w:spacing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能编制监理日志，掌握桩基检测、混凝土强度回弹等现场检测技能，通过监理模拟实训考核。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7" w:type="dxa"/>
            <w:vAlign w:val="center"/>
          </w:tcPr>
          <w:p>
            <w:pPr>
              <w:overflowPunct w:val="0"/>
              <w:adjustRightIn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w:t>
            </w:r>
          </w:p>
        </w:tc>
        <w:tc>
          <w:tcPr>
            <w:tcW w:w="754" w:type="dxa"/>
            <w:shd w:val="clear" w:color="auto" w:fill="auto"/>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工程地质</w:t>
            </w:r>
          </w:p>
        </w:tc>
        <w:tc>
          <w:tcPr>
            <w:tcW w:w="3468" w:type="dxa"/>
            <w:shd w:val="clear" w:color="auto" w:fill="auto"/>
          </w:tcPr>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掌握常见岩土体性质、地质构造类型、不良地质现象及工程地质勘察方法，理解地质条件对工程建设的影响规律。</w:t>
            </w:r>
          </w:p>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能运用地质罗盘、取样工具开展野外地质调查，识别典型地质现象并绘制简易地质图，具备初步的地质资料分析能力。</w:t>
            </w:r>
          </w:p>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养成严谨求实的勘察态度、野外实践的吃苦精神和综合分析地质问题的思维，提升工程地质实践中的适应与探究能力。</w:t>
            </w:r>
          </w:p>
          <w:p>
            <w:pPr>
              <w:overflowPunct w:val="0"/>
              <w:adjustRightInd w:val="0"/>
              <w:spacing w:after="0" w:line="240" w:lineRule="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强化尊重自然规律的工程理念，树立以地质安全保障工程建设的责任意识，激发运用地质知识服务国家基础设施建设的使命感。</w:t>
            </w:r>
          </w:p>
          <w:p>
            <w:pPr>
              <w:overflowPunct w:val="0"/>
              <w:adjustRightInd w:val="0"/>
              <w:spacing w:after="0" w:line="240" w:lineRule="auto"/>
              <w:rPr>
                <w:rFonts w:hint="eastAsia" w:ascii="仿宋_GB2312" w:hAnsi="仿宋_GB2312" w:eastAsia="仿宋_GB2312" w:cs="仿宋_GB2312"/>
                <w:color w:val="auto"/>
                <w:sz w:val="24"/>
                <w:highlight w:val="none"/>
              </w:rPr>
            </w:pPr>
          </w:p>
        </w:tc>
        <w:tc>
          <w:tcPr>
            <w:tcW w:w="3000" w:type="dxa"/>
            <w:shd w:val="clear" w:color="auto" w:fill="auto"/>
          </w:tcPr>
          <w:p>
            <w:pPr>
              <w:overflowPunct w:val="0"/>
              <w:adjustRightInd w:val="0"/>
              <w:spacing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地质雷达与钻探技术；围岩分级与支护设计；地下水控制技术。</w:t>
            </w:r>
          </w:p>
        </w:tc>
        <w:tc>
          <w:tcPr>
            <w:tcW w:w="3042" w:type="dxa"/>
          </w:tcPr>
          <w:p>
            <w:pPr>
              <w:overflowPunct w:val="0"/>
              <w:adjustRightInd w:val="0"/>
              <w:spacing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能解读地质剖面图，完成盾构穿越富水砂层方案设计，通过岩土试验掌握参数测定方法。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7" w:type="dxa"/>
            <w:vAlign w:val="center"/>
          </w:tcPr>
          <w:p>
            <w:pPr>
              <w:overflowPunct w:val="0"/>
              <w:adjustRightIn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w:t>
            </w:r>
          </w:p>
        </w:tc>
        <w:tc>
          <w:tcPr>
            <w:tcW w:w="754" w:type="dxa"/>
            <w:shd w:val="clear" w:color="auto" w:fill="auto"/>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机电实务</w:t>
            </w:r>
          </w:p>
        </w:tc>
        <w:tc>
          <w:tcPr>
            <w:tcW w:w="3468" w:type="dxa"/>
            <w:shd w:val="clear" w:color="auto" w:fill="auto"/>
          </w:tcPr>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掌握机电设备的构造原理、安装调试流程、运行维护规范及相关安全技术标准，理解机电系统在工程中的集成应用逻辑。</w:t>
            </w:r>
          </w:p>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能操作常用机电设备，进行简单的安装调试与故障排查，具备绘制机电系统简图和编制基础维护方案的能力。</w:t>
            </w:r>
          </w:p>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养成规范操作的职业习惯、精准细致的工作作风和团队协作的配合意识，提升机电实务中的问题解决与创新应用能力。</w:t>
            </w:r>
          </w:p>
          <w:p>
            <w:pPr>
              <w:overflowPunct w:val="0"/>
              <w:adjustRightInd w:val="0"/>
              <w:spacing w:after="0" w:line="240" w:lineRule="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强化机电设备安全运行的责任担当，树立精益求精的工匠精神，激发以专业技能保障工程机电系统高效可靠运行的使命感。</w:t>
            </w:r>
          </w:p>
          <w:p>
            <w:pPr>
              <w:overflowPunct w:val="0"/>
              <w:adjustRightInd w:val="0"/>
              <w:spacing w:after="0" w:line="240" w:lineRule="auto"/>
              <w:rPr>
                <w:rFonts w:hint="eastAsia" w:ascii="仿宋_GB2312" w:hAnsi="仿宋_GB2312" w:eastAsia="仿宋_GB2312" w:cs="仿宋_GB2312"/>
                <w:color w:val="auto"/>
                <w:sz w:val="24"/>
                <w:highlight w:val="none"/>
              </w:rPr>
            </w:pPr>
          </w:p>
        </w:tc>
        <w:tc>
          <w:tcPr>
            <w:tcW w:w="3000" w:type="dxa"/>
            <w:shd w:val="clear" w:color="auto" w:fill="auto"/>
          </w:tcPr>
          <w:p>
            <w:pPr>
              <w:overflowPunct w:val="0"/>
              <w:adjustRightInd w:val="0"/>
              <w:spacing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接触网与变电所运维；FAS/BAS系统集成；屏蔽门联锁控制。</w:t>
            </w:r>
          </w:p>
        </w:tc>
        <w:tc>
          <w:tcPr>
            <w:tcW w:w="3042" w:type="dxa"/>
          </w:tcPr>
          <w:p>
            <w:pPr>
              <w:overflowPunct w:val="0"/>
              <w:adjustRightInd w:val="0"/>
              <w:spacing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能使用万用表检测电路故障，完成环控系统调试报告，通过PLC编程实训考核。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7" w:type="dxa"/>
            <w:vAlign w:val="center"/>
          </w:tcPr>
          <w:p>
            <w:pPr>
              <w:overflowPunct w:val="0"/>
              <w:adjustRightIn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7</w:t>
            </w:r>
          </w:p>
        </w:tc>
        <w:tc>
          <w:tcPr>
            <w:tcW w:w="754" w:type="dxa"/>
            <w:shd w:val="clear" w:color="auto" w:fill="auto"/>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轨道养护设备与运用</w:t>
            </w:r>
          </w:p>
        </w:tc>
        <w:tc>
          <w:tcPr>
            <w:tcW w:w="3468" w:type="dxa"/>
            <w:shd w:val="clear" w:color="auto" w:fill="auto"/>
          </w:tcPr>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掌握轨道养护设备的类型、构造原理、操作规范及日常维护知识，理解不同设备在轨道养护作业中的适配性与运用逻辑。</w:t>
            </w:r>
          </w:p>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能正确操作常用轨道养护设备，进行简单的设备检查与故障排除，具备根据养护任务选择设备并制定基础作业方案的能力。</w:t>
            </w:r>
          </w:p>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养成规范操作的安全意识、设备爱护的责任态度和协同作业的团队精神，提升轨道养护设备运用中的实践应变与效率提升能力。</w:t>
            </w:r>
          </w:p>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强化设备安全运用与养护质量的责任担当</w:t>
            </w:r>
            <w:r>
              <w:rPr>
                <w:rFonts w:hint="eastAsia" w:ascii="仿宋_GB2312" w:hAnsi="仿宋_GB2312" w:eastAsia="仿宋_GB2312" w:cs="仿宋_GB2312"/>
                <w:color w:val="auto"/>
                <w:spacing w:val="-6"/>
                <w:sz w:val="24"/>
                <w:highlight w:val="none"/>
              </w:rPr>
              <w:t>，树立以先进设备保障轨道安全畅通的理念，激发以专业技能服务轨道交通养护事业的使命感</w:t>
            </w:r>
            <w:r>
              <w:rPr>
                <w:rFonts w:hint="eastAsia" w:ascii="仿宋_GB2312" w:hAnsi="仿宋_GB2312" w:eastAsia="仿宋_GB2312" w:cs="仿宋_GB2312"/>
                <w:color w:val="auto"/>
                <w:sz w:val="24"/>
                <w:highlight w:val="none"/>
              </w:rPr>
              <w:t>。</w:t>
            </w:r>
          </w:p>
        </w:tc>
        <w:tc>
          <w:tcPr>
            <w:tcW w:w="3000" w:type="dxa"/>
            <w:shd w:val="clear" w:color="auto" w:fill="auto"/>
          </w:tcPr>
          <w:p>
            <w:pPr>
              <w:overflowPunct w:val="0"/>
              <w:adjustRightInd w:val="0"/>
              <w:spacing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轨道几何参数测量（轨距/水平）；钢轨打磨工艺；大型养路机械（捣固车/清筛机）操作。</w:t>
            </w:r>
          </w:p>
        </w:tc>
        <w:tc>
          <w:tcPr>
            <w:tcW w:w="3042" w:type="dxa"/>
          </w:tcPr>
          <w:p>
            <w:pPr>
              <w:overflowPunct w:val="0"/>
              <w:adjustRightInd w:val="0"/>
              <w:spacing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能编制轨道养护周期计划，操作模拟捣固机完成作业任务，掌握动态检测数据分析技能。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7" w:type="dxa"/>
            <w:vAlign w:val="center"/>
          </w:tcPr>
          <w:p>
            <w:pPr>
              <w:overflowPunct w:val="0"/>
              <w:adjustRightIn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8</w:t>
            </w:r>
          </w:p>
        </w:tc>
        <w:tc>
          <w:tcPr>
            <w:tcW w:w="754" w:type="dxa"/>
            <w:shd w:val="clear" w:color="auto" w:fill="auto"/>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钢轨焊接与探伤技术</w:t>
            </w:r>
          </w:p>
        </w:tc>
        <w:tc>
          <w:tcPr>
            <w:tcW w:w="3468" w:type="dxa"/>
            <w:shd w:val="clear" w:color="auto" w:fill="auto"/>
            <w:vAlign w:val="center"/>
          </w:tcPr>
          <w:p>
            <w:pPr>
              <w:overflowPunct w:val="0"/>
              <w:adjustRightIn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掌握钢轨焊接的工艺方法、质量标准、探伤技术原理及常用设备操作规范，理解焊接质量与探伤结果对轨道安全的影响。</w:t>
            </w:r>
          </w:p>
          <w:p>
            <w:pPr>
              <w:overflowPunct w:val="0"/>
              <w:adjustRightIn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能参与钢轨焊接的辅助操作，运用探伤设备进行基本检测并识别常见缺陷，具备分析焊接与探伤数据的初步能力。</w:t>
            </w:r>
          </w:p>
          <w:p>
            <w:pPr>
              <w:overflowPunct w:val="0"/>
              <w:adjustRightIn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养成精准操作的严谨态度、质量第一的责任意识和协同配合的团队素养，提升应对复杂工况的实践处理能力。</w:t>
            </w:r>
          </w:p>
          <w:p>
            <w:pPr>
              <w:overflowPunct w:val="0"/>
              <w:adjustRightIn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强化钢轨质量与行车安全的担当精神，树立精益求精的技术追求，激发以专业技能保障轨道线路安全运营的使命感。</w:t>
            </w:r>
          </w:p>
        </w:tc>
        <w:tc>
          <w:tcPr>
            <w:tcW w:w="3000" w:type="dxa"/>
            <w:shd w:val="clear" w:color="auto" w:fill="auto"/>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焊接热影响区控制；</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探伤仪校准与缺陷识别；焊缝应力消除技术。</w:t>
            </w:r>
          </w:p>
        </w:tc>
        <w:tc>
          <w:tcPr>
            <w:tcW w:w="3042" w:type="dxa"/>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能完成钢轨焊接接头探伤报告，通过焊接工艺评定试验，掌握TB/T1632标准应用。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7" w:type="dxa"/>
            <w:vAlign w:val="center"/>
          </w:tcPr>
          <w:p>
            <w:pPr>
              <w:overflowPunct w:val="0"/>
              <w:adjustRightIn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9</w:t>
            </w:r>
          </w:p>
        </w:tc>
        <w:tc>
          <w:tcPr>
            <w:tcW w:w="754" w:type="dxa"/>
            <w:shd w:val="clear" w:color="auto" w:fill="auto"/>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绿色低碳城市轨道交通概论</w:t>
            </w:r>
          </w:p>
        </w:tc>
        <w:tc>
          <w:tcPr>
            <w:tcW w:w="3468" w:type="dxa"/>
            <w:shd w:val="clear" w:color="auto" w:fill="auto"/>
            <w:vAlign w:val="center"/>
          </w:tcPr>
          <w:p>
            <w:pPr>
              <w:overflowPunct w:val="0"/>
              <w:adjustRightIn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掌握绿色低碳城市轨道交通的理念、技术标准、节能措施及环保评价方法，理解低碳模式对轨道交通可持续发展的意义。</w:t>
            </w:r>
          </w:p>
          <w:p>
            <w:pPr>
              <w:overflowPunct w:val="0"/>
              <w:adjustRightIn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能识别轨道交通系统中的碳排放环节，运用节能技术进行简单方案设计，具备分析低碳措施效益的初步能力。</w:t>
            </w:r>
          </w:p>
          <w:p>
            <w:pPr>
              <w:overflowPunct w:val="0"/>
              <w:adjustRightIn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养成生态优先的发展思维、资源节约的行为习惯和创新实践的探索精神，提升绿色工程实践中的责任意识。</w:t>
            </w:r>
          </w:p>
          <w:p>
            <w:pPr>
              <w:overflowPunct w:val="0"/>
              <w:adjustRightInd w:val="0"/>
              <w:spacing w:after="0" w:line="240" w:lineRule="auto"/>
              <w:jc w:val="left"/>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强化绿色低碳发展的使命担当，树立人与自然和谐共生的理念，激发以专业能力推动城市轨道交通绿色转型的责任感。</w:t>
            </w:r>
          </w:p>
          <w:p>
            <w:pPr>
              <w:overflowPunct w:val="0"/>
              <w:adjustRightInd w:val="0"/>
              <w:spacing w:after="0" w:line="240" w:lineRule="auto"/>
              <w:jc w:val="left"/>
              <w:rPr>
                <w:rFonts w:hint="eastAsia" w:ascii="仿宋_GB2312" w:hAnsi="仿宋_GB2312" w:eastAsia="仿宋_GB2312" w:cs="仿宋_GB2312"/>
                <w:color w:val="auto"/>
                <w:sz w:val="24"/>
                <w:highlight w:val="none"/>
              </w:rPr>
            </w:pPr>
          </w:p>
        </w:tc>
        <w:tc>
          <w:tcPr>
            <w:tcW w:w="3000" w:type="dxa"/>
            <w:shd w:val="clear" w:color="auto" w:fill="auto"/>
          </w:tcPr>
          <w:p>
            <w:pPr>
              <w:overflowPunct w:val="0"/>
              <w:adjustRightInd w:val="0"/>
              <w:spacing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能源管理系统（EMS）；</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碳足迹核算方法；</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生态敏感区线路设计原则。</w:t>
            </w:r>
          </w:p>
        </w:tc>
        <w:tc>
          <w:tcPr>
            <w:tcW w:w="3042" w:type="dxa"/>
          </w:tcPr>
          <w:p>
            <w:pPr>
              <w:overflowPunct w:val="0"/>
              <w:adjustRightInd w:val="0"/>
              <w:spacing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能设计车站节能方案，完成碳排放核算案例。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7" w:type="dxa"/>
            <w:vAlign w:val="center"/>
          </w:tcPr>
          <w:p>
            <w:pPr>
              <w:overflowPunct w:val="0"/>
              <w:adjustRightIn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10</w:t>
            </w:r>
          </w:p>
        </w:tc>
        <w:tc>
          <w:tcPr>
            <w:tcW w:w="754" w:type="dxa"/>
            <w:shd w:val="clear" w:color="auto" w:fill="auto"/>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交通运输概论</w:t>
            </w:r>
          </w:p>
        </w:tc>
        <w:tc>
          <w:tcPr>
            <w:tcW w:w="3468" w:type="dxa"/>
            <w:shd w:val="clear" w:color="auto" w:fill="auto"/>
            <w:vAlign w:val="center"/>
          </w:tcPr>
          <w:p>
            <w:pPr>
              <w:overflowPunct w:val="0"/>
              <w:adjustRightIn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掌握交通运输系统的构成、各类运输方式的特点、组织管理流程及发展趋势，理解不同运输方式的协同运作逻辑。</w:t>
            </w:r>
          </w:p>
          <w:p>
            <w:pPr>
              <w:overflowPunct w:val="0"/>
              <w:adjustRightIn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能分析简单的运输案例，识别不同场景下的运输需求并选择适宜方式，具备初步的运输方案优化与数据分析能力。</w:t>
            </w:r>
          </w:p>
          <w:p>
            <w:pPr>
              <w:overflowPunct w:val="0"/>
              <w:adjustRightIn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养成系统思维与全局观念，提升对运输效率与安全的重视程度，增强团队协作与实践创新素养。</w:t>
            </w:r>
          </w:p>
          <w:p>
            <w:pPr>
              <w:overflowPunct w:val="0"/>
              <w:adjustRightInd w:val="0"/>
              <w:spacing w:after="0" w:line="240" w:lineRule="auto"/>
              <w:jc w:val="left"/>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强化交通运输服务民生与社会发展的责任意识，树立绿色低碳的运输理念，激发以专业知识助力现代综合交通运输体系建设的使命感。</w:t>
            </w:r>
          </w:p>
          <w:p>
            <w:pPr>
              <w:overflowPunct w:val="0"/>
              <w:adjustRightInd w:val="0"/>
              <w:spacing w:after="0" w:line="240" w:lineRule="auto"/>
              <w:jc w:val="left"/>
              <w:rPr>
                <w:rFonts w:hint="eastAsia" w:ascii="仿宋_GB2312" w:hAnsi="仿宋_GB2312" w:eastAsia="仿宋_GB2312" w:cs="仿宋_GB2312"/>
                <w:color w:val="auto"/>
                <w:sz w:val="24"/>
                <w:highlight w:val="none"/>
              </w:rPr>
            </w:pPr>
          </w:p>
        </w:tc>
        <w:tc>
          <w:tcPr>
            <w:tcW w:w="3000" w:type="dxa"/>
            <w:shd w:val="clear" w:color="auto" w:fill="auto"/>
          </w:tcPr>
          <w:p>
            <w:pPr>
              <w:overflowPunct w:val="0"/>
              <w:adjustRightInd w:val="0"/>
              <w:spacing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铁路运输；高速铁路运输；公路运输；水路运输；航空运输；管道运输；联合运输。</w:t>
            </w:r>
          </w:p>
        </w:tc>
        <w:tc>
          <w:tcPr>
            <w:tcW w:w="3042" w:type="dxa"/>
          </w:tcPr>
          <w:p>
            <w:pPr>
              <w:overflowPunct w:val="0"/>
              <w:adjustRightInd w:val="0"/>
              <w:spacing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让学生了解交通运输的发展历程与发展趋势；掌握铁路、公路、水路、航空、管道、联合运输的特点。</w:t>
            </w:r>
          </w:p>
        </w:tc>
      </w:tr>
    </w:tbl>
    <w:p>
      <w:pPr>
        <w:keepNext w:val="0"/>
        <w:keepLines w:val="0"/>
        <w:pageBreakBefore w:val="0"/>
        <w:widowControl w:val="0"/>
        <w:kinsoku/>
        <w:wordWrap/>
        <w:topLinePunct w:val="0"/>
        <w:autoSpaceDE/>
        <w:autoSpaceDN/>
        <w:bidi w:val="0"/>
        <w:adjustRightInd w:val="0"/>
        <w:snapToGrid w:val="0"/>
        <w:spacing w:after="0" w:line="520" w:lineRule="exact"/>
        <w:ind w:left="0"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 ：毕业设计与岗位实习是专业拓展课程体系的核心实践环节，前者聚焦“综合能力整合与创新应用”，后者侧重“岗位技能适配与职业素养养成”，二者共同构成“理论－实践－岗位”的闭环培养</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val="0"/>
        <w:topLinePunct w:val="0"/>
        <w:autoSpaceDE/>
        <w:autoSpaceDN/>
        <w:bidi w:val="0"/>
        <w:adjustRightInd w:val="0"/>
        <w:spacing w:after="0" w:line="520" w:lineRule="exact"/>
        <w:ind w:left="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8"/>
        <w:tblW w:w="109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764"/>
        <w:gridCol w:w="3687"/>
        <w:gridCol w:w="3123"/>
        <w:gridCol w:w="2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vAlign w:val="center"/>
          </w:tcPr>
          <w:p>
            <w:pPr>
              <w:overflowPunct w:val="0"/>
              <w:adjustRightInd w:val="0"/>
              <w:spacing w:line="36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764" w:type="dxa"/>
            <w:vAlign w:val="center"/>
          </w:tcPr>
          <w:p>
            <w:pPr>
              <w:overflowPunct w:val="0"/>
              <w:adjustRightInd w:val="0"/>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课程名称</w:t>
            </w:r>
          </w:p>
        </w:tc>
        <w:tc>
          <w:tcPr>
            <w:tcW w:w="3687" w:type="dxa"/>
            <w:vAlign w:val="center"/>
          </w:tcPr>
          <w:p>
            <w:pPr>
              <w:overflowPunct w:val="0"/>
              <w:adjustRightInd w:val="0"/>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课程教学目标</w:t>
            </w:r>
          </w:p>
        </w:tc>
        <w:tc>
          <w:tcPr>
            <w:tcW w:w="3123" w:type="dxa"/>
            <w:vAlign w:val="center"/>
          </w:tcPr>
          <w:p>
            <w:pPr>
              <w:overflowPunct w:val="0"/>
              <w:adjustRightInd w:val="0"/>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课程教学内容</w:t>
            </w:r>
          </w:p>
        </w:tc>
        <w:tc>
          <w:tcPr>
            <w:tcW w:w="2643" w:type="dxa"/>
            <w:vAlign w:val="center"/>
          </w:tcPr>
          <w:p>
            <w:pPr>
              <w:overflowPunct w:val="0"/>
              <w:adjustRightInd w:val="0"/>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vAlign w:val="center"/>
          </w:tcPr>
          <w:p>
            <w:pPr>
              <w:overflowPunct w:val="0"/>
              <w:adjustRightInd w:val="0"/>
              <w:spacing w:line="36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764" w:type="dxa"/>
            <w:shd w:val="clear" w:color="auto" w:fill="auto"/>
            <w:vAlign w:val="center"/>
          </w:tcPr>
          <w:p>
            <w:pPr>
              <w:overflowPunct w:val="0"/>
              <w:adjustRightInd w:val="0"/>
              <w:spacing w:line="36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毕业设计</w:t>
            </w:r>
          </w:p>
        </w:tc>
        <w:tc>
          <w:tcPr>
            <w:tcW w:w="3687" w:type="dxa"/>
            <w:shd w:val="clear" w:color="auto" w:fill="auto"/>
          </w:tcPr>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整合城市轨道交通工程技术相关的专业知识，掌握毕业设计的流程、规范及技术文件编制要求，明确设计成果与工程实际的关联。</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能独立完成指定的设计任务，运用专业软件进行分析计算，具备方案论证、成果表达及解决实际问题的综合能力。</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养成自主探究的学习习惯、系统思维与创新意识，提升工程实践中的责任担当和团队协作素养。</w:t>
            </w:r>
          </w:p>
          <w:p>
            <w:pPr>
              <w:spacing w:after="0" w:line="240" w:lineRule="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强化设计成果的质量与安全意识，树立求真务实的科研态度，激发以专业能力服务城市轨道交通发展、助力交通强国建设的使命感。</w:t>
            </w:r>
          </w:p>
          <w:p>
            <w:pPr>
              <w:spacing w:after="0" w:line="240" w:lineRule="auto"/>
              <w:rPr>
                <w:rFonts w:hint="eastAsia" w:ascii="仿宋_GB2312" w:hAnsi="仿宋_GB2312" w:eastAsia="仿宋_GB2312" w:cs="仿宋_GB2312"/>
                <w:color w:val="auto"/>
                <w:sz w:val="24"/>
                <w:highlight w:val="none"/>
              </w:rPr>
            </w:pPr>
          </w:p>
        </w:tc>
        <w:tc>
          <w:tcPr>
            <w:tcW w:w="3123" w:type="dxa"/>
            <w:shd w:val="clear" w:color="auto" w:fill="auto"/>
          </w:tcPr>
          <w:p>
            <w:pPr>
              <w:spacing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涵盖城市轨道交通工程毕业设计的选题技巧、文献检索与分析方法，不同设计类型（如轨道设计、车站施工组织设计等）的技术路线与规范应用，BIM 技术在毕业设计中的深度融合（如参数化建模、碰撞检查与工程量核算），以及设计成果的可视化表达（如三维动画、技术交底文档编制），同时包含行业最新案例剖析与设计创新思路引导。</w:t>
            </w:r>
          </w:p>
        </w:tc>
        <w:tc>
          <w:tcPr>
            <w:tcW w:w="2643" w:type="dxa"/>
            <w:shd w:val="clear" w:color="auto" w:fill="auto"/>
          </w:tcPr>
          <w:p>
            <w:pPr>
              <w:spacing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学生需掌握毕业设计的完整流程与核心要点，能运用专业软件完成符合规范的设计成果，具备对设计方案的可行性分析与优化能力，学会将前沿技术与毕业设计主题相结合，培养严谨的学术态度、创新意识及成果展示能力，为高质量完成毕业设计并适应实际工程设计工作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vAlign w:val="center"/>
          </w:tcPr>
          <w:p>
            <w:pPr>
              <w:overflowPunct w:val="0"/>
              <w:adjustRightInd w:val="0"/>
              <w:spacing w:line="36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764" w:type="dxa"/>
            <w:shd w:val="clear" w:color="auto" w:fill="auto"/>
            <w:vAlign w:val="center"/>
          </w:tcPr>
          <w:p>
            <w:pPr>
              <w:overflowPunct w:val="0"/>
              <w:adjustRightInd w:val="0"/>
              <w:spacing w:line="36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岗位实习</w:t>
            </w:r>
          </w:p>
        </w:tc>
        <w:tc>
          <w:tcPr>
            <w:tcW w:w="3687" w:type="dxa"/>
            <w:shd w:val="clear" w:color="auto" w:fill="auto"/>
          </w:tcPr>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熟悉城市轨道交通工程技术岗位的工作流程、操作规程及相关技术标准，理解岗位工作与工程整体推进的联系。</w:t>
            </w:r>
          </w:p>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能协助完成岗位实际工作任务，运用专业技能处理简单工作问题，具备岗位所需的实操与沟通能力。</w:t>
            </w:r>
          </w:p>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养成爱岗敬业的职业态度、规范操作的工作习惯和适应岗位的应变能力，提升职业素养与团队协作水平。</w:t>
            </w:r>
          </w:p>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强化岗位责任与安全意识，树立严谨务实的工作作风，激发将理论知识转化为实践能力、服务城市轨道交通事业的责任感。</w:t>
            </w:r>
          </w:p>
          <w:p>
            <w:pPr>
              <w:overflowPunct w:val="0"/>
              <w:adjustRightInd w:val="0"/>
              <w:spacing w:after="0" w:line="240" w:lineRule="auto"/>
              <w:rPr>
                <w:rFonts w:ascii="仿宋_GB2312" w:hAnsi="仿宋_GB2312" w:eastAsia="仿宋_GB2312" w:cs="仿宋_GB2312"/>
                <w:color w:val="auto"/>
                <w:sz w:val="24"/>
                <w:highlight w:val="none"/>
              </w:rPr>
            </w:pPr>
          </w:p>
          <w:p>
            <w:pPr>
              <w:overflowPunct w:val="0"/>
              <w:adjustRightInd w:val="0"/>
              <w:spacing w:after="0" w:line="240" w:lineRule="auto"/>
              <w:rPr>
                <w:rFonts w:ascii="仿宋_GB2312" w:hAnsi="仿宋_GB2312" w:eastAsia="仿宋_GB2312" w:cs="仿宋_GB2312"/>
                <w:color w:val="auto"/>
                <w:sz w:val="24"/>
                <w:highlight w:val="none"/>
              </w:rPr>
            </w:pPr>
          </w:p>
          <w:p>
            <w:pPr>
              <w:overflowPunct w:val="0"/>
              <w:adjustRightInd w:val="0"/>
              <w:spacing w:after="0" w:line="240" w:lineRule="auto"/>
              <w:rPr>
                <w:rFonts w:ascii="仿宋_GB2312" w:hAnsi="仿宋_GB2312" w:eastAsia="仿宋_GB2312" w:cs="仿宋_GB2312"/>
                <w:color w:val="auto"/>
                <w:sz w:val="24"/>
                <w:highlight w:val="none"/>
              </w:rPr>
            </w:pPr>
          </w:p>
        </w:tc>
        <w:tc>
          <w:tcPr>
            <w:tcW w:w="3123" w:type="dxa"/>
            <w:shd w:val="clear" w:color="auto" w:fill="auto"/>
          </w:tcPr>
          <w:p>
            <w:pPr>
              <w:overflowPunct w:val="0"/>
              <w:adjustRightInd w:val="0"/>
              <w:spacing w:line="36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涵盖城市轨道交通工程主要岗位（如施工员、质检员、安全员、监理员等）的职责与工作流程，现场施工技术交底、质量验收标准、安全管理规范的实际应用，工程资料编制与归档要求，以及岗位沟通协调技巧（如与团队协作、对接建设单位等），结合典型岗位案例分析实习中常见问题的处理方法与职业发展路径。</w:t>
            </w:r>
          </w:p>
        </w:tc>
        <w:tc>
          <w:tcPr>
            <w:tcW w:w="2643" w:type="dxa"/>
            <w:shd w:val="clear" w:color="auto" w:fill="auto"/>
          </w:tcPr>
          <w:p>
            <w:pPr>
              <w:overflowPunct w:val="0"/>
              <w:adjustRightInd w:val="0"/>
              <w:spacing w:line="36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学生需熟悉目标岗位的核心工作内容与行业标准，能将专业知识转化为实际操作技能，独立完成岗位分配的基础任务，具备识别和规避工作中潜在风险的初步能力，培养敬业精神、责任意识及适应岗位需求的综合素养，为顺利过渡到职业岗位奠定实践基础。</w:t>
            </w:r>
          </w:p>
        </w:tc>
      </w:tr>
    </w:tbl>
    <w:p>
      <w:pPr>
        <w:keepNext w:val="0"/>
        <w:keepLines w:val="0"/>
        <w:pageBreakBefore w:val="0"/>
        <w:widowControl w:val="0"/>
        <w:kinsoku/>
        <w:wordWrap/>
        <w:topLinePunct w:val="0"/>
        <w:autoSpaceDE/>
        <w:autoSpaceDN/>
        <w:bidi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（三）第二课堂</w:t>
      </w:r>
      <w:r>
        <w:rPr>
          <w:rFonts w:hint="eastAsia" w:ascii="楷体" w:hAnsi="楷体" w:eastAsia="楷体" w:cs="楷体"/>
          <w:color w:val="auto"/>
          <w:sz w:val="32"/>
          <w:szCs w:val="32"/>
          <w:highlight w:val="none"/>
          <w:lang w:val="en-US" w:eastAsia="zh-CN"/>
        </w:rPr>
        <w:t>素质教育课</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第二课堂</w:t>
      </w:r>
      <w:r>
        <w:rPr>
          <w:rFonts w:hint="eastAsia" w:ascii="仿宋_GB2312" w:hAnsi="仿宋_GB2312" w:eastAsia="仿宋_GB2312" w:cs="仿宋_GB2312"/>
          <w:color w:val="auto"/>
          <w:sz w:val="32"/>
          <w:szCs w:val="32"/>
          <w:highlight w:val="none"/>
          <w:lang w:val="en-US" w:eastAsia="zh-CN"/>
        </w:rPr>
        <w:t>素质教育课</w:t>
      </w:r>
      <w:r>
        <w:rPr>
          <w:rFonts w:hint="eastAsia" w:ascii="仿宋_GB2312" w:hAnsi="仿宋_GB2312" w:eastAsia="仿宋_GB2312" w:cs="仿宋_GB2312"/>
          <w:color w:val="auto"/>
          <w:sz w:val="32"/>
          <w:szCs w:val="32"/>
          <w:highlight w:val="none"/>
        </w:rPr>
        <w:t>包括思想成长、</w:t>
      </w:r>
      <w:r>
        <w:rPr>
          <w:rFonts w:hint="eastAsia" w:ascii="仿宋_GB2312" w:hAnsi="仿宋_GB2312" w:eastAsia="仿宋_GB2312" w:cs="仿宋_GB2312"/>
          <w:color w:val="auto"/>
          <w:sz w:val="32"/>
          <w:szCs w:val="32"/>
          <w:highlight w:val="none"/>
          <w:lang w:val="en-US" w:eastAsia="zh-CN"/>
        </w:rPr>
        <w:t>实践实习</w:t>
      </w:r>
      <w:r>
        <w:rPr>
          <w:rFonts w:hint="eastAsia" w:ascii="仿宋_GB2312" w:hAnsi="仿宋_GB2312" w:eastAsia="仿宋_GB2312" w:cs="仿宋_GB2312"/>
          <w:color w:val="auto"/>
          <w:sz w:val="32"/>
          <w:szCs w:val="32"/>
          <w:highlight w:val="none"/>
        </w:rPr>
        <w:t>、创新创业、</w:t>
      </w:r>
      <w:r>
        <w:rPr>
          <w:rFonts w:hint="eastAsia" w:ascii="仿宋_GB2312" w:hAnsi="仿宋_GB2312" w:eastAsia="仿宋_GB2312" w:cs="仿宋_GB2312"/>
          <w:color w:val="auto"/>
          <w:sz w:val="32"/>
          <w:szCs w:val="32"/>
          <w:highlight w:val="none"/>
          <w:lang w:val="en-US" w:eastAsia="zh-CN"/>
        </w:rPr>
        <w:t>志愿公益、</w:t>
      </w:r>
      <w:r>
        <w:rPr>
          <w:rFonts w:hint="eastAsia" w:ascii="仿宋_GB2312" w:hAnsi="仿宋_GB2312" w:eastAsia="仿宋_GB2312" w:cs="仿宋_GB2312"/>
          <w:color w:val="auto"/>
          <w:sz w:val="32"/>
          <w:szCs w:val="32"/>
          <w:highlight w:val="none"/>
        </w:rPr>
        <w:t>文体</w:t>
      </w:r>
      <w:r>
        <w:rPr>
          <w:rFonts w:hint="eastAsia" w:ascii="仿宋_GB2312" w:hAnsi="仿宋_GB2312" w:eastAsia="仿宋_GB2312" w:cs="仿宋_GB2312"/>
          <w:color w:val="auto"/>
          <w:sz w:val="32"/>
          <w:szCs w:val="32"/>
          <w:highlight w:val="none"/>
          <w:lang w:val="en-US" w:eastAsia="zh-CN"/>
        </w:rPr>
        <w:t>活动</w:t>
      </w:r>
      <w:r>
        <w:rPr>
          <w:rFonts w:hint="eastAsia" w:ascii="仿宋_GB2312" w:hAnsi="仿宋_GB2312" w:eastAsia="仿宋_GB2312" w:cs="仿宋_GB2312"/>
          <w:color w:val="auto"/>
          <w:sz w:val="32"/>
          <w:szCs w:val="32"/>
          <w:highlight w:val="none"/>
        </w:rPr>
        <w:t>、工作履历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专业技能特长等其他各类课程及活动。</w:t>
      </w:r>
    </w:p>
    <w:p>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第二课堂素质教育课安排表</w:t>
      </w:r>
    </w:p>
    <w:tbl>
      <w:tblPr>
        <w:tblStyle w:val="8"/>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36"/>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模块</w:t>
            </w:r>
          </w:p>
        </w:tc>
        <w:tc>
          <w:tcPr>
            <w:tcW w:w="357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szCs w:val="24"/>
                <w:highlight w:val="none"/>
                <w:lang w:val="en-US" w:eastAsia="zh-CN"/>
              </w:rPr>
              <w:t>内容</w:t>
            </w:r>
          </w:p>
        </w:tc>
        <w:tc>
          <w:tcPr>
            <w:tcW w:w="880"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性质</w:t>
            </w:r>
          </w:p>
        </w:tc>
        <w:tc>
          <w:tcPr>
            <w:tcW w:w="101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组织</w:t>
            </w:r>
          </w:p>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实施</w:t>
            </w:r>
          </w:p>
        </w:tc>
        <w:tc>
          <w:tcPr>
            <w:tcW w:w="1040"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认定者</w:t>
            </w:r>
          </w:p>
        </w:tc>
        <w:tc>
          <w:tcPr>
            <w:tcW w:w="1236"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计分标准</w:t>
            </w:r>
          </w:p>
        </w:tc>
        <w:tc>
          <w:tcPr>
            <w:tcW w:w="1236"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思想成长</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1.思想政治教育</w:t>
            </w:r>
            <w:r>
              <w:rPr>
                <w:rFonts w:hint="eastAsia" w:ascii="仿宋_GB2312" w:hAnsi="仿宋_GB2312" w:eastAsia="仿宋_GB2312" w:cs="仿宋_GB2312"/>
                <w:b w:val="0"/>
                <w:bCs w:val="0"/>
                <w:color w:val="auto"/>
                <w:sz w:val="24"/>
                <w:szCs w:val="24"/>
                <w:highlight w:val="none"/>
              </w:rPr>
              <w:t>主题</w:t>
            </w:r>
            <w:r>
              <w:rPr>
                <w:rFonts w:hint="eastAsia" w:ascii="仿宋_GB2312" w:hAnsi="仿宋_GB2312" w:eastAsia="仿宋_GB2312" w:cs="仿宋_GB2312"/>
                <w:b w:val="0"/>
                <w:bCs w:val="0"/>
                <w:color w:val="auto"/>
                <w:sz w:val="24"/>
                <w:szCs w:val="24"/>
                <w:highlight w:val="none"/>
                <w:lang w:val="en-US" w:eastAsia="zh-CN"/>
              </w:rPr>
              <w:t>讲</w:t>
            </w:r>
            <w:r>
              <w:rPr>
                <w:rFonts w:hint="eastAsia" w:ascii="仿宋_GB2312" w:hAnsi="仿宋_GB2312" w:eastAsia="仿宋_GB2312" w:cs="仿宋_GB2312"/>
                <w:b w:val="0"/>
                <w:bCs w:val="0"/>
                <w:color w:val="auto"/>
                <w:sz w:val="24"/>
                <w:szCs w:val="24"/>
                <w:highlight w:val="none"/>
              </w:rPr>
              <w:t>座、形势与政策报告会</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2.</w:t>
            </w:r>
            <w:r>
              <w:rPr>
                <w:rFonts w:hint="eastAsia" w:ascii="仿宋_GB2312" w:hAnsi="仿宋_GB2312" w:eastAsia="仿宋_GB2312" w:cs="仿宋_GB2312"/>
                <w:b w:val="0"/>
                <w:bCs w:val="0"/>
                <w:color w:val="auto"/>
                <w:sz w:val="24"/>
                <w:szCs w:val="24"/>
                <w:highlight w:val="none"/>
              </w:rPr>
              <w:t>爱国主义教育活动</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3.</w:t>
            </w:r>
            <w:r>
              <w:rPr>
                <w:rFonts w:hint="eastAsia" w:ascii="仿宋_GB2312" w:hAnsi="仿宋_GB2312" w:eastAsia="仿宋_GB2312" w:cs="仿宋_GB2312"/>
                <w:b w:val="0"/>
                <w:bCs w:val="0"/>
                <w:color w:val="auto"/>
                <w:sz w:val="24"/>
                <w:szCs w:val="24"/>
                <w:highlight w:val="none"/>
              </w:rPr>
              <w:t>党团组织生活</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4.</w:t>
            </w:r>
            <w:r>
              <w:rPr>
                <w:rFonts w:hint="eastAsia" w:ascii="仿宋_GB2312" w:hAnsi="仿宋_GB2312" w:eastAsia="仿宋_GB2312" w:cs="仿宋_GB2312"/>
                <w:b w:val="0"/>
                <w:bCs w:val="0"/>
                <w:color w:val="auto"/>
                <w:sz w:val="24"/>
                <w:szCs w:val="24"/>
                <w:highlight w:val="none"/>
              </w:rPr>
              <w:t xml:space="preserve">党团培训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青年大学习</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default" w:ascii="仿宋_GB2312" w:hAnsi="仿宋_GB2312" w:eastAsia="仿宋_GB2312" w:cs="仿宋_GB2312"/>
                <w:color w:val="auto"/>
                <w:sz w:val="24"/>
                <w:szCs w:val="24"/>
                <w:highlight w:val="none"/>
                <w:lang w:val="en-US" w:eastAsia="zh-CN"/>
              </w:rPr>
            </w:pPr>
            <w:bookmarkStart w:id="14" w:name="OLE_LINK4"/>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bookmarkEnd w:id="14"/>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restart"/>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第二课堂成绩</w:t>
            </w:r>
            <w:r>
              <w:rPr>
                <w:rFonts w:hint="eastAsia" w:ascii="仿宋_GB2312" w:hAnsi="仿宋_GB2312" w:eastAsia="仿宋_GB2312" w:cs="仿宋_GB2312"/>
                <w:b w:val="0"/>
                <w:bCs w:val="0"/>
                <w:color w:val="auto"/>
                <w:sz w:val="24"/>
                <w:szCs w:val="24"/>
                <w:highlight w:val="none"/>
                <w:lang w:val="en-US" w:eastAsia="zh-CN"/>
              </w:rPr>
              <w:t>由</w:t>
            </w:r>
            <w:r>
              <w:rPr>
                <w:rFonts w:hint="eastAsia" w:ascii="仿宋_GB2312" w:hAnsi="仿宋_GB2312" w:eastAsia="仿宋_GB2312" w:cs="仿宋_GB2312"/>
                <w:b w:val="0"/>
                <w:bCs w:val="0"/>
                <w:color w:val="auto"/>
                <w:sz w:val="24"/>
                <w:szCs w:val="24"/>
                <w:highlight w:val="none"/>
              </w:rPr>
              <w:t xml:space="preserve">网络管理系 统（到梦 空间）实 时记录，学生在大一、 </w:t>
            </w:r>
            <w:r>
              <w:rPr>
                <w:rFonts w:hint="eastAsia" w:ascii="仿宋_GB2312" w:hAnsi="仿宋_GB2312" w:eastAsia="仿宋_GB2312" w:cs="仿宋_GB2312"/>
                <w:b w:val="0"/>
                <w:bCs w:val="0"/>
                <w:color w:val="auto"/>
                <w:sz w:val="24"/>
                <w:szCs w:val="24"/>
                <w:highlight w:val="none"/>
                <w:lang w:val="en-US" w:eastAsia="zh-CN"/>
              </w:rPr>
              <w:t>大</w:t>
            </w:r>
            <w:r>
              <w:rPr>
                <w:rFonts w:hint="eastAsia" w:ascii="仿宋_GB2312" w:hAnsi="仿宋_GB2312" w:eastAsia="仿宋_GB2312" w:cs="仿宋_GB2312"/>
                <w:b w:val="0"/>
                <w:bCs w:val="0"/>
                <w:color w:val="auto"/>
                <w:sz w:val="24"/>
                <w:szCs w:val="24"/>
                <w:highlight w:val="none"/>
              </w:rPr>
              <w:t>二期间</w:t>
            </w:r>
            <w:r>
              <w:rPr>
                <w:rFonts w:hint="eastAsia" w:ascii="仿宋_GB2312" w:hAnsi="仿宋_GB2312" w:eastAsia="仿宋_GB2312" w:cs="仿宋_GB2312"/>
                <w:b w:val="0"/>
                <w:bCs w:val="0"/>
                <w:color w:val="auto"/>
                <w:sz w:val="24"/>
                <w:szCs w:val="24"/>
                <w:highlight w:val="none"/>
                <w:lang w:val="en-US" w:eastAsia="zh-CN"/>
              </w:rPr>
              <w:t>积分达60分及以上，可获4</w:t>
            </w:r>
            <w:r>
              <w:rPr>
                <w:rFonts w:hint="eastAsia" w:ascii="仿宋_GB2312" w:hAnsi="仿宋_GB2312" w:eastAsia="仿宋_GB2312" w:cs="仿宋_GB2312"/>
                <w:b w:val="0"/>
                <w:bCs w:val="0"/>
                <w:color w:val="auto"/>
                <w:sz w:val="24"/>
                <w:szCs w:val="24"/>
                <w:highlight w:val="none"/>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实践</w:t>
            </w:r>
            <w:r>
              <w:rPr>
                <w:rFonts w:hint="eastAsia" w:ascii="仿宋_GB2312" w:hAnsi="仿宋_GB2312" w:eastAsia="仿宋_GB2312" w:cs="仿宋_GB2312"/>
                <w:color w:val="auto"/>
                <w:sz w:val="24"/>
                <w:szCs w:val="24"/>
                <w:highlight w:val="none"/>
                <w:lang w:val="en-US" w:eastAsia="zh-CN"/>
              </w:rPr>
              <w:t>实习</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1.</w:t>
            </w:r>
            <w:r>
              <w:rPr>
                <w:rFonts w:hint="eastAsia" w:ascii="仿宋_GB2312" w:hAnsi="仿宋_GB2312" w:eastAsia="仿宋_GB2312" w:cs="仿宋_GB2312"/>
                <w:b w:val="0"/>
                <w:bCs w:val="0"/>
                <w:color w:val="auto"/>
                <w:sz w:val="24"/>
                <w:szCs w:val="24"/>
                <w:highlight w:val="none"/>
              </w:rPr>
              <w:t xml:space="preserve">暑期“三下乡”社会实践活动 </w:t>
            </w:r>
            <w:r>
              <w:rPr>
                <w:rFonts w:hint="eastAsia" w:ascii="仿宋_GB2312" w:hAnsi="仿宋_GB2312" w:eastAsia="仿宋_GB2312" w:cs="仿宋_GB2312"/>
                <w:b w:val="0"/>
                <w:bCs w:val="0"/>
                <w:color w:val="auto"/>
                <w:sz w:val="24"/>
                <w:szCs w:val="24"/>
                <w:highlight w:val="none"/>
                <w:lang w:val="en-US" w:eastAsia="zh-CN"/>
              </w:rPr>
              <w:t>2.</w:t>
            </w:r>
            <w:r>
              <w:rPr>
                <w:rFonts w:hint="eastAsia" w:ascii="仿宋_GB2312" w:hAnsi="仿宋_GB2312" w:eastAsia="仿宋_GB2312" w:cs="仿宋_GB2312"/>
                <w:b w:val="0"/>
                <w:bCs w:val="0"/>
                <w:color w:val="auto"/>
                <w:sz w:val="24"/>
                <w:szCs w:val="24"/>
                <w:highlight w:val="none"/>
              </w:rPr>
              <w:t xml:space="preserve">寒暑假“返家乡”实践活动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3.</w:t>
            </w:r>
            <w:r>
              <w:rPr>
                <w:rFonts w:hint="eastAsia" w:ascii="仿宋_GB2312" w:hAnsi="仿宋_GB2312" w:eastAsia="仿宋_GB2312" w:cs="仿宋_GB2312"/>
                <w:b w:val="0"/>
                <w:bCs w:val="0"/>
                <w:color w:val="auto"/>
                <w:sz w:val="24"/>
                <w:szCs w:val="24"/>
                <w:highlight w:val="none"/>
              </w:rPr>
              <w:t xml:space="preserve">企业见习实践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4.</w:t>
            </w:r>
            <w:r>
              <w:rPr>
                <w:rFonts w:hint="eastAsia" w:ascii="仿宋_GB2312" w:hAnsi="仿宋_GB2312" w:eastAsia="仿宋_GB2312" w:cs="仿宋_GB2312"/>
                <w:b w:val="0"/>
                <w:bCs w:val="0"/>
                <w:color w:val="auto"/>
                <w:sz w:val="24"/>
                <w:szCs w:val="24"/>
                <w:highlight w:val="none"/>
              </w:rPr>
              <w:t xml:space="preserve">上级、校院交予专项工作项目实践活动含兼挂职锻炼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 xml:space="preserve">新闻宣传报道被学校、学院采用或转发 </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default"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6.晨读</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7</w:t>
            </w:r>
            <w:r>
              <w:rPr>
                <w:rFonts w:hint="eastAsia" w:ascii="仿宋_GB2312" w:hAnsi="仿宋_GB2312" w:eastAsia="仿宋_GB2312" w:cs="仿宋_GB2312"/>
                <w:b w:val="0"/>
                <w:bCs w:val="0"/>
                <w:color w:val="auto"/>
                <w:sz w:val="24"/>
                <w:szCs w:val="24"/>
                <w:highlight w:val="none"/>
              </w:rPr>
              <w:t xml:space="preserve">.劳动精神、劳模精神、工匠精神专题教育 </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8.</w:t>
            </w:r>
            <w:r>
              <w:rPr>
                <w:rFonts w:hint="eastAsia" w:ascii="仿宋_GB2312" w:hAnsi="仿宋_GB2312" w:eastAsia="仿宋_GB2312" w:cs="仿宋_GB2312"/>
                <w:b w:val="0"/>
                <w:bCs w:val="0"/>
                <w:color w:val="auto"/>
                <w:sz w:val="24"/>
                <w:szCs w:val="24"/>
                <w:highlight w:val="none"/>
              </w:rPr>
              <w:t>实践活动的相关荣誉</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创新创业</w:t>
            </w:r>
          </w:p>
        </w:tc>
        <w:tc>
          <w:tcPr>
            <w:tcW w:w="3573"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w:t>
            </w:r>
            <w:r>
              <w:rPr>
                <w:rFonts w:hint="eastAsia" w:ascii="仿宋_GB2312" w:hAnsi="仿宋_GB2312" w:eastAsia="仿宋_GB2312" w:cs="仿宋_GB2312"/>
                <w:color w:val="auto"/>
                <w:sz w:val="24"/>
                <w:szCs w:val="24"/>
                <w:highlight w:val="none"/>
              </w:rPr>
              <w:t xml:space="preserve">发表文章、出版专著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rPr>
              <w:t xml:space="preserve">发明专利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w:t>
            </w:r>
            <w:r>
              <w:rPr>
                <w:rFonts w:hint="eastAsia" w:ascii="仿宋_GB2312" w:hAnsi="仿宋_GB2312" w:eastAsia="仿宋_GB2312" w:cs="仿宋_GB2312"/>
                <w:color w:val="auto"/>
                <w:sz w:val="24"/>
                <w:szCs w:val="24"/>
                <w:highlight w:val="none"/>
              </w:rPr>
              <w:t xml:space="preserve">创新创业项目竞赛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4.</w:t>
            </w:r>
            <w:r>
              <w:rPr>
                <w:rFonts w:hint="eastAsia" w:ascii="仿宋_GB2312" w:hAnsi="仿宋_GB2312" w:eastAsia="仿宋_GB2312" w:cs="仿宋_GB2312"/>
                <w:color w:val="auto"/>
                <w:sz w:val="24"/>
                <w:szCs w:val="24"/>
                <w:highlight w:val="none"/>
              </w:rPr>
              <w:t xml:space="preserve">创新创业项目培训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rPr>
              <w:t xml:space="preserve">创新创业课程、讲座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6.</w:t>
            </w:r>
            <w:r>
              <w:rPr>
                <w:rFonts w:hint="eastAsia" w:ascii="仿宋_GB2312" w:hAnsi="仿宋_GB2312" w:eastAsia="仿宋_GB2312" w:cs="仿宋_GB2312"/>
                <w:color w:val="auto"/>
                <w:sz w:val="24"/>
                <w:szCs w:val="24"/>
                <w:highlight w:val="none"/>
              </w:rPr>
              <w:t>自主创业</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志愿公益</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1.校级、学院、社团、班级等学生组织开展的志愿服务活动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2.无偿献血活动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3.捐献造血干细胞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4.相关公益类宣传讲座、报告会等志愿服务表彰</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 xml:space="preserve">公益劳动 </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 xml:space="preserve">文体活动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1.文艺竞赛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2.体育竞赛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3.文艺演出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4.体育活动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color w:val="auto"/>
                <w:sz w:val="24"/>
                <w:szCs w:val="24"/>
                <w:highlight w:val="none"/>
                <w:lang w:val="en-US" w:eastAsia="zh-CN"/>
              </w:rPr>
              <w:t>5.文体讲座</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 xml:space="preserve">工作履历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1.团学干部任职</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2.团学先进个人</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3.勤工俭学</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4.社会任职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color w:val="auto"/>
                <w:sz w:val="24"/>
                <w:szCs w:val="24"/>
                <w:highlight w:val="none"/>
                <w:lang w:val="en-US" w:eastAsia="zh-CN"/>
              </w:rPr>
              <w:t>5.退伍军人</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技能特长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1.职业资格证书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2.职业技能证书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3.机动车驾驶证</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4.从业人员上岗资格证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5.技能比赛获奖</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其他</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1.其他证书（社会职业类证书）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2.校内各单位其他类型活动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color w:val="auto"/>
                <w:sz w:val="24"/>
                <w:szCs w:val="24"/>
                <w:highlight w:val="none"/>
                <w:lang w:val="en-US" w:eastAsia="zh-CN"/>
              </w:rPr>
              <w:t>3.升旗仪式工作人员</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lang w:val="en-US" w:eastAsia="zh-CN"/>
        </w:rPr>
        <w:t>八</w:t>
      </w:r>
      <w:r>
        <w:rPr>
          <w:rFonts w:ascii="黑体" w:hAnsi="黑体" w:eastAsia="黑体"/>
          <w:color w:val="auto"/>
          <w:sz w:val="32"/>
          <w:szCs w:val="32"/>
          <w:highlight w:val="none"/>
        </w:rPr>
        <w:t>、教学进程总体安排</w:t>
      </w:r>
    </w:p>
    <w:p>
      <w:pPr>
        <w:keepNext w:val="0"/>
        <w:keepLines w:val="0"/>
        <w:pageBreakBefore w:val="0"/>
        <w:widowControl w:val="0"/>
        <w:kinsoku/>
        <w:wordWrap/>
        <w:topLinePunct w:val="0"/>
        <w:autoSpaceDE/>
        <w:autoSpaceDN/>
        <w:bidi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 xml:space="preserve">（一）教学环节分配表 </w:t>
      </w:r>
    </w:p>
    <w:p>
      <w:pPr>
        <w:keepNext w:val="0"/>
        <w:keepLines w:val="0"/>
        <w:pageBreakBefore w:val="0"/>
        <w:widowControl w:val="0"/>
        <w:kinsoku/>
        <w:wordWrap/>
        <w:topLinePunct w:val="0"/>
        <w:autoSpaceDE/>
        <w:autoSpaceDN/>
        <w:bidi w:val="0"/>
        <w:snapToGrid/>
        <w:spacing w:after="0" w:line="520" w:lineRule="exact"/>
        <w:ind w:lef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教学周数分配表每学期总周数合计应为</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周，各学期教学周数应与教学计划进程表一致，军训、入学教育、考试环节、实习开展、毕业设计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社会实践及毕业教育</w:t>
      </w:r>
      <w:r>
        <w:rPr>
          <w:rFonts w:hint="eastAsia" w:ascii="仿宋_GB2312" w:hAnsi="仿宋_GB2312" w:eastAsia="仿宋_GB2312" w:cs="仿宋_GB2312"/>
          <w:color w:val="auto"/>
          <w:sz w:val="32"/>
          <w:szCs w:val="32"/>
          <w:highlight w:val="none"/>
        </w:rPr>
        <w:t>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学期合计周数</w:t>
      </w:r>
      <w:r>
        <w:rPr>
          <w:rFonts w:hint="eastAsia" w:ascii="仿宋_GB2312" w:hAnsi="仿宋_GB2312" w:eastAsia="仿宋_GB2312" w:cs="仿宋_GB2312"/>
          <w:color w:val="auto"/>
          <w:sz w:val="32"/>
          <w:szCs w:val="32"/>
          <w:highlight w:val="none"/>
          <w:lang w:val="en-US" w:eastAsia="zh-CN"/>
        </w:rPr>
        <w:t>为</w:t>
      </w:r>
      <w:r>
        <w:rPr>
          <w:rFonts w:hint="eastAsia" w:ascii="仿宋_GB2312" w:hAnsi="仿宋_GB2312" w:eastAsia="仿宋_GB2312" w:cs="仿宋_GB2312"/>
          <w:color w:val="auto"/>
          <w:sz w:val="32"/>
          <w:szCs w:val="32"/>
          <w:highlight w:val="none"/>
        </w:rPr>
        <w:t>20周。</w:t>
      </w:r>
    </w:p>
    <w:p>
      <w:pPr>
        <w:keepNext w:val="0"/>
        <w:keepLines w:val="0"/>
        <w:pageBreakBefore w:val="0"/>
        <w:widowControl w:val="0"/>
        <w:kinsoku/>
        <w:wordWrap/>
        <w:topLinePunct w:val="0"/>
        <w:autoSpaceDE/>
        <w:autoSpaceDN/>
        <w:bidi w:val="0"/>
        <w:snapToGrid/>
        <w:spacing w:after="0" w:line="520" w:lineRule="exact"/>
        <w:ind w:left="0" w:firstLine="640" w:firstLineChars="20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 xml:space="preserve"> 教育活动时间分配表（单位：周）</w:t>
      </w:r>
    </w:p>
    <w:tbl>
      <w:tblPr>
        <w:tblStyle w:val="8"/>
        <w:tblW w:w="51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pPr>
              <w:spacing w:after="0" w:line="240" w:lineRule="auto"/>
              <w:rPr>
                <w:rFonts w:hint="eastAsia" w:ascii="仿宋_GB2312" w:hAnsi="仿宋_GB2312" w:eastAsia="仿宋_GB2312" w:cs="仿宋_GB2312"/>
                <w:color w:val="auto"/>
                <w:sz w:val="24"/>
                <w:szCs w:val="24"/>
                <w:highlight w:val="none"/>
                <w:lang w:val="en-US" w:eastAsia="zh-CN"/>
              </w:rPr>
            </w:pPr>
          </w:p>
          <w:p>
            <w:pPr>
              <w:spacing w:after="0" w:line="240" w:lineRule="auto"/>
              <mc:AlternateContent>
                <mc:Choice Requires="wpsCustomData">
                  <wpsCustomData:diagonalParaType/>
                </mc:Choice>
              </mc:AlternateContent>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项目</w:t>
            </w:r>
          </w:p>
          <w:p>
            <w:pPr>
              <w:spacing w:after="0" w:line="240" w:lineRule="auto"/>
              <w:rPr>
                <w:rFonts w:hint="eastAsia" w:ascii="仿宋_GB2312" w:hAnsi="仿宋_GB2312" w:eastAsia="仿宋_GB2312" w:cs="仿宋_GB2312"/>
                <w:color w:val="auto"/>
                <w:sz w:val="24"/>
                <w:szCs w:val="24"/>
                <w:highlight w:val="none"/>
                <w:lang w:val="en-US" w:eastAsia="zh-CN"/>
              </w:rPr>
            </w:pPr>
          </w:p>
          <w:p>
            <w:pPr>
              <w:spacing w:after="0" w:line="240" w:lineRule="auto"/>
              <w:ind w:firstLine="240" w:firstLineChars="100"/>
              <mc:AlternateContent>
                <mc:Choice Requires="wpsCustomData">
                  <wpsCustomData:diagonalParaType/>
                </mc:Choice>
              </mc:AlternateConten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周数</w:t>
            </w:r>
          </w:p>
          <w:p>
            <w:pPr>
              <w:spacing w:after="0" w:line="240" w:lineRule="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学年</w:t>
            </w:r>
          </w:p>
        </w:tc>
        <w:tc>
          <w:tcPr>
            <w:tcW w:w="1229"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一</w:t>
            </w:r>
          </w:p>
        </w:tc>
        <w:tc>
          <w:tcPr>
            <w:tcW w:w="1165"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二</w:t>
            </w:r>
          </w:p>
        </w:tc>
        <w:tc>
          <w:tcPr>
            <w:tcW w:w="1167"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437" w:type="pct"/>
            <w:vMerge w:val="continue"/>
          </w:tcPr>
          <w:p>
            <w:pPr>
              <w:keepNext w:val="0"/>
              <w:keepLines w:val="0"/>
              <w:pageBreakBefore w:val="0"/>
              <w:widowControl w:val="0"/>
              <w:kinsoku/>
              <w:wordWrap/>
              <w:overflowPunct/>
              <w:topLinePunct w:val="0"/>
              <w:autoSpaceDE/>
              <w:autoSpaceDN/>
              <w:bidi w:val="0"/>
              <w:adjustRightInd/>
              <w:snapToGrid/>
              <w:spacing w:after="0" w:line="320" w:lineRule="exact"/>
              <w:ind w:left="0"/>
              <w:textAlignment w:val="auto"/>
              <w:rPr>
                <w:rFonts w:hint="eastAsia" w:ascii="仿宋_GB2312" w:hAnsi="仿宋_GB2312" w:eastAsia="仿宋_GB2312" w:cs="仿宋_GB2312"/>
                <w:color w:val="auto"/>
                <w:sz w:val="24"/>
                <w:szCs w:val="24"/>
                <w:highlight w:val="none"/>
              </w:rPr>
            </w:pP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课堂教学</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考试</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军训</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入学教育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毕业设计</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岗位实习</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社会实践</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毕业教育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学期教学总周数</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r>
    </w:tbl>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楷体" w:hAnsi="楷体" w:eastAsia="楷体" w:cs="楷体"/>
          <w:bCs/>
          <w:color w:val="auto"/>
          <w:sz w:val="32"/>
          <w:szCs w:val="32"/>
          <w:highlight w:val="none"/>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二</w:t>
      </w:r>
      <w:r>
        <w:rPr>
          <w:rFonts w:hint="eastAsia" w:ascii="楷体" w:hAnsi="楷体" w:eastAsia="楷体" w:cs="楷体"/>
          <w:color w:val="auto"/>
          <w:sz w:val="32"/>
          <w:szCs w:val="32"/>
          <w:highlight w:val="none"/>
          <w:lang w:eastAsia="zh-CN"/>
        </w:rPr>
        <w:t>）</w:t>
      </w:r>
      <w:r>
        <w:rPr>
          <w:rFonts w:hint="eastAsia" w:ascii="楷体" w:hAnsi="楷体" w:eastAsia="楷体" w:cs="楷体"/>
          <w:bCs/>
          <w:color w:val="auto"/>
          <w:sz w:val="32"/>
          <w:szCs w:val="32"/>
          <w:highlight w:val="none"/>
        </w:rPr>
        <w:t>课程结构与学时、学分分配</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本专业教学</w:t>
      </w:r>
      <w:r>
        <w:rPr>
          <w:rFonts w:hint="eastAsia" w:ascii="仿宋GB2312" w:hAnsi="仿宋GB2312" w:eastAsia="仿宋GB2312" w:cs="仿宋GB2312"/>
          <w:color w:val="auto"/>
          <w:sz w:val="32"/>
          <w:szCs w:val="32"/>
          <w:highlight w:val="none"/>
        </w:rPr>
        <w:t>总学时为288</w:t>
      </w:r>
      <w:r>
        <w:rPr>
          <w:rFonts w:hint="eastAsia" w:ascii="仿宋GB2312" w:hAnsi="仿宋GB2312" w:eastAsia="仿宋GB2312" w:cs="仿宋GB2312"/>
          <w:color w:val="auto"/>
          <w:sz w:val="32"/>
          <w:szCs w:val="32"/>
          <w:highlight w:val="none"/>
          <w:lang w:val="en-US" w:eastAsia="zh-CN"/>
        </w:rPr>
        <w:t>2</w:t>
      </w:r>
      <w:r>
        <w:rPr>
          <w:rFonts w:hint="eastAsia" w:ascii="仿宋GB2312" w:hAnsi="仿宋GB2312" w:eastAsia="仿宋GB2312" w:cs="仿宋GB2312"/>
          <w:color w:val="auto"/>
          <w:sz w:val="32"/>
          <w:szCs w:val="32"/>
          <w:highlight w:val="none"/>
        </w:rPr>
        <w:t>学时。其中理论教学13</w:t>
      </w:r>
      <w:r>
        <w:rPr>
          <w:rFonts w:hint="eastAsia" w:ascii="仿宋GB2312" w:hAnsi="仿宋GB2312" w:eastAsia="仿宋GB2312" w:cs="仿宋GB2312"/>
          <w:color w:val="auto"/>
          <w:sz w:val="32"/>
          <w:szCs w:val="32"/>
          <w:highlight w:val="none"/>
          <w:lang w:val="en-US" w:eastAsia="zh-CN"/>
        </w:rPr>
        <w:t>58</w:t>
      </w:r>
      <w:r>
        <w:rPr>
          <w:rFonts w:hint="eastAsia" w:ascii="仿宋GB2312" w:hAnsi="仿宋GB2312" w:eastAsia="仿宋GB2312" w:cs="仿宋GB2312"/>
          <w:color w:val="auto"/>
          <w:sz w:val="32"/>
          <w:szCs w:val="32"/>
          <w:highlight w:val="none"/>
        </w:rPr>
        <w:t>学时，占47.</w:t>
      </w:r>
      <w:r>
        <w:rPr>
          <w:rFonts w:hint="eastAsia" w:ascii="仿宋GB2312" w:hAnsi="仿宋GB2312" w:eastAsia="仿宋GB2312" w:cs="仿宋GB2312"/>
          <w:color w:val="auto"/>
          <w:sz w:val="32"/>
          <w:szCs w:val="32"/>
          <w:highlight w:val="none"/>
          <w:lang w:val="en-US" w:eastAsia="zh-CN"/>
        </w:rPr>
        <w:t>12</w:t>
      </w:r>
      <w:r>
        <w:rPr>
          <w:rFonts w:hint="eastAsia" w:ascii="仿宋GB2312" w:hAnsi="仿宋GB2312" w:eastAsia="仿宋GB2312" w:cs="仿宋GB2312"/>
          <w:color w:val="auto"/>
          <w:sz w:val="32"/>
          <w:szCs w:val="32"/>
          <w:highlight w:val="none"/>
        </w:rPr>
        <w:t>%；实践教学152</w:t>
      </w:r>
      <w:r>
        <w:rPr>
          <w:rFonts w:hint="eastAsia" w:ascii="仿宋GB2312" w:hAnsi="仿宋GB2312" w:eastAsia="仿宋GB2312" w:cs="仿宋GB2312"/>
          <w:color w:val="auto"/>
          <w:sz w:val="32"/>
          <w:szCs w:val="32"/>
          <w:highlight w:val="none"/>
          <w:lang w:val="en-US" w:eastAsia="zh-CN"/>
        </w:rPr>
        <w:t>4</w:t>
      </w:r>
      <w:r>
        <w:rPr>
          <w:rFonts w:hint="eastAsia" w:ascii="仿宋GB2312" w:hAnsi="仿宋GB2312" w:eastAsia="仿宋GB2312" w:cs="仿宋GB2312"/>
          <w:color w:val="auto"/>
          <w:sz w:val="32"/>
          <w:szCs w:val="32"/>
          <w:highlight w:val="none"/>
        </w:rPr>
        <w:t>学时，占52.</w:t>
      </w:r>
      <w:r>
        <w:rPr>
          <w:rFonts w:hint="eastAsia" w:ascii="仿宋GB2312" w:hAnsi="仿宋GB2312" w:eastAsia="仿宋GB2312" w:cs="仿宋GB2312"/>
          <w:color w:val="auto"/>
          <w:sz w:val="32"/>
          <w:szCs w:val="32"/>
          <w:highlight w:val="none"/>
          <w:lang w:val="en-US" w:eastAsia="zh-CN"/>
        </w:rPr>
        <w:t>88</w:t>
      </w:r>
      <w:r>
        <w:rPr>
          <w:rFonts w:hint="eastAsia" w:ascii="仿宋GB2312" w:hAnsi="仿宋GB2312" w:eastAsia="仿宋GB2312" w:cs="仿宋GB2312"/>
          <w:color w:val="auto"/>
          <w:sz w:val="32"/>
          <w:szCs w:val="32"/>
          <w:highlight w:val="none"/>
        </w:rPr>
        <w:t>%，其中岗位实习累计时间6个月。公共基础课95</w:t>
      </w:r>
      <w:r>
        <w:rPr>
          <w:rFonts w:hint="eastAsia" w:ascii="仿宋GB2312" w:hAnsi="仿宋GB2312" w:eastAsia="仿宋GB2312" w:cs="仿宋GB2312"/>
          <w:color w:val="auto"/>
          <w:sz w:val="32"/>
          <w:szCs w:val="32"/>
          <w:highlight w:val="none"/>
          <w:lang w:val="en-US" w:eastAsia="zh-CN"/>
        </w:rPr>
        <w:t>4</w:t>
      </w:r>
      <w:r>
        <w:rPr>
          <w:rFonts w:hint="eastAsia" w:ascii="仿宋GB2312" w:hAnsi="仿宋GB2312" w:eastAsia="仿宋GB2312" w:cs="仿宋GB2312"/>
          <w:color w:val="auto"/>
          <w:sz w:val="32"/>
          <w:szCs w:val="32"/>
          <w:highlight w:val="none"/>
        </w:rPr>
        <w:t>学时，占33.1</w:t>
      </w:r>
      <w:r>
        <w:rPr>
          <w:rFonts w:hint="eastAsia" w:ascii="仿宋GB2312" w:hAnsi="仿宋GB2312" w:eastAsia="仿宋GB2312" w:cs="仿宋GB2312"/>
          <w:color w:val="auto"/>
          <w:sz w:val="32"/>
          <w:szCs w:val="32"/>
          <w:highlight w:val="none"/>
          <w:lang w:val="en-US" w:eastAsia="zh-CN"/>
        </w:rPr>
        <w:t>0</w:t>
      </w:r>
      <w:r>
        <w:rPr>
          <w:rFonts w:hint="eastAsia" w:ascii="仿宋GB2312" w:hAnsi="仿宋GB2312" w:eastAsia="仿宋GB2312" w:cs="仿宋GB2312"/>
          <w:color w:val="auto"/>
          <w:sz w:val="32"/>
          <w:szCs w:val="32"/>
          <w:highlight w:val="none"/>
        </w:rPr>
        <w:t>%；选修课320学时，占11.</w:t>
      </w:r>
      <w:r>
        <w:rPr>
          <w:rFonts w:hint="eastAsia" w:ascii="仿宋GB2312" w:hAnsi="仿宋GB2312" w:eastAsia="仿宋GB2312" w:cs="仿宋GB2312"/>
          <w:color w:val="auto"/>
          <w:sz w:val="32"/>
          <w:szCs w:val="32"/>
          <w:highlight w:val="none"/>
          <w:lang w:val="en-US" w:eastAsia="zh-CN"/>
        </w:rPr>
        <w:t>10</w:t>
      </w:r>
      <w:r>
        <w:rPr>
          <w:rFonts w:hint="eastAsia" w:ascii="仿宋GB2312" w:hAnsi="仿宋GB2312" w:eastAsia="仿宋GB2312" w:cs="仿宋GB2312"/>
          <w:color w:val="auto"/>
          <w:sz w:val="32"/>
          <w:szCs w:val="32"/>
          <w:highlight w:val="none"/>
        </w:rPr>
        <w:t>%</w:t>
      </w:r>
      <w:r>
        <w:rPr>
          <w:rFonts w:hint="eastAsia" w:ascii="仿宋_GB2312" w:hAnsi="仿宋_GB2312" w:eastAsia="仿宋_GB2312" w:cs="仿宋_GB2312"/>
          <w:bCs/>
          <w:color w:val="auto"/>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after="0" w:line="520" w:lineRule="exact"/>
        <w:ind w:left="0"/>
        <w:jc w:val="center"/>
        <w:textAlignment w:val="auto"/>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pacing w:val="-2"/>
          <w:sz w:val="32"/>
          <w:szCs w:val="32"/>
          <w:highlight w:val="none"/>
        </w:rPr>
        <w:t>课程学时、学分分配表</w:t>
      </w:r>
    </w:p>
    <w:tbl>
      <w:tblPr>
        <w:tblStyle w:val="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1"/>
        <w:gridCol w:w="1731"/>
        <w:gridCol w:w="900"/>
        <w:gridCol w:w="927"/>
        <w:gridCol w:w="1118"/>
        <w:gridCol w:w="896"/>
        <w:gridCol w:w="759"/>
        <w:gridCol w:w="1261"/>
        <w:gridCol w:w="750"/>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jc w:val="center"/>
        </w:trPr>
        <w:tc>
          <w:tcPr>
            <w:tcW w:w="27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课程类别</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课程性质</w:t>
            </w:r>
          </w:p>
        </w:tc>
        <w:tc>
          <w:tcPr>
            <w:tcW w:w="92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ind w:left="0"/>
              <w:jc w:val="center"/>
              <w:rPr>
                <w:rFonts w:hint="eastAsia" w:ascii="仿宋_GB2312" w:hAnsi="仿宋_GB2312" w:eastAsia="仿宋_GB2312" w:cs="仿宋_GB2312"/>
                <w:i w:val="0"/>
                <w:iCs w:val="0"/>
                <w:color w:val="auto"/>
                <w:sz w:val="24"/>
                <w:szCs w:val="24"/>
                <w:highlight w:val="none"/>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ind w:left="0"/>
              <w:jc w:val="center"/>
              <w:rPr>
                <w:rFonts w:hint="eastAsia" w:ascii="仿宋_GB2312" w:hAnsi="仿宋_GB2312" w:eastAsia="仿宋_GB2312" w:cs="仿宋_GB2312"/>
                <w:i w:val="0"/>
                <w:iCs w:val="0"/>
                <w:color w:val="auto"/>
                <w:sz w:val="24"/>
                <w:szCs w:val="24"/>
                <w:highlight w:val="none"/>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ind w:left="0"/>
              <w:jc w:val="center"/>
              <w:rPr>
                <w:rFonts w:hint="eastAsia" w:ascii="仿宋_GB2312" w:hAnsi="仿宋_GB2312" w:eastAsia="仿宋_GB2312" w:cs="仿宋_GB2312"/>
                <w:i w:val="0"/>
                <w:iCs w:val="0"/>
                <w:color w:val="auto"/>
                <w:sz w:val="24"/>
                <w:szCs w:val="24"/>
                <w:highlight w:val="none"/>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ind w:left="0"/>
              <w:jc w:val="center"/>
              <w:rPr>
                <w:rFonts w:hint="eastAsia" w:ascii="仿宋_GB2312" w:hAnsi="仿宋_GB2312" w:eastAsia="仿宋_GB2312" w:cs="仿宋_GB2312"/>
                <w:i w:val="0"/>
                <w:iCs w:val="0"/>
                <w:color w:val="auto"/>
                <w:sz w:val="24"/>
                <w:szCs w:val="24"/>
                <w:highlight w:val="none"/>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实践教学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4"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ind w:left="0"/>
              <w:jc w:val="center"/>
              <w:rPr>
                <w:rFonts w:hint="eastAsia" w:ascii="仿宋_GB2312" w:hAnsi="仿宋_GB2312" w:eastAsia="仿宋_GB2312" w:cs="仿宋_GB2312"/>
                <w:i w:val="0"/>
                <w:iCs w:val="0"/>
                <w:color w:val="auto"/>
                <w:sz w:val="24"/>
                <w:szCs w:val="24"/>
                <w:highlight w:val="none"/>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ind w:left="0"/>
              <w:jc w:val="center"/>
              <w:rPr>
                <w:rFonts w:hint="eastAsia" w:ascii="仿宋_GB2312" w:hAnsi="仿宋_GB2312" w:eastAsia="仿宋_GB2312" w:cs="仿宋_GB2312"/>
                <w:i w:val="0"/>
                <w:iCs w:val="0"/>
                <w:color w:val="auto"/>
                <w:sz w:val="24"/>
                <w:szCs w:val="24"/>
                <w:highlight w:val="none"/>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ind w:left="0"/>
              <w:jc w:val="center"/>
              <w:rPr>
                <w:rFonts w:hint="eastAsia" w:ascii="仿宋_GB2312" w:hAnsi="仿宋_GB2312" w:eastAsia="仿宋_GB2312" w:cs="仿宋_GB2312"/>
                <w:i w:val="0"/>
                <w:iCs w:val="0"/>
                <w:color w:val="auto"/>
                <w:sz w:val="24"/>
                <w:szCs w:val="24"/>
                <w:highlight w:val="none"/>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ind w:left="0"/>
              <w:jc w:val="center"/>
              <w:rPr>
                <w:rFonts w:hint="eastAsia" w:ascii="仿宋_GB2312" w:hAnsi="仿宋_GB2312" w:eastAsia="仿宋_GB2312" w:cs="仿宋_GB2312"/>
                <w:i w:val="0"/>
                <w:iCs w:val="0"/>
                <w:color w:val="auto"/>
                <w:sz w:val="24"/>
                <w:szCs w:val="24"/>
                <w:highlight w:val="none"/>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ind w:left="0"/>
              <w:jc w:val="center"/>
              <w:rPr>
                <w:rFonts w:hint="eastAsia" w:ascii="仿宋_GB2312" w:hAnsi="仿宋_GB2312" w:eastAsia="仿宋_GB2312" w:cs="仿宋_GB2312"/>
                <w:i w:val="0"/>
                <w:iCs w:val="0"/>
                <w:color w:val="auto"/>
                <w:sz w:val="24"/>
                <w:szCs w:val="24"/>
                <w:highlight w:val="none"/>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占专业总学时比例（%）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27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公共基础课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宋体" w:eastAsia="仿宋_GB2312" w:cs="仿宋_GB2312"/>
                <w:i w:val="0"/>
                <w:color w:val="auto"/>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28.39%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15.48%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13.19%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选修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宋体" w:eastAsia="仿宋_GB2312" w:cs="仿宋_GB2312"/>
                <w:i w:val="0"/>
                <w:color w:val="auto"/>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5.16%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宋体" w:eastAsia="仿宋_GB2312" w:cs="仿宋_GB2312"/>
                <w:i w:val="0"/>
                <w:color w:val="auto"/>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2.78%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宋体" w:eastAsia="仿宋_GB2312" w:cs="仿宋_GB2312"/>
                <w:i w:val="0"/>
                <w:color w:val="auto"/>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1.67%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小计</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宋体" w:eastAsia="仿宋_GB2312" w:cs="仿宋_GB2312"/>
                <w:i w:val="0"/>
                <w:color w:val="auto"/>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33.55%</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宋体" w:eastAsia="仿宋_GB2312" w:cs="仿宋_GB2312"/>
                <w:i w:val="0"/>
                <w:color w:val="auto"/>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18.25%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宋体" w:eastAsia="仿宋_GB2312" w:cs="仿宋_GB2312"/>
                <w:i w:val="0"/>
                <w:color w:val="auto"/>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14.85%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2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专业课</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专业基础课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36</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23.23%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648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396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13.74%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252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8.74%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专业核心课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20.65%</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576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352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12.21%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224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7.77%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专业拓展课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选修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23</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14.84%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512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0.69%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492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17.07%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auto"/>
                <w:kern w:val="0"/>
                <w:sz w:val="24"/>
                <w:szCs w:val="24"/>
                <w:highlight w:val="none"/>
                <w:u w:val="none"/>
                <w:lang w:val="en-US" w:eastAsia="zh-CN" w:bidi="ar"/>
              </w:rPr>
            </w:pPr>
          </w:p>
        </w:tc>
        <w:tc>
          <w:tcPr>
            <w:tcW w:w="173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实践教学环节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ind w:left="0"/>
              <w:jc w:val="center"/>
              <w:textAlignment w:val="center"/>
              <w:rPr>
                <w:rFonts w:hint="eastAsia" w:ascii="仿宋_GB2312" w:hAnsi="仿宋_GB2312" w:eastAsia="仿宋_GB2312" w:cs="仿宋_GB2312"/>
                <w:i w:val="0"/>
                <w:color w:val="auto"/>
                <w:kern w:val="0"/>
                <w:sz w:val="24"/>
                <w:szCs w:val="24"/>
                <w:highlight w:val="none"/>
                <w:u w:val="none"/>
                <w:lang w:val="en-US" w:eastAsia="zh-CN" w:bidi="ar"/>
              </w:rPr>
            </w:pPr>
            <w:r>
              <w:rPr>
                <w:rFonts w:hint="eastAsia" w:ascii="仿宋_GB2312" w:hAnsi="仿宋_GB2312" w:eastAsia="仿宋_GB2312" w:cs="仿宋_GB2312"/>
                <w:i w:val="0"/>
                <w:color w:val="auto"/>
                <w:kern w:val="0"/>
                <w:sz w:val="24"/>
                <w:szCs w:val="24"/>
                <w:highlight w:val="none"/>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12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7.74%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192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64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2.22%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128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21"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auto"/>
                <w:kern w:val="0"/>
                <w:sz w:val="24"/>
                <w:szCs w:val="24"/>
                <w:highlight w:val="none"/>
                <w:u w:val="none"/>
                <w:lang w:val="en-US" w:eastAsia="zh-CN" w:bidi="ar"/>
              </w:rPr>
            </w:pPr>
          </w:p>
        </w:tc>
        <w:tc>
          <w:tcPr>
            <w:tcW w:w="2631"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ind w:left="0"/>
              <w:jc w:val="center"/>
              <w:textAlignment w:val="center"/>
              <w:rPr>
                <w:rFonts w:hint="eastAsia" w:ascii="仿宋_GB2312" w:hAnsi="仿宋_GB2312" w:eastAsia="仿宋_GB2312" w:cs="仿宋_GB2312"/>
                <w:i w:val="0"/>
                <w:color w:val="auto"/>
                <w:kern w:val="0"/>
                <w:sz w:val="24"/>
                <w:szCs w:val="24"/>
                <w:highlight w:val="none"/>
                <w:u w:val="none"/>
                <w:lang w:val="en-US" w:eastAsia="zh-CN" w:bidi="ar"/>
              </w:rPr>
            </w:pPr>
            <w:r>
              <w:rPr>
                <w:rFonts w:hint="eastAsia" w:ascii="仿宋_GB2312" w:hAnsi="仿宋_GB2312" w:eastAsia="仿宋_GB2312" w:cs="仿宋_GB2312"/>
                <w:i w:val="0"/>
                <w:color w:val="auto"/>
                <w:kern w:val="0"/>
                <w:sz w:val="24"/>
                <w:szCs w:val="24"/>
                <w:highlight w:val="none"/>
                <w:u w:val="none"/>
                <w:lang w:val="en-US" w:eastAsia="zh-CN" w:bidi="ar"/>
              </w:rPr>
              <w:t>小计</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103</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66.45%</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1928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832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28.87%</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1096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38.03%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6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合计</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155</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100%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2882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1358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47.12%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1524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宋体" w:hAnsi="宋体" w:eastAsia="宋体" w:cs="宋体"/>
                <w:i w:val="0"/>
                <w:color w:val="auto"/>
                <w:kern w:val="0"/>
                <w:sz w:val="24"/>
                <w:szCs w:val="24"/>
                <w:u w:val="none"/>
                <w:lang w:val="en-US" w:eastAsia="zh-CN" w:bidi="ar"/>
              </w:rPr>
              <w:t>52.88%</w:t>
            </w:r>
          </w:p>
        </w:tc>
      </w:tr>
    </w:tbl>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教学计划进程</w:t>
      </w:r>
    </w:p>
    <w:p>
      <w:pPr>
        <w:pStyle w:val="6"/>
        <w:keepNext w:val="0"/>
        <w:keepLines w:val="0"/>
        <w:pageBreakBefore w:val="0"/>
        <w:shd w:val="clear" w:color="auto" w:fill="FFFFFF"/>
        <w:kinsoku/>
        <w:wordWrap/>
        <w:topLinePunct w:val="0"/>
        <w:autoSpaceDE/>
        <w:autoSpaceDN/>
        <w:bidi w:val="0"/>
        <w:snapToGrid/>
        <w:spacing w:before="0" w:beforeAutospacing="0" w:after="0" w:afterAutospacing="0" w:line="520" w:lineRule="exact"/>
        <w:ind w:left="0"/>
        <w:jc w:val="center"/>
        <w:textAlignment w:val="auto"/>
        <w:rPr>
          <w:rFonts w:hint="eastAsia" w:ascii="仿宋_GB2312" w:hAnsi="仿宋_GB2312" w:eastAsia="仿宋_GB2312" w:cs="仿宋_GB2312"/>
          <w:color w:val="auto"/>
          <w:sz w:val="32"/>
          <w:szCs w:val="32"/>
          <w:highlight w:val="none"/>
          <w:shd w:val="clear" w:color="auto" w:fill="FFFFFF"/>
          <w:lang w:bidi="ar"/>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shd w:val="clear" w:color="auto" w:fill="FFFFFF"/>
          <w:lang w:bidi="ar"/>
        </w:rPr>
        <w:t>教学计划进程安排表</w:t>
      </w:r>
    </w:p>
    <w:tbl>
      <w:tblPr>
        <w:tblStyle w:val="7"/>
        <w:tblW w:w="10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
        <w:gridCol w:w="412"/>
        <w:gridCol w:w="415"/>
        <w:gridCol w:w="475"/>
        <w:gridCol w:w="900"/>
        <w:gridCol w:w="350"/>
        <w:gridCol w:w="1775"/>
        <w:gridCol w:w="782"/>
        <w:gridCol w:w="720"/>
        <w:gridCol w:w="750"/>
        <w:gridCol w:w="780"/>
        <w:gridCol w:w="315"/>
        <w:gridCol w:w="375"/>
        <w:gridCol w:w="330"/>
        <w:gridCol w:w="390"/>
        <w:gridCol w:w="420"/>
        <w:gridCol w:w="324"/>
        <w:gridCol w:w="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49" w:type="dxa"/>
            <w:vMerge w:val="restart"/>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课程类别</w:t>
            </w:r>
          </w:p>
        </w:tc>
        <w:tc>
          <w:tcPr>
            <w:tcW w:w="412" w:type="dxa"/>
            <w:vMerge w:val="restart"/>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课程性质</w:t>
            </w:r>
          </w:p>
        </w:tc>
        <w:tc>
          <w:tcPr>
            <w:tcW w:w="415" w:type="dxa"/>
            <w:vMerge w:val="restart"/>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序号</w:t>
            </w:r>
          </w:p>
        </w:tc>
        <w:tc>
          <w:tcPr>
            <w:tcW w:w="1375" w:type="dxa"/>
            <w:gridSpan w:val="2"/>
            <w:vMerge w:val="restart"/>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课程代码</w:t>
            </w:r>
          </w:p>
        </w:tc>
        <w:tc>
          <w:tcPr>
            <w:tcW w:w="2125" w:type="dxa"/>
            <w:gridSpan w:val="2"/>
            <w:vMerge w:val="restart"/>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课程名称</w:t>
            </w:r>
          </w:p>
        </w:tc>
        <w:tc>
          <w:tcPr>
            <w:tcW w:w="782" w:type="dxa"/>
            <w:vMerge w:val="restart"/>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学分</w:t>
            </w:r>
          </w:p>
        </w:tc>
        <w:tc>
          <w:tcPr>
            <w:tcW w:w="2250" w:type="dxa"/>
            <w:gridSpan w:val="3"/>
            <w:vMerge w:val="restart"/>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教学学时数</w:t>
            </w:r>
          </w:p>
        </w:tc>
        <w:tc>
          <w:tcPr>
            <w:tcW w:w="2154" w:type="dxa"/>
            <w:gridSpan w:val="6"/>
            <w:vMerge w:val="restart"/>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开课学期和周学时</w:t>
            </w:r>
          </w:p>
        </w:tc>
        <w:tc>
          <w:tcPr>
            <w:tcW w:w="577" w:type="dxa"/>
            <w:vMerge w:val="restart"/>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考核类型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49" w:type="dxa"/>
            <w:vMerge w:val="continue"/>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p>
        </w:tc>
        <w:tc>
          <w:tcPr>
            <w:tcW w:w="1375" w:type="dxa"/>
            <w:gridSpan w:val="2"/>
            <w:vMerge w:val="continue"/>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p>
        </w:tc>
        <w:tc>
          <w:tcPr>
            <w:tcW w:w="2125" w:type="dxa"/>
            <w:gridSpan w:val="2"/>
            <w:vMerge w:val="continue"/>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p>
        </w:tc>
        <w:tc>
          <w:tcPr>
            <w:tcW w:w="782" w:type="dxa"/>
            <w:vMerge w:val="continue"/>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p>
        </w:tc>
        <w:tc>
          <w:tcPr>
            <w:tcW w:w="2250" w:type="dxa"/>
            <w:gridSpan w:val="3"/>
            <w:vMerge w:val="continue"/>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p>
        </w:tc>
        <w:tc>
          <w:tcPr>
            <w:tcW w:w="2154" w:type="dxa"/>
            <w:gridSpan w:val="6"/>
            <w:vMerge w:val="continue"/>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p>
        </w:tc>
        <w:tc>
          <w:tcPr>
            <w:tcW w:w="577" w:type="dxa"/>
            <w:vMerge w:val="continue"/>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549" w:type="dxa"/>
            <w:vMerge w:val="continue"/>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p>
        </w:tc>
        <w:tc>
          <w:tcPr>
            <w:tcW w:w="1375" w:type="dxa"/>
            <w:gridSpan w:val="2"/>
            <w:vMerge w:val="continue"/>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p>
        </w:tc>
        <w:tc>
          <w:tcPr>
            <w:tcW w:w="2125" w:type="dxa"/>
            <w:gridSpan w:val="2"/>
            <w:vMerge w:val="continue"/>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p>
        </w:tc>
        <w:tc>
          <w:tcPr>
            <w:tcW w:w="782" w:type="dxa"/>
            <w:vMerge w:val="continue"/>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p>
        </w:tc>
        <w:tc>
          <w:tcPr>
            <w:tcW w:w="720" w:type="dxa"/>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合计</w:t>
            </w:r>
          </w:p>
        </w:tc>
        <w:tc>
          <w:tcPr>
            <w:tcW w:w="750" w:type="dxa"/>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理论学时</w:t>
            </w:r>
          </w:p>
        </w:tc>
        <w:tc>
          <w:tcPr>
            <w:tcW w:w="780" w:type="dxa"/>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实践学时</w:t>
            </w:r>
          </w:p>
        </w:tc>
        <w:tc>
          <w:tcPr>
            <w:tcW w:w="315" w:type="dxa"/>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一</w:t>
            </w:r>
          </w:p>
        </w:tc>
        <w:tc>
          <w:tcPr>
            <w:tcW w:w="375" w:type="dxa"/>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二</w:t>
            </w:r>
          </w:p>
        </w:tc>
        <w:tc>
          <w:tcPr>
            <w:tcW w:w="330" w:type="dxa"/>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三</w:t>
            </w:r>
          </w:p>
        </w:tc>
        <w:tc>
          <w:tcPr>
            <w:tcW w:w="390" w:type="dxa"/>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四</w:t>
            </w:r>
          </w:p>
        </w:tc>
        <w:tc>
          <w:tcPr>
            <w:tcW w:w="420" w:type="dxa"/>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五</w:t>
            </w:r>
          </w:p>
        </w:tc>
        <w:tc>
          <w:tcPr>
            <w:tcW w:w="324" w:type="dxa"/>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六</w:t>
            </w:r>
          </w:p>
        </w:tc>
        <w:tc>
          <w:tcPr>
            <w:tcW w:w="577" w:type="dxa"/>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549" w:type="dxa"/>
            <w:vMerge w:val="restart"/>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公共基础课</w:t>
            </w:r>
          </w:p>
        </w:tc>
        <w:tc>
          <w:tcPr>
            <w:tcW w:w="412" w:type="dxa"/>
            <w:vMerge w:val="restart"/>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必修</w:t>
            </w: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1</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1B410101101</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思想道德与法治</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48</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36</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12</w:t>
            </w:r>
          </w:p>
        </w:tc>
        <w:tc>
          <w:tcPr>
            <w:tcW w:w="3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3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1A410101102</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形势与政策</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1</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0</w:t>
            </w:r>
          </w:p>
        </w:tc>
        <w:tc>
          <w:tcPr>
            <w:tcW w:w="2154" w:type="dxa"/>
            <w:gridSpan w:val="6"/>
            <w:shd w:val="clear" w:color="auto" w:fill="auto"/>
            <w:vAlign w:val="center"/>
          </w:tcPr>
          <w:p>
            <w:pPr>
              <w:keepLines/>
              <w:overflowPunct w:val="0"/>
              <w:adjustRightInd w:val="0"/>
              <w:spacing w:after="0" w:line="220" w:lineRule="exact"/>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1到4学期开课，每学期8学时。</w:t>
            </w: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1A410101103</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国家安全教育</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1</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16</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16</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0</w:t>
            </w:r>
          </w:p>
        </w:tc>
        <w:tc>
          <w:tcPr>
            <w:tcW w:w="315" w:type="dxa"/>
            <w:shd w:val="clear" w:color="auto" w:fill="auto"/>
            <w:vAlign w:val="center"/>
          </w:tcPr>
          <w:p>
            <w:pPr>
              <w:keepLines/>
              <w:overflowPunct w:val="0"/>
              <w:adjustRightInd w:val="0"/>
              <w:spacing w:after="0" w:line="192"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w:t>
            </w:r>
          </w:p>
        </w:tc>
        <w:tc>
          <w:tcPr>
            <w:tcW w:w="375" w:type="dxa"/>
            <w:shd w:val="clear" w:color="auto" w:fill="auto"/>
            <w:vAlign w:val="center"/>
          </w:tcPr>
          <w:p>
            <w:pPr>
              <w:keepLines/>
              <w:overflowPunct w:val="0"/>
              <w:adjustRightInd w:val="0"/>
              <w:spacing w:after="0" w:line="192"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vAlign w:val="center"/>
          </w:tcPr>
          <w:p>
            <w:pPr>
              <w:keepLines/>
              <w:overflowPunct w:val="0"/>
              <w:adjustRightInd w:val="0"/>
              <w:spacing w:after="0" w:line="192"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vAlign w:val="center"/>
          </w:tcPr>
          <w:p>
            <w:pPr>
              <w:keepLines/>
              <w:overflowPunct w:val="0"/>
              <w:adjustRightInd w:val="0"/>
              <w:spacing w:after="0" w:line="192"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vAlign w:val="center"/>
          </w:tcPr>
          <w:p>
            <w:pPr>
              <w:keepLines/>
              <w:overflowPunct w:val="0"/>
              <w:adjustRightInd w:val="0"/>
              <w:spacing w:after="0" w:line="192"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vAlign w:val="center"/>
          </w:tcPr>
          <w:p>
            <w:pPr>
              <w:keepLines/>
              <w:overflowPunct w:val="0"/>
              <w:adjustRightInd w:val="0"/>
              <w:spacing w:after="0" w:line="192"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1A410101104</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军事理论</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2</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36</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36</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0</w:t>
            </w:r>
          </w:p>
        </w:tc>
        <w:tc>
          <w:tcPr>
            <w:tcW w:w="315" w:type="dxa"/>
            <w:shd w:val="clear" w:color="auto" w:fill="auto"/>
            <w:vAlign w:val="center"/>
          </w:tcPr>
          <w:p>
            <w:pPr>
              <w:keepLines/>
              <w:overflowPunct w:val="0"/>
              <w:adjustRightInd w:val="0"/>
              <w:spacing w:after="0" w:line="192"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w:t>
            </w:r>
          </w:p>
        </w:tc>
        <w:tc>
          <w:tcPr>
            <w:tcW w:w="375" w:type="dxa"/>
            <w:shd w:val="clear" w:color="auto" w:fill="auto"/>
            <w:vAlign w:val="center"/>
          </w:tcPr>
          <w:p>
            <w:pPr>
              <w:keepLines/>
              <w:overflowPunct w:val="0"/>
              <w:adjustRightInd w:val="0"/>
              <w:spacing w:after="0" w:line="192"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vAlign w:val="center"/>
          </w:tcPr>
          <w:p>
            <w:pPr>
              <w:keepLines/>
              <w:overflowPunct w:val="0"/>
              <w:adjustRightInd w:val="0"/>
              <w:spacing w:after="0" w:line="192"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vAlign w:val="center"/>
          </w:tcPr>
          <w:p>
            <w:pPr>
              <w:keepLines/>
              <w:overflowPunct w:val="0"/>
              <w:adjustRightInd w:val="0"/>
              <w:spacing w:after="0" w:line="192"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vAlign w:val="center"/>
          </w:tcPr>
          <w:p>
            <w:pPr>
              <w:keepLines/>
              <w:overflowPunct w:val="0"/>
              <w:adjustRightInd w:val="0"/>
              <w:spacing w:after="0" w:line="192"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vAlign w:val="center"/>
          </w:tcPr>
          <w:p>
            <w:pPr>
              <w:keepLines/>
              <w:overflowPunct w:val="0"/>
              <w:adjustRightInd w:val="0"/>
              <w:spacing w:after="0" w:line="192"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5</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1C410101105</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军训</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2</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112</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0</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112</w:t>
            </w:r>
          </w:p>
        </w:tc>
        <w:tc>
          <w:tcPr>
            <w:tcW w:w="2154" w:type="dxa"/>
            <w:gridSpan w:val="6"/>
            <w:shd w:val="clear" w:color="auto" w:fill="auto"/>
            <w:vAlign w:val="center"/>
          </w:tcPr>
          <w:p>
            <w:pPr>
              <w:keepLines/>
              <w:overflowPunct w:val="0"/>
              <w:adjustRightInd w:val="0"/>
              <w:spacing w:after="0" w:line="220" w:lineRule="exact"/>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第1学期，实际训练时间不少于14天</w:t>
            </w: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6</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1B410101106</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计算机基础</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4</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64</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3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3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7</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1B410101107</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高等数学</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4</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64</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64</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0</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w:t>
            </w: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w:t>
            </w: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8</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1B410101108</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大学英语</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8</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128</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104</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24</w:t>
            </w:r>
          </w:p>
        </w:tc>
        <w:tc>
          <w:tcPr>
            <w:tcW w:w="3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3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33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9</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1C410101109</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大学体育</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8</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144</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0</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144</w:t>
            </w:r>
          </w:p>
        </w:tc>
        <w:tc>
          <w:tcPr>
            <w:tcW w:w="3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w:t>
            </w:r>
          </w:p>
        </w:tc>
        <w:tc>
          <w:tcPr>
            <w:tcW w:w="3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w:t>
            </w:r>
          </w:p>
        </w:tc>
        <w:tc>
          <w:tcPr>
            <w:tcW w:w="33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w:t>
            </w: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w:t>
            </w:r>
          </w:p>
        </w:tc>
        <w:tc>
          <w:tcPr>
            <w:tcW w:w="42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sz w:val="22"/>
                <w:szCs w:val="22"/>
                <w:highlight w:val="none"/>
              </w:rPr>
              <w:t>10</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1B410101110</w:t>
            </w:r>
          </w:p>
        </w:tc>
        <w:tc>
          <w:tcPr>
            <w:tcW w:w="2125" w:type="dxa"/>
            <w:gridSpan w:val="2"/>
            <w:shd w:val="clear" w:color="auto" w:fill="auto"/>
            <w:vAlign w:val="center"/>
          </w:tcPr>
          <w:p>
            <w:pPr>
              <w:widowControl/>
              <w:spacing w:after="0" w:line="240" w:lineRule="exact"/>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大学生职业发展与就业指导</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2</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38</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26</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12</w:t>
            </w:r>
          </w:p>
        </w:tc>
        <w:tc>
          <w:tcPr>
            <w:tcW w:w="3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w:t>
            </w:r>
          </w:p>
        </w:tc>
        <w:tc>
          <w:tcPr>
            <w:tcW w:w="3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w:t>
            </w:r>
          </w:p>
        </w:tc>
        <w:tc>
          <w:tcPr>
            <w:tcW w:w="39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sz w:val="22"/>
                <w:szCs w:val="22"/>
                <w:highlight w:val="none"/>
              </w:rPr>
              <w:t>11</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1B410101111</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大学生心理健康教育</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2</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20</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12</w:t>
            </w:r>
          </w:p>
        </w:tc>
        <w:tc>
          <w:tcPr>
            <w:tcW w:w="3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w:t>
            </w:r>
          </w:p>
        </w:tc>
        <w:tc>
          <w:tcPr>
            <w:tcW w:w="33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sz w:val="22"/>
                <w:szCs w:val="22"/>
                <w:highlight w:val="none"/>
              </w:rPr>
              <w:t>12</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1C410101112</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劳动教育</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1</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16</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0</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16</w:t>
            </w:r>
          </w:p>
        </w:tc>
        <w:tc>
          <w:tcPr>
            <w:tcW w:w="3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w:t>
            </w:r>
          </w:p>
        </w:tc>
        <w:tc>
          <w:tcPr>
            <w:tcW w:w="3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sz w:val="22"/>
                <w:szCs w:val="22"/>
                <w:highlight w:val="none"/>
              </w:rPr>
              <w:t>13</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1B410101113</w:t>
            </w:r>
          </w:p>
        </w:tc>
        <w:tc>
          <w:tcPr>
            <w:tcW w:w="2125" w:type="dxa"/>
            <w:gridSpan w:val="2"/>
            <w:shd w:val="clear" w:color="auto" w:fill="auto"/>
            <w:vAlign w:val="center"/>
          </w:tcPr>
          <w:p>
            <w:pPr>
              <w:widowControl/>
              <w:spacing w:after="0" w:line="240" w:lineRule="exact"/>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毛泽东思想和中国特色社会主义理论体系概论</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2</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28</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4</w:t>
            </w:r>
          </w:p>
        </w:tc>
        <w:tc>
          <w:tcPr>
            <w:tcW w:w="3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w:t>
            </w:r>
          </w:p>
        </w:tc>
        <w:tc>
          <w:tcPr>
            <w:tcW w:w="39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sz w:val="22"/>
                <w:szCs w:val="22"/>
                <w:highlight w:val="none"/>
              </w:rPr>
              <w:t>14</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1B410101114</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创新创业教育</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1</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16</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12</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4</w:t>
            </w:r>
          </w:p>
        </w:tc>
        <w:tc>
          <w:tcPr>
            <w:tcW w:w="3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w:t>
            </w:r>
          </w:p>
        </w:tc>
        <w:tc>
          <w:tcPr>
            <w:tcW w:w="3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sz w:val="22"/>
                <w:szCs w:val="22"/>
                <w:highlight w:val="none"/>
              </w:rPr>
              <w:t>15</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1B410101115</w:t>
            </w:r>
          </w:p>
        </w:tc>
        <w:tc>
          <w:tcPr>
            <w:tcW w:w="2125" w:type="dxa"/>
            <w:gridSpan w:val="2"/>
            <w:shd w:val="clear" w:color="auto" w:fill="auto"/>
            <w:vAlign w:val="center"/>
          </w:tcPr>
          <w:p>
            <w:pPr>
              <w:widowControl/>
              <w:spacing w:after="0" w:line="240" w:lineRule="exact"/>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习近平新时代中国特色社会主义思想概论</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w:t>
            </w:r>
          </w:p>
        </w:tc>
        <w:tc>
          <w:tcPr>
            <w:tcW w:w="720" w:type="dxa"/>
            <w:shd w:val="clear" w:color="auto" w:fill="auto"/>
            <w:vAlign w:val="center"/>
          </w:tcPr>
          <w:p>
            <w:pPr>
              <w:widowControl/>
              <w:spacing w:after="0" w:line="240" w:lineRule="auto"/>
              <w:jc w:val="center"/>
              <w:textAlignment w:val="center"/>
              <w:rPr>
                <w:rFonts w:hint="default" w:ascii="仿宋_GB2312" w:hAnsi="仿宋_GB2312" w:eastAsia="仿宋_GB2312" w:cs="仿宋_GB2312"/>
                <w:color w:val="auto"/>
                <w:w w:val="90"/>
                <w:sz w:val="24"/>
                <w:szCs w:val="24"/>
                <w:highlight w:val="none"/>
                <w:lang w:val="en-US" w:eastAsia="zh-CN"/>
              </w:rPr>
            </w:pPr>
            <w:r>
              <w:rPr>
                <w:rFonts w:hint="eastAsia" w:ascii="仿宋_GB2312" w:hAnsi="仿宋_GB2312" w:eastAsia="仿宋_GB2312" w:cs="仿宋_GB2312"/>
                <w:color w:val="auto"/>
                <w:w w:val="90"/>
                <w:kern w:val="0"/>
                <w:sz w:val="24"/>
                <w:szCs w:val="24"/>
                <w:highlight w:val="none"/>
                <w:lang w:val="en-US" w:eastAsia="zh-CN" w:bidi="ar"/>
              </w:rPr>
              <w:t>48</w:t>
            </w:r>
          </w:p>
        </w:tc>
        <w:tc>
          <w:tcPr>
            <w:tcW w:w="750" w:type="dxa"/>
            <w:shd w:val="clear" w:color="auto" w:fill="auto"/>
            <w:vAlign w:val="center"/>
          </w:tcPr>
          <w:p>
            <w:pPr>
              <w:widowControl/>
              <w:spacing w:after="0" w:line="240" w:lineRule="auto"/>
              <w:jc w:val="center"/>
              <w:textAlignment w:val="center"/>
              <w:rPr>
                <w:rFonts w:hint="default" w:ascii="仿宋_GB2312" w:hAnsi="仿宋_GB2312" w:eastAsia="仿宋_GB2312" w:cs="仿宋_GB2312"/>
                <w:color w:val="auto"/>
                <w:w w:val="90"/>
                <w:sz w:val="24"/>
                <w:szCs w:val="24"/>
                <w:highlight w:val="none"/>
                <w:lang w:val="en-US" w:eastAsia="zh-CN"/>
              </w:rPr>
            </w:pPr>
            <w:r>
              <w:rPr>
                <w:rFonts w:hint="eastAsia" w:ascii="仿宋_GB2312" w:hAnsi="仿宋_GB2312" w:eastAsia="仿宋_GB2312" w:cs="仿宋_GB2312"/>
                <w:color w:val="auto"/>
                <w:w w:val="90"/>
                <w:kern w:val="0"/>
                <w:sz w:val="24"/>
                <w:szCs w:val="24"/>
                <w:highlight w:val="none"/>
                <w:lang w:val="en-US" w:eastAsia="zh-CN" w:bidi="ar"/>
              </w:rPr>
              <w:t>40</w:t>
            </w:r>
          </w:p>
        </w:tc>
        <w:tc>
          <w:tcPr>
            <w:tcW w:w="780" w:type="dxa"/>
            <w:shd w:val="clear" w:color="auto" w:fill="auto"/>
            <w:vAlign w:val="center"/>
          </w:tcPr>
          <w:p>
            <w:pPr>
              <w:widowControl/>
              <w:spacing w:after="0" w:line="240" w:lineRule="auto"/>
              <w:jc w:val="center"/>
              <w:textAlignment w:val="center"/>
              <w:rPr>
                <w:rFonts w:hint="default" w:ascii="仿宋_GB2312" w:hAnsi="仿宋_GB2312" w:eastAsia="仿宋_GB2312" w:cs="仿宋_GB2312"/>
                <w:color w:val="auto"/>
                <w:w w:val="90"/>
                <w:sz w:val="24"/>
                <w:szCs w:val="24"/>
                <w:highlight w:val="none"/>
                <w:lang w:val="en-US" w:eastAsia="zh-CN"/>
              </w:rPr>
            </w:pPr>
            <w:r>
              <w:rPr>
                <w:rFonts w:hint="eastAsia" w:ascii="仿宋_GB2312" w:hAnsi="仿宋_GB2312" w:eastAsia="仿宋_GB2312" w:cs="仿宋_GB2312"/>
                <w:color w:val="auto"/>
                <w:w w:val="90"/>
                <w:kern w:val="0"/>
                <w:sz w:val="24"/>
                <w:szCs w:val="24"/>
                <w:highlight w:val="none"/>
                <w:lang w:val="en-US" w:eastAsia="zh-CN" w:bidi="ar"/>
              </w:rPr>
              <w:t xml:space="preserve"> 8</w:t>
            </w:r>
          </w:p>
        </w:tc>
        <w:tc>
          <w:tcPr>
            <w:tcW w:w="3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42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restart"/>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选修</w:t>
            </w: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1</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1B410101201</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中国民俗剪纸技法</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2</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8</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24</w:t>
            </w:r>
          </w:p>
        </w:tc>
        <w:tc>
          <w:tcPr>
            <w:tcW w:w="2154" w:type="dxa"/>
            <w:gridSpan w:val="6"/>
            <w:vMerge w:val="restart"/>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公共选修课最低学分要求为8学分，其中要求2个学分为思政选修课学分。</w:t>
            </w: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1B410101202</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影视与鉴赏</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2</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8</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24</w:t>
            </w:r>
          </w:p>
        </w:tc>
        <w:tc>
          <w:tcPr>
            <w:tcW w:w="2154" w:type="dxa"/>
            <w:gridSpan w:val="6"/>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1B410101203</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中华优秀传统文化</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2</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0</w:t>
            </w:r>
          </w:p>
        </w:tc>
        <w:tc>
          <w:tcPr>
            <w:tcW w:w="2154" w:type="dxa"/>
            <w:gridSpan w:val="6"/>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1B410101204</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中国共产党简史</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2</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0</w:t>
            </w:r>
          </w:p>
        </w:tc>
        <w:tc>
          <w:tcPr>
            <w:tcW w:w="2154" w:type="dxa"/>
            <w:gridSpan w:val="6"/>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5</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1B410101205</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改革开放简史</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2</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0</w:t>
            </w:r>
          </w:p>
        </w:tc>
        <w:tc>
          <w:tcPr>
            <w:tcW w:w="2154" w:type="dxa"/>
            <w:gridSpan w:val="6"/>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6</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1B410101206</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中华人民共和国简史</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2</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0</w:t>
            </w:r>
          </w:p>
        </w:tc>
        <w:tc>
          <w:tcPr>
            <w:tcW w:w="2154" w:type="dxa"/>
            <w:gridSpan w:val="6"/>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7</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1B410101207</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社会主义发展简史</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2</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0</w:t>
            </w:r>
          </w:p>
        </w:tc>
        <w:tc>
          <w:tcPr>
            <w:tcW w:w="2154" w:type="dxa"/>
            <w:gridSpan w:val="6"/>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8</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1B410101208</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中华民族共同体概论</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2</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0</w:t>
            </w:r>
          </w:p>
        </w:tc>
        <w:tc>
          <w:tcPr>
            <w:tcW w:w="2154" w:type="dxa"/>
            <w:gridSpan w:val="6"/>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9</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1B410101210</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语文</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2</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0</w:t>
            </w:r>
          </w:p>
        </w:tc>
        <w:tc>
          <w:tcPr>
            <w:tcW w:w="2154" w:type="dxa"/>
            <w:gridSpan w:val="6"/>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sz w:val="22"/>
                <w:szCs w:val="22"/>
                <w:highlight w:val="none"/>
              </w:rPr>
              <w:t>10</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2"/>
                <w:szCs w:val="22"/>
                <w:highlight w:val="none"/>
              </w:rPr>
            </w:pPr>
            <w:r>
              <w:rPr>
                <w:rFonts w:hint="eastAsia" w:ascii="仿宋_GB2312" w:hAnsi="仿宋_GB2312" w:eastAsia="仿宋_GB2312" w:cs="仿宋_GB2312"/>
                <w:color w:val="auto"/>
                <w:w w:val="90"/>
                <w:kern w:val="0"/>
                <w:sz w:val="22"/>
                <w:szCs w:val="22"/>
                <w:highlight w:val="none"/>
                <w:lang w:bidi="ar"/>
              </w:rPr>
              <w:t>1B410101211</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物理</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2</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32</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kern w:val="0"/>
                <w:sz w:val="24"/>
                <w:szCs w:val="24"/>
                <w:highlight w:val="none"/>
                <w:lang w:bidi="ar"/>
              </w:rPr>
              <w:t>0</w:t>
            </w:r>
          </w:p>
        </w:tc>
        <w:tc>
          <w:tcPr>
            <w:tcW w:w="2154" w:type="dxa"/>
            <w:gridSpan w:val="6"/>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kern w:val="2"/>
                <w:sz w:val="22"/>
                <w:szCs w:val="22"/>
                <w:highlight w:val="none"/>
                <w:lang w:val="en-US" w:eastAsia="zh-CN" w:bidi="ar-SA"/>
              </w:rPr>
            </w:pPr>
            <w:r>
              <w:rPr>
                <w:rFonts w:hint="eastAsia" w:ascii="仿宋_GB2312" w:hAnsi="仿宋_GB2312" w:eastAsia="仿宋_GB2312" w:cs="仿宋_GB2312"/>
                <w:color w:val="auto"/>
                <w:w w:val="90"/>
                <w:sz w:val="22"/>
                <w:szCs w:val="22"/>
                <w:highlight w:val="none"/>
              </w:rPr>
              <w:t>11</w:t>
            </w:r>
          </w:p>
        </w:tc>
        <w:tc>
          <w:tcPr>
            <w:tcW w:w="137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kern w:val="2"/>
                <w:sz w:val="22"/>
                <w:szCs w:val="22"/>
                <w:highlight w:val="none"/>
                <w:lang w:val="en-US" w:eastAsia="zh-CN" w:bidi="ar-SA"/>
              </w:rPr>
            </w:pPr>
            <w:r>
              <w:rPr>
                <w:rFonts w:hint="eastAsia" w:ascii="仿宋_GB2312" w:hAnsi="仿宋_GB2312" w:eastAsia="仿宋_GB2312" w:cs="仿宋_GB2312"/>
                <w:color w:val="auto"/>
                <w:w w:val="90"/>
                <w:kern w:val="0"/>
                <w:sz w:val="22"/>
                <w:szCs w:val="22"/>
                <w:highlight w:val="none"/>
                <w:lang w:bidi="ar"/>
              </w:rPr>
              <w:t>1B410101212</w:t>
            </w:r>
          </w:p>
        </w:tc>
        <w:tc>
          <w:tcPr>
            <w:tcW w:w="2125"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kern w:val="2"/>
                <w:sz w:val="24"/>
                <w:szCs w:val="24"/>
                <w:highlight w:val="none"/>
                <w:lang w:val="en-US" w:eastAsia="zh-CN" w:bidi="ar-SA"/>
              </w:rPr>
            </w:pPr>
            <w:r>
              <w:rPr>
                <w:rFonts w:hint="eastAsia" w:ascii="仿宋_GB2312" w:hAnsi="仿宋_GB2312" w:eastAsia="仿宋_GB2312" w:cs="仿宋_GB2312"/>
                <w:color w:val="auto"/>
                <w:w w:val="90"/>
                <w:kern w:val="0"/>
                <w:sz w:val="24"/>
                <w:szCs w:val="24"/>
                <w:highlight w:val="none"/>
                <w:lang w:bidi="ar"/>
              </w:rPr>
              <w:t>化学</w:t>
            </w:r>
          </w:p>
        </w:tc>
        <w:tc>
          <w:tcPr>
            <w:tcW w:w="782"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kern w:val="2"/>
                <w:sz w:val="24"/>
                <w:szCs w:val="24"/>
                <w:highlight w:val="none"/>
                <w:lang w:val="en-US" w:eastAsia="zh-CN" w:bidi="ar-SA"/>
              </w:rPr>
            </w:pPr>
            <w:r>
              <w:rPr>
                <w:rFonts w:hint="eastAsia" w:ascii="仿宋_GB2312" w:hAnsi="仿宋_GB2312" w:eastAsia="仿宋_GB2312" w:cs="仿宋_GB2312"/>
                <w:color w:val="auto"/>
                <w:w w:val="90"/>
                <w:kern w:val="0"/>
                <w:sz w:val="24"/>
                <w:szCs w:val="24"/>
                <w:highlight w:val="none"/>
                <w:lang w:bidi="ar"/>
              </w:rPr>
              <w:t>2</w:t>
            </w:r>
          </w:p>
        </w:tc>
        <w:tc>
          <w:tcPr>
            <w:tcW w:w="72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kern w:val="2"/>
                <w:sz w:val="24"/>
                <w:szCs w:val="24"/>
                <w:highlight w:val="none"/>
                <w:lang w:val="en-US" w:eastAsia="zh-CN" w:bidi="ar-SA"/>
              </w:rPr>
            </w:pPr>
            <w:r>
              <w:rPr>
                <w:rFonts w:hint="eastAsia" w:ascii="仿宋_GB2312" w:hAnsi="仿宋_GB2312" w:eastAsia="仿宋_GB2312" w:cs="仿宋_GB2312"/>
                <w:color w:val="auto"/>
                <w:w w:val="90"/>
                <w:kern w:val="0"/>
                <w:sz w:val="24"/>
                <w:szCs w:val="24"/>
                <w:highlight w:val="none"/>
                <w:lang w:bidi="ar"/>
              </w:rPr>
              <w:t>32</w:t>
            </w:r>
          </w:p>
        </w:tc>
        <w:tc>
          <w:tcPr>
            <w:tcW w:w="75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kern w:val="2"/>
                <w:sz w:val="24"/>
                <w:szCs w:val="24"/>
                <w:highlight w:val="none"/>
                <w:lang w:val="en-US" w:eastAsia="zh-CN" w:bidi="ar-SA"/>
              </w:rPr>
            </w:pPr>
            <w:r>
              <w:rPr>
                <w:rFonts w:hint="eastAsia" w:ascii="仿宋_GB2312" w:hAnsi="仿宋_GB2312" w:eastAsia="仿宋_GB2312" w:cs="仿宋_GB2312"/>
                <w:color w:val="auto"/>
                <w:w w:val="90"/>
                <w:kern w:val="0"/>
                <w:sz w:val="24"/>
                <w:szCs w:val="24"/>
                <w:highlight w:val="none"/>
                <w:lang w:bidi="ar"/>
              </w:rPr>
              <w:t>32</w:t>
            </w:r>
          </w:p>
        </w:tc>
        <w:tc>
          <w:tcPr>
            <w:tcW w:w="78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90"/>
                <w:kern w:val="2"/>
                <w:sz w:val="24"/>
                <w:szCs w:val="24"/>
                <w:highlight w:val="none"/>
                <w:lang w:val="en-US" w:eastAsia="zh-CN" w:bidi="ar-SA"/>
              </w:rPr>
            </w:pPr>
            <w:r>
              <w:rPr>
                <w:rFonts w:hint="eastAsia" w:ascii="仿宋_GB2312" w:hAnsi="仿宋_GB2312" w:eastAsia="仿宋_GB2312" w:cs="仿宋_GB2312"/>
                <w:color w:val="auto"/>
                <w:w w:val="90"/>
                <w:kern w:val="0"/>
                <w:sz w:val="24"/>
                <w:szCs w:val="24"/>
                <w:highlight w:val="none"/>
                <w:lang w:bidi="ar"/>
              </w:rPr>
              <w:t>0</w:t>
            </w:r>
          </w:p>
        </w:tc>
        <w:tc>
          <w:tcPr>
            <w:tcW w:w="2154" w:type="dxa"/>
            <w:gridSpan w:val="6"/>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327" w:type="dxa"/>
            <w:gridSpan w:val="6"/>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公共必修课程学分、学时占比</w:t>
            </w:r>
          </w:p>
        </w:tc>
        <w:tc>
          <w:tcPr>
            <w:tcW w:w="7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90"/>
                <w:sz w:val="24"/>
                <w:szCs w:val="24"/>
                <w:highlight w:val="none"/>
              </w:rPr>
            </w:pPr>
            <w:r>
              <w:rPr>
                <w:rFonts w:hint="eastAsia" w:ascii="宋体" w:hAnsi="宋体" w:eastAsia="宋体" w:cs="宋体"/>
                <w:i w:val="0"/>
                <w:color w:val="FF0000"/>
                <w:kern w:val="0"/>
                <w:sz w:val="20"/>
                <w:szCs w:val="20"/>
                <w:u w:val="none"/>
                <w:lang w:val="en-US" w:eastAsia="zh-CN" w:bidi="ar"/>
              </w:rPr>
              <w:t>44</w:t>
            </w: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90"/>
                <w:sz w:val="24"/>
                <w:szCs w:val="24"/>
                <w:highlight w:val="none"/>
              </w:rPr>
            </w:pPr>
            <w:r>
              <w:rPr>
                <w:rFonts w:hint="eastAsia" w:ascii="宋体" w:hAnsi="宋体" w:eastAsia="宋体" w:cs="宋体"/>
                <w:i w:val="0"/>
                <w:color w:val="FF0000"/>
                <w:kern w:val="0"/>
                <w:sz w:val="20"/>
                <w:szCs w:val="20"/>
                <w:u w:val="none"/>
                <w:lang w:val="en-US" w:eastAsia="zh-CN" w:bidi="ar"/>
              </w:rPr>
              <w:t>826</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90"/>
                <w:sz w:val="24"/>
                <w:szCs w:val="24"/>
                <w:highlight w:val="none"/>
              </w:rPr>
            </w:pPr>
            <w:r>
              <w:rPr>
                <w:rFonts w:hint="eastAsia" w:ascii="宋体" w:hAnsi="宋体" w:eastAsia="宋体" w:cs="宋体"/>
                <w:i w:val="0"/>
                <w:color w:val="FF0000"/>
                <w:kern w:val="0"/>
                <w:sz w:val="20"/>
                <w:szCs w:val="20"/>
                <w:u w:val="none"/>
                <w:lang w:val="en-US" w:eastAsia="zh-CN" w:bidi="ar"/>
              </w:rPr>
              <w:t>446</w:t>
            </w:r>
          </w:p>
        </w:tc>
        <w:tc>
          <w:tcPr>
            <w:tcW w:w="78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90"/>
                <w:sz w:val="24"/>
                <w:szCs w:val="24"/>
                <w:highlight w:val="none"/>
              </w:rPr>
            </w:pPr>
            <w:r>
              <w:rPr>
                <w:rFonts w:hint="eastAsia" w:ascii="宋体" w:hAnsi="宋体" w:eastAsia="宋体" w:cs="宋体"/>
                <w:i w:val="0"/>
                <w:color w:val="FF0000"/>
                <w:kern w:val="0"/>
                <w:sz w:val="20"/>
                <w:szCs w:val="20"/>
                <w:u w:val="none"/>
                <w:lang w:val="en-US" w:eastAsia="zh-CN" w:bidi="ar"/>
              </w:rPr>
              <w:t>380</w:t>
            </w:r>
          </w:p>
        </w:tc>
        <w:tc>
          <w:tcPr>
            <w:tcW w:w="3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327" w:type="dxa"/>
            <w:gridSpan w:val="6"/>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公共必修课程学分、学时占比</w:t>
            </w:r>
          </w:p>
        </w:tc>
        <w:tc>
          <w:tcPr>
            <w:tcW w:w="7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80"/>
                <w:sz w:val="22"/>
                <w:szCs w:val="22"/>
                <w:highlight w:val="none"/>
              </w:rPr>
            </w:pPr>
            <w:r>
              <w:rPr>
                <w:rFonts w:hint="eastAsia" w:ascii="宋体" w:hAnsi="宋体" w:eastAsia="宋体" w:cs="宋体"/>
                <w:i w:val="0"/>
                <w:color w:val="000000"/>
                <w:kern w:val="0"/>
                <w:sz w:val="18"/>
                <w:szCs w:val="18"/>
                <w:u w:val="none"/>
                <w:lang w:val="en-US" w:eastAsia="zh-CN" w:bidi="ar"/>
              </w:rPr>
              <w:t>28.39%</w:t>
            </w: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90"/>
                <w:sz w:val="22"/>
                <w:szCs w:val="22"/>
                <w:highlight w:val="none"/>
              </w:rPr>
            </w:pPr>
            <w:r>
              <w:rPr>
                <w:rFonts w:hint="eastAsia" w:ascii="宋体" w:hAnsi="宋体" w:eastAsia="宋体" w:cs="宋体"/>
                <w:i w:val="0"/>
                <w:color w:val="000000"/>
                <w:w w:val="90"/>
                <w:kern w:val="0"/>
                <w:sz w:val="18"/>
                <w:szCs w:val="18"/>
                <w:u w:val="none"/>
                <w:lang w:val="en-US" w:eastAsia="zh-CN" w:bidi="ar"/>
              </w:rPr>
              <w:t>28.66%</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90"/>
                <w:sz w:val="22"/>
                <w:szCs w:val="22"/>
                <w:highlight w:val="none"/>
              </w:rPr>
            </w:pPr>
            <w:r>
              <w:rPr>
                <w:rFonts w:hint="eastAsia" w:ascii="宋体" w:hAnsi="宋体" w:eastAsia="宋体" w:cs="宋体"/>
                <w:i w:val="0"/>
                <w:color w:val="000000"/>
                <w:w w:val="90"/>
                <w:kern w:val="0"/>
                <w:sz w:val="18"/>
                <w:szCs w:val="18"/>
                <w:u w:val="none"/>
                <w:lang w:val="en-US" w:eastAsia="zh-CN" w:bidi="ar"/>
              </w:rPr>
              <w:t>15.48%</w:t>
            </w:r>
          </w:p>
        </w:tc>
        <w:tc>
          <w:tcPr>
            <w:tcW w:w="78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80"/>
                <w:sz w:val="22"/>
                <w:szCs w:val="22"/>
                <w:highlight w:val="none"/>
              </w:rPr>
            </w:pPr>
            <w:r>
              <w:rPr>
                <w:rFonts w:hint="eastAsia" w:ascii="宋体" w:hAnsi="宋体" w:eastAsia="宋体" w:cs="宋体"/>
                <w:i w:val="0"/>
                <w:color w:val="000000"/>
                <w:kern w:val="0"/>
                <w:sz w:val="18"/>
                <w:szCs w:val="18"/>
                <w:u w:val="none"/>
                <w:lang w:val="en-US" w:eastAsia="zh-CN" w:bidi="ar"/>
              </w:rPr>
              <w:t>13.19%</w:t>
            </w:r>
          </w:p>
        </w:tc>
        <w:tc>
          <w:tcPr>
            <w:tcW w:w="3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spacing w:val="-34"/>
                <w:w w:val="90"/>
                <w:sz w:val="24"/>
                <w:szCs w:val="24"/>
                <w:highlight w:val="none"/>
              </w:rPr>
            </w:pPr>
          </w:p>
        </w:tc>
        <w:tc>
          <w:tcPr>
            <w:tcW w:w="3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327" w:type="dxa"/>
            <w:gridSpan w:val="6"/>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公共选修课程学分、学时占比</w:t>
            </w:r>
          </w:p>
        </w:tc>
        <w:tc>
          <w:tcPr>
            <w:tcW w:w="7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90"/>
                <w:sz w:val="24"/>
                <w:szCs w:val="24"/>
                <w:highlight w:val="none"/>
              </w:rPr>
            </w:pPr>
            <w:r>
              <w:rPr>
                <w:rFonts w:hint="eastAsia" w:ascii="宋体" w:hAnsi="宋体" w:eastAsia="宋体" w:cs="宋体"/>
                <w:i w:val="0"/>
                <w:color w:val="000000"/>
                <w:kern w:val="0"/>
                <w:sz w:val="18"/>
                <w:szCs w:val="18"/>
                <w:u w:val="none"/>
                <w:lang w:val="en-US" w:eastAsia="zh-CN" w:bidi="ar"/>
              </w:rPr>
              <w:t>8</w:t>
            </w: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90"/>
                <w:sz w:val="24"/>
                <w:szCs w:val="24"/>
                <w:highlight w:val="none"/>
              </w:rPr>
            </w:pPr>
            <w:r>
              <w:rPr>
                <w:rFonts w:hint="eastAsia" w:ascii="宋体" w:hAnsi="宋体" w:eastAsia="宋体" w:cs="宋体"/>
                <w:i w:val="0"/>
                <w:color w:val="000000"/>
                <w:kern w:val="0"/>
                <w:sz w:val="18"/>
                <w:szCs w:val="18"/>
                <w:u w:val="none"/>
                <w:lang w:val="en-US" w:eastAsia="zh-CN" w:bidi="ar"/>
              </w:rPr>
              <w:t>128</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90"/>
                <w:sz w:val="24"/>
                <w:szCs w:val="24"/>
                <w:highlight w:val="none"/>
              </w:rPr>
            </w:pPr>
            <w:r>
              <w:rPr>
                <w:rFonts w:hint="eastAsia" w:ascii="宋体" w:hAnsi="宋体" w:eastAsia="宋体" w:cs="宋体"/>
                <w:i w:val="0"/>
                <w:color w:val="000000"/>
                <w:kern w:val="0"/>
                <w:sz w:val="18"/>
                <w:szCs w:val="18"/>
                <w:u w:val="none"/>
                <w:lang w:val="en-US" w:eastAsia="zh-CN" w:bidi="ar"/>
              </w:rPr>
              <w:t>80</w:t>
            </w:r>
          </w:p>
        </w:tc>
        <w:tc>
          <w:tcPr>
            <w:tcW w:w="78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90"/>
                <w:sz w:val="24"/>
                <w:szCs w:val="24"/>
                <w:highlight w:val="none"/>
              </w:rPr>
            </w:pPr>
            <w:r>
              <w:rPr>
                <w:rFonts w:hint="eastAsia" w:ascii="宋体" w:hAnsi="宋体" w:eastAsia="宋体" w:cs="宋体"/>
                <w:i w:val="0"/>
                <w:color w:val="000000"/>
                <w:kern w:val="0"/>
                <w:sz w:val="18"/>
                <w:szCs w:val="18"/>
                <w:u w:val="none"/>
                <w:lang w:val="en-US" w:eastAsia="zh-CN" w:bidi="ar"/>
              </w:rPr>
              <w:t>48</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spacing w:val="-34"/>
                <w:w w:val="90"/>
                <w:sz w:val="24"/>
                <w:szCs w:val="24"/>
                <w:highlight w:val="none"/>
              </w:rPr>
            </w:pP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327" w:type="dxa"/>
            <w:gridSpan w:val="6"/>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公共选修课程学分、学时占比</w:t>
            </w:r>
          </w:p>
        </w:tc>
        <w:tc>
          <w:tcPr>
            <w:tcW w:w="7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90"/>
                <w:sz w:val="22"/>
                <w:szCs w:val="22"/>
                <w:highlight w:val="none"/>
              </w:rPr>
            </w:pPr>
            <w:r>
              <w:rPr>
                <w:rFonts w:hint="eastAsia" w:ascii="宋体" w:hAnsi="宋体" w:eastAsia="宋体" w:cs="宋体"/>
                <w:i w:val="0"/>
                <w:color w:val="000000"/>
                <w:kern w:val="0"/>
                <w:sz w:val="18"/>
                <w:szCs w:val="18"/>
                <w:u w:val="none"/>
                <w:lang w:val="en-US" w:eastAsia="zh-CN" w:bidi="ar"/>
              </w:rPr>
              <w:t>5.16%</w:t>
            </w: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90"/>
                <w:sz w:val="22"/>
                <w:szCs w:val="22"/>
                <w:highlight w:val="none"/>
              </w:rPr>
            </w:pPr>
            <w:r>
              <w:rPr>
                <w:rFonts w:hint="eastAsia" w:ascii="宋体" w:hAnsi="宋体" w:eastAsia="宋体" w:cs="宋体"/>
                <w:i w:val="0"/>
                <w:color w:val="000000"/>
                <w:kern w:val="0"/>
                <w:sz w:val="18"/>
                <w:szCs w:val="18"/>
                <w:u w:val="none"/>
                <w:lang w:val="en-US" w:eastAsia="zh-CN" w:bidi="ar"/>
              </w:rPr>
              <w:t>4.44%</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90"/>
                <w:sz w:val="22"/>
                <w:szCs w:val="22"/>
                <w:highlight w:val="none"/>
              </w:rPr>
            </w:pPr>
            <w:r>
              <w:rPr>
                <w:rFonts w:hint="eastAsia" w:ascii="宋体" w:hAnsi="宋体" w:eastAsia="宋体" w:cs="宋体"/>
                <w:i w:val="0"/>
                <w:color w:val="000000"/>
                <w:kern w:val="0"/>
                <w:sz w:val="18"/>
                <w:szCs w:val="18"/>
                <w:u w:val="none"/>
                <w:lang w:val="en-US" w:eastAsia="zh-CN" w:bidi="ar"/>
              </w:rPr>
              <w:t>2.78%</w:t>
            </w:r>
          </w:p>
        </w:tc>
        <w:tc>
          <w:tcPr>
            <w:tcW w:w="78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90"/>
                <w:sz w:val="22"/>
                <w:szCs w:val="22"/>
                <w:highlight w:val="none"/>
              </w:rPr>
            </w:pPr>
            <w:r>
              <w:rPr>
                <w:rFonts w:hint="eastAsia" w:ascii="宋体" w:hAnsi="宋体" w:eastAsia="宋体" w:cs="宋体"/>
                <w:i w:val="0"/>
                <w:color w:val="000000"/>
                <w:kern w:val="0"/>
                <w:sz w:val="18"/>
                <w:szCs w:val="18"/>
                <w:u w:val="none"/>
                <w:lang w:val="en-US" w:eastAsia="zh-CN" w:bidi="ar"/>
              </w:rPr>
              <w:t>1.67%</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spacing w:val="-34"/>
                <w:w w:val="90"/>
                <w:sz w:val="24"/>
                <w:szCs w:val="24"/>
                <w:highlight w:val="none"/>
              </w:rPr>
            </w:pP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549" w:type="dxa"/>
            <w:vMerge w:val="restart"/>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专业课</w:t>
            </w:r>
          </w:p>
        </w:tc>
        <w:tc>
          <w:tcPr>
            <w:tcW w:w="412" w:type="dxa"/>
            <w:vMerge w:val="restart"/>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专业基础课</w:t>
            </w:r>
          </w:p>
        </w:tc>
        <w:tc>
          <w:tcPr>
            <w:tcW w:w="415" w:type="dxa"/>
            <w:vMerge w:val="restart"/>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必修</w:t>
            </w:r>
          </w:p>
        </w:tc>
        <w:tc>
          <w:tcPr>
            <w:tcW w:w="4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1</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6B500601301</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城市轨道交通概论</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72</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44</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28</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6B500601302</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土木工程材料</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72</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48</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24</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6B500102306</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土力学与地基基础</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72</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44</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28</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6B500601304</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城市轨道交通设备</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72</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48</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24</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5</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6B500601305</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工程制图与CAD</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72</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36</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36</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6</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6B500601306</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结构设计原理</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72</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48</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24</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7</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6B500601307</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地铁轨道基础</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72</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48</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24</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8</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6B500601308</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工程力学</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72</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44</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28</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9</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6B500601309</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BIM技术应用基础</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72</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36</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36</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restart"/>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专业核心课</w:t>
            </w:r>
          </w:p>
        </w:tc>
        <w:tc>
          <w:tcPr>
            <w:tcW w:w="415" w:type="dxa"/>
            <w:vMerge w:val="restart"/>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必修</w:t>
            </w:r>
          </w:p>
        </w:tc>
        <w:tc>
          <w:tcPr>
            <w:tcW w:w="4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1</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6B500601401</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spacing w:val="-20"/>
                <w:w w:val="90"/>
                <w:sz w:val="24"/>
                <w:szCs w:val="24"/>
                <w:highlight w:val="none"/>
              </w:rPr>
              <w:t>城市轨道交通工程测量</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72</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44</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28</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6B500601402</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城市轨道交通工程施工组织与概预算编制</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72</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44</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28</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6B500601403</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城市轨道线路设计</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72</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44</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28</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6B500601404</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隧道及地下工程施工</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72</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44</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28</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5</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6B500601405</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轨道与路基施工</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72</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44</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28</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6</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6B500601406</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轨道线路养护与维修</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72</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44</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28</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7</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6B500601407</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工程检测与监测</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72</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44</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28</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8</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6B500601408</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桥梁施工与维护</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72</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44</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28</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restart"/>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专业拓展课</w:t>
            </w:r>
          </w:p>
        </w:tc>
        <w:tc>
          <w:tcPr>
            <w:tcW w:w="415" w:type="dxa"/>
            <w:vMerge w:val="restart"/>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选修</w:t>
            </w:r>
          </w:p>
        </w:tc>
        <w:tc>
          <w:tcPr>
            <w:tcW w:w="4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1</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6B500601501</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安全技术与管理</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48</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16</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32</w:t>
            </w:r>
          </w:p>
        </w:tc>
        <w:tc>
          <w:tcPr>
            <w:tcW w:w="2154" w:type="dxa"/>
            <w:gridSpan w:val="6"/>
            <w:vMerge w:val="restart"/>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专业拓展课最低学分要求为12学分</w:t>
            </w: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6B500601502</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线路防灾及安全防护</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48</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16</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32</w:t>
            </w:r>
          </w:p>
        </w:tc>
        <w:tc>
          <w:tcPr>
            <w:tcW w:w="2154" w:type="dxa"/>
            <w:gridSpan w:val="6"/>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6B500601503</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工程项目管理</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48</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16</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32</w:t>
            </w:r>
          </w:p>
        </w:tc>
        <w:tc>
          <w:tcPr>
            <w:tcW w:w="2154" w:type="dxa"/>
            <w:gridSpan w:val="6"/>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6B500601504</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工程监理概论</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48</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16</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32</w:t>
            </w:r>
          </w:p>
        </w:tc>
        <w:tc>
          <w:tcPr>
            <w:tcW w:w="2154" w:type="dxa"/>
            <w:gridSpan w:val="6"/>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5</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6B500601505</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工程地质</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48</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16</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32</w:t>
            </w:r>
          </w:p>
        </w:tc>
        <w:tc>
          <w:tcPr>
            <w:tcW w:w="2154" w:type="dxa"/>
            <w:gridSpan w:val="6"/>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6</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6B500601506</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机电实务</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48</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16</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32</w:t>
            </w:r>
          </w:p>
        </w:tc>
        <w:tc>
          <w:tcPr>
            <w:tcW w:w="2154" w:type="dxa"/>
            <w:gridSpan w:val="6"/>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7</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6B500601507</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轨道养护设备与运用</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48</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16</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32</w:t>
            </w:r>
          </w:p>
        </w:tc>
        <w:tc>
          <w:tcPr>
            <w:tcW w:w="2154" w:type="dxa"/>
            <w:gridSpan w:val="6"/>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8</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6B500601508</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钢轨焊接与探伤技术</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48</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16</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32</w:t>
            </w:r>
          </w:p>
        </w:tc>
        <w:tc>
          <w:tcPr>
            <w:tcW w:w="2154" w:type="dxa"/>
            <w:gridSpan w:val="6"/>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9</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6B500601509</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绿色低碳城市轨道交通概论</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48</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16</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32</w:t>
            </w:r>
          </w:p>
        </w:tc>
        <w:tc>
          <w:tcPr>
            <w:tcW w:w="2154" w:type="dxa"/>
            <w:gridSpan w:val="6"/>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10</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6B500601510</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交通运输概论</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48</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16</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32</w:t>
            </w:r>
          </w:p>
        </w:tc>
        <w:tc>
          <w:tcPr>
            <w:tcW w:w="2154" w:type="dxa"/>
            <w:gridSpan w:val="6"/>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restart"/>
            <w:shd w:val="clear" w:color="auto" w:fill="auto"/>
            <w:vAlign w:val="center"/>
          </w:tcPr>
          <w:p>
            <w:pPr>
              <w:keepLines/>
              <w:overflowPunct w:val="0"/>
              <w:adjustRightInd w:val="0"/>
              <w:spacing w:after="0" w:line="240" w:lineRule="exact"/>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实践性教学环节</w:t>
            </w:r>
          </w:p>
        </w:tc>
        <w:tc>
          <w:tcPr>
            <w:tcW w:w="415" w:type="dxa"/>
            <w:vMerge w:val="restart"/>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必修</w:t>
            </w:r>
          </w:p>
        </w:tc>
        <w:tc>
          <w:tcPr>
            <w:tcW w:w="4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1</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1B410101601</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毕业设计</w:t>
            </w:r>
          </w:p>
        </w:tc>
        <w:tc>
          <w:tcPr>
            <w:tcW w:w="782"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5</w:t>
            </w:r>
          </w:p>
        </w:tc>
        <w:tc>
          <w:tcPr>
            <w:tcW w:w="7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80</w:t>
            </w:r>
          </w:p>
        </w:tc>
        <w:tc>
          <w:tcPr>
            <w:tcW w:w="75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20</w:t>
            </w:r>
          </w:p>
        </w:tc>
        <w:tc>
          <w:tcPr>
            <w:tcW w:w="78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60</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20</w:t>
            </w: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2"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15" w:type="dxa"/>
            <w:vMerge w:val="continue"/>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2</w:t>
            </w:r>
          </w:p>
        </w:tc>
        <w:tc>
          <w:tcPr>
            <w:tcW w:w="1250" w:type="dxa"/>
            <w:gridSpan w:val="2"/>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w w:val="80"/>
                <w:sz w:val="22"/>
                <w:szCs w:val="22"/>
                <w:highlight w:val="none"/>
              </w:rPr>
            </w:pPr>
            <w:r>
              <w:rPr>
                <w:rFonts w:hint="eastAsia" w:ascii="仿宋_GB2312" w:hAnsi="仿宋_GB2312" w:eastAsia="仿宋_GB2312" w:cs="仿宋_GB2312"/>
                <w:color w:val="auto"/>
                <w:w w:val="80"/>
                <w:kern w:val="0"/>
                <w:sz w:val="22"/>
                <w:szCs w:val="22"/>
                <w:highlight w:val="none"/>
                <w:lang w:bidi="ar"/>
              </w:rPr>
              <w:t>1C410101602</w:t>
            </w:r>
          </w:p>
        </w:tc>
        <w:tc>
          <w:tcPr>
            <w:tcW w:w="17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岗位实习</w:t>
            </w:r>
          </w:p>
        </w:tc>
        <w:tc>
          <w:tcPr>
            <w:tcW w:w="782"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18</w:t>
            </w:r>
          </w:p>
        </w:tc>
        <w:tc>
          <w:tcPr>
            <w:tcW w:w="72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432</w:t>
            </w:r>
          </w:p>
        </w:tc>
        <w:tc>
          <w:tcPr>
            <w:tcW w:w="75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0</w:t>
            </w:r>
          </w:p>
        </w:tc>
        <w:tc>
          <w:tcPr>
            <w:tcW w:w="78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432</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70"/>
                <w:sz w:val="24"/>
                <w:szCs w:val="24"/>
                <w:highlight w:val="none"/>
              </w:rPr>
            </w:pPr>
            <w:r>
              <w:rPr>
                <w:rFonts w:hint="eastAsia" w:ascii="仿宋_GB2312" w:hAnsi="仿宋_GB2312" w:eastAsia="仿宋_GB2312" w:cs="仿宋_GB2312"/>
                <w:color w:val="auto"/>
                <w:w w:val="70"/>
                <w:sz w:val="24"/>
                <w:szCs w:val="24"/>
                <w:highlight w:val="none"/>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327" w:type="dxa"/>
            <w:gridSpan w:val="6"/>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专业必修课程学分、学时小计</w:t>
            </w:r>
          </w:p>
        </w:tc>
        <w:tc>
          <w:tcPr>
            <w:tcW w:w="7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i w:val="0"/>
                <w:color w:val="000000"/>
                <w:kern w:val="0"/>
                <w:sz w:val="24"/>
                <w:szCs w:val="24"/>
                <w:u w:val="none"/>
                <w:lang w:val="en-US" w:eastAsia="zh-CN" w:bidi="ar"/>
              </w:rPr>
              <w:t>91</w:t>
            </w: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i w:val="0"/>
                <w:color w:val="000000"/>
                <w:kern w:val="0"/>
                <w:sz w:val="24"/>
                <w:szCs w:val="24"/>
                <w:u w:val="none"/>
                <w:lang w:val="en-US" w:eastAsia="zh-CN" w:bidi="ar"/>
              </w:rPr>
              <w:t>1736</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i w:val="0"/>
                <w:color w:val="000000"/>
                <w:kern w:val="0"/>
                <w:sz w:val="24"/>
                <w:szCs w:val="24"/>
                <w:u w:val="none"/>
                <w:lang w:val="en-US" w:eastAsia="zh-CN" w:bidi="ar"/>
              </w:rPr>
              <w:t>768</w:t>
            </w:r>
          </w:p>
        </w:tc>
        <w:tc>
          <w:tcPr>
            <w:tcW w:w="78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i w:val="0"/>
                <w:color w:val="000000"/>
                <w:kern w:val="0"/>
                <w:sz w:val="24"/>
                <w:szCs w:val="24"/>
                <w:u w:val="none"/>
                <w:lang w:val="en-US" w:eastAsia="zh-CN" w:bidi="ar"/>
              </w:rPr>
              <w:t>968</w:t>
            </w:r>
          </w:p>
        </w:tc>
        <w:tc>
          <w:tcPr>
            <w:tcW w:w="31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327" w:type="dxa"/>
            <w:gridSpan w:val="6"/>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专业必修课程学分、学时占比</w:t>
            </w:r>
          </w:p>
        </w:tc>
        <w:tc>
          <w:tcPr>
            <w:tcW w:w="7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66"/>
                <w:sz w:val="24"/>
                <w:szCs w:val="24"/>
                <w:highlight w:val="none"/>
              </w:rPr>
            </w:pPr>
            <w:r>
              <w:rPr>
                <w:rFonts w:hint="eastAsia" w:ascii="仿宋_GB2312" w:hAnsi="仿宋_GB2312" w:eastAsia="仿宋_GB2312" w:cs="仿宋_GB2312"/>
                <w:i w:val="0"/>
                <w:color w:val="000000"/>
                <w:w w:val="66"/>
                <w:kern w:val="0"/>
                <w:sz w:val="24"/>
                <w:szCs w:val="24"/>
                <w:u w:val="none"/>
                <w:lang w:val="en-US" w:eastAsia="zh-CN" w:bidi="ar"/>
              </w:rPr>
              <w:t>58.71%</w:t>
            </w: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66"/>
                <w:sz w:val="24"/>
                <w:szCs w:val="24"/>
                <w:highlight w:val="none"/>
              </w:rPr>
            </w:pPr>
            <w:r>
              <w:rPr>
                <w:rFonts w:hint="eastAsia" w:ascii="仿宋_GB2312" w:hAnsi="仿宋_GB2312" w:eastAsia="仿宋_GB2312" w:cs="仿宋_GB2312"/>
                <w:i w:val="0"/>
                <w:color w:val="000000"/>
                <w:w w:val="66"/>
                <w:kern w:val="0"/>
                <w:sz w:val="24"/>
                <w:szCs w:val="24"/>
                <w:u w:val="none"/>
                <w:lang w:val="en-US" w:eastAsia="zh-CN" w:bidi="ar"/>
              </w:rPr>
              <w:t>60.24%</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66"/>
                <w:sz w:val="24"/>
                <w:szCs w:val="24"/>
                <w:highlight w:val="none"/>
              </w:rPr>
            </w:pPr>
            <w:r>
              <w:rPr>
                <w:rFonts w:hint="eastAsia" w:ascii="仿宋_GB2312" w:hAnsi="仿宋_GB2312" w:eastAsia="仿宋_GB2312" w:cs="仿宋_GB2312"/>
                <w:i w:val="0"/>
                <w:color w:val="000000"/>
                <w:w w:val="66"/>
                <w:kern w:val="0"/>
                <w:sz w:val="24"/>
                <w:szCs w:val="24"/>
                <w:u w:val="none"/>
                <w:lang w:val="en-US" w:eastAsia="zh-CN" w:bidi="ar"/>
              </w:rPr>
              <w:t>26.65%</w:t>
            </w:r>
          </w:p>
        </w:tc>
        <w:tc>
          <w:tcPr>
            <w:tcW w:w="78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66"/>
                <w:sz w:val="24"/>
                <w:szCs w:val="24"/>
                <w:highlight w:val="none"/>
              </w:rPr>
            </w:pPr>
            <w:r>
              <w:rPr>
                <w:rFonts w:hint="eastAsia" w:ascii="仿宋_GB2312" w:hAnsi="仿宋_GB2312" w:eastAsia="仿宋_GB2312" w:cs="仿宋_GB2312"/>
                <w:i w:val="0"/>
                <w:color w:val="000000"/>
                <w:w w:val="66"/>
                <w:kern w:val="0"/>
                <w:sz w:val="24"/>
                <w:szCs w:val="24"/>
                <w:u w:val="none"/>
                <w:lang w:val="en-US" w:eastAsia="zh-CN" w:bidi="ar"/>
              </w:rPr>
              <w:t>33.59%</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327" w:type="dxa"/>
            <w:gridSpan w:val="6"/>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专业拓展课程学分、学时小计</w:t>
            </w:r>
          </w:p>
        </w:tc>
        <w:tc>
          <w:tcPr>
            <w:tcW w:w="782"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90"/>
                <w:sz w:val="24"/>
                <w:szCs w:val="24"/>
                <w:highlight w:val="none"/>
              </w:rPr>
            </w:pPr>
            <w:r>
              <w:rPr>
                <w:rFonts w:hint="eastAsia" w:ascii="仿宋_GB2312" w:hAnsi="仿宋_GB2312" w:eastAsia="仿宋_GB2312" w:cs="仿宋_GB2312"/>
                <w:i w:val="0"/>
                <w:color w:val="000000"/>
                <w:kern w:val="0"/>
                <w:sz w:val="24"/>
                <w:szCs w:val="24"/>
                <w:u w:val="none"/>
                <w:lang w:val="en-US" w:eastAsia="zh-CN" w:bidi="ar"/>
              </w:rPr>
              <w:t>12</w:t>
            </w: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90"/>
                <w:sz w:val="24"/>
                <w:szCs w:val="24"/>
                <w:highlight w:val="none"/>
              </w:rPr>
            </w:pPr>
            <w:r>
              <w:rPr>
                <w:rFonts w:hint="eastAsia" w:ascii="仿宋_GB2312" w:hAnsi="仿宋_GB2312" w:eastAsia="仿宋_GB2312" w:cs="仿宋_GB2312"/>
                <w:i w:val="0"/>
                <w:color w:val="000000"/>
                <w:kern w:val="0"/>
                <w:sz w:val="24"/>
                <w:szCs w:val="24"/>
                <w:u w:val="none"/>
                <w:lang w:val="en-US" w:eastAsia="zh-CN" w:bidi="ar"/>
              </w:rPr>
              <w:t>192</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90"/>
                <w:sz w:val="24"/>
                <w:szCs w:val="24"/>
                <w:highlight w:val="none"/>
              </w:rPr>
            </w:pPr>
            <w:r>
              <w:rPr>
                <w:rFonts w:hint="eastAsia" w:ascii="仿宋_GB2312" w:hAnsi="仿宋_GB2312" w:eastAsia="仿宋_GB2312" w:cs="仿宋_GB2312"/>
                <w:i w:val="0"/>
                <w:color w:val="000000"/>
                <w:kern w:val="0"/>
                <w:sz w:val="24"/>
                <w:szCs w:val="24"/>
                <w:u w:val="none"/>
                <w:lang w:val="en-US" w:eastAsia="zh-CN" w:bidi="ar"/>
              </w:rPr>
              <w:t>64</w:t>
            </w:r>
          </w:p>
        </w:tc>
        <w:tc>
          <w:tcPr>
            <w:tcW w:w="78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90"/>
                <w:sz w:val="24"/>
                <w:szCs w:val="24"/>
                <w:highlight w:val="none"/>
              </w:rPr>
            </w:pPr>
            <w:r>
              <w:rPr>
                <w:rFonts w:hint="eastAsia" w:ascii="仿宋_GB2312" w:hAnsi="仿宋_GB2312" w:eastAsia="仿宋_GB2312" w:cs="仿宋_GB2312"/>
                <w:i w:val="0"/>
                <w:color w:val="000000"/>
                <w:kern w:val="0"/>
                <w:sz w:val="24"/>
                <w:szCs w:val="24"/>
                <w:u w:val="none"/>
                <w:lang w:val="en-US" w:eastAsia="zh-CN" w:bidi="ar"/>
              </w:rPr>
              <w:t>128</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49" w:type="dxa"/>
            <w:vMerge w:val="continue"/>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327" w:type="dxa"/>
            <w:gridSpan w:val="6"/>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专业拓展课程学分、学时占比</w:t>
            </w:r>
          </w:p>
        </w:tc>
        <w:tc>
          <w:tcPr>
            <w:tcW w:w="782"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80"/>
                <w:sz w:val="24"/>
                <w:szCs w:val="24"/>
                <w:highlight w:val="none"/>
              </w:rPr>
            </w:pPr>
            <w:r>
              <w:rPr>
                <w:rFonts w:hint="eastAsia" w:ascii="仿宋_GB2312" w:hAnsi="仿宋_GB2312" w:eastAsia="仿宋_GB2312" w:cs="仿宋_GB2312"/>
                <w:i w:val="0"/>
                <w:color w:val="000000"/>
                <w:w w:val="80"/>
                <w:kern w:val="0"/>
                <w:sz w:val="24"/>
                <w:szCs w:val="24"/>
                <w:u w:val="none"/>
                <w:lang w:val="en-US" w:eastAsia="zh-CN" w:bidi="ar"/>
              </w:rPr>
              <w:t>7.74%</w:t>
            </w: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80"/>
                <w:sz w:val="24"/>
                <w:szCs w:val="24"/>
                <w:highlight w:val="none"/>
              </w:rPr>
            </w:pPr>
            <w:r>
              <w:rPr>
                <w:rFonts w:hint="eastAsia" w:ascii="仿宋_GB2312" w:hAnsi="仿宋_GB2312" w:eastAsia="仿宋_GB2312" w:cs="仿宋_GB2312"/>
                <w:i w:val="0"/>
                <w:color w:val="000000"/>
                <w:w w:val="80"/>
                <w:kern w:val="0"/>
                <w:sz w:val="24"/>
                <w:szCs w:val="24"/>
                <w:u w:val="none"/>
                <w:lang w:val="en-US" w:eastAsia="zh-CN" w:bidi="ar"/>
              </w:rPr>
              <w:t>6.66%</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80"/>
                <w:sz w:val="24"/>
                <w:szCs w:val="24"/>
                <w:highlight w:val="none"/>
              </w:rPr>
            </w:pPr>
            <w:r>
              <w:rPr>
                <w:rFonts w:hint="eastAsia" w:ascii="仿宋_GB2312" w:hAnsi="仿宋_GB2312" w:eastAsia="仿宋_GB2312" w:cs="仿宋_GB2312"/>
                <w:i w:val="0"/>
                <w:color w:val="000000"/>
                <w:w w:val="80"/>
                <w:kern w:val="0"/>
                <w:sz w:val="24"/>
                <w:szCs w:val="24"/>
                <w:u w:val="none"/>
                <w:lang w:val="en-US" w:eastAsia="zh-CN" w:bidi="ar"/>
              </w:rPr>
              <w:t>2.22%</w:t>
            </w:r>
          </w:p>
        </w:tc>
        <w:tc>
          <w:tcPr>
            <w:tcW w:w="78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34"/>
                <w:w w:val="80"/>
                <w:sz w:val="24"/>
                <w:szCs w:val="24"/>
                <w:highlight w:val="none"/>
              </w:rPr>
            </w:pPr>
            <w:r>
              <w:rPr>
                <w:rFonts w:hint="eastAsia" w:ascii="仿宋_GB2312" w:hAnsi="仿宋_GB2312" w:eastAsia="仿宋_GB2312" w:cs="仿宋_GB2312"/>
                <w:i w:val="0"/>
                <w:color w:val="000000"/>
                <w:w w:val="80"/>
                <w:kern w:val="0"/>
                <w:sz w:val="24"/>
                <w:szCs w:val="24"/>
                <w:u w:val="none"/>
                <w:lang w:val="en-US" w:eastAsia="zh-CN" w:bidi="ar"/>
              </w:rPr>
              <w:t>4.44%</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4876" w:type="dxa"/>
            <w:gridSpan w:val="7"/>
            <w:shd w:val="clear" w:color="auto" w:fill="auto"/>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color w:val="auto"/>
                <w:w w:val="90"/>
                <w:sz w:val="24"/>
                <w:szCs w:val="24"/>
                <w:highlight w:val="none"/>
              </w:rPr>
              <w:t>总学分、总学时合计</w:t>
            </w:r>
          </w:p>
        </w:tc>
        <w:tc>
          <w:tcPr>
            <w:tcW w:w="782"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i w:val="0"/>
                <w:color w:val="000000"/>
                <w:kern w:val="0"/>
                <w:sz w:val="24"/>
                <w:szCs w:val="24"/>
                <w:u w:val="none"/>
                <w:lang w:val="en-US" w:eastAsia="zh-CN" w:bidi="ar"/>
              </w:rPr>
              <w:t>155</w:t>
            </w: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i w:val="0"/>
                <w:color w:val="000000"/>
                <w:kern w:val="0"/>
                <w:sz w:val="24"/>
                <w:szCs w:val="24"/>
                <w:u w:val="none"/>
                <w:lang w:val="en-US" w:eastAsia="zh-CN" w:bidi="ar"/>
              </w:rPr>
              <w:t>2882</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i w:val="0"/>
                <w:color w:val="000000"/>
                <w:kern w:val="0"/>
                <w:sz w:val="24"/>
                <w:szCs w:val="24"/>
                <w:u w:val="none"/>
                <w:lang w:val="en-US" w:eastAsia="zh-CN" w:bidi="ar"/>
              </w:rPr>
              <w:t>1358</w:t>
            </w:r>
          </w:p>
        </w:tc>
        <w:tc>
          <w:tcPr>
            <w:tcW w:w="78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90"/>
                <w:sz w:val="24"/>
                <w:szCs w:val="24"/>
                <w:highlight w:val="none"/>
              </w:rPr>
            </w:pPr>
            <w:r>
              <w:rPr>
                <w:rFonts w:hint="eastAsia" w:ascii="仿宋_GB2312" w:hAnsi="仿宋_GB2312" w:eastAsia="仿宋_GB2312" w:cs="仿宋_GB2312"/>
                <w:i w:val="0"/>
                <w:color w:val="000000"/>
                <w:kern w:val="0"/>
                <w:sz w:val="24"/>
                <w:szCs w:val="24"/>
                <w:u w:val="none"/>
                <w:lang w:val="en-US" w:eastAsia="zh-CN" w:bidi="ar"/>
              </w:rPr>
              <w:t>1524</w:t>
            </w:r>
          </w:p>
        </w:tc>
        <w:tc>
          <w:tcPr>
            <w:tcW w:w="31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75"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3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9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420"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324"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c>
          <w:tcPr>
            <w:tcW w:w="577" w:type="dxa"/>
            <w:shd w:val="clear" w:color="auto" w:fill="auto"/>
            <w:noWrap/>
            <w:vAlign w:val="center"/>
          </w:tcPr>
          <w:p>
            <w:pPr>
              <w:keepLines/>
              <w:overflowPunct w:val="0"/>
              <w:adjustRightInd w:val="0"/>
              <w:spacing w:after="0" w:line="240" w:lineRule="auto"/>
              <w:jc w:val="center"/>
              <w:rPr>
                <w:rFonts w:hint="eastAsia" w:ascii="仿宋_GB2312" w:hAnsi="仿宋_GB2312" w:eastAsia="仿宋_GB2312" w:cs="仿宋_GB2312"/>
                <w:color w:val="auto"/>
                <w:w w:val="90"/>
                <w:sz w:val="24"/>
                <w:szCs w:val="24"/>
                <w:highlight w:val="none"/>
              </w:rPr>
            </w:pP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九</w:t>
      </w:r>
      <w:r>
        <w:rPr>
          <w:rFonts w:hint="eastAsia" w:ascii="黑体" w:hAnsi="黑体" w:eastAsia="黑体" w:cs="黑体"/>
          <w:color w:val="auto"/>
          <w:sz w:val="32"/>
          <w:szCs w:val="32"/>
          <w:highlight w:val="none"/>
        </w:rPr>
        <w:t>、</w:t>
      </w:r>
      <w:r>
        <w:rPr>
          <w:rFonts w:hint="eastAsia" w:ascii="黑体" w:hAnsi="黑体" w:eastAsia="黑体" w:cs="黑体"/>
          <w:color w:val="auto"/>
          <w:sz w:val="32"/>
          <w:szCs w:val="32"/>
          <w:highlight w:val="none"/>
          <w:lang w:val="en-US" w:eastAsia="zh-CN"/>
        </w:rPr>
        <w:t>师资队伍</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pPr>
        <w:keepNext w:val="0"/>
        <w:keepLines w:val="0"/>
        <w:pageBreakBefore w:val="0"/>
        <w:widowControl w:val="0"/>
        <w:numPr>
          <w:ilvl w:val="0"/>
          <w:numId w:val="3"/>
        </w:numPr>
        <w:kinsoku/>
        <w:wordWrap/>
        <w:overflowPunct w:val="0"/>
        <w:topLinePunct w:val="0"/>
        <w:autoSpaceDE/>
        <w:autoSpaceDN/>
        <w:bidi w:val="0"/>
        <w:adjustRightInd w:val="0"/>
        <w:snapToGrid/>
        <w:spacing w:after="0" w:line="520" w:lineRule="exact"/>
        <w:ind w:left="0" w:firstLine="640" w:firstLineChars="200"/>
        <w:textAlignment w:val="auto"/>
        <w:rPr>
          <w:rFonts w:hint="default"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队伍结构</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学生数与本专业专任教师数比例不高于 25∶1，“双师型”教师占专业课教师数比例一般不低于 60%，高级职称专任教师的比例不低于 20%，专任教师队伍要考虑职称、年龄、工作经验，形成合理的梯队结构。</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能够整合校内外优质人才资源，选聘企业高级技术人员担任行业导师，组建校企合作、专兼结合的教师团队，建立定期开展专业（学科）教研机制。</w:t>
      </w:r>
    </w:p>
    <w:p>
      <w:pPr>
        <w:keepNext w:val="0"/>
        <w:keepLines w:val="0"/>
        <w:pageBreakBefore w:val="0"/>
        <w:widowControl w:val="0"/>
        <w:numPr>
          <w:ilvl w:val="0"/>
          <w:numId w:val="3"/>
        </w:numPr>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专业带头人</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专业带头人原则上应具有本专业及相关专业副高及以上职称和较强的实践能力，能够较好地把握国内外城市轨道交通工程建筑行业、专业发展，能广泛联系行业企业，了解行业企业对本专业人才的需求实际，主持专业建设、开展教育教学改革、教科研工作和社会服务能力强，在本专业改革发展中起引领作用。本专业带头人为卢丽萍，副高级职称，负责本专业的规划与建设、主持专业人才培养方案、课程标准的制定与修订、教材、专业教学标准、专业认证体系的建设工作、负责本专业教学改革和实践技能培养方案的制定等工作。</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楷体" w:hAnsi="楷体" w:eastAsia="楷体" w:cs="楷体"/>
          <w:color w:val="auto"/>
          <w:sz w:val="32"/>
          <w:szCs w:val="32"/>
          <w:highlight w:val="none"/>
          <w:lang w:val="en-US" w:eastAsia="zh-CN"/>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专任教师</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GB2312" w:hAnsi="仿宋GB2312" w:eastAsia="仿宋GB2312" w:cs="仿宋GB2312"/>
          <w:color w:val="auto"/>
          <w:sz w:val="32"/>
          <w:szCs w:val="32"/>
          <w:highlight w:val="none"/>
        </w:rPr>
        <w:t>专任教师应</w:t>
      </w:r>
      <w:r>
        <w:rPr>
          <w:rFonts w:hint="eastAsia" w:ascii="仿宋_GB2312" w:hAnsi="仿宋_GB2312" w:eastAsia="仿宋_GB2312" w:cs="仿宋_GB2312"/>
          <w:color w:val="auto"/>
          <w:sz w:val="32"/>
          <w:szCs w:val="32"/>
          <w:highlight w:val="none"/>
          <w:lang w:val="en-US" w:eastAsia="zh-CN"/>
        </w:rPr>
        <w:t>具有高校教师资格；原则上具有土木工程、城市地下空间工程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 1 个月在企业或生产性实训基地锻炼，每 5 年累计不少于 6 个月的企业实践经历。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四</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兼职教师</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GB2312" w:hAnsi="仿宋GB2312" w:eastAsia="仿宋GB2312" w:cs="仿宋GB2312"/>
          <w:color w:val="auto"/>
          <w:sz w:val="32"/>
          <w:szCs w:val="32"/>
          <w:highlight w:val="none"/>
        </w:rPr>
        <w:t>兼职教师</w:t>
      </w:r>
      <w:r>
        <w:rPr>
          <w:rFonts w:hint="eastAsia" w:ascii="仿宋_GB2312" w:hAnsi="仿宋_GB2312" w:eastAsia="仿宋_GB2312" w:cs="仿宋_GB2312"/>
          <w:color w:val="auto"/>
          <w:sz w:val="32"/>
          <w:szCs w:val="32"/>
          <w:highlight w:val="none"/>
          <w:lang w:val="en-US" w:eastAsia="zh-CN"/>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楷体" w:hAnsi="楷体" w:eastAsia="楷体" w:cs="楷体"/>
          <w:color w:val="auto"/>
          <w:sz w:val="32"/>
          <w:szCs w:val="32"/>
          <w:highlight w:val="none"/>
        </w:rPr>
      </w:pPr>
      <w:r>
        <w:rPr>
          <w:rFonts w:hint="eastAsia" w:ascii="黑体" w:hAnsi="黑体" w:eastAsia="黑体" w:cs="黑体"/>
          <w:color w:val="auto"/>
          <w:sz w:val="32"/>
          <w:szCs w:val="32"/>
          <w:highlight w:val="none"/>
          <w:lang w:val="en-US" w:eastAsia="zh-CN"/>
        </w:rPr>
        <w:t>十、教学条件</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w:t>
      </w:r>
      <w:r>
        <w:rPr>
          <w:rFonts w:hint="eastAsia" w:ascii="楷体" w:hAnsi="楷体" w:eastAsia="楷体" w:cs="楷体"/>
          <w:color w:val="auto"/>
          <w:sz w:val="32"/>
          <w:szCs w:val="32"/>
          <w:highlight w:val="none"/>
          <w:lang w:val="en-US" w:eastAsia="zh-CN"/>
        </w:rPr>
        <w:t>一</w:t>
      </w:r>
      <w:r>
        <w:rPr>
          <w:rFonts w:hint="eastAsia" w:ascii="楷体" w:hAnsi="楷体" w:eastAsia="楷体" w:cs="楷体"/>
          <w:color w:val="auto"/>
          <w:sz w:val="32"/>
          <w:szCs w:val="32"/>
          <w:highlight w:val="none"/>
        </w:rPr>
        <w:t>）教学设施</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教学设施主要包括能够满足正常的课程教学、实习实训所需的专业教室、校内实训室和校外实训基地等。</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1.专业教室要求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 w:val="32"/>
          <w:szCs w:val="32"/>
          <w:highlight w:val="none"/>
        </w:rPr>
        <w:t>学校为该专业配备公共教室（配备有多媒体设施）、多媒体教室等，满足理论教学要求。配有黑（白）板、多媒体计算机、投影设备、音响设备，安装应急照明装置并保持良好状态，符合紧急疏散要求，标志明显，逃生通道畅通无阻。</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 w:val="32"/>
          <w:szCs w:val="32"/>
          <w:highlight w:val="none"/>
        </w:rPr>
        <w:t>2.校内实训资源</w:t>
      </w:r>
    </w:p>
    <w:p>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表1</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kern w:val="0"/>
          <w:sz w:val="32"/>
          <w:szCs w:val="32"/>
          <w:highlight w:val="none"/>
        </w:rPr>
        <w:t>校内实训资源列表</w:t>
      </w:r>
    </w:p>
    <w:tbl>
      <w:tblPr>
        <w:tblStyle w:val="8"/>
        <w:tblW w:w="10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1293"/>
        <w:gridCol w:w="1814"/>
        <w:gridCol w:w="2653"/>
        <w:gridCol w:w="2553"/>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129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实验实训室名称</w:t>
            </w:r>
          </w:p>
        </w:tc>
        <w:tc>
          <w:tcPr>
            <w:tcW w:w="181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实训适用</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w:t>
            </w:r>
          </w:p>
        </w:tc>
        <w:tc>
          <w:tcPr>
            <w:tcW w:w="265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实训项目</w:t>
            </w:r>
          </w:p>
        </w:tc>
        <w:tc>
          <w:tcPr>
            <w:tcW w:w="255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主要设备名称</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及配置数量</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1293"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建筑工程制图室1</w:t>
            </w:r>
          </w:p>
        </w:tc>
        <w:tc>
          <w:tcPr>
            <w:tcW w:w="1814"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工程制图与CAD</w:t>
            </w:r>
          </w:p>
        </w:tc>
        <w:tc>
          <w:tcPr>
            <w:tcW w:w="2653"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建筑工程制图</w:t>
            </w:r>
          </w:p>
        </w:tc>
        <w:tc>
          <w:tcPr>
            <w:tcW w:w="2553"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多媒体设备1套，电脑80台</w:t>
            </w:r>
          </w:p>
        </w:tc>
        <w:tc>
          <w:tcPr>
            <w:tcW w:w="1047"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1293"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建筑工程制图室2</w:t>
            </w:r>
          </w:p>
        </w:tc>
        <w:tc>
          <w:tcPr>
            <w:tcW w:w="1814"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工程制图与CAD</w:t>
            </w:r>
          </w:p>
        </w:tc>
        <w:tc>
          <w:tcPr>
            <w:tcW w:w="2653"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建筑工程制图</w:t>
            </w:r>
          </w:p>
        </w:tc>
        <w:tc>
          <w:tcPr>
            <w:tcW w:w="2553"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多媒体设备1套，电脑80台</w:t>
            </w:r>
          </w:p>
        </w:tc>
        <w:tc>
          <w:tcPr>
            <w:tcW w:w="1047"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w:t>
            </w:r>
          </w:p>
        </w:tc>
        <w:tc>
          <w:tcPr>
            <w:tcW w:w="1293"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轨道交通沙盘实训</w:t>
            </w:r>
          </w:p>
        </w:tc>
        <w:tc>
          <w:tcPr>
            <w:tcW w:w="1814"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城市轨道交通设备</w:t>
            </w:r>
          </w:p>
        </w:tc>
        <w:tc>
          <w:tcPr>
            <w:tcW w:w="2653"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设备维护实训</w:t>
            </w:r>
          </w:p>
        </w:tc>
        <w:tc>
          <w:tcPr>
            <w:tcW w:w="2553"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轨道交通沙盘系统1套</w:t>
            </w:r>
          </w:p>
        </w:tc>
        <w:tc>
          <w:tcPr>
            <w:tcW w:w="1047"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w:t>
            </w:r>
          </w:p>
        </w:tc>
        <w:tc>
          <w:tcPr>
            <w:tcW w:w="1293"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工程测量实训室</w:t>
            </w:r>
          </w:p>
        </w:tc>
        <w:tc>
          <w:tcPr>
            <w:tcW w:w="1814"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城市轨道交通工程测量</w:t>
            </w:r>
          </w:p>
        </w:tc>
        <w:tc>
          <w:tcPr>
            <w:tcW w:w="2653"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工程测量实训</w:t>
            </w:r>
          </w:p>
        </w:tc>
        <w:tc>
          <w:tcPr>
            <w:tcW w:w="2553"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自动安平水准仪20套、DS3水准仪2套、水准仪10套</w:t>
            </w:r>
          </w:p>
        </w:tc>
        <w:tc>
          <w:tcPr>
            <w:tcW w:w="1047"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30</w:t>
            </w:r>
          </w:p>
        </w:tc>
      </w:tr>
    </w:tbl>
    <w:p>
      <w:pPr>
        <w:pStyle w:val="2"/>
        <w:pageBreakBefore w:val="0"/>
        <w:widowControl/>
        <w:kinsoku/>
        <w:wordWrap/>
        <w:topLinePunct w:val="0"/>
        <w:autoSpaceDE/>
        <w:autoSpaceDN/>
        <w:bidi w:val="0"/>
        <w:snapToGrid/>
        <w:spacing w:before="0"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3.校外实训资源</w:t>
      </w:r>
    </w:p>
    <w:p>
      <w:pPr>
        <w:pageBreakBefore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（1）校外实训基地基本要求</w:t>
      </w:r>
    </w:p>
    <w:p>
      <w:pPr>
        <w:overflowPunct w:val="0"/>
        <w:adjustRightInd w:val="0"/>
        <w:spacing w:after="0" w:line="52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具有稳定的校外实训基地2个以上；能够开展工程测量、建筑CAD等实训活动；实训设施齐备，实训岗位、实训指导教师确定，实训管理及实施规章制度齐全。</w:t>
      </w:r>
    </w:p>
    <w:p>
      <w:pPr>
        <w:pageBreakBefore w:val="0"/>
        <w:numPr>
          <w:ilvl w:val="0"/>
          <w:numId w:val="2"/>
        </w:numPr>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学生实习基地基本要求</w:t>
      </w:r>
    </w:p>
    <w:p>
      <w:pPr>
        <w:pageBreakBefore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具有稳定的校外实习基地2个以上；能提供线路施工、线路维护等相关实习岗位，能涵盖当前相关产业的主流技术，可接纳一定规模的学生实习；能够配备相应数量的指导教师对学生实习进行指导和管理；有保证实习生日常工作、学习、生活的规章制度，有安全、保险保障。</w:t>
      </w:r>
    </w:p>
    <w:p>
      <w:pPr>
        <w:pageBreakBefore w:val="0"/>
        <w:kinsoku/>
        <w:wordWrap/>
        <w:overflowPunct w:val="0"/>
        <w:topLinePunct w:val="0"/>
        <w:autoSpaceDE/>
        <w:autoSpaceDN/>
        <w:bidi w:val="0"/>
        <w:adjustRightInd w:val="0"/>
        <w:snapToGrid/>
        <w:spacing w:after="0" w:line="520" w:lineRule="exact"/>
        <w:ind w:left="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表1</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 xml:space="preserve"> 校外实习基地一览表</w:t>
      </w:r>
    </w:p>
    <w:tbl>
      <w:tblPr>
        <w:tblStyle w:val="8"/>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2854"/>
        <w:gridCol w:w="2356"/>
        <w:gridCol w:w="1998"/>
        <w:gridCol w:w="2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校外实习基地名称</w:t>
            </w:r>
          </w:p>
        </w:tc>
        <w:tc>
          <w:tcPr>
            <w:tcW w:w="235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合作企业名称</w:t>
            </w:r>
          </w:p>
        </w:tc>
        <w:tc>
          <w:tcPr>
            <w:tcW w:w="199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合作</w:t>
            </w:r>
            <w:r>
              <w:rPr>
                <w:rFonts w:hint="eastAsia" w:ascii="仿宋_GB2312" w:hAnsi="仿宋_GB2312" w:eastAsia="仿宋_GB2312" w:cs="仿宋_GB2312"/>
                <w:color w:val="auto"/>
                <w:sz w:val="24"/>
                <w:highlight w:val="none"/>
                <w:lang w:val="en-US" w:eastAsia="zh-CN"/>
              </w:rPr>
              <w:t>内容</w:t>
            </w:r>
          </w:p>
        </w:tc>
        <w:tc>
          <w:tcPr>
            <w:tcW w:w="216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接纳学生实习人次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1</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广西工程职业学院城市轨道交通工程技术专业校外实习基地</w:t>
            </w:r>
          </w:p>
        </w:tc>
        <w:tc>
          <w:tcPr>
            <w:tcW w:w="235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深圳市罗湖保安服务有限公司</w:t>
            </w:r>
          </w:p>
        </w:tc>
        <w:tc>
          <w:tcPr>
            <w:tcW w:w="1998"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主要开展城市轨道交通运营安全管理、车站安检实务、突发事件应急处理及轨道交通安防技术应用等</w:t>
            </w:r>
          </w:p>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highlight w:val="none"/>
              </w:rPr>
            </w:pPr>
          </w:p>
        </w:tc>
        <w:tc>
          <w:tcPr>
            <w:tcW w:w="216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广西工程职业学院城市轨道交通工程技术专业校外实习基地</w:t>
            </w:r>
          </w:p>
        </w:tc>
        <w:tc>
          <w:tcPr>
            <w:tcW w:w="235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广西华信中安保安服务有限公司</w:t>
            </w:r>
          </w:p>
        </w:tc>
        <w:tc>
          <w:tcPr>
            <w:tcW w:w="1998"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主要开展城市轨道交通运营安全管理、车站安检实务、突发事件应急处理及轨道交通安防技术应用等</w:t>
            </w:r>
          </w:p>
        </w:tc>
        <w:tc>
          <w:tcPr>
            <w:tcW w:w="216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100</w:t>
            </w: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w:t>
      </w:r>
      <w:r>
        <w:rPr>
          <w:rFonts w:hint="eastAsia" w:ascii="楷体" w:hAnsi="楷体" w:eastAsia="楷体" w:cs="楷体"/>
          <w:color w:val="auto"/>
          <w:sz w:val="32"/>
          <w:szCs w:val="32"/>
          <w:highlight w:val="none"/>
          <w:lang w:val="en-US" w:eastAsia="zh-CN"/>
        </w:rPr>
        <w:t>二</w:t>
      </w:r>
      <w:r>
        <w:rPr>
          <w:rFonts w:hint="eastAsia" w:ascii="楷体" w:hAnsi="楷体" w:eastAsia="楷体" w:cs="楷体"/>
          <w:color w:val="auto"/>
          <w:sz w:val="32"/>
          <w:szCs w:val="32"/>
          <w:highlight w:val="none"/>
        </w:rPr>
        <w:t>）教学资源</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教学资源主要包括能满足学生专业学习、教师专业教学研究和教学实施所需的教材、图书文献及数字教学资源等。</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1.教材选用基本要求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i w:val="0"/>
          <w:iCs w:val="0"/>
          <w:caps w:val="0"/>
          <w:color w:val="auto"/>
          <w:spacing w:val="0"/>
          <w:sz w:val="32"/>
          <w:szCs w:val="32"/>
          <w:highlight w:val="none"/>
          <w:lang w:val="en-US" w:eastAsia="zh-CN"/>
        </w:rPr>
      </w:pPr>
      <w:r>
        <w:rPr>
          <w:rFonts w:hint="eastAsia" w:ascii="仿宋_GB2312" w:hAnsi="仿宋_GB2312" w:eastAsia="仿宋_GB2312" w:cs="仿宋_GB2312"/>
          <w:color w:val="auto"/>
          <w:sz w:val="32"/>
          <w:szCs w:val="32"/>
          <w:highlight w:val="none"/>
        </w:rPr>
        <w:t>按照国家规定，优先选用国家规划教材</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国家优秀教材</w:t>
      </w:r>
      <w:r>
        <w:rPr>
          <w:rFonts w:hint="eastAsia" w:ascii="仿宋_GB2312" w:hAnsi="仿宋_GB2312" w:eastAsia="仿宋_GB2312" w:cs="仿宋_GB2312"/>
          <w:i w:val="0"/>
          <w:iCs w:val="0"/>
          <w:caps w:val="0"/>
          <w:color w:val="auto"/>
          <w:spacing w:val="0"/>
          <w:sz w:val="32"/>
          <w:szCs w:val="32"/>
          <w:highlight w:val="none"/>
          <w:lang w:val="en-US" w:eastAsia="zh-CN"/>
        </w:rPr>
        <w:t>及近三年最新版规范教材，确保教材内容与人才培养方案、教学大纲匹配，注重实践性与时效性；</w:t>
      </w:r>
      <w:r>
        <w:rPr>
          <w:rFonts w:hint="eastAsia" w:ascii="仿宋_GB2312" w:hAnsi="仿宋_GB2312" w:eastAsia="仿宋_GB2312" w:cs="仿宋_GB2312"/>
          <w:color w:val="auto"/>
          <w:sz w:val="32"/>
          <w:szCs w:val="32"/>
          <w:highlight w:val="none"/>
        </w:rPr>
        <w:t>专业课程教材</w:t>
      </w:r>
      <w:r>
        <w:rPr>
          <w:rFonts w:hint="eastAsia" w:ascii="仿宋_GB2312" w:hAnsi="仿宋_GB2312" w:eastAsia="仿宋_GB2312" w:cs="仿宋_GB2312"/>
          <w:color w:val="auto"/>
          <w:sz w:val="32"/>
          <w:szCs w:val="32"/>
          <w:highlight w:val="none"/>
          <w:lang w:val="en-US" w:eastAsia="zh-CN"/>
        </w:rPr>
        <w:t>应</w:t>
      </w:r>
      <w:r>
        <w:rPr>
          <w:rFonts w:hint="eastAsia" w:ascii="仿宋_GB2312" w:hAnsi="仿宋_GB2312" w:eastAsia="仿宋_GB2312" w:cs="仿宋_GB2312"/>
          <w:color w:val="auto"/>
          <w:sz w:val="32"/>
          <w:szCs w:val="32"/>
          <w:highlight w:val="none"/>
        </w:rPr>
        <w:t>体现本行业新技术、新规范、新标准、新形态，并通过数字教材、活页式教材等多种方式进行动态更新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i w:val="0"/>
          <w:iCs w:val="0"/>
          <w:caps w:val="0"/>
          <w:color w:val="auto"/>
          <w:spacing w:val="0"/>
          <w:sz w:val="32"/>
          <w:szCs w:val="32"/>
          <w:highlight w:val="none"/>
          <w:lang w:val="en-US" w:eastAsia="zh-CN"/>
        </w:rPr>
        <w:t>强化意识形态审查，杜绝政治导向问题或内容陈旧、拼凑的教材。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图书文献配备基本要求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书文献配备能满足人才培养、专业建设、教科研等工作的需要。专业类图书文献主要包括：城市轨道交通工程技术专业涉及的职业标准、技术手册、操作规范、规章制度以及案例类图书、专业期刊等。及时配置新经济、新技术、新工艺、新材料、新管理方式、新服务方式等相关的图书文献。</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3.数字教学资源配置基本要求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建设、配备与本专业有关的音视频素材、教学课件、数字化教学案例库、虚拟仿真软件等专业教学资源库，种类丰富、形式多样、使用便捷、动态更新、满足教学。</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p>
    <w:p>
      <w:pPr>
        <w:keepNext w:val="0"/>
        <w:keepLines w:val="0"/>
        <w:pageBreakBefore w:val="0"/>
        <w:widowControl w:val="0"/>
        <w:numPr>
          <w:ilvl w:val="0"/>
          <w:numId w:val="3"/>
        </w:numPr>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教学方法</w:t>
      </w:r>
    </w:p>
    <w:p>
      <w:pPr>
        <w:overflowPunct w:val="0"/>
        <w:adjustRightInd w:val="0"/>
        <w:spacing w:after="0" w:line="52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w:t>
      </w:r>
      <w:r>
        <w:rPr>
          <w:rFonts w:hint="eastAsia" w:ascii="楷体" w:hAnsi="楷体" w:eastAsia="楷体" w:cs="楷体"/>
          <w:color w:val="auto"/>
          <w:sz w:val="32"/>
          <w:szCs w:val="32"/>
          <w:highlight w:val="none"/>
          <w:lang w:val="en-US" w:eastAsia="zh-CN"/>
        </w:rPr>
        <w:t>四</w:t>
      </w:r>
      <w:r>
        <w:rPr>
          <w:rFonts w:hint="eastAsia" w:ascii="楷体" w:hAnsi="楷体" w:eastAsia="楷体" w:cs="楷体"/>
          <w:color w:val="auto"/>
          <w:sz w:val="32"/>
          <w:szCs w:val="32"/>
          <w:highlight w:val="none"/>
        </w:rPr>
        <w:t>）学习评价</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1.课程考核方法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课程成绩评定根据学生参与度、作业质量、实训效果与期末考核等项目确定不同比例进行综合评定，评定标准如下：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）A类课程成绩构成（纯理论）</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课程总成绩=期末卷面考试成绩</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+平时成绩</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）B类课程成绩构成（理论+实践）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课程总成绩=期末卷面考试</w:t>
      </w:r>
      <w:r>
        <w:rPr>
          <w:rFonts w:hint="eastAsia" w:ascii="仿宋_GB2312" w:hAnsi="仿宋_GB2312" w:eastAsia="仿宋_GB2312" w:cs="仿宋_GB2312"/>
          <w:color w:val="auto"/>
          <w:sz w:val="32"/>
          <w:szCs w:val="32"/>
          <w:highlight w:val="none"/>
          <w:lang w:val="en-US" w:eastAsia="zh-CN"/>
        </w:rPr>
        <w:t>成绩</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+技能成绩（30%）+平时成绩（30%）。</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）C类课程成绩构成</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纯实践）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课程总成绩=技能成绩</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+平时成绩</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2.教学评价方式</w:t>
      </w:r>
      <w:bookmarkStart w:id="15" w:name="_GoBack"/>
      <w:bookmarkEnd w:id="15"/>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十一、</w:t>
      </w:r>
      <w:r>
        <w:rPr>
          <w:rFonts w:hint="eastAsia" w:ascii="黑体" w:hAnsi="黑体" w:eastAsia="黑体" w:cs="黑体"/>
          <w:b w:val="0"/>
          <w:bCs w:val="0"/>
          <w:color w:val="auto"/>
          <w:sz w:val="32"/>
          <w:szCs w:val="32"/>
          <w:highlight w:val="none"/>
        </w:rPr>
        <w:t>质量</w:t>
      </w:r>
      <w:r>
        <w:rPr>
          <w:rFonts w:hint="eastAsia" w:ascii="黑体" w:hAnsi="黑体" w:eastAsia="黑体" w:cs="黑体"/>
          <w:b w:val="0"/>
          <w:bCs w:val="0"/>
          <w:color w:val="auto"/>
          <w:sz w:val="32"/>
          <w:szCs w:val="32"/>
          <w:highlight w:val="none"/>
          <w:lang w:val="en-US" w:eastAsia="zh-CN"/>
        </w:rPr>
        <w:t>保障</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3.专业教研</w:t>
      </w:r>
      <w:r>
        <w:rPr>
          <w:rFonts w:hint="eastAsia" w:ascii="仿宋_GB2312" w:hAnsi="仿宋_GB2312" w:eastAsia="仿宋_GB2312" w:cs="仿宋_GB2312"/>
          <w:color w:val="auto"/>
          <w:sz w:val="32"/>
          <w:szCs w:val="32"/>
          <w:highlight w:val="none"/>
          <w:lang w:val="en-US" w:eastAsia="zh-CN"/>
        </w:rPr>
        <w:t>室</w:t>
      </w:r>
      <w:r>
        <w:rPr>
          <w:rFonts w:hint="eastAsia" w:ascii="仿宋_GB2312" w:hAnsi="仿宋_GB2312" w:eastAsia="仿宋_GB2312" w:cs="仿宋_GB2312"/>
          <w:color w:val="auto"/>
          <w:sz w:val="32"/>
          <w:szCs w:val="32"/>
          <w:highlight w:val="none"/>
        </w:rPr>
        <w:t>建立线上线下相结合的集中备课制度，定期召开教学研讨会议，利用评价分析结果有效改进专业教学，持续提高人才培养质量。</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.建立毕业生跟踪反馈机制及社会评价机制，并对生源情况、在校生学业水平、毕业生就业情况等进行分析，定期评价人才培养质量和培养目标达成情况。</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.充分利用评价分析结果有效改进专业教学，持续提高人才培养质量。</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eastAsia="zh-CN"/>
        </w:rPr>
      </w:pPr>
      <w:r>
        <w:rPr>
          <w:rFonts w:hint="eastAsia" w:ascii="黑体" w:hAnsi="黑体" w:eastAsia="黑体" w:cs="黑体"/>
          <w:b w:val="0"/>
          <w:bCs w:val="0"/>
          <w:color w:val="auto"/>
          <w:sz w:val="32"/>
          <w:szCs w:val="32"/>
          <w:highlight w:val="none"/>
          <w:lang w:val="en-US" w:eastAsia="zh-CN"/>
        </w:rPr>
        <w:t>十二、</w:t>
      </w:r>
      <w:r>
        <w:rPr>
          <w:rFonts w:hint="eastAsia" w:ascii="黑体" w:hAnsi="黑体" w:eastAsia="黑体" w:cs="黑体"/>
          <w:b w:val="0"/>
          <w:bCs w:val="0"/>
          <w:color w:val="auto"/>
          <w:sz w:val="32"/>
          <w:szCs w:val="32"/>
          <w:highlight w:val="none"/>
        </w:rPr>
        <w:t>毕业要求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0"/>
        <w:rPr>
          <w:rFonts w:hint="eastAsia" w:ascii="楷体" w:hAnsi="楷体" w:eastAsia="楷体" w:cs="楷体"/>
          <w:color w:val="auto"/>
          <w:kern w:val="2"/>
          <w:sz w:val="32"/>
          <w:szCs w:val="32"/>
          <w:highlight w:val="none"/>
          <w:lang w:val="en-US" w:eastAsia="zh-CN" w:bidi="ar-SA"/>
        </w:rPr>
      </w:pPr>
      <w:r>
        <w:rPr>
          <w:rFonts w:hint="eastAsia" w:ascii="楷体" w:hAnsi="楷体" w:eastAsia="楷体" w:cs="楷体"/>
          <w:color w:val="auto"/>
          <w:kern w:val="2"/>
          <w:sz w:val="32"/>
          <w:szCs w:val="32"/>
          <w:highlight w:val="none"/>
          <w:lang w:val="en-US" w:eastAsia="zh-CN" w:bidi="ar-SA"/>
        </w:rPr>
        <w:t>（一）学分要求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本专业要求学生根据人才培养方案确定的目标和培养规格，完成规定的实习实训，全部课程考核合格且修满至少155学分。其中，必修课135学分，选修课 20学分。公共必修课44学分，公共选修课8学分。专业必修课91学分，专业选修课12学分。</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）职业类证书要求</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将八大员等职业证书纳入培养要求，鼓励学生考取相关证书。通过职业证书的考取，提高学生的专业技能和就业竞争力，使学生更好地适应社会和企业的需求。</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学生接受职业培训取得的职业技能等级证书、培训证书等学习成果，经学校认定，可以转化为相应的学历教育学分，以支撑学生未来在就业、创业、学业等方面持续发展。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表13 </w:t>
      </w:r>
      <w:r>
        <w:rPr>
          <w:rFonts w:hint="eastAsia" w:ascii="仿宋_GB2312" w:hAnsi="仿宋_GB2312" w:eastAsia="仿宋_GB2312" w:cs="仿宋_GB2312"/>
          <w:color w:val="auto"/>
          <w:sz w:val="32"/>
          <w:szCs w:val="32"/>
          <w:highlight w:val="none"/>
        </w:rPr>
        <w:t>城市轨道交通工程技术</w:t>
      </w:r>
      <w:r>
        <w:rPr>
          <w:rFonts w:hint="eastAsia" w:ascii="仿宋_GB2312" w:hAnsi="仿宋_GB2312" w:eastAsia="仿宋_GB2312" w:cs="仿宋_GB2312"/>
          <w:color w:val="auto"/>
          <w:sz w:val="32"/>
          <w:szCs w:val="32"/>
          <w:highlight w:val="none"/>
          <w:lang w:val="en-US" w:eastAsia="zh-CN"/>
        </w:rPr>
        <w:t>专业职业证书一览表</w:t>
      </w:r>
    </w:p>
    <w:tbl>
      <w:tblPr>
        <w:tblStyle w:val="8"/>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534"/>
        <w:gridCol w:w="2734"/>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85" w:type="dxa"/>
            <w:vAlign w:val="center"/>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534" w:type="dxa"/>
            <w:vAlign w:val="center"/>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2734" w:type="dxa"/>
            <w:vAlign w:val="center"/>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400" w:type="dxa"/>
            <w:vAlign w:val="center"/>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施工员</w:t>
            </w:r>
          </w:p>
        </w:tc>
        <w:tc>
          <w:tcPr>
            <w:tcW w:w="27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sz w:val="24"/>
                <w:szCs w:val="24"/>
              </w:rPr>
              <w:t>质量员</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sz w:val="24"/>
                <w:szCs w:val="24"/>
              </w:rPr>
              <w:t>安全员</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sz w:val="24"/>
                <w:szCs w:val="24"/>
              </w:rPr>
              <w:t>标准员</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材料员</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6</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机械员</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7</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 xml:space="preserve"> 劳务员</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8</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资料员</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9</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AutoCAD机械设计</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1400"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10</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砌筑工（初级）</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1400"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楷体" w:hAnsi="楷体" w:eastAsia="楷体" w:cs="楷体"/>
          <w:color w:val="auto"/>
          <w:kern w:val="2"/>
          <w:sz w:val="32"/>
          <w:szCs w:val="32"/>
          <w:highlight w:val="none"/>
          <w:lang w:val="en-US" w:eastAsia="zh-CN" w:bidi="ar-SA"/>
        </w:rPr>
        <w:t>（三）综合素质要求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color w:val="auto"/>
          <w:highlight w:val="none"/>
        </w:rPr>
      </w:pPr>
      <w:r>
        <w:rPr>
          <w:rFonts w:hint="eastAsia" w:ascii="仿宋_GB2312" w:hAnsi="仿宋_GB2312" w:eastAsia="仿宋_GB2312" w:cs="仿宋_GB2312"/>
          <w:color w:val="auto"/>
          <w:kern w:val="2"/>
          <w:sz w:val="32"/>
          <w:szCs w:val="32"/>
          <w:highlight w:val="none"/>
          <w:lang w:val="en-US" w:eastAsia="zh-CN" w:bidi="ar-SA"/>
        </w:rPr>
        <w:t>经鉴定思想品德符合要求，国家学生体质健康测试合格，掌握本专业知识和技术技能，积极参加社会实践活动，具备职业综合素质和行动能力。</w:t>
      </w:r>
    </w:p>
    <w:sectPr>
      <w:footerReference r:id="rId4" w:type="default"/>
      <w:pgSz w:w="11906" w:h="16838"/>
      <w:pgMar w:top="1417" w:right="1417" w:bottom="1417" w:left="141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CE5A48D-DF39-4846-A15B-330293EFCC9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1EB270B5-AC88-48FE-A29C-9F178730C708}"/>
  </w:font>
  <w:font w:name="华文新魏">
    <w:panose1 w:val="02010800040101010101"/>
    <w:charset w:val="86"/>
    <w:family w:val="auto"/>
    <w:pitch w:val="default"/>
    <w:sig w:usb0="00000000" w:usb1="00000000" w:usb2="00000000" w:usb3="00000000" w:csb0="00000000" w:csb1="00000000"/>
    <w:embedRegular r:id="rId3" w:fontKey="{558732FB-E646-4D3D-8145-5FA8077BF073}"/>
  </w:font>
  <w:font w:name="方正小标宋简体">
    <w:panose1 w:val="00000600000000000000"/>
    <w:charset w:val="86"/>
    <w:family w:val="script"/>
    <w:pitch w:val="default"/>
    <w:sig w:usb0="800002BF" w:usb1="184F6CF8" w:usb2="00000012" w:usb3="00000000" w:csb0="00160001" w:csb1="12030000"/>
    <w:embedRegular r:id="rId4" w:fontKey="{4B1351C8-FA98-4288-9E99-E2AC07ADB208}"/>
  </w:font>
  <w:font w:name="仿宋_GB2312">
    <w:panose1 w:val="02010609030101010101"/>
    <w:charset w:val="86"/>
    <w:family w:val="modern"/>
    <w:pitch w:val="default"/>
    <w:sig w:usb0="00000001" w:usb1="080E0000" w:usb2="00000000" w:usb3="00000000" w:csb0="00040000" w:csb1="00000000"/>
    <w:embedRegular r:id="rId5" w:fontKey="{EE9E781B-D2A8-45E5-B92D-CA6E5BFE1FFA}"/>
  </w:font>
  <w:font w:name="楷体">
    <w:panose1 w:val="02010609060101010101"/>
    <w:charset w:val="86"/>
    <w:family w:val="modern"/>
    <w:pitch w:val="default"/>
    <w:sig w:usb0="800002BF" w:usb1="38CF7CFA" w:usb2="00000016" w:usb3="00000000" w:csb0="00040001" w:csb1="00000000"/>
    <w:embedRegular r:id="rId6" w:fontKey="{171551BC-B621-432C-BE84-10B855F9E66D}"/>
  </w:font>
  <w:font w:name="仿宋GB2312">
    <w:altName w:val="仿宋"/>
    <w:panose1 w:val="020B0604020202020204"/>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2D466B"/>
    <w:multiLevelType w:val="singleLevel"/>
    <w:tmpl w:val="EB2D466B"/>
    <w:lvl w:ilvl="0" w:tentative="0">
      <w:start w:val="1"/>
      <w:numFmt w:val="chineseCounting"/>
      <w:suff w:val="nothing"/>
      <w:lvlText w:val="（%1）"/>
      <w:lvlJc w:val="left"/>
      <w:rPr>
        <w:rFonts w:hint="eastAsia"/>
      </w:rPr>
    </w:lvl>
  </w:abstractNum>
  <w:abstractNum w:abstractNumId="1">
    <w:nsid w:val="F4795534"/>
    <w:multiLevelType w:val="singleLevel"/>
    <w:tmpl w:val="F4795534"/>
    <w:lvl w:ilvl="0" w:tentative="0">
      <w:start w:val="1"/>
      <w:numFmt w:val="chineseCounting"/>
      <w:suff w:val="nothing"/>
      <w:lvlText w:val="（%1）"/>
      <w:lvlJc w:val="left"/>
      <w:rPr>
        <w:rFonts w:hint="eastAsia"/>
      </w:rPr>
    </w:lvl>
  </w:abstractNum>
  <w:abstractNum w:abstractNumId="2">
    <w:nsid w:val="FF431B70"/>
    <w:multiLevelType w:val="singleLevel"/>
    <w:tmpl w:val="FF431B70"/>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A7FBE"/>
    <w:rsid w:val="00283E45"/>
    <w:rsid w:val="002D15C0"/>
    <w:rsid w:val="003531B3"/>
    <w:rsid w:val="003D3CE4"/>
    <w:rsid w:val="005645D8"/>
    <w:rsid w:val="005A2BBB"/>
    <w:rsid w:val="006A1AE0"/>
    <w:rsid w:val="0071110E"/>
    <w:rsid w:val="00A12741"/>
    <w:rsid w:val="00A165B0"/>
    <w:rsid w:val="00A23811"/>
    <w:rsid w:val="00AB71CC"/>
    <w:rsid w:val="00B14C0C"/>
    <w:rsid w:val="00B46AB6"/>
    <w:rsid w:val="00B91791"/>
    <w:rsid w:val="00C3446C"/>
    <w:rsid w:val="00C4271B"/>
    <w:rsid w:val="00D03D56"/>
    <w:rsid w:val="00D61B1D"/>
    <w:rsid w:val="00E2700A"/>
    <w:rsid w:val="00ED3BD8"/>
    <w:rsid w:val="00F52A8D"/>
    <w:rsid w:val="00F63617"/>
    <w:rsid w:val="00F82685"/>
    <w:rsid w:val="00FA77F6"/>
    <w:rsid w:val="00FB052B"/>
    <w:rsid w:val="01506837"/>
    <w:rsid w:val="01514167"/>
    <w:rsid w:val="01786F4B"/>
    <w:rsid w:val="01AA3877"/>
    <w:rsid w:val="02661E94"/>
    <w:rsid w:val="02CD5374"/>
    <w:rsid w:val="0314217D"/>
    <w:rsid w:val="03304250"/>
    <w:rsid w:val="03A07894"/>
    <w:rsid w:val="048C3708"/>
    <w:rsid w:val="04BC3FEE"/>
    <w:rsid w:val="04E16D8E"/>
    <w:rsid w:val="051223C4"/>
    <w:rsid w:val="062E0F1B"/>
    <w:rsid w:val="06471FDD"/>
    <w:rsid w:val="06C90C44"/>
    <w:rsid w:val="070954E4"/>
    <w:rsid w:val="07322345"/>
    <w:rsid w:val="07D672B4"/>
    <w:rsid w:val="082F2519"/>
    <w:rsid w:val="084C7436"/>
    <w:rsid w:val="08BC483E"/>
    <w:rsid w:val="08DA7138"/>
    <w:rsid w:val="08F70DAF"/>
    <w:rsid w:val="09075A53"/>
    <w:rsid w:val="094D790A"/>
    <w:rsid w:val="095347F5"/>
    <w:rsid w:val="09BF3D68"/>
    <w:rsid w:val="09CB082F"/>
    <w:rsid w:val="09D45935"/>
    <w:rsid w:val="0A1E4E03"/>
    <w:rsid w:val="0A634F0B"/>
    <w:rsid w:val="0AC91212"/>
    <w:rsid w:val="0AFF69E2"/>
    <w:rsid w:val="0B2B2F81"/>
    <w:rsid w:val="0B64718D"/>
    <w:rsid w:val="0B766935"/>
    <w:rsid w:val="0B9E269F"/>
    <w:rsid w:val="0BB93035"/>
    <w:rsid w:val="0C0A3BA0"/>
    <w:rsid w:val="0CE642FD"/>
    <w:rsid w:val="0D3000CB"/>
    <w:rsid w:val="0D791394"/>
    <w:rsid w:val="0DE924A0"/>
    <w:rsid w:val="0E2350DD"/>
    <w:rsid w:val="0E5E6115"/>
    <w:rsid w:val="0ED4462A"/>
    <w:rsid w:val="0F386966"/>
    <w:rsid w:val="0FA47B58"/>
    <w:rsid w:val="0FA67D74"/>
    <w:rsid w:val="0FD20B69"/>
    <w:rsid w:val="0FE4089C"/>
    <w:rsid w:val="10093E5F"/>
    <w:rsid w:val="10152804"/>
    <w:rsid w:val="10234F21"/>
    <w:rsid w:val="10914580"/>
    <w:rsid w:val="10EE36A0"/>
    <w:rsid w:val="116752E1"/>
    <w:rsid w:val="11894662"/>
    <w:rsid w:val="11AA0808"/>
    <w:rsid w:val="11DB391C"/>
    <w:rsid w:val="12485112"/>
    <w:rsid w:val="127F665A"/>
    <w:rsid w:val="129605A8"/>
    <w:rsid w:val="12DC3AAD"/>
    <w:rsid w:val="12F708E7"/>
    <w:rsid w:val="13203999"/>
    <w:rsid w:val="135C5E82"/>
    <w:rsid w:val="139B5716"/>
    <w:rsid w:val="13C46A1B"/>
    <w:rsid w:val="13C77F07"/>
    <w:rsid w:val="13F454F6"/>
    <w:rsid w:val="14465411"/>
    <w:rsid w:val="148631B9"/>
    <w:rsid w:val="14A800EA"/>
    <w:rsid w:val="15001CD4"/>
    <w:rsid w:val="150317C5"/>
    <w:rsid w:val="15202377"/>
    <w:rsid w:val="15542020"/>
    <w:rsid w:val="165F0C7D"/>
    <w:rsid w:val="1699418F"/>
    <w:rsid w:val="16995FBA"/>
    <w:rsid w:val="16A42B33"/>
    <w:rsid w:val="16DC051F"/>
    <w:rsid w:val="170B4961"/>
    <w:rsid w:val="1740285C"/>
    <w:rsid w:val="17427C69"/>
    <w:rsid w:val="1749510D"/>
    <w:rsid w:val="1796247C"/>
    <w:rsid w:val="1803749E"/>
    <w:rsid w:val="18231BC4"/>
    <w:rsid w:val="189841F5"/>
    <w:rsid w:val="18CB084B"/>
    <w:rsid w:val="19481E9C"/>
    <w:rsid w:val="19AF3CC9"/>
    <w:rsid w:val="19FA12B7"/>
    <w:rsid w:val="1A262FB5"/>
    <w:rsid w:val="1AD77F59"/>
    <w:rsid w:val="1AE45BF4"/>
    <w:rsid w:val="1AE8049A"/>
    <w:rsid w:val="1B386590"/>
    <w:rsid w:val="1BAE7956"/>
    <w:rsid w:val="1BCC19A4"/>
    <w:rsid w:val="1BF93A5C"/>
    <w:rsid w:val="1C27223D"/>
    <w:rsid w:val="1C681088"/>
    <w:rsid w:val="1C6F14EE"/>
    <w:rsid w:val="1CB25FAA"/>
    <w:rsid w:val="1D0377EB"/>
    <w:rsid w:val="1D24677C"/>
    <w:rsid w:val="1DD46F9A"/>
    <w:rsid w:val="1DD51824"/>
    <w:rsid w:val="1E4B3DFE"/>
    <w:rsid w:val="1E91399D"/>
    <w:rsid w:val="1EA77665"/>
    <w:rsid w:val="1ECC6B87"/>
    <w:rsid w:val="1EFA4CED"/>
    <w:rsid w:val="1F3A7811"/>
    <w:rsid w:val="1F5350F7"/>
    <w:rsid w:val="1FB17C46"/>
    <w:rsid w:val="1FB21E1D"/>
    <w:rsid w:val="1FBC2C9C"/>
    <w:rsid w:val="202A40A9"/>
    <w:rsid w:val="207417C9"/>
    <w:rsid w:val="20AA343C"/>
    <w:rsid w:val="20AD7038"/>
    <w:rsid w:val="20BE4D41"/>
    <w:rsid w:val="20E32B71"/>
    <w:rsid w:val="20E56222"/>
    <w:rsid w:val="210E0F0E"/>
    <w:rsid w:val="2170143C"/>
    <w:rsid w:val="21EB3D26"/>
    <w:rsid w:val="22123047"/>
    <w:rsid w:val="222C4BF2"/>
    <w:rsid w:val="223461B5"/>
    <w:rsid w:val="22967FAA"/>
    <w:rsid w:val="22A00653"/>
    <w:rsid w:val="2338088B"/>
    <w:rsid w:val="234F13A4"/>
    <w:rsid w:val="236773C3"/>
    <w:rsid w:val="237D0994"/>
    <w:rsid w:val="23954DD6"/>
    <w:rsid w:val="23D42CAA"/>
    <w:rsid w:val="244D65B8"/>
    <w:rsid w:val="249D12EE"/>
    <w:rsid w:val="24BE5675"/>
    <w:rsid w:val="24E76143"/>
    <w:rsid w:val="24F353B2"/>
    <w:rsid w:val="25E10CA0"/>
    <w:rsid w:val="262F5CC3"/>
    <w:rsid w:val="267A11BB"/>
    <w:rsid w:val="27075144"/>
    <w:rsid w:val="27441EF5"/>
    <w:rsid w:val="27AE3812"/>
    <w:rsid w:val="27BB7D5F"/>
    <w:rsid w:val="27F5401D"/>
    <w:rsid w:val="28557849"/>
    <w:rsid w:val="285A12A4"/>
    <w:rsid w:val="289A5B44"/>
    <w:rsid w:val="28BD30CD"/>
    <w:rsid w:val="28C922E9"/>
    <w:rsid w:val="296E1A2F"/>
    <w:rsid w:val="29B449E4"/>
    <w:rsid w:val="29C72B81"/>
    <w:rsid w:val="29F55728"/>
    <w:rsid w:val="2A5C5901"/>
    <w:rsid w:val="2B0F281A"/>
    <w:rsid w:val="2B8D373E"/>
    <w:rsid w:val="2BF11F1F"/>
    <w:rsid w:val="2C053D6C"/>
    <w:rsid w:val="2C717E24"/>
    <w:rsid w:val="2C802418"/>
    <w:rsid w:val="2CB341C7"/>
    <w:rsid w:val="2CC66F08"/>
    <w:rsid w:val="2CEB2E12"/>
    <w:rsid w:val="2D017E00"/>
    <w:rsid w:val="2D5704A8"/>
    <w:rsid w:val="2D8165B1"/>
    <w:rsid w:val="2D964B2C"/>
    <w:rsid w:val="2DAC4350"/>
    <w:rsid w:val="2DBF2F2B"/>
    <w:rsid w:val="2DD90E9C"/>
    <w:rsid w:val="2DE47F8D"/>
    <w:rsid w:val="2F083808"/>
    <w:rsid w:val="2F227927"/>
    <w:rsid w:val="2F34284F"/>
    <w:rsid w:val="2F436F36"/>
    <w:rsid w:val="2F7A2E0A"/>
    <w:rsid w:val="2F8D1F5F"/>
    <w:rsid w:val="2FA96B3D"/>
    <w:rsid w:val="2FD933F6"/>
    <w:rsid w:val="306D01DF"/>
    <w:rsid w:val="30A6152A"/>
    <w:rsid w:val="30A77050"/>
    <w:rsid w:val="30DC27D6"/>
    <w:rsid w:val="3115220C"/>
    <w:rsid w:val="31342FDA"/>
    <w:rsid w:val="318A49A8"/>
    <w:rsid w:val="31A83FF1"/>
    <w:rsid w:val="31AA329C"/>
    <w:rsid w:val="31D2634F"/>
    <w:rsid w:val="321D581C"/>
    <w:rsid w:val="32E71163"/>
    <w:rsid w:val="32F32A21"/>
    <w:rsid w:val="32F92E4C"/>
    <w:rsid w:val="32FA3DAF"/>
    <w:rsid w:val="33260700"/>
    <w:rsid w:val="33266952"/>
    <w:rsid w:val="33AE06F6"/>
    <w:rsid w:val="33B93C14"/>
    <w:rsid w:val="348B3F97"/>
    <w:rsid w:val="34B65AB4"/>
    <w:rsid w:val="34C46423"/>
    <w:rsid w:val="34EA50C0"/>
    <w:rsid w:val="357449D1"/>
    <w:rsid w:val="35E93C67"/>
    <w:rsid w:val="364315C9"/>
    <w:rsid w:val="36657792"/>
    <w:rsid w:val="370E7E29"/>
    <w:rsid w:val="37360836"/>
    <w:rsid w:val="374B0877"/>
    <w:rsid w:val="376B0DD8"/>
    <w:rsid w:val="3770165B"/>
    <w:rsid w:val="37960DB8"/>
    <w:rsid w:val="37AD2573"/>
    <w:rsid w:val="37EE37B7"/>
    <w:rsid w:val="381153F4"/>
    <w:rsid w:val="38481119"/>
    <w:rsid w:val="385C6341"/>
    <w:rsid w:val="38877EE4"/>
    <w:rsid w:val="3892511D"/>
    <w:rsid w:val="38C22C79"/>
    <w:rsid w:val="39372651"/>
    <w:rsid w:val="396C0E37"/>
    <w:rsid w:val="39A700C1"/>
    <w:rsid w:val="39D128E8"/>
    <w:rsid w:val="39FC040D"/>
    <w:rsid w:val="3A451367"/>
    <w:rsid w:val="3A60099C"/>
    <w:rsid w:val="3A6272FD"/>
    <w:rsid w:val="3A7A7584"/>
    <w:rsid w:val="3A8765F3"/>
    <w:rsid w:val="3ABE538A"/>
    <w:rsid w:val="3AEA4709"/>
    <w:rsid w:val="3B0F4BEB"/>
    <w:rsid w:val="3B4007CD"/>
    <w:rsid w:val="3BDE299C"/>
    <w:rsid w:val="3C17152E"/>
    <w:rsid w:val="3CFD4438"/>
    <w:rsid w:val="3D0047E4"/>
    <w:rsid w:val="3D304205"/>
    <w:rsid w:val="3D766728"/>
    <w:rsid w:val="3D9F7A2D"/>
    <w:rsid w:val="3E4D7489"/>
    <w:rsid w:val="3E725142"/>
    <w:rsid w:val="3EB92D70"/>
    <w:rsid w:val="3F6A4DBB"/>
    <w:rsid w:val="3F785DC7"/>
    <w:rsid w:val="3FF86C17"/>
    <w:rsid w:val="3FFC1167"/>
    <w:rsid w:val="40077B0C"/>
    <w:rsid w:val="404B5C4A"/>
    <w:rsid w:val="40664832"/>
    <w:rsid w:val="407A6B43"/>
    <w:rsid w:val="4084115C"/>
    <w:rsid w:val="4099592E"/>
    <w:rsid w:val="40B53BBC"/>
    <w:rsid w:val="40B557B9"/>
    <w:rsid w:val="40C8470D"/>
    <w:rsid w:val="413D6362"/>
    <w:rsid w:val="41540B2E"/>
    <w:rsid w:val="415648A7"/>
    <w:rsid w:val="41727207"/>
    <w:rsid w:val="4199641F"/>
    <w:rsid w:val="41A42FA1"/>
    <w:rsid w:val="41BB6E00"/>
    <w:rsid w:val="41CF62FB"/>
    <w:rsid w:val="41DE5079"/>
    <w:rsid w:val="422A57D8"/>
    <w:rsid w:val="425A3D85"/>
    <w:rsid w:val="42817701"/>
    <w:rsid w:val="428611BC"/>
    <w:rsid w:val="42B86E9B"/>
    <w:rsid w:val="42DC0DDB"/>
    <w:rsid w:val="430976F7"/>
    <w:rsid w:val="43105F3B"/>
    <w:rsid w:val="436463B1"/>
    <w:rsid w:val="43713C1A"/>
    <w:rsid w:val="43792ACE"/>
    <w:rsid w:val="43A538C3"/>
    <w:rsid w:val="43C755E8"/>
    <w:rsid w:val="44380293"/>
    <w:rsid w:val="447D65EE"/>
    <w:rsid w:val="449A36B7"/>
    <w:rsid w:val="44A43B7B"/>
    <w:rsid w:val="44B71B00"/>
    <w:rsid w:val="44B862E9"/>
    <w:rsid w:val="455530C7"/>
    <w:rsid w:val="45C2075D"/>
    <w:rsid w:val="45FD67CE"/>
    <w:rsid w:val="4602706C"/>
    <w:rsid w:val="46733805"/>
    <w:rsid w:val="46B856BC"/>
    <w:rsid w:val="46EE10DD"/>
    <w:rsid w:val="46F661E4"/>
    <w:rsid w:val="47103740"/>
    <w:rsid w:val="471C3E9C"/>
    <w:rsid w:val="47846F9A"/>
    <w:rsid w:val="4803505C"/>
    <w:rsid w:val="480A0199"/>
    <w:rsid w:val="4881241A"/>
    <w:rsid w:val="48A57EC2"/>
    <w:rsid w:val="48AE4FC8"/>
    <w:rsid w:val="48BA396D"/>
    <w:rsid w:val="48BD16AF"/>
    <w:rsid w:val="48DF1625"/>
    <w:rsid w:val="48E56510"/>
    <w:rsid w:val="491533A3"/>
    <w:rsid w:val="49300FD7"/>
    <w:rsid w:val="49395702"/>
    <w:rsid w:val="49843F7B"/>
    <w:rsid w:val="49A63EF1"/>
    <w:rsid w:val="4A3C6604"/>
    <w:rsid w:val="4AA20B5D"/>
    <w:rsid w:val="4AD8632C"/>
    <w:rsid w:val="4AF15640"/>
    <w:rsid w:val="4AFA62A3"/>
    <w:rsid w:val="4B726781"/>
    <w:rsid w:val="4BC70E4B"/>
    <w:rsid w:val="4C0272E2"/>
    <w:rsid w:val="4C0C0983"/>
    <w:rsid w:val="4C1149B8"/>
    <w:rsid w:val="4C675BBA"/>
    <w:rsid w:val="4D135D42"/>
    <w:rsid w:val="4D1473C4"/>
    <w:rsid w:val="4E1246A3"/>
    <w:rsid w:val="4E514358"/>
    <w:rsid w:val="4E5C7274"/>
    <w:rsid w:val="4EA12FE0"/>
    <w:rsid w:val="4EE21ECA"/>
    <w:rsid w:val="4F1B712F"/>
    <w:rsid w:val="4F585C8E"/>
    <w:rsid w:val="4F6B3C13"/>
    <w:rsid w:val="4F7D56F4"/>
    <w:rsid w:val="509C4C8B"/>
    <w:rsid w:val="5135219E"/>
    <w:rsid w:val="513F01FB"/>
    <w:rsid w:val="517A5B1D"/>
    <w:rsid w:val="51C30881"/>
    <w:rsid w:val="51D535C6"/>
    <w:rsid w:val="51E17BC7"/>
    <w:rsid w:val="51FE1E87"/>
    <w:rsid w:val="522105B9"/>
    <w:rsid w:val="5259656B"/>
    <w:rsid w:val="531E56AD"/>
    <w:rsid w:val="535B634F"/>
    <w:rsid w:val="53807561"/>
    <w:rsid w:val="53A024CF"/>
    <w:rsid w:val="53AF2EB9"/>
    <w:rsid w:val="53C71634"/>
    <w:rsid w:val="541C0B97"/>
    <w:rsid w:val="542919A7"/>
    <w:rsid w:val="547D6E43"/>
    <w:rsid w:val="54855FA4"/>
    <w:rsid w:val="54BA009B"/>
    <w:rsid w:val="55D87B28"/>
    <w:rsid w:val="56397652"/>
    <w:rsid w:val="565C2507"/>
    <w:rsid w:val="566118CC"/>
    <w:rsid w:val="56A23A63"/>
    <w:rsid w:val="56F95FA8"/>
    <w:rsid w:val="572D5C52"/>
    <w:rsid w:val="580D2693"/>
    <w:rsid w:val="58337298"/>
    <w:rsid w:val="58680DC2"/>
    <w:rsid w:val="588673C8"/>
    <w:rsid w:val="58E02A3F"/>
    <w:rsid w:val="5900361E"/>
    <w:rsid w:val="592F7A5F"/>
    <w:rsid w:val="59345076"/>
    <w:rsid w:val="59575208"/>
    <w:rsid w:val="595C12A3"/>
    <w:rsid w:val="5996188C"/>
    <w:rsid w:val="59C77C98"/>
    <w:rsid w:val="59DE1485"/>
    <w:rsid w:val="5A9F0C15"/>
    <w:rsid w:val="5AD36B10"/>
    <w:rsid w:val="5AE64A95"/>
    <w:rsid w:val="5B137EF8"/>
    <w:rsid w:val="5B1F1DFE"/>
    <w:rsid w:val="5B322D65"/>
    <w:rsid w:val="5BBC75A4"/>
    <w:rsid w:val="5BCC4E68"/>
    <w:rsid w:val="5C0C052C"/>
    <w:rsid w:val="5C0E6052"/>
    <w:rsid w:val="5C38700F"/>
    <w:rsid w:val="5C4E644E"/>
    <w:rsid w:val="5C606182"/>
    <w:rsid w:val="5C8C341B"/>
    <w:rsid w:val="5C9B365E"/>
    <w:rsid w:val="5CA81427"/>
    <w:rsid w:val="5CC44589"/>
    <w:rsid w:val="5CD1707F"/>
    <w:rsid w:val="5D01298C"/>
    <w:rsid w:val="5D206DB4"/>
    <w:rsid w:val="5D292A17"/>
    <w:rsid w:val="5E043D85"/>
    <w:rsid w:val="5E510503"/>
    <w:rsid w:val="5E7540E3"/>
    <w:rsid w:val="5E8B1BDC"/>
    <w:rsid w:val="5E93321A"/>
    <w:rsid w:val="5E9B7945"/>
    <w:rsid w:val="5EBD5B0D"/>
    <w:rsid w:val="5F07293D"/>
    <w:rsid w:val="5F1B4F3C"/>
    <w:rsid w:val="5F2B6F1B"/>
    <w:rsid w:val="5F335DCF"/>
    <w:rsid w:val="5F475456"/>
    <w:rsid w:val="5F4C0C3F"/>
    <w:rsid w:val="5FC058B5"/>
    <w:rsid w:val="5FE1582B"/>
    <w:rsid w:val="5FF23595"/>
    <w:rsid w:val="5FF437B1"/>
    <w:rsid w:val="601C4AB5"/>
    <w:rsid w:val="6054149D"/>
    <w:rsid w:val="608D150F"/>
    <w:rsid w:val="611D2893"/>
    <w:rsid w:val="613D1187"/>
    <w:rsid w:val="613D21C1"/>
    <w:rsid w:val="614442C4"/>
    <w:rsid w:val="61750921"/>
    <w:rsid w:val="617A5F38"/>
    <w:rsid w:val="61926DDD"/>
    <w:rsid w:val="62386256"/>
    <w:rsid w:val="623C0745"/>
    <w:rsid w:val="62D11B87"/>
    <w:rsid w:val="62DD677E"/>
    <w:rsid w:val="62E80EC0"/>
    <w:rsid w:val="62F37D50"/>
    <w:rsid w:val="631D301E"/>
    <w:rsid w:val="631F49AF"/>
    <w:rsid w:val="632717A7"/>
    <w:rsid w:val="6384309D"/>
    <w:rsid w:val="638D0589"/>
    <w:rsid w:val="63BC0E58"/>
    <w:rsid w:val="63CE39A4"/>
    <w:rsid w:val="63D27965"/>
    <w:rsid w:val="64025D70"/>
    <w:rsid w:val="643017E4"/>
    <w:rsid w:val="644840CB"/>
    <w:rsid w:val="64966BE4"/>
    <w:rsid w:val="64CD303E"/>
    <w:rsid w:val="64EE1F01"/>
    <w:rsid w:val="65165F77"/>
    <w:rsid w:val="65FE0EE5"/>
    <w:rsid w:val="663F14FE"/>
    <w:rsid w:val="66707909"/>
    <w:rsid w:val="66B141AA"/>
    <w:rsid w:val="67470A9D"/>
    <w:rsid w:val="67697E95"/>
    <w:rsid w:val="6773145F"/>
    <w:rsid w:val="67B90B06"/>
    <w:rsid w:val="67FA56DC"/>
    <w:rsid w:val="681A3FD0"/>
    <w:rsid w:val="6888718C"/>
    <w:rsid w:val="68A4680D"/>
    <w:rsid w:val="68B25FB7"/>
    <w:rsid w:val="69164798"/>
    <w:rsid w:val="69D837FB"/>
    <w:rsid w:val="6A246A40"/>
    <w:rsid w:val="6A9C6F1F"/>
    <w:rsid w:val="6ABA1153"/>
    <w:rsid w:val="6AF44665"/>
    <w:rsid w:val="6BDB75D3"/>
    <w:rsid w:val="6BF80185"/>
    <w:rsid w:val="6C2B055A"/>
    <w:rsid w:val="6C423AF6"/>
    <w:rsid w:val="6C8A72E3"/>
    <w:rsid w:val="6C923EBF"/>
    <w:rsid w:val="6CCE7137"/>
    <w:rsid w:val="6D1D49F8"/>
    <w:rsid w:val="6D8F2D6B"/>
    <w:rsid w:val="6E0C43BB"/>
    <w:rsid w:val="6E661D1D"/>
    <w:rsid w:val="6EF07839"/>
    <w:rsid w:val="6F1414AC"/>
    <w:rsid w:val="6F2F65B3"/>
    <w:rsid w:val="6F721644"/>
    <w:rsid w:val="6FB45967"/>
    <w:rsid w:val="6FC4358D"/>
    <w:rsid w:val="6FF128C8"/>
    <w:rsid w:val="6FF60E7F"/>
    <w:rsid w:val="713C6D66"/>
    <w:rsid w:val="71DD2CB4"/>
    <w:rsid w:val="72011973"/>
    <w:rsid w:val="72563E57"/>
    <w:rsid w:val="72DA6836"/>
    <w:rsid w:val="72F21DD2"/>
    <w:rsid w:val="72FF629D"/>
    <w:rsid w:val="730022F6"/>
    <w:rsid w:val="732301DD"/>
    <w:rsid w:val="732950C8"/>
    <w:rsid w:val="735E76C4"/>
    <w:rsid w:val="73BE1CB4"/>
    <w:rsid w:val="73C60B68"/>
    <w:rsid w:val="73FB5836"/>
    <w:rsid w:val="73FD2CDB"/>
    <w:rsid w:val="74024296"/>
    <w:rsid w:val="74185868"/>
    <w:rsid w:val="742510D0"/>
    <w:rsid w:val="74257F85"/>
    <w:rsid w:val="743261FE"/>
    <w:rsid w:val="744F0B5E"/>
    <w:rsid w:val="749A44CF"/>
    <w:rsid w:val="74F55BA9"/>
    <w:rsid w:val="74F6722B"/>
    <w:rsid w:val="751A53DD"/>
    <w:rsid w:val="7535244A"/>
    <w:rsid w:val="75504B8E"/>
    <w:rsid w:val="7585069B"/>
    <w:rsid w:val="76191423"/>
    <w:rsid w:val="76326989"/>
    <w:rsid w:val="76562678"/>
    <w:rsid w:val="7718792D"/>
    <w:rsid w:val="77BB6498"/>
    <w:rsid w:val="77D965A0"/>
    <w:rsid w:val="77FC484A"/>
    <w:rsid w:val="782C5979"/>
    <w:rsid w:val="7847671C"/>
    <w:rsid w:val="789254BD"/>
    <w:rsid w:val="79002D6F"/>
    <w:rsid w:val="791660EE"/>
    <w:rsid w:val="79187CE5"/>
    <w:rsid w:val="79751DE3"/>
    <w:rsid w:val="7A1E674C"/>
    <w:rsid w:val="7AD52274"/>
    <w:rsid w:val="7B821819"/>
    <w:rsid w:val="7BAC4AE8"/>
    <w:rsid w:val="7C7E0F8D"/>
    <w:rsid w:val="7C9C690A"/>
    <w:rsid w:val="7D1172F8"/>
    <w:rsid w:val="7D7B6E68"/>
    <w:rsid w:val="7DAC0DCF"/>
    <w:rsid w:val="7DF80183"/>
    <w:rsid w:val="7E372159"/>
    <w:rsid w:val="7EAF501B"/>
    <w:rsid w:val="7F080287"/>
    <w:rsid w:val="7F1255AA"/>
    <w:rsid w:val="7F491DA9"/>
    <w:rsid w:val="7FB623D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Cs w:val="21"/>
      <w:lang w:eastAsia="en-US"/>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paragraph" w:customStyle="1" w:styleId="11">
    <w:name w:val="Table Text"/>
    <w:basedOn w:val="1"/>
    <w:semiHidden/>
    <w:qFormat/>
    <w:uiPriority w:val="0"/>
    <w:rPr>
      <w:rFonts w:ascii="宋体" w:hAnsi="宋体" w:cs="宋体"/>
      <w:sz w:val="18"/>
      <w:szCs w:val="18"/>
      <w:lang w:eastAsia="en-US"/>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2499</Words>
  <Characters>2768</Characters>
  <Lines>1850</Lines>
  <Paragraphs>1270</Paragraphs>
  <TotalTime>5</TotalTime>
  <ScaleCrop>false</ScaleCrop>
  <LinksUpToDate>false</LinksUpToDate>
  <CharactersWithSpaces>3069</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WPS_1488112007</cp:lastModifiedBy>
  <cp:lastPrinted>2024-09-18T02:55:00Z</cp:lastPrinted>
  <dcterms:modified xsi:type="dcterms:W3CDTF">2026-03-20T07:45:10Z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0DAC74E1EFE5487690866511387BAA3D_13</vt:lpwstr>
  </property>
  <property fmtid="{D5CDD505-2E9C-101B-9397-08002B2CF9AE}" pid="4" name="KSOTemplateDocerSaveRecord">
    <vt:lpwstr>eyJoZGlkIjoiZDc3MjQ3MzEwMTQ3ZDM0MGU0NzhjODc0MTU1MjY3MWMiLCJ1c2VySWQiOiI5MzQ1MzgzNTMifQ==</vt:lpwstr>
  </property>
</Properties>
</file>