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城市轨道交通运营管理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50060</w:t>
      </w:r>
      <w:r>
        <w:rPr>
          <w:rFonts w:hint="eastAsia" w:ascii="仿宋_GB2312" w:hAnsi="仿宋_GB2312" w:eastAsia="仿宋_GB2312" w:cs="仿宋_GB2312"/>
          <w:color w:val="auto"/>
          <w:kern w:val="0"/>
          <w:sz w:val="32"/>
          <w:szCs w:val="32"/>
          <w:u w:val="single"/>
          <w:lang w:val="en-US" w:eastAsia="zh-CN"/>
        </w:rPr>
        <w:t xml:space="preserve">6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铁道与航空学院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shd w:val="clear" w:color="auto" w:fill="FFFFFF"/>
          <w:lang w:val="en-US" w:eastAsia="zh-CN"/>
        </w:r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工程职业学院城市轨道交通运营管理</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color w:val="auto"/>
          <w:sz w:val="32"/>
          <w:szCs w:val="32"/>
          <w:highlight w:val="none"/>
        </w:rPr>
        <w:t>广西华信中安保安服务有限</w:t>
      </w:r>
      <w:r>
        <w:rPr>
          <w:rFonts w:hint="eastAsia" w:ascii="仿宋_GB2312" w:hAnsi="仿宋_GB2312" w:eastAsia="仿宋_GB2312" w:cs="仿宋_GB2312"/>
          <w:b w:val="0"/>
          <w:bCs/>
          <w:color w:val="auto"/>
          <w:sz w:val="32"/>
          <w:szCs w:val="32"/>
          <w:highlight w:val="none"/>
        </w:rPr>
        <w:t>公司</w:t>
      </w:r>
      <w:r>
        <w:rPr>
          <w:rFonts w:hint="eastAsia" w:ascii="仿宋_GB2312" w:hAnsi="仿宋_GB2312" w:eastAsia="仿宋_GB2312" w:cs="仿宋_GB2312"/>
          <w:b w:val="0"/>
          <w:bCs/>
          <w:color w:val="auto"/>
          <w:sz w:val="32"/>
          <w:szCs w:val="32"/>
          <w:highlight w:val="none"/>
          <w:lang w:val="en-US" w:eastAsia="zh-CN"/>
        </w:rPr>
        <w:t>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597"/>
        <w:gridCol w:w="1635"/>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59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63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212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保蕊</w:t>
            </w:r>
          </w:p>
        </w:tc>
        <w:tc>
          <w:tcPr>
            <w:tcW w:w="2597"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default" w:ascii="仿宋_GB2312" w:hAnsi="仿宋_GB2312" w:eastAsia="仿宋_GB2312" w:cs="仿宋_GB2312"/>
                <w:b w:val="0"/>
                <w:bCs/>
                <w:color w:val="auto"/>
                <w:sz w:val="32"/>
                <w:szCs w:val="32"/>
                <w:highlight w:val="none"/>
                <w:vertAlign w:val="baseline"/>
                <w:lang w:val="en-US" w:eastAsia="zh-CN"/>
              </w:rPr>
              <w:t>广西华信中安保安服务有限公司</w:t>
            </w:r>
          </w:p>
        </w:tc>
        <w:tc>
          <w:tcPr>
            <w:tcW w:w="163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总经理</w:t>
            </w:r>
          </w:p>
        </w:tc>
        <w:tc>
          <w:tcPr>
            <w:tcW w:w="2128"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rPr>
              <w:t>李婷</w:t>
            </w:r>
          </w:p>
        </w:tc>
        <w:tc>
          <w:tcPr>
            <w:tcW w:w="259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63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128"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rPr>
              <w:t>中级经济师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rPr>
              <w:t>黄典荣</w:t>
            </w:r>
          </w:p>
        </w:tc>
        <w:tc>
          <w:tcPr>
            <w:tcW w:w="259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63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12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rPr>
              <w:t>方妤</w:t>
            </w:r>
          </w:p>
        </w:tc>
        <w:tc>
          <w:tcPr>
            <w:tcW w:w="259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63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12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5</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lang w:val="en-US" w:eastAsia="zh-CN"/>
              </w:rPr>
              <w:t>张晋源</w:t>
            </w:r>
          </w:p>
        </w:tc>
        <w:tc>
          <w:tcPr>
            <w:tcW w:w="259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63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12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无</w:t>
            </w:r>
          </w:p>
        </w:tc>
      </w:tr>
    </w:tbl>
    <w:p>
      <w:pP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br w:type="page"/>
      </w:r>
    </w:p>
    <w:p>
      <w:pP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br w:type="page"/>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lang w:val="en-US" w:eastAsia="zh-CN"/>
        </w:rPr>
      </w:pPr>
      <w:r>
        <w:rPr>
          <w:rFonts w:hint="eastAsia" w:ascii="黑体" w:hAnsi="黑体" w:eastAsia="黑体" w:cs="黑体"/>
          <w:b w:val="0"/>
          <w:bCs/>
          <w:color w:val="auto"/>
          <w:sz w:val="44"/>
          <w:szCs w:val="44"/>
          <w:lang w:val="en-US" w:eastAsia="zh-CN"/>
        </w:rPr>
        <w:t>目  录</w:t>
      </w:r>
    </w:p>
    <w:p>
      <w:pPr>
        <w:keepNext w:val="0"/>
        <w:keepLines w:val="0"/>
        <w:pageBreakBefore w:val="0"/>
        <w:widowControl w:val="0"/>
        <w:kinsoku/>
        <w:wordWrap/>
        <w:overflowPunct w:val="0"/>
        <w:topLinePunct w:val="0"/>
        <w:autoSpaceDE/>
        <w:autoSpaceDN/>
        <w:bidi w:val="0"/>
        <w:adjustRightInd w:val="0"/>
        <w:snapToGrid w:val="0"/>
        <w:spacing w:after="0" w:line="440" w:lineRule="exact"/>
        <w:jc w:val="center"/>
        <w:textAlignment w:val="auto"/>
        <w:rPr>
          <w:rFonts w:hint="eastAsia" w:ascii="黑体" w:hAnsi="黑体" w:eastAsia="黑体" w:cs="黑体"/>
          <w:b w:val="0"/>
          <w:bCs/>
          <w:color w:val="auto"/>
          <w:sz w:val="44"/>
          <w:szCs w:val="44"/>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一、专业名称及代码</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二、入学要求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三、基本修业年限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四、职业面向</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五、培养目标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六、培养规格</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（一）知识目标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（二）能力目标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（三）素质目标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七、课程设置</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（一）公共基础课程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（三）第二课堂素质教育课</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35</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八、教学进程总体安排</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（一）教学环节分配表</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（二）课程结构与学时、学分分配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（三）教学计划进程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九、师资队伍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（一）队伍结构</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（二）专业带头人</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（三）专任教师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（四）兼职教师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十、教学条件</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（一）教学设施</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（二）教学资源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（三）教学方法</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（四）学习评价</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十一、质量保障</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45</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十二、毕业要求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（一）学分要求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color w:val="auto"/>
          <w:sz w:val="32"/>
          <w:szCs w:val="32"/>
          <w:lang w:eastAsia="zh-CN"/>
        </w:rPr>
        <w:t>职业类证书要求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（三）综合素质要求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lang w:val="en-US" w:eastAsia="zh-CN"/>
        </w:rPr>
        <w:sectPr>
          <w:headerReference r:id="rId3" w:type="default"/>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城市轨道交通运营管理</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一、专业名称及代码</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CN"/>
        </w:rPr>
        <w:t>城市轨道交通运营管理</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color w:val="auto"/>
          <w:sz w:val="32"/>
          <w:szCs w:val="32"/>
          <w:lang w:val="en-US" w:eastAsia="zh-CN"/>
        </w:rPr>
        <w:t xml:space="preserve">500606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二、入学要求</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四、职业面向</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8"/>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2184"/>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7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1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hint="eastAsia" w:ascii="仿宋_GB2312" w:hAnsi="仿宋_GB2312" w:eastAsia="仿宋_GB2312" w:cs="仿宋_GB2312"/>
                <w:color w:val="auto"/>
                <w:sz w:val="24"/>
              </w:rPr>
            </w:pPr>
            <w:bookmarkStart w:id="0" w:name="OLE_LINK1" w:colFirst="0" w:colLast="5"/>
            <w:r>
              <w:rPr>
                <w:rFonts w:hint="eastAsia" w:ascii="仿宋_GB2312" w:hAnsi="仿宋_GB2312" w:eastAsia="仿宋_GB2312" w:cs="仿宋_GB2312"/>
                <w:color w:val="auto"/>
                <w:sz w:val="24"/>
              </w:rPr>
              <w:t>交通运输大类（50）</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城市轨道交通类（5006）</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城市轨道交通（5412）</w:t>
            </w:r>
          </w:p>
        </w:tc>
        <w:tc>
          <w:tcPr>
            <w:tcW w:w="1728" w:type="dxa"/>
            <w:vAlign w:val="center"/>
          </w:tcPr>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城市轨道交通服务员（4-02-01-07）</w:t>
            </w:r>
          </w:p>
        </w:tc>
        <w:tc>
          <w:tcPr>
            <w:tcW w:w="218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客运服务；</w:t>
            </w:r>
          </w:p>
          <w:p>
            <w:pPr>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票务管理；</w:t>
            </w:r>
          </w:p>
          <w:p>
            <w:pPr>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客运组织；</w:t>
            </w:r>
          </w:p>
          <w:p>
            <w:pPr>
              <w:keepNext w:val="0"/>
              <w:keepLines w:val="0"/>
              <w:pageBreakBefore w:val="0"/>
              <w:widowControl w:val="0"/>
              <w:kinsoku/>
              <w:wordWrap/>
              <w:overflowPunct w:val="0"/>
              <w:topLinePunct w:val="0"/>
              <w:autoSpaceDE/>
              <w:autoSpaceDN/>
              <w:bidi w:val="0"/>
              <w:adjustRightInd w:val="0"/>
              <w:snapToGrid w:val="0"/>
              <w:spacing w:after="0" w:line="240" w:lineRule="auto"/>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行车组织。</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val="0"/>
              <w:spacing w:after="0" w:line="240" w:lineRule="auto"/>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城市轨道交通站务</w:t>
            </w:r>
          </w:p>
        </w:tc>
      </w:tr>
      <w:bookmarkEnd w:id="0"/>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五、培养目标</w:t>
      </w:r>
    </w:p>
    <w:p>
      <w:pPr>
        <w:overflowPunct w:val="0"/>
        <w:adjustRightInd w:val="0"/>
        <w:spacing w:after="0" w:line="5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专业培养能够践行社会主义核心价值观，传承技能文明，德智体美劳全面发展，具有科学文化素养和数字技术应用能力，厚植爱岗敬业的职业精神和精益求精的工匠精神，掌握城市轨道交通运营管理专业知识和智能运维技术技能，突出智能化运营管理特色，系统构建智慧城轨、自动售检票系统、列车自动控制等新技术应用能力。具备职业综合素质和可持续发展能力，面向城市轨道交通行业的客运服务、智能调度、票务管理、行车组织等岗位群，能在全自动运行系统等新技术应用场景下从事设备智能运维、乘客精准服务、票务数据分析、大客流智慧疏导、数字化行车作业及突发事件应急处置工作，形成从基层技术岗到行车调度指挥岗的职业发展通道，成为适应智慧城轨发展的复合型高技能人才。</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p>
    <w:p>
      <w:pPr>
        <w:pStyle w:val="3"/>
        <w:keepNext w:val="0"/>
        <w:keepLines w:val="0"/>
        <w:pageBreakBefore w:val="0"/>
        <w:widowControl w:val="0"/>
        <w:kinsoku/>
        <w:wordWrap/>
        <w:topLinePunct w:val="0"/>
        <w:autoSpaceDE/>
        <w:autoSpaceDN/>
        <w:bidi w:val="0"/>
        <w:snapToGrid/>
        <w:spacing w:after="0" w:line="520" w:lineRule="exact"/>
        <w:ind w:left="0" w:righ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2"/>
          <w:sz w:val="32"/>
          <w:szCs w:val="32"/>
          <w:lang w:val="en-US" w:eastAsia="zh-CN" w:bidi="ar-SA"/>
        </w:rPr>
        <w:t>本专业学生应在系统学习本专业知识并完成有关实习实训基础上，全面提升知识、能力、素质，掌握并实际运用岗位（群）需要的专业核心技术技能，实现德智体美劳全面发展,</w:t>
      </w:r>
      <w:r>
        <w:rPr>
          <w:rFonts w:hint="eastAsia" w:ascii="仿宋_GB2312" w:hAnsi="仿宋_GB2312" w:eastAsia="仿宋_GB2312" w:cs="仿宋_GB2312"/>
          <w:color w:val="auto"/>
          <w:sz w:val="32"/>
          <w:szCs w:val="32"/>
          <w:lang w:eastAsia="zh-CN"/>
        </w:rPr>
        <w:t>总体上须达到以下要求：</w:t>
      </w:r>
    </w:p>
    <w:p>
      <w:pPr>
        <w:overflowPunct w:val="0"/>
        <w:adjustRightInd w:val="0"/>
        <w:spacing w:after="0" w:line="520" w:lineRule="exact"/>
        <w:ind w:firstLine="640" w:firstLineChars="200"/>
        <w:outlineLvl w:val="1"/>
        <w:rPr>
          <w:rFonts w:ascii="楷体" w:hAnsi="楷体" w:eastAsia="楷体" w:cs="楷体"/>
          <w:color w:val="auto"/>
          <w:sz w:val="32"/>
          <w:szCs w:val="32"/>
        </w:rPr>
      </w:pPr>
      <w:bookmarkStart w:id="1" w:name="_Toc5543"/>
      <w:r>
        <w:rPr>
          <w:rFonts w:hint="eastAsia" w:ascii="楷体" w:hAnsi="楷体" w:eastAsia="楷体" w:cs="楷体"/>
          <w:color w:val="auto"/>
          <w:sz w:val="32"/>
          <w:szCs w:val="32"/>
        </w:rPr>
        <w:t>（一）知识目标</w:t>
      </w:r>
      <w:bookmarkEnd w:id="1"/>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1.掌握必备的思想政治理论、科学文化基础知识和中华优秀传统文化知识。</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2.熟悉与本专业相关的法律法规以及环境保护、安全消防等知识。</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3.掌握客运服务工作的乘客事务处理方法。</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4.掌握正确使用和日常简单维护城市轨道交通车站终端设施设备的方法。</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5.掌握售、补、监票服务的基本理论和方法。</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6.掌握城市轨道交通线路站场、通信信号、车站机电设备、车辆等基本知识。</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7.掌握城市轨道交通客运组织、乘客服务的基本理论和方法。</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8.掌握城市轨道交通车站及车辆段行车组织、调度指挥的基本理论和方法。</w:t>
      </w:r>
    </w:p>
    <w:p>
      <w:pPr>
        <w:overflowPunct w:val="0"/>
        <w:adjustRightInd w:val="0"/>
        <w:spacing w:after="0" w:line="520" w:lineRule="exact"/>
        <w:ind w:firstLine="640" w:firstLineChars="200"/>
        <w:outlineLvl w:val="1"/>
        <w:rPr>
          <w:rFonts w:ascii="楷体" w:hAnsi="楷体" w:eastAsia="楷体" w:cs="楷体"/>
          <w:color w:val="auto"/>
          <w:sz w:val="32"/>
          <w:szCs w:val="32"/>
        </w:rPr>
      </w:pPr>
      <w:bookmarkStart w:id="2" w:name="_Toc1381"/>
      <w:r>
        <w:rPr>
          <w:rFonts w:hint="eastAsia" w:ascii="楷体" w:hAnsi="楷体" w:eastAsia="楷体" w:cs="楷体"/>
          <w:color w:val="auto"/>
          <w:sz w:val="32"/>
          <w:szCs w:val="32"/>
        </w:rPr>
        <w:t>（二）能力目标</w:t>
      </w:r>
      <w:bookmarkEnd w:id="2"/>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1.具有探究学习、终身学习、分析问题和解决问题的能力。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2.具有良好的语言、文字表达能力和沟通能力。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3.具备根据岗位工作标准开展现场客运服务工作的乘客事务处理能力。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4.具有城市轨道交通车站运营设备的操作、监控及简单故障处理的能力。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5.具有车站智能售检票系统运用、设备操作及票务事务处理的能力。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6.具有车站客运设备运用、车站运作、客流组织的能力。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7.具有车站服务设施设备运用、乘客事务处理的能力。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8.具有车站行车设备在中央级控制、车站级控制状态下的列车运行组织的能力。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9.具有城市轨道交通突发事件应急处置的能力。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10.具备车站常态化客流监测及突发情况时对客流进行控制及安全疏导的能力。</w:t>
      </w:r>
    </w:p>
    <w:p>
      <w:pPr>
        <w:overflowPunct w:val="0"/>
        <w:adjustRightInd w:val="0"/>
        <w:spacing w:after="0" w:line="520" w:lineRule="exact"/>
        <w:ind w:firstLine="640" w:firstLineChars="200"/>
        <w:outlineLvl w:val="1"/>
        <w:rPr>
          <w:rFonts w:ascii="楷体" w:hAnsi="楷体" w:eastAsia="楷体" w:cs="楷体"/>
          <w:color w:val="auto"/>
          <w:sz w:val="32"/>
          <w:szCs w:val="32"/>
        </w:rPr>
      </w:pPr>
      <w:bookmarkStart w:id="3" w:name="_Toc26443"/>
      <w:r>
        <w:rPr>
          <w:rFonts w:hint="eastAsia" w:ascii="楷体" w:hAnsi="楷体" w:eastAsia="楷体" w:cs="楷体"/>
          <w:color w:val="auto"/>
          <w:sz w:val="32"/>
          <w:szCs w:val="32"/>
        </w:rPr>
        <w:t>（三）素质目标</w:t>
      </w:r>
      <w:bookmarkEnd w:id="3"/>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1.坚定拥护中国共产党领导和我国社会主义制度，在习近平新时代中国特色社会主义思想指引下，践行社会主义核心价值观，具有深厚的爱国情感和中华民族自豪感。</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2.崇尚宪法、遵法守纪、崇德向善、诚实守信、尊重生命、热爱劳动，履行道德准则和行为规范，具有社会责任感和社会参与意识。</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3.具有质量意识、环保意识、安全意识、信息素养、工匠精神、创新思维。</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4.勇于奋斗、乐观向上，具有自我管理能力、职业生涯规划的意识，有较强的集体意识和团队合作精神。</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5.具有健康的体魄、心理和健全的人格，掌握基本运动知识和1—2项运动技能，养成良好的健身与卫生习惯，以及良好的行为习惯。</w:t>
      </w:r>
    </w:p>
    <w:p>
      <w:pPr>
        <w:overflowPunct w:val="0"/>
        <w:adjustRightInd w:val="0"/>
        <w:spacing w:after="0"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6.具有一定的审美和人文素养，能够形成1—2项艺术特长或爱好。</w:t>
      </w: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rPr>
      </w:pPr>
      <w:r>
        <w:rPr>
          <w:rFonts w:hint="eastAsia" w:ascii="楷体" w:hAnsi="楷体" w:eastAsia="楷体" w:cs="楷体"/>
          <w:color w:val="auto"/>
          <w:sz w:val="32"/>
          <w:szCs w:val="32"/>
        </w:rPr>
        <w:t>（一）公共基础课程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4"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4"/>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军事理论与军训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firstLine="640" w:firstLineChars="200"/>
        <w:jc w:val="center"/>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7"/>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5" w:name="_Toc90734979"/>
            <w:bookmarkStart w:id="6" w:name="_Toc2022"/>
            <w:r>
              <w:rPr>
                <w:rFonts w:hint="eastAsia" w:ascii="仿宋_GB2312" w:hAnsi="仿宋_GB2312" w:eastAsia="仿宋_GB2312" w:cs="仿宋_GB2312"/>
                <w:color w:val="auto"/>
                <w:sz w:val="24"/>
                <w:szCs w:val="24"/>
                <w:highlight w:val="none"/>
              </w:rPr>
              <w:t>序号</w:t>
            </w:r>
            <w:bookmarkEnd w:id="5"/>
            <w:bookmarkEnd w:id="6"/>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7" w:name="_Toc2635"/>
            <w:bookmarkStart w:id="8" w:name="_Toc90734980"/>
            <w:r>
              <w:rPr>
                <w:rFonts w:hint="eastAsia" w:ascii="仿宋_GB2312" w:hAnsi="仿宋_GB2312" w:eastAsia="仿宋_GB2312" w:cs="仿宋_GB2312"/>
                <w:color w:val="auto"/>
                <w:sz w:val="24"/>
                <w:szCs w:val="24"/>
                <w:highlight w:val="none"/>
              </w:rPr>
              <w:t>课程名称</w:t>
            </w:r>
            <w:bookmarkEnd w:id="7"/>
            <w:bookmarkEnd w:id="8"/>
          </w:p>
        </w:tc>
        <w:tc>
          <w:tcPr>
            <w:tcW w:w="3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9" w:name="_Toc90734981"/>
            <w:bookmarkStart w:id="10" w:name="_Toc24608"/>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bookmarkEnd w:id="9"/>
            <w:bookmarkEnd w:id="10"/>
          </w:p>
        </w:tc>
        <w:tc>
          <w:tcPr>
            <w:tcW w:w="2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11" w:name="_Toc23051"/>
            <w:bookmarkStart w:id="12" w:name="_Toc90734982"/>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bookmarkEnd w:id="11"/>
            <w:bookmarkEnd w:id="12"/>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军训</w:t>
            </w:r>
          </w:p>
        </w:tc>
        <w:tc>
          <w:tcPr>
            <w:tcW w:w="3928"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92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top"/>
          </w:tcPr>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2"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pPr>
        <w:pStyle w:val="2"/>
        <w:pageBreakBefore w:val="0"/>
        <w:widowControl/>
        <w:kinsoku/>
        <w:wordWrap/>
        <w:topLinePunct w:val="0"/>
        <w:autoSpaceDE/>
        <w:autoSpaceDN/>
        <w:bidi w:val="0"/>
        <w:snapToGrid/>
        <w:spacing w:before="0" w:after="0" w:line="520" w:lineRule="exact"/>
        <w:ind w:left="0" w:firstLine="640" w:firstLineChars="200"/>
        <w:jc w:val="left"/>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eastAsia" w:ascii="仿宋_GB2312" w:hAnsi="仿宋_GB2312" w:eastAsia="仿宋_GB2312" w:cs="仿宋_GB2312"/>
          <w:b w:val="0"/>
          <w:bCs w:val="0"/>
          <w:color w:val="auto"/>
          <w:sz w:val="32"/>
          <w:szCs w:val="32"/>
        </w:rPr>
      </w:pPr>
      <w:bookmarkStart w:id="13" w:name="_Toc90734975"/>
      <w:r>
        <w:rPr>
          <w:rFonts w:hint="eastAsia" w:ascii="仿宋_GB2312" w:hAnsi="仿宋_GB2312" w:eastAsia="仿宋_GB2312" w:cs="仿宋_GB2312"/>
          <w:b w:val="0"/>
          <w:bCs w:val="0"/>
          <w:color w:val="auto"/>
          <w:sz w:val="32"/>
          <w:szCs w:val="32"/>
        </w:rPr>
        <w:t>1.专业基础课程</w:t>
      </w:r>
      <w:bookmarkEnd w:id="1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专业基础课程是需要前置学习的基础性理论知识和技能构成的课程，是为专业核心课程提供理论和技能支撑的基础课程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包括：</w:t>
      </w:r>
      <w:r>
        <w:rPr>
          <w:rFonts w:hint="eastAsia" w:ascii="仿宋_GB2312" w:hAnsi="仿宋_GB2312" w:eastAsia="仿宋_GB2312" w:cs="仿宋_GB2312"/>
          <w:color w:val="auto"/>
          <w:sz w:val="32"/>
          <w:szCs w:val="32"/>
          <w:lang w:val="en-US" w:eastAsia="zh-CN"/>
        </w:rPr>
        <w:t>电工基础、城市轨道交通线路与站场、城市轨道交通车辆基础、城市轨道交通通信与信号、城市轨道交通服务礼仪、城市轨道交通客运服务英语、城市轨道交通员工职业素养</w:t>
      </w:r>
      <w:r>
        <w:rPr>
          <w:rFonts w:hint="eastAsia" w:ascii="仿宋_GB2312" w:hAnsi="仿宋_GB2312" w:eastAsia="仿宋_GB2312" w:cs="仿宋_GB2312"/>
          <w:color w:val="auto"/>
          <w:spacing w:val="-4"/>
          <w:sz w:val="32"/>
          <w:szCs w:val="32"/>
        </w:rPr>
        <w:t>等课程。</w:t>
      </w:r>
    </w:p>
    <w:p>
      <w:pPr>
        <w:pageBreakBefore w:val="0"/>
        <w:kinsoku/>
        <w:wordWrap/>
        <w:overflowPunct w:val="0"/>
        <w:topLinePunct w:val="0"/>
        <w:autoSpaceDE/>
        <w:autoSpaceDN/>
        <w:bidi w:val="0"/>
        <w:adjustRightInd w:val="0"/>
        <w:spacing w:after="0" w:line="520" w:lineRule="exact"/>
        <w:ind w:left="0"/>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3880"/>
        <w:gridCol w:w="2480"/>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bookmarkStart w:id="14" w:name="_Toc90734977"/>
            <w:r>
              <w:rPr>
                <w:rFonts w:hint="eastAsia" w:ascii="仿宋_GB2312" w:hAnsi="仿宋_GB2312" w:eastAsia="仿宋_GB2312" w:cs="仿宋_GB2312"/>
                <w:color w:val="auto"/>
                <w:sz w:val="24"/>
              </w:rPr>
              <w:t>序号</w:t>
            </w:r>
          </w:p>
        </w:tc>
        <w:tc>
          <w:tcPr>
            <w:tcW w:w="896" w:type="dxa"/>
            <w:vAlign w:val="center"/>
          </w:tcPr>
          <w:p>
            <w:pPr>
              <w:keepNext w:val="0"/>
              <w:keepLines w:val="0"/>
              <w:pageBreakBefore w:val="0"/>
              <w:widowControl w:val="0"/>
              <w:kinsoku/>
              <w:wordWrap/>
              <w:topLinePunct w:val="0"/>
              <w:autoSpaceDE/>
              <w:autoSpaceDN/>
              <w:bidi w:val="0"/>
              <w:spacing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课程名称</w:t>
            </w:r>
          </w:p>
        </w:tc>
        <w:tc>
          <w:tcPr>
            <w:tcW w:w="3880" w:type="dxa"/>
            <w:vAlign w:val="center"/>
          </w:tcPr>
          <w:p>
            <w:pPr>
              <w:keepNext w:val="0"/>
              <w:keepLines w:val="0"/>
              <w:pageBreakBefore w:val="0"/>
              <w:widowControl w:val="0"/>
              <w:kinsoku/>
              <w:wordWrap/>
              <w:topLinePunct w:val="0"/>
              <w:autoSpaceDE/>
              <w:autoSpaceDN/>
              <w:bidi w:val="0"/>
              <w:spacing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课程目标</w:t>
            </w:r>
          </w:p>
        </w:tc>
        <w:tc>
          <w:tcPr>
            <w:tcW w:w="2480" w:type="dxa"/>
            <w:vAlign w:val="center"/>
          </w:tcPr>
          <w:p>
            <w:pPr>
              <w:keepNext w:val="0"/>
              <w:keepLines w:val="0"/>
              <w:pageBreakBefore w:val="0"/>
              <w:widowControl w:val="0"/>
              <w:kinsoku/>
              <w:wordWrap/>
              <w:topLinePunct w:val="0"/>
              <w:autoSpaceDE/>
              <w:autoSpaceDN/>
              <w:bidi w:val="0"/>
              <w:spacing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主要教学内容</w:t>
            </w:r>
          </w:p>
        </w:tc>
        <w:tc>
          <w:tcPr>
            <w:tcW w:w="2552" w:type="dxa"/>
            <w:vAlign w:val="center"/>
          </w:tcPr>
          <w:p>
            <w:pPr>
              <w:keepNext w:val="0"/>
              <w:keepLines w:val="0"/>
              <w:pageBreakBefore w:val="0"/>
              <w:widowControl w:val="0"/>
              <w:kinsoku/>
              <w:wordWrap/>
              <w:topLinePunct w:val="0"/>
              <w:autoSpaceDE/>
              <w:autoSpaceDN/>
              <w:bidi w:val="0"/>
              <w:spacing w:line="36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896" w:type="dxa"/>
            <w:vAlign w:val="center"/>
          </w:tcPr>
          <w:p>
            <w:pPr>
              <w:keepNext w:val="0"/>
              <w:keepLines w:val="0"/>
              <w:pageBreakBefore w:val="0"/>
              <w:widowControl w:val="0"/>
              <w:kinsoku/>
              <w:wordWrap/>
              <w:topLinePunct w:val="0"/>
              <w:autoSpaceDE/>
              <w:autoSpaceDN/>
              <w:bidi w:val="0"/>
              <w:spacing w:line="32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电工基础</w:t>
            </w:r>
          </w:p>
        </w:tc>
        <w:tc>
          <w:tcPr>
            <w:tcW w:w="3880" w:type="dxa"/>
          </w:tcPr>
          <w:p>
            <w:pPr>
              <w:keepNext w:val="0"/>
              <w:keepLines w:val="0"/>
              <w:pageBreakBefore w:val="0"/>
              <w:widowControl w:val="0"/>
              <w:kinsoku/>
              <w:wordWrap/>
              <w:overflowPunct w:val="0"/>
              <w:topLinePunct w:val="0"/>
              <w:autoSpaceDE/>
              <w:autoSpaceDN/>
              <w:bidi w:val="0"/>
              <w:adjustRightInd w:val="0"/>
              <w:spacing w:after="0"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让学生掌握电路结构、电学量计算与相关定律，熟悉电工材料特性、交直流电路差异及仪器仪表原理，构建扎实电学理论基础。</w:t>
            </w: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聚焦实操，使学生具备规范电工操作、电路检测与故障修复、简单电路设计搭建能力，同时掌握安全操作与应急处理方法。​</w:t>
            </w:r>
          </w:p>
          <w:p>
            <w:pPr>
              <w:keepNext w:val="0"/>
              <w:keepLines w:val="0"/>
              <w:pageBreakBefore w:val="0"/>
              <w:widowControl w:val="0"/>
              <w:kinsoku/>
              <w:wordWrap/>
              <w:overflowPunct w:val="0"/>
              <w:topLinePunct w:val="0"/>
              <w:autoSpaceDE/>
              <w:autoSpaceDN/>
              <w:bidi w:val="0"/>
              <w:adjustRightInd w:val="0"/>
              <w:spacing w:after="0"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培养学生严谨态度、自主创新与团队协作能力，树立安全第一的责任意识，形成良好电工职业素养。​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通过行业成就与案例，厚植爱国情怀、传承工匠精神，培育法治责任意识与绿色发展理念，实现价值引领。</w:t>
            </w: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内容涵盖电路基础理论（电压/电流/电阻、电路模型）、直流电路分析（欧姆定律、基尔霍夫定律、等效变换）、交流电路特性（正弦量、RLC电路、谐振）、三相电路连接与功率计算、电磁现象（磁场、电磁感应、变压器）及安全用电技术（接地保护、触电急救、火灾预防），注重理论与实际应用的结合。</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教学需结合理论授课与实验操作，通过案例分析深化理解；学生需完成电路搭建、仪表测量等实验任务，掌握规范操作流程；融入安全规范与工程伦理教育，强化职业素养培养。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bookmarkStart w:id="15" w:name="_Hlk194587108"/>
            <w:r>
              <w:rPr>
                <w:rFonts w:hint="eastAsia" w:ascii="仿宋_GB2312" w:hAnsi="仿宋_GB2312" w:eastAsia="仿宋_GB2312" w:cs="仿宋_GB2312"/>
                <w:color w:val="auto"/>
                <w:sz w:val="24"/>
              </w:rPr>
              <w:t>2</w:t>
            </w:r>
          </w:p>
        </w:tc>
        <w:tc>
          <w:tcPr>
            <w:tcW w:w="896"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交通运输概论</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让学生掌握公路、铁路、水运等主流运输方式的特点与运营模式，了解交通运输系统构成及行业发展趋势，构建基础交通知识体系。​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侧重应用，使学生具备分析不同运输场景适配方案、识别交通运营基本问题的能力，掌握交通数据简单解读与应用方法。​</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培养学生系统思维与全局意识，树立交通服务民生的理念，提升关注交通领域创新与安全的职业素养。​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通过我国交通建设成就与行业榜样事迹，厚植家国情怀，培育交通人责任担当与绿色交通发展理念。</w:t>
            </w: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绪论、公路运输、铁路运输、航空运输、水路运输、管道运输、城市交通运输系统、货物运输组织、交通运输安全、交通运输发展趋势。</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结合实际案例讲解基本概念、基本理论和基本方法，使学生通过案例分析或参加实践掌握所学理论知识，培养其独立分析、判断和解决问题的能力。采用多媒体讲授，扩充讲课内容，变换教学形式，发挥学生主动性，争取更好的教学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形体训练</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让学生掌握形体训练的基础原理、常见动作规范（如站姿、坐姿矫正、拉伸技巧），了解不同训练方式对体态塑造的作用，构建基础形体认知体系。</w:t>
            </w: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侧重实操，使学生具备独立完成基础形体训练动作、根据自身体态问题调整训练方案的能力，掌握科学热身与放松的方法。​</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培养学生的身体协调性与节奏感，树立健康审美与自律意识，提升对自身体态的关注度与改善意愿，形成良好运动习惯。​​</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通过形体训练中“坚持精进” 的训练要求与团队协作项目，培育学生坚韧品格与集体荣誉感，传递 “健康体魄服务社会”的价值理念。​</w:t>
            </w:r>
          </w:p>
        </w:tc>
        <w:tc>
          <w:tcPr>
            <w:tcW w:w="24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围绕形体矫正、柔韧性开发、力量训练和气质培养展开，主要包括四大模块：一是基础体态训练；二是柔韧性与协调性训练；三是肌肉力量与耐力训练；四是形体表现力训练。课程采用理论与实践结合的方式，融入现代体态矫正技术，并针对空乘专业需求设计差异化训练方案，确保学生获得个性化提升。</w:t>
            </w:r>
          </w:p>
        </w:tc>
        <w:tc>
          <w:tcPr>
            <w:tcW w:w="2552"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学生需按时参与课堂训练，完成每日体态矫正打卡（如靠墙站立），并提交阶段性体态对比报告。考核方式注重过程性评价，平时成绩包括出勤、课堂表现和训练日志，期末考核为综合展示。课程强调持续性练习，鼓励学生将训练融入日常生活，最终形成健康自然的体态习惯，实现形体与气质的全面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城市轨道交通车辆基础</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让学生掌握城市轨道交通车辆（如地铁、轻轨）的基本构造、核心系统（转向架、制动、牵引系统）功能，了解车辆运行原理与安全规范，构建基础车辆知识框架。​</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侧重应用，使学生具备识别车辆主要部件、判断简单故障现象的能力，掌握车辆日常检查与基础维护的操作方法，能解读车辆运行基础数据。​</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培养学生严谨细致的作业态度与安全责任意识，提升对城市轨道交通车辆领域的专业认同感，形成关注车辆技术创新与运营安全的职业素养。​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通过我国城市轨道交通发展成就（如自主化车辆研发）与行业工匠事迹，厚植家国情怀，培育学生坚守岗位、保障民生出行的责任担当。</w:t>
            </w: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围绕城市轨道交通车辆（如地铁、轻轨）的总体构造、关键系统（转向架、制动系统、牵引供电、车门控制、空调等）展开，涵盖车辆动力传递原理、电气控制逻辑、运行安全标准及常见故障诊断方法，结合车辆检修流程、应急处理规范及智能化运维技术，强化理论与实践的综合应用。</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教学需采用需结合理论授课与实验操作，学生需掌握车辆系统基础知识、仪器检测及故障排查基础知识；注重安全规范意识和工程实践能力的培养。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城市轨道交通服务礼仪</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让学生掌握城市轨道交通（如地铁、轻轨）服务场景中的基础礼仪规范（仪容仪表、沟通话术、岗位礼仪），了解不同服务对象（乘客、同事）的礼仪需求，构建服务礼仪知识框架。</w:t>
            </w: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侧重实操，使学生具备在售票、引导、应急等场景中规范运用服务礼仪的能力，掌握与乘客高效沟通、化解服务矛盾的方法，能适配不同场景调整服务礼仪方式。​</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培养学生的服务意识与同理心，树立 “乘客至上” 的职业理念，提升情绪管理与细节把控能力，形成亲和、专业的服务职业素养。​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通过我国轨道交通服务标杆案例（如 “雷锋式” 服务班组）与民生服务理念，厚植敬业精神，培育学生以优质服务保障公众出行、助力城市文明建设的责任担当。</w:t>
            </w: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仪容仪表；仪态；服务用语；沟通技巧、服务注意事项等。</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通过采用讲授和礼仪示范教学法，使学生掌握服务礼仪基本规范，强化服务意识与态度，提升沟通技巧与应变能力；注重细节，塑造专业形象；培养同理心，营造温馨舒适的乘客体验。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城市轨道交通通信与信号</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让学生掌握城市轨道交通通信系统（如无线通信、广播系统）与信号设备（如信号机、道岔）的基本构造和工作原理，了解信号控制流程与安全标准，构建通信信号基础认知体系。​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侧重实操应用，使学生具备识别通信与信号关键设备、判断简单故障现象的能力，掌握设备日常检查与基础参数调试方法，能解读信号系统基础运行数据。​</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培养学生严谨细致的技术态度与安全生产意识，提升对城市轨道交通通信信号领域的专业认同感，形成关注技术创新与系统稳定性的职业素养。​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通过我国轨道交通通信信号技术自主化成就（如列控系统研发）与行业技术标兵事迹，厚植家国情怀，培育学生坚守技术岗位、保障轨道交通安全运行的责任担当。</w:t>
            </w: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传统信号设备的构成、功能及原理；介绍城市轨道交通信号；自动控制系统的基本组成及原理。</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本课程主要采用讲授法、小组讨论法、教师指导等多种教学方法，辅助采用多媒体等现代教学方法。充分调动学生学习兴趣，促进学生积极思考与实践，使学生对城市轨道交通通信信号系统知识全面深入地掌握，进而促进学生职业能力的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城市轨道交通客运服务英语</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让学生掌握城市轨道交通客运服务场景（如购票、引导、应急、问询）的核心英语词汇与常用句型，了解服务英语的礼仪表达规范，构建客运服务英语基础词汇与语法体系。​​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侧重实用沟通，使学生具备在客运服务场景中用英语进行简单交流（如解答乘客疑问、指引乘车路线、处理基础服务问题）的能力，掌握英语服务沟通中的倾听与回应技巧。​​</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培养学生的跨语言沟通意识与国际化服务视野，提升英语服务中的耐心与同理心，形成准确、得体使用英语开展客运服务的职业素养。​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通过我国城市轨道交通国际化服务案例（如多语言服务站点）与涉外服务榜样事迹，厚植职业自豪感，培育学生以专业英语服务展现中国城市文明、保障中外乘客出行的责任担当。</w:t>
            </w: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聚焦地铁、轻轨等城市轨道交通客运服务场景，涵盖票务咨询（购票、退票、换乘）、站内导引（方位指示、设施介绍）、列车广播（安全提示、到站播报）、突发事件应对（故障通报、紧急疏散）等场景的英语对话与术语，结合行业规范文本（如服务手册、应急预案）的阅读理解与模拟写作，融入跨文化交际礼仪及行业技术词汇拓展，强化实用性与场景适配性。</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采用情景模拟、角色扮演与多媒体资源结合的方式，通过案例演练与语音训练提升口语应用能力；学生需完成服务对话设计、广播词撰写及情景表演等实践任务，掌握标准化服务流程的英语表达；注重语言流畅度、服务规范性和跨文化沟通能力的综合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轨道交通安全检查</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让学生掌握轨道交通安全检查的核心标准（如违禁品识别、安检流程规范）、常用设备（安检仪、手持探测器）的工作原理，了解安检法律法规与应急处置原则，构建安检基础认知体系。​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侧重实操应用，使学生具备规范操作安检设备、准确识别常见违禁品的能力，掌握安检场景中与乘客沟通解释、应对突发情况的方法，能按标准完成旅客及行李安检流程。​</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培养学生严谨负责的安检态度与敏锐的安全防范意识，提升服务中的耐心与原则性，形成严守规范、高效细致开展安检工作的职业素养。​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通过我国轨道交通安检体系建设成就与 “安全卫士”榜样事迹，厚植职业使命感，培育学生以严格安检守护公众出行安全、维护城市交通秩序的责任担当。</w:t>
            </w:r>
          </w:p>
        </w:tc>
        <w:tc>
          <w:tcPr>
            <w:tcW w:w="2480" w:type="dxa"/>
          </w:tcPr>
          <w:p>
            <w:pPr>
              <w:keepNext w:val="0"/>
              <w:keepLines w:val="0"/>
              <w:pageBreakBefore w:val="0"/>
              <w:widowControl w:val="0"/>
              <w:kinsoku/>
              <w:wordWrap/>
              <w:overflowPunct w:val="0"/>
              <w:topLinePunct w:val="0"/>
              <w:autoSpaceDE/>
              <w:autoSpaceDN/>
              <w:bidi w:val="0"/>
              <w:adjustRightInd w:val="0"/>
              <w:snapToGrid w:val="0"/>
              <w:spacing w:after="0"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课程内容包括：</w:t>
            </w:r>
          </w:p>
          <w:p>
            <w:pPr>
              <w:keepNext w:val="0"/>
              <w:keepLines w:val="0"/>
              <w:pageBreakBefore w:val="0"/>
              <w:widowControl w:val="0"/>
              <w:kinsoku/>
              <w:wordWrap/>
              <w:overflowPunct w:val="0"/>
              <w:topLinePunct w:val="0"/>
              <w:autoSpaceDE/>
              <w:autoSpaceDN/>
              <w:bidi w:val="0"/>
              <w:adjustRightInd w:val="0"/>
              <w:snapToGrid w:val="0"/>
              <w:spacing w:after="0"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安检流程（X光机、手持探测仪）、危险品分类与识别、安检法律法规、应急事件（爆炸物、可疑物品）处理流程及安检数据分析。</w:t>
            </w:r>
          </w:p>
        </w:tc>
        <w:tc>
          <w:tcPr>
            <w:tcW w:w="2552" w:type="dxa"/>
          </w:tcPr>
          <w:p>
            <w:pPr>
              <w:keepNext w:val="0"/>
              <w:keepLines w:val="0"/>
              <w:pageBreakBefore w:val="0"/>
              <w:widowControl w:val="0"/>
              <w:kinsoku/>
              <w:wordWrap/>
              <w:overflowPunct w:val="0"/>
              <w:topLinePunct w:val="0"/>
              <w:autoSpaceDE/>
              <w:autoSpaceDN/>
              <w:bidi w:val="0"/>
              <w:adjustRightInd w:val="0"/>
              <w:snapToGri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课程通过案例分析、实操训练教学。要求学生掌握轨道交通安全检查安检设备操作和异常情况识别技能，掌握高铁公共场所安全检查的技能达到确保公共场所安全的目的。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城市轨道交通员工职业素养</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系统掌握城市轨道交通运营安全、服务规范、设备操作及应急处理等专业知识，形成完整的职业知识体系。</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具备熟练的岗位操作技能、良好的沟通协调能力和突发事件的应急处置能力，能够高效、安全地完成各项运营任务。</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树立安全第一、乘客至上的服务理念，养成严谨守纪、爱岗敬业、团结协作的职业品格。</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将社会主义核心价值观融入职业素养教育，培养具有家国情怀、社会责任感和工匠精神的新时代轨道交通人才。</w:t>
            </w: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围绕轨道交通员工职业角色定位，涵盖职业道德与行业法规、服务礼仪与乘客沟通技巧、安全责任与标准化作业流程、突发事件中的心理调适与应急响应、团队协作与跨部门联动机制等内容，结合典型案例分析企业文化建设、职业形象管理及服务纠纷处理策略，融入智能化服务趋势下的职业适应性训练。</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采用案例研讨、角色模拟相结合的方式，引导学生参与服务场景还原、矛盾化解模拟及压力情境训练；要求学生掌握职业行为规范，能主动应用服务礼仪与沟通技巧解决实际问题；考核需综合评估职业认知水平、行为规范执行度及模拟实操表现，注重职业认同感与岗位适应力的持续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5" w:type="dxa"/>
            <w:vAlign w:val="center"/>
          </w:tcPr>
          <w:p>
            <w:pPr>
              <w:keepNext w:val="0"/>
              <w:keepLines w:val="0"/>
              <w:pageBreakBefore w:val="0"/>
              <w:widowControl w:val="0"/>
              <w:kinsoku/>
              <w:wordWrap/>
              <w:topLinePunct w:val="0"/>
              <w:autoSpaceDE/>
              <w:autoSpaceDN/>
              <w:bidi w:val="0"/>
              <w:spacing w:line="32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896" w:type="dxa"/>
            <w:vAlign w:val="center"/>
          </w:tcPr>
          <w:p>
            <w:pPr>
              <w:keepNext w:val="0"/>
              <w:keepLines w:val="0"/>
              <w:pageBreakBefore w:val="0"/>
              <w:widowControl w:val="0"/>
              <w:kinsoku/>
              <w:wordWrap/>
              <w:overflowPunct w:val="0"/>
              <w:topLinePunct w:val="0"/>
              <w:autoSpaceDE/>
              <w:autoSpaceDN/>
              <w:bidi w:val="0"/>
              <w:adjustRightInd w:val="0"/>
              <w:spacing w:line="360" w:lineRule="exact"/>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城市轨道交通线路与站场</w:t>
            </w:r>
          </w:p>
        </w:tc>
        <w:tc>
          <w:tcPr>
            <w:tcW w:w="3880" w:type="dxa"/>
          </w:tcPr>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系统掌握线网布局、站场设计规范、轨道结构与设备配置等核心知识，为后续专业学习和岗位实践奠定坚实基础。</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具备识读与绘制线路站场图、进行客流组织与设备布置优化的能力，能够独立完成站场运行参数的初步分析与改进方案设计。</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树立严谨细致的工程意识，培养安全至上、服务乘客的职业责任感和工匠精神，强化团队合作与持续改进意识。</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结合国家交通强国战略，引导学生厚植爱国情怀与使命感，将个人成长融入城市发展与人民出行福祉，做有责任、有担当的轨道交通建设者。</w:t>
            </w:r>
          </w:p>
          <w:p>
            <w:pPr>
              <w:keepNext w:val="0"/>
              <w:keepLines w:val="0"/>
              <w:pageBreakBefore w:val="0"/>
              <w:widowControl w:val="0"/>
              <w:kinsoku/>
              <w:wordWrap/>
              <w:topLinePunct w:val="0"/>
              <w:autoSpaceDE/>
              <w:autoSpaceDN/>
              <w:bidi w:val="0"/>
              <w:spacing w:after="0" w:line="320" w:lineRule="exact"/>
              <w:textAlignment w:val="auto"/>
              <w:rPr>
                <w:rFonts w:ascii="仿宋_GB2312" w:hAnsi="仿宋_GB2312" w:eastAsia="仿宋_GB2312" w:cs="仿宋_GB2312"/>
                <w:color w:val="auto"/>
                <w:sz w:val="24"/>
              </w:rPr>
            </w:pPr>
          </w:p>
        </w:tc>
        <w:tc>
          <w:tcPr>
            <w:tcW w:w="2480"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涵盖城市轨道交通线路分类与设计要素（如平纵断面设计、限界管理）、轨道结构组成（钢轨、道床、道岔、无缝线路技术）、站场功能分区（车站、车辆段、停车场）及流线组织、信号与供电设施布局、线路施工与养护技术等内容，结合典型工程案例解析线路规划矛盾协调、站场智能化升级及BIM技术应用，强化理论与工程实践的联系。</w:t>
            </w:r>
          </w:p>
        </w:tc>
        <w:tc>
          <w:tcPr>
            <w:tcW w:w="2552" w:type="dxa"/>
          </w:tcPr>
          <w:p>
            <w:pPr>
              <w:keepNext w:val="0"/>
              <w:keepLines w:val="0"/>
              <w:pageBreakBefore w:val="0"/>
              <w:widowControl w:val="0"/>
              <w:kinsoku/>
              <w:wordWrap/>
              <w:overflowPunct w:val="0"/>
              <w:topLinePunct w:val="0"/>
              <w:autoSpaceDE/>
              <w:autoSpaceDN/>
              <w:bidi w:val="0"/>
              <w:adjustRightInd w:val="0"/>
              <w:spacing w:line="360" w:lineRule="exac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融合课堂讲授、案例讲解，通过项目化任务引导学生完成线路或站场布局优化分析；要求学生掌握专业制图软件操作，能结合规范标准评估设计方案合理性；考核需突出对线路站场技术要点的理解深度、工程问题解决能力及安全规范意识的综合评价。</w:t>
            </w:r>
          </w:p>
        </w:tc>
      </w:tr>
      <w:bookmarkEnd w:id="15"/>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14"/>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pacing w:val="-4"/>
          <w:sz w:val="32"/>
          <w:szCs w:val="32"/>
        </w:rPr>
      </w:pPr>
      <w:bookmarkStart w:id="16" w:name="OLE_LINK7"/>
      <w:r>
        <w:rPr>
          <w:rFonts w:hint="eastAsia" w:ascii="仿宋_GB2312" w:hAnsi="仿宋_GB2312" w:eastAsia="仿宋_GB2312" w:cs="仿宋_GB2312"/>
          <w:color w:val="auto"/>
          <w:sz w:val="32"/>
          <w:szCs w:val="32"/>
        </w:rPr>
        <w:t>专业核心课是</w:t>
      </w:r>
      <w:bookmarkEnd w:id="16"/>
      <w:r>
        <w:rPr>
          <w:rFonts w:hint="eastAsia" w:ascii="仿宋_GB2312" w:hAnsi="仿宋_GB2312" w:eastAsia="仿宋_GB2312" w:cs="仿宋_GB2312"/>
          <w:color w:val="auto"/>
          <w:sz w:val="32"/>
          <w:szCs w:val="32"/>
          <w:lang w:val="en-US" w:eastAsia="zh-CN"/>
        </w:rPr>
        <w:t>根据</w:t>
      </w:r>
      <w:r>
        <w:rPr>
          <w:rFonts w:hint="eastAsia" w:ascii="仿宋_GB2312" w:hAnsi="仿宋_GB2312" w:eastAsia="仿宋_GB2312" w:cs="仿宋_GB2312"/>
          <w:color w:val="auto"/>
          <w:sz w:val="32"/>
          <w:szCs w:val="32"/>
        </w:rPr>
        <w:t>高铁乘务、地铁服务、城市轨道交通服务等岗位，结合其他行业高级管理和服务的就业岗位，建立城市轨道交通运营管理专业核心课程，培养学生售检票、客流组织、行车作业、站内设备操作等方面的能力。包括</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城市轨道交通机电设备运用、城市轨道交通客运服务、城市轨道交通客运组织、城市轨道交通行车组织、城市轨道交通票务管理、城市轨道交通应急处置等课程。</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002"/>
        <w:gridCol w:w="2925"/>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5" w:type="dxa"/>
            <w:vAlign w:val="center"/>
          </w:tcPr>
          <w:p>
            <w:pPr>
              <w:spacing w:line="360" w:lineRule="exact"/>
              <w:jc w:val="center"/>
              <w:rPr>
                <w:rFonts w:ascii="仿宋_GB2312" w:hAnsi="仿宋_GB2312" w:eastAsia="仿宋_GB2312" w:cs="仿宋_GB2312"/>
                <w:color w:val="auto"/>
                <w:sz w:val="24"/>
              </w:rPr>
            </w:pPr>
            <w:bookmarkStart w:id="17" w:name="_Toc90734991"/>
            <w:r>
              <w:rPr>
                <w:rFonts w:hint="eastAsia" w:ascii="仿宋_GB2312" w:hAnsi="仿宋_GB2312" w:eastAsia="仿宋_GB2312" w:cs="仿宋_GB2312"/>
                <w:color w:val="auto"/>
                <w:sz w:val="24"/>
              </w:rPr>
              <w:t>序号</w:t>
            </w:r>
          </w:p>
        </w:tc>
        <w:tc>
          <w:tcPr>
            <w:tcW w:w="775"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课程名称</w:t>
            </w:r>
          </w:p>
        </w:tc>
        <w:tc>
          <w:tcPr>
            <w:tcW w:w="4002"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课程目标</w:t>
            </w:r>
          </w:p>
        </w:tc>
        <w:tc>
          <w:tcPr>
            <w:tcW w:w="2925"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主要教学内容</w:t>
            </w:r>
          </w:p>
        </w:tc>
        <w:tc>
          <w:tcPr>
            <w:tcW w:w="2272"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77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城市轨道交通机电设备运用</w:t>
            </w:r>
          </w:p>
        </w:tc>
        <w:tc>
          <w:tcPr>
            <w:tcW w:w="4002" w:type="dxa"/>
          </w:tcPr>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知识目标：</w:t>
            </w:r>
            <w:r>
              <w:rPr>
                <w:rFonts w:ascii="仿宋_GB2312" w:hAnsi="仿宋_GB2312" w:eastAsia="仿宋_GB2312" w:cs="仿宋_GB2312"/>
                <w:color w:val="auto"/>
                <w:sz w:val="24"/>
              </w:rPr>
              <w:t>全面掌握车辆、供电、信号、通风空调、电扶梯等机电系统的结构原理、运行参数及维保标准，形成跨系统的整体认知。</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能力目标：</w:t>
            </w:r>
            <w:r>
              <w:rPr>
                <w:rFonts w:ascii="仿宋_GB2312" w:hAnsi="仿宋_GB2312" w:eastAsia="仿宋_GB2312" w:cs="仿宋_GB2312"/>
                <w:color w:val="auto"/>
                <w:sz w:val="24"/>
              </w:rPr>
              <w:t>具备独立完成设备启停、故障诊断、应急处置及日常维护的操作与分析能力，能在突发情况下迅速恢复系统安全运行。</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素质目标：</w:t>
            </w:r>
            <w:r>
              <w:rPr>
                <w:rFonts w:ascii="仿宋_GB2312" w:hAnsi="仿宋_GB2312" w:eastAsia="仿宋_GB2312" w:cs="仿宋_GB2312"/>
                <w:color w:val="auto"/>
                <w:sz w:val="24"/>
              </w:rPr>
              <w:t>培养严谨规范、精益求精的工匠精神和安全至上、协同共享的职业态度，树立绿色节能与持续改进的责任意识。</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课程思政育人目标：</w:t>
            </w:r>
            <w:r>
              <w:rPr>
                <w:rFonts w:ascii="仿宋_GB2312" w:hAnsi="仿宋_GB2312" w:eastAsia="仿宋_GB2312" w:cs="仿宋_GB2312"/>
                <w:color w:val="auto"/>
                <w:sz w:val="24"/>
              </w:rPr>
              <w:t>以“交通强国、装备先行”为引领，厚植科技报国情怀，引导学生把个人技能提升与国家重大需求对接，</w:t>
            </w:r>
            <w:r>
              <w:rPr>
                <w:rFonts w:hint="eastAsia" w:ascii="仿宋_GB2312" w:hAnsi="仿宋_GB2312" w:eastAsia="仿宋_GB2312" w:cs="仿宋_GB2312"/>
                <w:color w:val="auto"/>
                <w:sz w:val="24"/>
              </w:rPr>
              <w:t>培养学生成</w:t>
            </w:r>
            <w:r>
              <w:rPr>
                <w:rFonts w:ascii="仿宋_GB2312" w:hAnsi="仿宋_GB2312" w:eastAsia="仿宋_GB2312" w:cs="仿宋_GB2312"/>
                <w:color w:val="auto"/>
                <w:sz w:val="24"/>
              </w:rPr>
              <w:t>为具有民族自豪感与使命感的轨道交通机电守护者。</w:t>
            </w:r>
          </w:p>
        </w:tc>
        <w:tc>
          <w:tcPr>
            <w:tcW w:w="2925"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机电设备的基础理论（如供电、环控、消防、电扶梯、屏蔽门等系统的组成与原理）、核心设备技术（包括运行控制、联动逻辑及智能化应用）、运维管理（日常巡检、故障诊断与预防性维护）以及安全规范（国家标准、应急处理流程等）。</w:t>
            </w:r>
          </w:p>
        </w:tc>
        <w:tc>
          <w:tcPr>
            <w:tcW w:w="2272"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要求学生掌握供电、环控、电扶梯、屏蔽门、消防及AFC等系统的结构原理与操作规范，具备设备巡检、维护保养及故障应急处理能力，严格遵守安全操作规程，培养团队协作与责任意识，并通过理论考核与实操训练达到行业岗位技能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5" w:hRule="atLeast"/>
          <w:jc w:val="center"/>
        </w:trPr>
        <w:tc>
          <w:tcPr>
            <w:tcW w:w="475"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77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城市轨道交通客运服务</w:t>
            </w:r>
          </w:p>
        </w:tc>
        <w:tc>
          <w:tcPr>
            <w:tcW w:w="4002" w:type="dxa"/>
          </w:tcPr>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知识目标：</w:t>
            </w:r>
            <w:r>
              <w:rPr>
                <w:rFonts w:ascii="仿宋_GB2312" w:hAnsi="仿宋_GB2312" w:eastAsia="仿宋_GB2312" w:cs="仿宋_GB2312"/>
                <w:color w:val="auto"/>
                <w:sz w:val="24"/>
              </w:rPr>
              <w:t>系统掌握客运服务标准、乘客心理、票务流程及应急服务规范，构建以乘客为中心的知识体系。</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能力目标：</w:t>
            </w:r>
            <w:r>
              <w:rPr>
                <w:rFonts w:ascii="仿宋_GB2312" w:hAnsi="仿宋_GB2312" w:eastAsia="仿宋_GB2312" w:cs="仿宋_GB2312"/>
                <w:color w:val="auto"/>
                <w:sz w:val="24"/>
              </w:rPr>
              <w:t>具备高效服务、双语沟通、客流组织及突发事件处置的综合服务能力，能持续提升乘客出行体验与满意度。</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素质目标：</w:t>
            </w:r>
            <w:r>
              <w:rPr>
                <w:rFonts w:ascii="仿宋_GB2312" w:hAnsi="仿宋_GB2312" w:eastAsia="仿宋_GB2312" w:cs="仿宋_GB2312"/>
                <w:color w:val="auto"/>
                <w:sz w:val="24"/>
              </w:rPr>
              <w:t>树立“乘客至上、微笑服务”的职业理念，养成亲和、耐心、细致的服务品格和团队协作精神。</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课程思政育人目标：</w:t>
            </w:r>
            <w:r>
              <w:rPr>
                <w:rFonts w:ascii="仿宋_GB2312" w:hAnsi="仿宋_GB2312" w:eastAsia="仿宋_GB2312" w:cs="仿宋_GB2312"/>
                <w:color w:val="auto"/>
                <w:sz w:val="24"/>
              </w:rPr>
              <w:t>将“人民城市为人民”宗旨贯穿教学，引导学生厚植家国情怀与奉献精神，成为有温度、有担当的城市文明传播者。</w:t>
            </w:r>
          </w:p>
        </w:tc>
        <w:tc>
          <w:tcPr>
            <w:tcW w:w="2925"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客运服务基础（服务标准、职业礼仪）、票务操作（自动售票机、闸机使用与异常处理）、乘客服务（问询引导、特殊人群服务、投诉处理）、应急管理（大客流组织、突发事件处置）以及智能服务技术（信息化系统应用）等。</w:t>
            </w:r>
          </w:p>
        </w:tc>
        <w:tc>
          <w:tcPr>
            <w:tcW w:w="2272"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要求学生掌握客运服务标准、乘客沟通技巧、票务服务流程及应急事件处置规范，具备良好的服务意识与职业素养，能够熟练运用服务设备并处理乘客投诉，同时通过情景模拟与实践训练提升团队协作与突发事件应对能力，以满足城市轨道交通客运岗位的服务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77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城市轨道交通客运组织</w:t>
            </w:r>
          </w:p>
        </w:tc>
        <w:tc>
          <w:tcPr>
            <w:tcW w:w="4002" w:type="dxa"/>
          </w:tcPr>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知识目标：</w:t>
            </w:r>
            <w:r>
              <w:rPr>
                <w:rFonts w:ascii="仿宋_GB2312" w:hAnsi="仿宋_GB2312" w:eastAsia="仿宋_GB2312" w:cs="仿宋_GB2312"/>
                <w:color w:val="auto"/>
                <w:sz w:val="24"/>
              </w:rPr>
              <w:t>系统掌握客流预测、运行计划编制、车站客流组织及运力调配等核心理论与方法，构建科学高效的客运组织知识体系。</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能力目标：</w:t>
            </w:r>
            <w:r>
              <w:rPr>
                <w:rFonts w:ascii="仿宋_GB2312" w:hAnsi="仿宋_GB2312" w:eastAsia="仿宋_GB2312" w:cs="仿宋_GB2312"/>
                <w:color w:val="auto"/>
                <w:sz w:val="24"/>
              </w:rPr>
              <w:t>具备数据采集分析、运行图优化、应急预案制定与现场调度指挥的综合能力，能在高峰期及突发事件中快速组织乘客安全有序出行。</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素质目标：</w:t>
            </w:r>
            <w:r>
              <w:rPr>
                <w:rFonts w:ascii="仿宋_GB2312" w:hAnsi="仿宋_GB2312" w:eastAsia="仿宋_GB2312" w:cs="仿宋_GB2312"/>
                <w:color w:val="auto"/>
                <w:sz w:val="24"/>
              </w:rPr>
              <w:t>树立“以人为本、安全第一”的职业理念，养成严谨细致、协同高效、持续改进的工作作风和强烈的社会责任感。</w:t>
            </w:r>
          </w:p>
          <w:p>
            <w:pPr>
              <w:overflowPunct w:val="0"/>
              <w:adjustRightInd w:val="0"/>
              <w:spacing w:after="0" w:line="360" w:lineRule="exact"/>
              <w:rPr>
                <w:rFonts w:ascii="仿宋_GB2312" w:hAnsi="仿宋_GB2312" w:eastAsia="仿宋_GB2312" w:cs="仿宋_GB2312"/>
                <w:color w:val="auto"/>
                <w:sz w:val="24"/>
              </w:rPr>
            </w:pPr>
            <w:r>
              <w:rPr>
                <w:rFonts w:ascii="仿宋_GB2312" w:hAnsi="仿宋_GB2312" w:eastAsia="仿宋_GB2312" w:cs="仿宋_GB2312"/>
                <w:b/>
                <w:bCs/>
                <w:color w:val="auto"/>
                <w:sz w:val="24"/>
              </w:rPr>
              <w:t>课程思政育人目标：</w:t>
            </w:r>
            <w:r>
              <w:rPr>
                <w:rFonts w:ascii="仿宋_GB2312" w:hAnsi="仿宋_GB2312" w:eastAsia="仿宋_GB2312" w:cs="仿宋_GB2312"/>
                <w:color w:val="auto"/>
                <w:sz w:val="24"/>
              </w:rPr>
              <w:t>将“交通强国、服务人民”的时代使命融入教学，引导学生厚植家国情怀与奉献精神，培养具有大局意识和担当精神的新时代轨道交通客运组织者。</w:t>
            </w:r>
          </w:p>
        </w:tc>
        <w:tc>
          <w:tcPr>
            <w:tcW w:w="2925"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车站导流设备设施运用；车站日常运作；客流调查与预测；车站客流组织疏导；车站客流组织方案编制与分析；车站服务设施监管；现场乘客服务；乘客投诉与纠纷处理；站容环境保持；站务运作组织；票务组织与管理模拟面试；突发事件的应急处理。</w:t>
            </w:r>
          </w:p>
        </w:tc>
        <w:tc>
          <w:tcPr>
            <w:tcW w:w="2272"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注重理论与实践结合，掌握客流预测、站务管理、应急预案等核心知识。通过案例分析、模拟演练等方法，培养学生组织协调、应急处理及服务意识。强调团队协作与创新能力，以适应轨道交通行业快速发展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77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城市轨道交通行车组织</w:t>
            </w:r>
          </w:p>
        </w:tc>
        <w:tc>
          <w:tcPr>
            <w:tcW w:w="400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掌握行车基础设备、运行图编制原理、调度指挥流程、正常/非正常行车组织规则、车辆段及施工管理规范、事故预防分析方法等核心理论知识。</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能够熟练操作信号系统及调度控制中心软硬件，独立编制运行图，执行行车调度与调车作业；具备非正常情况下列车运行组织、行车事故应急处理和系统故障快速响应的实操能力。</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培养严谨的安全责任意识、高效的团队协作与沟通能力，形成规范操作习惯和临场应变素质。</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强化“人民至上、安全第一”的职业信念，树立爱岗敬业的担当精神，深化规章意识和协作精神，筑牢守护城市公共交通生命线的责任感与使命感。</w:t>
            </w:r>
          </w:p>
        </w:tc>
        <w:tc>
          <w:tcPr>
            <w:tcW w:w="2925"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行车基础设备；城市轨道交通运行图；城市轨道交通行车调度与调车工作；城市轨道交通正常情况下的行车组织；城市轨道交通非正常情况下的列车运行组织；车辆段行车组织；城市轨道交通施工作业组织；行车事故预防与分析等。车站行车值班员的工作职责；行车调度控制中心、车辆段的系统操作流程；行车事故处理和系统故障的应急处理。</w:t>
            </w:r>
          </w:p>
        </w:tc>
        <w:tc>
          <w:tcPr>
            <w:tcW w:w="2272"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注重实践，强化模拟演练，确保学生掌握应急处置能力，掌握行车基本理论，熟悉信号系统操作，理解调度指挥流程，培养安全意识，提升团队协作与沟通能力，为未来岗位需求打下坚实基础。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77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城市轨道交通票务管理</w:t>
            </w:r>
          </w:p>
        </w:tc>
        <w:tc>
          <w:tcPr>
            <w:tcW w:w="400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掌握自动售检票系统（AFC）构成原理、售票/监票/补票作业规范、票务设备故障类型及乘客事务处理流程等核心知识。</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能独立操作票务设备进行售票、检票及人工点钞；具备票务异常（如设备故障、票务争议）快速响应与处置能力，熟练运用案例分析解决实际票务问题。</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培养细致严谨的操作习惯、高效的沟通服务意识及廉洁自律的职业操守，提升应对突发情况的应变能力。</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树立“乘客为本、服务至上”的价值观，强化公平诚信的票务纪律意识，培养守护公共财产的责任感与窗口岗位的敬业精神。</w:t>
            </w:r>
          </w:p>
        </w:tc>
        <w:tc>
          <w:tcPr>
            <w:tcW w:w="2925"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自动售检票系统；售票作业；监票作业；补票作业；票务设备异常处理；售票作业；乘客事务处理；人工点钞。</w:t>
            </w:r>
          </w:p>
        </w:tc>
        <w:tc>
          <w:tcPr>
            <w:tcW w:w="2272"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教学中需注重理论和实践操作相结合的方法，结合实际案例，培养学生分析解决问题的能力，使学生掌握票务系统构成、售票、检票等核心技能，具备处理票务异常的能力。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77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城市轨道交通应急处置</w:t>
            </w:r>
          </w:p>
        </w:tc>
        <w:tc>
          <w:tcPr>
            <w:tcW w:w="400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典型突发事件（脱轨、断电、恐袭等）的应急预案框架、应急指挥体系构建逻辑、应急设备操作规范、事故上报与疏散流程、伤员急救及事后恢复机制，理解智能化应急系统（AI监控、大数据预警）的应用及行业法规。</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能独立编制基础应急预案，熟练操作消防、广播等应急设备；具备现场指挥决策、多角色协同救援、虚拟仿真推演及跨部门联动处置的实战能力，有效应用智能系统进行预警响应。</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培养冷静果敢的应急心理素质、安全底线思维与风险预判能力，提化团队协作意识及跨岗位沟通效率。</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厚植“生命至上、科学救援”的职业信仰，锤炼恪守法规的责任担当，弘扬临危不惧的奉献精神，筑牢守护公共安全的使命意识。</w:t>
            </w:r>
          </w:p>
        </w:tc>
        <w:tc>
          <w:tcPr>
            <w:tcW w:w="2925"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围绕城市轨道交通典型突发事件（如列车脱轨、供电中断、恐怖袭击等），解析应急预案编制框架、现场指挥体系搭建、应急设备（消防设施、紧急广播、逃生通道）的使用方法，涵盖事故上报流程、乘客疏散策略、伤员急救常识及事后恢复机制，结合虚拟仿真演练与真实案例分析，融入智能化应急管理系统（如AI监控、大数据预警）的应用场景及行业法规要求。</w:t>
            </w:r>
          </w:p>
        </w:tc>
        <w:tc>
          <w:tcPr>
            <w:tcW w:w="2272"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采用“理论+模拟+实操”模式，通过沙盘推演、事故救援模拟及实地演练强化实战能力；要求学生能独立制定基础应急预案，熟练操作应急设备并完成多角色协同处置任务；考核侧重预案逻辑性、操作规范性及临场应变能力评估，注重安全底线思维与跨部门联动意识的培养。</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320" w:firstLineChars="1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17"/>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专业拓展课程是根据学生发展需求横向拓展和纵向深化的课程，是提升综合职业能力的延展课程。</w:t>
      </w:r>
      <w:r>
        <w:rPr>
          <w:rFonts w:hint="eastAsia" w:ascii="仿宋_GB2312" w:hAnsi="仿宋_GB2312" w:eastAsia="仿宋_GB2312" w:cs="仿宋_GB2312"/>
          <w:b w:val="0"/>
          <w:bCs w:val="0"/>
          <w:color w:val="auto"/>
          <w:sz w:val="32"/>
          <w:szCs w:val="32"/>
          <w:highlight w:val="none"/>
        </w:rPr>
        <w:t>根据交通运输行业发展的趋势，依据企业用人需求调研，企业对客运服务等方面日益增加的需求，建立了城市轨道交通运营管理专业拓展课，并将辅修方向课程纳入其中。由城市轨道交通调度指挥、城市轨道交通班组管理、城市轨道交通客运服务手语、城市轨道交通列车驾驶实务、智能综合监控系统、智慧城轨运营管理、卫生防疫与急救技能、工程制图等课程构成专业拓展课。</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pPr w:leftFromText="180" w:rightFromText="180" w:vertAnchor="text" w:tblpXSpec="center" w:tblpY="1"/>
        <w:tblOverlap w:val="never"/>
        <w:tblW w:w="10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105"/>
        <w:gridCol w:w="3482"/>
        <w:gridCol w:w="2450"/>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105"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课程名称</w:t>
            </w:r>
          </w:p>
        </w:tc>
        <w:tc>
          <w:tcPr>
            <w:tcW w:w="3482"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课程目标</w:t>
            </w:r>
          </w:p>
        </w:tc>
        <w:tc>
          <w:tcPr>
            <w:tcW w:w="2450"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主要教学内容</w:t>
            </w:r>
          </w:p>
        </w:tc>
        <w:tc>
          <w:tcPr>
            <w:tcW w:w="2946"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10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城市轨道交通调度指挥</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掌握运行图编制原理、调度规章体系、行车调整与冲突疏解技术、应急指挥流程（设备故障/突发事件）、信号系统（ATS及联锁设备）操作规范及调度信息化平台应用逻辑。</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能独立编制运行图并实时调整列车运行计划，熟练操作ATS等信号系统进行行车监控与调度；具备突发事件快速响应、多工种协同指挥及信息化平台综合应用能力，通过仿真演练提升决策效能。</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培养全局统筹意识、高效精准的指挥作风、安全责任底线思维及多岗位协作沟通素养。</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筑牢“调度为核、畅通为民”的职业信仰，强化恪守规章的执行力与守护城市动脉的使命感，锤炼科学决策、临危不乱的责任担当。</w:t>
            </w: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调度基础知识（运行图编制、调度规章）、行车调度技术（列车运行调整、冲突疏解）、应急指挥流程（设备故障、突发事件处置）、信号系统操作（ATS、联锁设备应用）以及调度信息化平台应用。</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要求学生熟练掌握列车运行图编制、实时调度指挥及应急事件处置流程，具备ATS等信号系统的规范操作能力，能有效监控客流与协调多工种联动作业，同时通过仿真演练和案例分析强化安全责任意识与决策判断能力，最终达到行业调度岗位所需的专业技能与职业素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10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城市轨道交通班组管理</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掌握班组组织架构设计原理、岗位职责划分规则、生产排班与标准化作业流程、安全管理工具（KYT/6S）应用规范、绩效激励方法及信息化管理工具功能。</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能独立制定生产排班计划，运用安全管理工具开展风险防控和应急预案；具备现场协调、绩效评估及突发事件指挥能力，通过情景模拟实现团队高效协作与资源调配。</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培养制度化管理思维、标准化执行习惯、责任担当意识及沟通领导力，提升团队凝聚力与风险预判素养。</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树立“基层稳则全局安”的管理理念，强化服务一线的奉献精神，筑牢规章执行的纪律底线，践行公平公正的团队协作价值观。</w:t>
            </w: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班组组织与职责（组织架构、岗位分工）、生产管理（排班计划、作业标准化）、安全管理（风险识别、应急预案）、团队建设（沟通技巧、绩效激励）以及信息化管理工具应用。</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要求学生掌握班组组织架构、岗位职责划分及标准化作业流程，具备生产计划制定、现场协调与绩效管理能力，能够运用安全管理工具（如KYT、6S）开展风险防控，并通过情景模拟和案例分析培养团队领导力与突发事件指挥能力，最终达到轨道交通基层管理岗位所需的综合管理素养与标准化执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10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城市轨道交通客运服务手语</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掌握轨道交通场景核心手语词汇（数字/时间/票务/设施/安全指令）与情景句型结构，理解聋哑人文化特性及非肢体礼仪规范，熟悉行业服务标准与沟通禁忌。</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能自然流畅运用手语完成购票引导、乘车咨询、紧急疏散通知等场景对话；具备手语对话设计、现场应变及跨文化沟通能力，通过实景演练确保表达准确性与服务适配性。</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培养尊重包容的服务意识、细致敏锐的观察力、得体规范的非肢体礼仪（表情/手势节奏）及职业化沟通素养。</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践行“无声服务，平等关爱”的人文理念，筑牢服务弱势群体的责任感，弘扬交通行业人文温度，树立包容共享的社会主义核心价值观。</w:t>
            </w: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围绕轨道交通客运服务场景，涵盖数字、方向、时间、票务（购票、退换票）、设施（安检、闸机、车厢）、安全警示（紧急疏散、故障通知）等基础手语词汇与句型，结合问询应答、乘车引导、突发事件沟通等情景对话训练，融入聋哑人文化认知、非肢体礼仪（表情、手势节奏）及行业服务规范，通过案例模拟与实景演练强化手语应用的准确性与服务适配性。</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采用“理论+情景+实操”模式，通过视频示范、角色扮演及情景模拟服务过程；学生需完成指定服务场景的手语对话设计、现场演示及互动反馈，掌握自然流畅的手语表达与应变技巧；考核侧重手语准确性、沟通效率及服务态度评价，注重文化尊重意识与职业服务规范的同步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105"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城市轨道交通列车驾驶实务</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掌握列车核心构造（转向架、制动系统）原理、标准化驾驶作业流程（出勤检查/启动对标/精确停车）、信号系统（ATP/ATO模式转换及故障应对）逻辑与应急处理规范（突发事件处置、救援连挂）。</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能精准执行列车启动、对标停靠及多模式驾驶转换；熟练操作信号系统并快速处置设备故障，通过模拟驾驶完成多场景应急演练，具备救援连挂等实战操作能力。</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培养严谨的安全规范执行习惯、沉着精准的操作心理素质、风险预判意识及情境快速决断力。</w:t>
            </w:r>
          </w:p>
          <w:p>
            <w:pPr>
              <w:overflowPunct w:val="0"/>
              <w:adjustRightInd w:val="0"/>
              <w:spacing w:after="0" w:line="360" w:lineRule="exac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筑牢“万次操作零失误”的责任信仰，弘扬敬畏生命、守护安全的职业精神，践行精益求精的工匠品格与岗位使命感。</w:t>
            </w:r>
          </w:p>
          <w:p>
            <w:pPr>
              <w:overflowPunct w:val="0"/>
              <w:adjustRightInd w:val="0"/>
              <w:spacing w:after="0" w:line="360" w:lineRule="exact"/>
              <w:rPr>
                <w:rFonts w:hint="eastAsia" w:ascii="仿宋_GB2312" w:hAnsi="仿宋_GB2312" w:eastAsia="仿宋_GB2312" w:cs="仿宋_GB2312"/>
                <w:color w:val="auto"/>
                <w:sz w:val="24"/>
              </w:rPr>
            </w:pP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列车构造与原理（转向架、制动系统等）、驾驶标准化作业（出勤检查、启动对标、精确停车）、信号系统认知（ATP/ATO模式转换、信号故障应对）、应急处理（突发事件处置流程、救援连挂作业）以及模拟驾驶实训（多场景仿真演练）。</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要求学生熟练掌握列车构造原理、标准化驾驶操作流程及信号系统联动控制，具备精准对标停车、多模式驾驶转换和突发事件应急处置能力，严格遵守安全作业规范，并通过模拟驾驶训练与跟岗实习强化心理素质与情境判断能力，最终达到轨道交通列车驾驶员岗位职业资格认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110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智能综合监控系统</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掌握ISCS系统架构原理（硬件组成/网络拓扑/数据协议）、BAS/FAS/SCADA等子系统功能集成逻辑、运维操作规范（人机交互/报警处理/远程控制）、数据分析方法（日志查询/趋势分析）及智能预警机制。</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能独立操作监控界面进行设备联动控制与报警处置；具备系统配置、故障智能诊断、应急远程调度能力，通过仿真平台完成子系统协同演练与故障模拟处置。</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培养缜密的系统思维、规范的技术操作习惯、数据</w:t>
            </w:r>
            <w:r>
              <w:rPr>
                <w:rFonts w:hint="eastAsia" w:ascii="仿宋_GB2312" w:hAnsi="仿宋_GB2312" w:eastAsia="仿宋_GB2312" w:cs="仿宋_GB2312"/>
                <w:color w:val="auto"/>
                <w:spacing w:val="-11"/>
                <w:sz w:val="24"/>
              </w:rPr>
              <w:t>敏感度及运维安全风险预判意识。</w:t>
            </w:r>
          </w:p>
          <w:p>
            <w:pPr>
              <w:overflowPunct w:val="0"/>
              <w:adjustRightInd w:val="0"/>
              <w:spacing w:after="0" w:line="360" w:lineRule="exac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践行“科技赋能、精准监控”的智慧运维理念，筑牢守护城市生命线的责任担当，培养精益求精的工匠精神与协同联动的全局观。</w:t>
            </w:r>
          </w:p>
          <w:p>
            <w:pPr>
              <w:overflowPunct w:val="0"/>
              <w:adjustRightInd w:val="0"/>
              <w:spacing w:after="0" w:line="360" w:lineRule="exact"/>
              <w:rPr>
                <w:rFonts w:hint="eastAsia" w:ascii="仿宋_GB2312" w:hAnsi="仿宋_GB2312" w:eastAsia="仿宋_GB2312" w:cs="仿宋_GB2312"/>
                <w:color w:val="auto"/>
                <w:sz w:val="24"/>
              </w:rPr>
            </w:pP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系统架构与原理（硬件组成、网络拓扑、数据交互协议）、功能模块应用（BAS/FAS/SCADA子系统集成与联动）、运维操作技能（人机界面操作、报警信息处理、远程控制）、数据分析与故障诊断（日志查询、趋势分析、智能预警）以及仿真平台实训（系统配置、应急演练、故障模拟处置）。</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要求学生掌握轨道交通ISCS（智能综合监控系统）的架构原理、功能模块及联动逻辑，具备系统操作、设备监控、数据分析和故障诊断能力，熟悉BAS（环境与设备监控）、FAS（火灾报警）等子系统的集成管理，并通过仿真平台实训强化应急指挥与系统维护技能，达到智能化运维岗位的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110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智慧城轨运营管理</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智能调度（自动驾驶、客流预测）、设备智能运维（故障预警/健康管理）、数字化乘客服务（智能票务/信息终端）、能源优化及网络安全防护的核心技术原理，理解5G通信、数字孪生等技术在智慧车站/线网协同中的应用逻辑与行业标准。</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能运用数据分析工具评估运营效率或推演故障场景，设计智能化服务解决方案；具备新技术适配性分析、系统协同优化及复杂运营问题的创新解决能力，通过案例模拟实现技术融合应用。</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培养智慧化系统思维、前沿技术敏感度、数据安全伦理意识及可持续发展理念，强化多模块协同的前瞻性管理素养。</w:t>
            </w:r>
          </w:p>
          <w:p>
            <w:pPr>
              <w:overflowPunct w:val="0"/>
              <w:adjustRightInd w:val="0"/>
              <w:spacing w:after="0" w:line="360" w:lineRule="exac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践行“科技赋能、服务为民”的创新观，筑牢网络安全责任底线，弘扬绿色集约的可持续发展精神，培养技术应用与人文伦理协同发展的职业价值观。</w:t>
            </w:r>
          </w:p>
          <w:p>
            <w:pPr>
              <w:overflowPunct w:val="0"/>
              <w:adjustRightInd w:val="0"/>
              <w:spacing w:after="0" w:line="360" w:lineRule="exact"/>
              <w:rPr>
                <w:rFonts w:hint="eastAsia" w:ascii="仿宋_GB2312" w:hAnsi="仿宋_GB2312" w:eastAsia="仿宋_GB2312" w:cs="仿宋_GB2312"/>
                <w:color w:val="auto"/>
                <w:sz w:val="24"/>
              </w:rPr>
            </w:pP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聚焦智慧城轨的运营管理体系，涵盖智能调度系统（列车自动驾驶、实时客流预测）、设备智能运维（故障预警、健康管理）、乘客服务数字化（智能票务、信息服务终端）、能源管理优化及网络安全防护等内容，结合5G通信、数字孪生等技术应用案例，分析智慧车站、智慧线网的全流程协同机制，融入行业标准与可持续发展理念。</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案例研讨、角色模拟相结合的方式；要求学生能运用数据分析工具完成运营效率评估或故障模拟推演，设计智能化服务方案；考核侧重技术应用逻辑性、系统思维及解决复杂运营问题的创新能力，强调新技术适配性与行业伦理的双重导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110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卫生防疫与急救技能</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掌握传染病传播机制、个人防护装备规范、公共场所消毒流程、急救技术（CPR/AED操作/创伤处理）及突发公共卫生事件应急管理法规与伦理准则。</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能规范完成伤口处理、骨折固定、心肺复苏等急救操作；具备独立开展基础伤情评估、群体事件初步防控、流行病学调查及消毒防疫执行能力，通过情景模拟强化时效性与协作处置效能。</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培养科学防疫意识、规范操作习惯、临场应变心理素质及人文关怀精神，提升安全责任与团队协作素养。</w:t>
            </w:r>
          </w:p>
          <w:p>
            <w:pPr>
              <w:overflowPunct w:val="0"/>
              <w:adjustRightInd w:val="0"/>
              <w:spacing w:after="0" w:line="360" w:lineRule="exac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践行“人民至上、生命至上”的价值导向，筑牢守护公共健康的职业使命感，弘扬救死扶伤的奉献精神，强化依法防疫的责任担当与尊重生命的伦理意识。</w:t>
            </w:r>
          </w:p>
          <w:p>
            <w:pPr>
              <w:overflowPunct w:val="0"/>
              <w:adjustRightInd w:val="0"/>
              <w:spacing w:after="0" w:line="360" w:lineRule="exact"/>
              <w:rPr>
                <w:rFonts w:hint="eastAsia" w:ascii="仿宋_GB2312" w:hAnsi="仿宋_GB2312" w:eastAsia="仿宋_GB2312" w:cs="仿宋_GB2312"/>
                <w:color w:val="auto"/>
                <w:sz w:val="24"/>
              </w:rPr>
            </w:pP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涵盖卫生防疫基础知识（传染病传播途径、预防接种、个人防护装备使用）、公共场所消毒流程、急救技能（CPR、AED操作、气道异物处理、骨折固定、烧伤烫伤急救）、流行病学调查要点及突发公共卫生事件（如疫情、食物中毒）的应急管理流程，结合案例分析急救伦理、法律法规及心理疏导技巧，强化实操场景的规范性与时效性。</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需采用理论讲授、情景模拟与实操训练相结合模式，通过标准化急救模型演练、防疫场景角色扮演及真实案例复盘深化技能应用；要求学生熟练掌握急救操作流程，能独立完成基础伤情评估与紧急处理，并协作完成群体性事件的初步防控；考核侧重操作规范性、应急判断力及防疫知识迁移能力，注重安全意识与人文关怀的双重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spacing w:after="0"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110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工程制图</w:t>
            </w:r>
          </w:p>
        </w:tc>
        <w:tc>
          <w:tcPr>
            <w:tcW w:w="3482"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掌握投影原理、轴测图与三视图绘制规范，理解组合体表达、建筑/结构施工图及给排水工程图制图标准，熟悉标高投影等工程表达方法。</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能运用AutoCAD软件精确绘制施工图，具备空间形体拆解建模、手工与计算机制图双技能，通过模型实训培养工程图纸的阅读转化与造型设计能力。</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塑造严谨精准的制图标准意识、立体空间思维习惯、工程美学素养及规范操作职业习惯。</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厚植“毫厘匠心筑基石”的职业信仰，践行工程领域的科学严谨精神，培养精益求精的工匠品格，强化国家标准化建设的责任担当。</w:t>
            </w:r>
          </w:p>
        </w:tc>
        <w:tc>
          <w:tcPr>
            <w:tcW w:w="2450"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制图的基本知识和技能；投影的基本知识；点、直线、平面的投影；轴测图；立体表面交线；组合体的投影；工程形体的表达方式；标高投影；建筑施工图；结构施工图；给水排水工程图。</w:t>
            </w:r>
          </w:p>
        </w:tc>
        <w:tc>
          <w:tcPr>
            <w:tcW w:w="2946"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方式分课堂教学、上机实训和课外辅导三部分。其中，教学尽量采用启发式教学及与同学们互动方法进行；多给同学们看模型实物讲解；并指导同学们利用模型和AutoCAD软件进行上机实训操作。利用课前、课后等课余时间及时答疑，给同学们创造更多的习题练习时间及在绘图室里绘图的机会，通过本课程的学习，切实培养同学们的标准意识、手工和计算机绘图能力、空间形体的形象思维能力和造型设计能力。</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 ：毕业设计、岗位实习</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825"/>
        <w:gridCol w:w="4358"/>
        <w:gridCol w:w="2454"/>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overflowPunct w:val="0"/>
              <w:adjustRightInd w:val="0"/>
              <w:spacing w:line="360" w:lineRule="exact"/>
              <w:jc w:val="center"/>
              <w:rPr>
                <w:rFonts w:ascii="仿宋_GB2312" w:hAnsi="仿宋_GB2312" w:eastAsia="仿宋_GB2312" w:cs="仿宋_GB2312"/>
                <w:color w:val="auto"/>
                <w:sz w:val="24"/>
              </w:rPr>
            </w:pPr>
            <w:bookmarkStart w:id="18" w:name="OLE_LINK21"/>
            <w:r>
              <w:rPr>
                <w:rFonts w:hint="eastAsia" w:ascii="仿宋_GB2312" w:hAnsi="仿宋_GB2312" w:eastAsia="仿宋_GB2312" w:cs="仿宋_GB2312"/>
                <w:color w:val="auto"/>
                <w:sz w:val="24"/>
              </w:rPr>
              <w:t>序号</w:t>
            </w:r>
          </w:p>
        </w:tc>
        <w:tc>
          <w:tcPr>
            <w:tcW w:w="825"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 名称</w:t>
            </w:r>
          </w:p>
        </w:tc>
        <w:tc>
          <w:tcPr>
            <w:tcW w:w="4358"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课程目标</w:t>
            </w:r>
          </w:p>
        </w:tc>
        <w:tc>
          <w:tcPr>
            <w:tcW w:w="2454"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主要教学内容</w:t>
            </w:r>
          </w:p>
        </w:tc>
        <w:tc>
          <w:tcPr>
            <w:tcW w:w="2147" w:type="dxa"/>
            <w:vAlign w:val="center"/>
          </w:tcPr>
          <w:p>
            <w:pPr>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6"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82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毕业设计</w:t>
            </w:r>
          </w:p>
        </w:tc>
        <w:tc>
          <w:tcPr>
            <w:tcW w:w="4358"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整合专业课程知识体系，掌握选题领域的前沿动态与行业标准，理解科研方法或工程设计规范。</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具备独立完成课题研究、方案设计或技术开发的实践能力；通过调研分析、数据建模、成果论证等全流程训练，形成科研写作、创新思维及复杂问题解决能力。</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培养严谨的学术规范意识、跨学科协作素养、知识产权保护观念及持续学习的职业潜力。</w:t>
            </w:r>
          </w:p>
          <w:p>
            <w:pPr>
              <w:overflowPunct w:val="0"/>
              <w:adjustRightInd w:val="0"/>
              <w:spacing w:after="0" w:line="360" w:lineRule="exac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厚植“知行合一、科技报国”的科研担当，锤炼求真务实的治学品格，强化服务城轨行业发展的责任使命感，践行创新成果转化与社会价值并重的职业价值观。</w:t>
            </w:r>
          </w:p>
          <w:p>
            <w:pPr>
              <w:overflowPunct w:val="0"/>
              <w:adjustRightInd w:val="0"/>
              <w:spacing w:after="0" w:line="360" w:lineRule="exact"/>
              <w:rPr>
                <w:rFonts w:hint="eastAsia" w:ascii="仿宋_GB2312" w:hAnsi="仿宋_GB2312" w:eastAsia="仿宋_GB2312" w:cs="仿宋_GB2312"/>
                <w:color w:val="auto"/>
                <w:sz w:val="24"/>
              </w:rPr>
            </w:pPr>
          </w:p>
        </w:tc>
        <w:tc>
          <w:tcPr>
            <w:tcW w:w="2454"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毕业作品设计；毕业设计报告书编写。</w:t>
            </w:r>
          </w:p>
        </w:tc>
        <w:tc>
          <w:tcPr>
            <w:tcW w:w="2147"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毕业设计课程要求学生综合运用所学知识，独立完成选题研究或项目设计，培养创新思维、科研能力和解决问题的能力，确保成果具有实际应用价值或学术贡献，达到专业培养目标。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vAlign w:val="center"/>
          </w:tcPr>
          <w:p>
            <w:pPr>
              <w:overflowPunct w:val="0"/>
              <w:adjustRightInd w:val="0"/>
              <w:spacing w:line="36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825" w:type="dxa"/>
            <w:vAlign w:val="center"/>
          </w:tcPr>
          <w:p>
            <w:pPr>
              <w:overflowPunct w:val="0"/>
              <w:adjustRightInd w:val="0"/>
              <w:spacing w:line="360" w:lineRule="exact"/>
              <w:jc w:val="left"/>
              <w:rPr>
                <w:rFonts w:ascii="仿宋_GB2312" w:hAnsi="仿宋_GB2312" w:eastAsia="仿宋_GB2312" w:cs="仿宋_GB2312"/>
                <w:color w:val="auto"/>
                <w:sz w:val="24"/>
              </w:rPr>
            </w:pPr>
            <w:r>
              <w:rPr>
                <w:rFonts w:hint="eastAsia" w:ascii="仿宋_GB2312" w:hAnsi="仿宋_GB2312" w:eastAsia="仿宋_GB2312" w:cs="仿宋_GB2312"/>
                <w:color w:val="auto"/>
                <w:sz w:val="24"/>
              </w:rPr>
              <w:t>岗位实习</w:t>
            </w:r>
          </w:p>
        </w:tc>
        <w:tc>
          <w:tcPr>
            <w:tcW w:w="4358" w:type="dxa"/>
          </w:tcPr>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理解高铁、地铁及轨交服务岗位的作业标准、安全规范及服务流程，掌握企业规章制度与岗位职责核心要点。</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通过一线实操熟练掌握票务处理、乘客引导、应急处置等岗位技能，具备独立解决服务现场实际问题的执行能力。</w:t>
            </w:r>
          </w:p>
          <w:p>
            <w:pPr>
              <w:overflowPunct w:val="0"/>
              <w:adjustRightInd w:val="0"/>
              <w:spacing w:after="0" w:line="360" w:lineRule="exact"/>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培养职业化服务意识、团队协作精神、沟通应变能力及吃苦耐劳的敬业品质。</w:t>
            </w:r>
          </w:p>
          <w:p>
            <w:pPr>
              <w:overflowPunct w:val="0"/>
              <w:adjustRightInd w:val="0"/>
              <w:spacing w:after="0" w:line="360" w:lineRule="exact"/>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筑牢“服务民生、奉献社会”的职业信仰，践行基层岗位的责任担当，弘扬爱岗敬业的劳动精神，强化服务人民出行的使命感。</w:t>
            </w:r>
          </w:p>
          <w:p>
            <w:pPr>
              <w:overflowPunct w:val="0"/>
              <w:adjustRightInd w:val="0"/>
              <w:spacing w:after="0" w:line="360" w:lineRule="exact"/>
              <w:rPr>
                <w:rFonts w:hint="eastAsia" w:ascii="仿宋_GB2312" w:hAnsi="仿宋_GB2312" w:eastAsia="仿宋_GB2312" w:cs="仿宋_GB2312"/>
                <w:color w:val="auto"/>
                <w:sz w:val="24"/>
              </w:rPr>
            </w:pPr>
          </w:p>
        </w:tc>
        <w:tc>
          <w:tcPr>
            <w:tcW w:w="2454"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z w:val="24"/>
              </w:rPr>
              <w:t>高铁乘务岗位实习、地铁服务岗位实习、城市轨道交通服务岗位实习。</w:t>
            </w:r>
          </w:p>
        </w:tc>
        <w:tc>
          <w:tcPr>
            <w:tcW w:w="2147" w:type="dxa"/>
          </w:tcPr>
          <w:p>
            <w:pPr>
              <w:overflowPunct w:val="0"/>
              <w:adjustRightInd w:val="0"/>
              <w:spacing w:line="360" w:lineRule="exact"/>
              <w:rPr>
                <w:rFonts w:ascii="仿宋_GB2312" w:hAnsi="仿宋_GB2312" w:eastAsia="仿宋_GB2312" w:cs="仿宋_GB2312"/>
                <w:color w:val="auto"/>
                <w:sz w:val="24"/>
              </w:rPr>
            </w:pPr>
            <w:r>
              <w:rPr>
                <w:rFonts w:hint="eastAsia" w:ascii="仿宋_GB2312" w:hAnsi="仿宋_GB2312" w:eastAsia="仿宋_GB2312" w:cs="仿宋_GB2312"/>
                <w:color w:val="auto"/>
                <w:spacing w:val="-11"/>
                <w:kern w:val="0"/>
                <w:sz w:val="24"/>
              </w:rPr>
              <w:t>强调理论与实践结合，要求学生深入企业一线，通过参与实际工作任务，掌握岗位技能，增强职业素养，培养解决问题的能力与团队协作精神，为职业生涯奠定坚实基础。</w:t>
            </w:r>
          </w:p>
        </w:tc>
      </w:tr>
      <w:bookmarkEnd w:id="18"/>
    </w:tbl>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8"/>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bookmarkStart w:id="19" w:name="OLE_LINK4"/>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bookmarkEnd w:id="19"/>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9"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rPr>
      </w:pPr>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 xml:space="preserve">（一）教学环节分配表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8"/>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项目</w:t>
            </w:r>
          </w:p>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spacing w:after="0"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color w:val="auto"/>
                <w:sz w:val="24"/>
                <w:szCs w:val="24"/>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bCs/>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本专业教学总学时为28</w:t>
      </w:r>
      <w:r>
        <w:rPr>
          <w:rFonts w:hint="eastAsia" w:ascii="仿宋_GB2312" w:hAnsi="仿宋_GB2312" w:eastAsia="仿宋_GB2312" w:cs="仿宋_GB2312"/>
          <w:color w:val="auto"/>
          <w:sz w:val="32"/>
          <w:szCs w:val="32"/>
          <w:lang w:val="en-US" w:eastAsia="zh-CN"/>
        </w:rPr>
        <w:t>34</w:t>
      </w:r>
      <w:r>
        <w:rPr>
          <w:rFonts w:hint="eastAsia" w:ascii="仿宋_GB2312" w:hAnsi="仿宋_GB2312" w:eastAsia="仿宋_GB2312" w:cs="仿宋_GB2312"/>
          <w:color w:val="auto"/>
          <w:sz w:val="32"/>
          <w:szCs w:val="32"/>
        </w:rPr>
        <w:t>学时。其中理论教学</w:t>
      </w:r>
      <w:r>
        <w:rPr>
          <w:rFonts w:hint="eastAsia" w:ascii="仿宋_GB2312" w:hAnsi="仿宋_GB2312" w:eastAsia="仿宋_GB2312" w:cs="仿宋_GB2312"/>
          <w:color w:val="auto"/>
          <w:sz w:val="32"/>
          <w:szCs w:val="32"/>
          <w:lang w:val="en-US" w:eastAsia="zh-CN"/>
        </w:rPr>
        <w:t>1328</w:t>
      </w:r>
      <w:r>
        <w:rPr>
          <w:rFonts w:hint="eastAsia" w:ascii="仿宋_GB2312" w:hAnsi="仿宋_GB2312" w:eastAsia="仿宋_GB2312" w:cs="仿宋_GB2312"/>
          <w:color w:val="auto"/>
          <w:sz w:val="32"/>
          <w:szCs w:val="32"/>
        </w:rPr>
        <w:t>学时，占4</w:t>
      </w:r>
      <w:r>
        <w:rPr>
          <w:rFonts w:hint="eastAsia" w:ascii="仿宋_GB2312" w:hAnsi="仿宋_GB2312" w:eastAsia="仿宋_GB2312" w:cs="仿宋_GB2312"/>
          <w:color w:val="auto"/>
          <w:sz w:val="32"/>
          <w:szCs w:val="32"/>
          <w:lang w:val="en-US" w:eastAsia="zh-CN"/>
        </w:rPr>
        <w:t>6.86</w:t>
      </w:r>
      <w:r>
        <w:rPr>
          <w:rFonts w:hint="eastAsia" w:ascii="仿宋_GB2312" w:hAnsi="仿宋_GB2312" w:eastAsia="仿宋_GB2312" w:cs="仿宋_GB2312"/>
          <w:color w:val="auto"/>
          <w:sz w:val="32"/>
          <w:szCs w:val="32"/>
        </w:rPr>
        <w:t>%；实践教学15</w:t>
      </w:r>
      <w:r>
        <w:rPr>
          <w:rFonts w:hint="eastAsia" w:ascii="仿宋_GB2312" w:hAnsi="仿宋_GB2312" w:eastAsia="仿宋_GB2312" w:cs="仿宋_GB2312"/>
          <w:color w:val="auto"/>
          <w:sz w:val="32"/>
          <w:szCs w:val="32"/>
          <w:lang w:val="en-US" w:eastAsia="zh-CN"/>
        </w:rPr>
        <w:t>06</w:t>
      </w:r>
      <w:r>
        <w:rPr>
          <w:rFonts w:hint="eastAsia" w:ascii="仿宋_GB2312" w:hAnsi="仿宋_GB2312" w:eastAsia="仿宋_GB2312" w:cs="仿宋_GB2312"/>
          <w:color w:val="auto"/>
          <w:sz w:val="32"/>
          <w:szCs w:val="32"/>
        </w:rPr>
        <w:t>学时，占5</w:t>
      </w:r>
      <w:r>
        <w:rPr>
          <w:rFonts w:hint="eastAsia" w:ascii="仿宋_GB2312" w:hAnsi="仿宋_GB2312" w:eastAsia="仿宋_GB2312" w:cs="仿宋_GB2312"/>
          <w:color w:val="auto"/>
          <w:sz w:val="32"/>
          <w:szCs w:val="32"/>
          <w:lang w:val="en-US" w:eastAsia="zh-CN"/>
        </w:rPr>
        <w:t>3.14</w:t>
      </w:r>
      <w:r>
        <w:rPr>
          <w:rFonts w:hint="eastAsia" w:ascii="仿宋_GB2312" w:hAnsi="仿宋_GB2312" w:eastAsia="仿宋_GB2312" w:cs="仿宋_GB2312"/>
          <w:color w:val="auto"/>
          <w:sz w:val="32"/>
          <w:szCs w:val="32"/>
        </w:rPr>
        <w:t>%，其中岗位实习时间累计一般为6个月。公共基础课</w:t>
      </w:r>
      <w:r>
        <w:rPr>
          <w:rFonts w:hint="eastAsia" w:ascii="仿宋_GB2312" w:hAnsi="仿宋_GB2312" w:eastAsia="仿宋_GB2312" w:cs="仿宋_GB2312"/>
          <w:color w:val="auto"/>
          <w:sz w:val="32"/>
          <w:szCs w:val="32"/>
          <w:lang w:val="en-US" w:eastAsia="zh-CN"/>
        </w:rPr>
        <w:t>954</w:t>
      </w:r>
      <w:r>
        <w:rPr>
          <w:rFonts w:hint="eastAsia" w:ascii="仿宋_GB2312" w:hAnsi="仿宋_GB2312" w:eastAsia="仿宋_GB2312" w:cs="仿宋_GB2312"/>
          <w:color w:val="auto"/>
          <w:sz w:val="32"/>
          <w:szCs w:val="32"/>
        </w:rPr>
        <w:t>学时，占</w:t>
      </w:r>
      <w:r>
        <w:rPr>
          <w:rFonts w:hint="eastAsia" w:ascii="仿宋_GB2312" w:hAnsi="仿宋_GB2312" w:eastAsia="仿宋_GB2312" w:cs="仿宋_GB2312"/>
          <w:color w:val="auto"/>
          <w:sz w:val="32"/>
          <w:szCs w:val="32"/>
          <w:lang w:val="en-US" w:eastAsia="zh-CN"/>
        </w:rPr>
        <w:t>33.66</w:t>
      </w:r>
      <w:r>
        <w:rPr>
          <w:rFonts w:hint="eastAsia" w:ascii="仿宋_GB2312" w:hAnsi="仿宋_GB2312" w:eastAsia="仿宋_GB2312" w:cs="仿宋_GB2312"/>
          <w:color w:val="auto"/>
          <w:sz w:val="32"/>
          <w:szCs w:val="32"/>
        </w:rPr>
        <w:t>%；选修课3</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8学时，占1</w:t>
      </w:r>
      <w:r>
        <w:rPr>
          <w:rFonts w:hint="eastAsia" w:ascii="仿宋_GB2312" w:hAnsi="仿宋_GB2312" w:eastAsia="仿宋_GB2312" w:cs="仿宋_GB2312"/>
          <w:color w:val="auto"/>
          <w:sz w:val="32"/>
          <w:szCs w:val="32"/>
          <w:lang w:val="en-US" w:eastAsia="zh-CN"/>
        </w:rPr>
        <w:t>0.87</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7"/>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731"/>
        <w:gridCol w:w="900"/>
        <w:gridCol w:w="927"/>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17"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4"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29.14%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15.74%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5.30%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2.82%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34.44%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18.56%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26.49%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720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408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14.40%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312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17.22%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284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10.02%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184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6.62%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90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3.18%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90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3.18%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17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实践教学环节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15.23%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0.71%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6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99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65.56%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1880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802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28.30%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1078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38.04%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6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合计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151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2834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1328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46.86%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1506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53.14%</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p>
    <w:p>
      <w:pPr>
        <w:pStyle w:val="6"/>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7"/>
        <w:tblW w:w="57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
        <w:gridCol w:w="382"/>
        <w:gridCol w:w="391"/>
        <w:gridCol w:w="500"/>
        <w:gridCol w:w="1323"/>
        <w:gridCol w:w="2065"/>
        <w:gridCol w:w="829"/>
        <w:gridCol w:w="720"/>
        <w:gridCol w:w="735"/>
        <w:gridCol w:w="720"/>
        <w:gridCol w:w="330"/>
        <w:gridCol w:w="375"/>
        <w:gridCol w:w="330"/>
        <w:gridCol w:w="345"/>
        <w:gridCol w:w="341"/>
        <w:gridCol w:w="338"/>
        <w:gridCol w:w="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5" w:type="dxa"/>
            <w:gridSpan w:val="3"/>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bookmarkStart w:id="20" w:name="OLE_LINK3"/>
            <w:r>
              <w:rPr>
                <w:rFonts w:hint="eastAsia" w:ascii="仿宋_GB2312" w:hAnsi="仿宋_GB2312" w:eastAsia="仿宋_GB2312" w:cs="仿宋_GB2312"/>
                <w:color w:val="auto"/>
                <w:kern w:val="0"/>
                <w:sz w:val="20"/>
                <w:szCs w:val="20"/>
                <w:lang w:bidi="ar"/>
              </w:rPr>
              <w:t>课程类型</w:t>
            </w:r>
          </w:p>
        </w:tc>
        <w:tc>
          <w:tcPr>
            <w:tcW w:w="500" w:type="dxa"/>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序号</w:t>
            </w:r>
          </w:p>
        </w:tc>
        <w:tc>
          <w:tcPr>
            <w:tcW w:w="1323" w:type="dxa"/>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课程代码</w:t>
            </w:r>
          </w:p>
        </w:tc>
        <w:tc>
          <w:tcPr>
            <w:tcW w:w="2065" w:type="dxa"/>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课程名称</w:t>
            </w:r>
          </w:p>
        </w:tc>
        <w:tc>
          <w:tcPr>
            <w:tcW w:w="829" w:type="dxa"/>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学分</w:t>
            </w:r>
          </w:p>
        </w:tc>
        <w:tc>
          <w:tcPr>
            <w:tcW w:w="2175" w:type="dxa"/>
            <w:gridSpan w:val="3"/>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教学学时数</w:t>
            </w:r>
          </w:p>
        </w:tc>
        <w:tc>
          <w:tcPr>
            <w:tcW w:w="2059" w:type="dxa"/>
            <w:gridSpan w:val="6"/>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开课学期和周学时</w:t>
            </w:r>
          </w:p>
        </w:tc>
        <w:tc>
          <w:tcPr>
            <w:tcW w:w="633" w:type="dxa"/>
            <w:vMerge w:val="restart"/>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5" w:type="dxa"/>
            <w:gridSpan w:val="3"/>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500"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1323"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2065"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829"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2175" w:type="dxa"/>
            <w:gridSpan w:val="3"/>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2059" w:type="dxa"/>
            <w:gridSpan w:val="6"/>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633"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5" w:type="dxa"/>
            <w:gridSpan w:val="3"/>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500"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1323"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2065"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829" w:type="dxa"/>
            <w:vMerge w:val="continue"/>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c>
          <w:tcPr>
            <w:tcW w:w="720"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合计</w:t>
            </w:r>
          </w:p>
        </w:tc>
        <w:tc>
          <w:tcPr>
            <w:tcW w:w="735"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理论学时</w:t>
            </w:r>
          </w:p>
        </w:tc>
        <w:tc>
          <w:tcPr>
            <w:tcW w:w="720"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实践学时</w:t>
            </w:r>
          </w:p>
        </w:tc>
        <w:tc>
          <w:tcPr>
            <w:tcW w:w="330"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一</w:t>
            </w:r>
          </w:p>
        </w:tc>
        <w:tc>
          <w:tcPr>
            <w:tcW w:w="375"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二</w:t>
            </w:r>
          </w:p>
        </w:tc>
        <w:tc>
          <w:tcPr>
            <w:tcW w:w="330"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三</w:t>
            </w:r>
          </w:p>
        </w:tc>
        <w:tc>
          <w:tcPr>
            <w:tcW w:w="345"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四</w:t>
            </w:r>
          </w:p>
        </w:tc>
        <w:tc>
          <w:tcPr>
            <w:tcW w:w="341"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五</w:t>
            </w:r>
          </w:p>
        </w:tc>
        <w:tc>
          <w:tcPr>
            <w:tcW w:w="338"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六</w:t>
            </w: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gridSpan w:val="2"/>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公共基础课</w:t>
            </w:r>
          </w:p>
        </w:tc>
        <w:tc>
          <w:tcPr>
            <w:tcW w:w="391"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必修</w:t>
            </w: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1B410101101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思想道德与法治</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48</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36</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12</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7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z w:val="21"/>
                <w:szCs w:val="21"/>
              </w:rPr>
            </w:pP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1A410101102</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形势与政策</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0</w:t>
            </w:r>
          </w:p>
        </w:tc>
        <w:tc>
          <w:tcPr>
            <w:tcW w:w="2059" w:type="dxa"/>
            <w:gridSpan w:val="6"/>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sz w:val="21"/>
                <w:szCs w:val="21"/>
              </w:rPr>
              <w:t>1</w:t>
            </w:r>
            <w:r>
              <w:rPr>
                <w:rFonts w:hint="eastAsia" w:ascii="仿宋_GB2312" w:hAnsi="仿宋_GB2312" w:eastAsia="仿宋_GB2312" w:cs="仿宋_GB2312"/>
                <w:color w:val="auto"/>
                <w:kern w:val="0"/>
                <w:sz w:val="21"/>
                <w:szCs w:val="21"/>
                <w:lang w:bidi="ar"/>
              </w:rPr>
              <w:t>到</w:t>
            </w:r>
            <w:r>
              <w:rPr>
                <w:rFonts w:hint="eastAsia" w:ascii="仿宋_GB2312" w:hAnsi="仿宋_GB2312" w:eastAsia="仿宋_GB2312" w:cs="仿宋_GB2312"/>
                <w:color w:val="auto"/>
                <w:sz w:val="21"/>
                <w:szCs w:val="21"/>
              </w:rPr>
              <w:t>4</w:t>
            </w:r>
            <w:r>
              <w:rPr>
                <w:rFonts w:hint="eastAsia" w:ascii="仿宋_GB2312" w:hAnsi="仿宋_GB2312" w:eastAsia="仿宋_GB2312" w:cs="仿宋_GB2312"/>
                <w:color w:val="auto"/>
                <w:kern w:val="0"/>
                <w:sz w:val="21"/>
                <w:szCs w:val="21"/>
                <w:lang w:bidi="ar"/>
              </w:rPr>
              <w:t>学期开课，每学期</w:t>
            </w:r>
            <w:r>
              <w:rPr>
                <w:rFonts w:hint="eastAsia" w:ascii="仿宋_GB2312" w:hAnsi="仿宋_GB2312" w:eastAsia="仿宋_GB2312" w:cs="仿宋_GB2312"/>
                <w:color w:val="auto"/>
                <w:sz w:val="21"/>
                <w:szCs w:val="21"/>
              </w:rPr>
              <w:t>8</w:t>
            </w:r>
            <w:r>
              <w:rPr>
                <w:rFonts w:hint="eastAsia" w:ascii="仿宋_GB2312" w:hAnsi="仿宋_GB2312" w:eastAsia="仿宋_GB2312" w:cs="仿宋_GB2312"/>
                <w:color w:val="auto"/>
                <w:kern w:val="0"/>
                <w:sz w:val="21"/>
                <w:szCs w:val="21"/>
                <w:lang w:bidi="ar"/>
              </w:rPr>
              <w:t>学时。</w:t>
            </w: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1A410101103</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国家安全教育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16</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16</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0</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w:t>
            </w:r>
          </w:p>
        </w:tc>
        <w:tc>
          <w:tcPr>
            <w:tcW w:w="37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1A410101104</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军事理论</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36</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36</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0</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sz w:val="21"/>
                <w:szCs w:val="21"/>
              </w:rPr>
              <w:t>2</w:t>
            </w:r>
          </w:p>
        </w:tc>
        <w:tc>
          <w:tcPr>
            <w:tcW w:w="37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1C410101105</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军训</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112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0</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112</w:t>
            </w:r>
          </w:p>
        </w:tc>
        <w:tc>
          <w:tcPr>
            <w:tcW w:w="2059" w:type="dxa"/>
            <w:gridSpan w:val="6"/>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kern w:val="0"/>
                <w:sz w:val="21"/>
                <w:szCs w:val="21"/>
                <w:lang w:bidi="ar"/>
              </w:rPr>
              <w:t>第</w:t>
            </w:r>
            <w:r>
              <w:rPr>
                <w:rFonts w:hint="eastAsia" w:ascii="仿宋_GB2312" w:hAnsi="仿宋_GB2312" w:eastAsia="仿宋_GB2312" w:cs="仿宋_GB2312"/>
                <w:color w:val="auto"/>
                <w:sz w:val="21"/>
                <w:szCs w:val="21"/>
              </w:rPr>
              <w:t>1</w:t>
            </w:r>
            <w:r>
              <w:rPr>
                <w:rFonts w:hint="eastAsia" w:ascii="仿宋_GB2312" w:hAnsi="仿宋_GB2312" w:eastAsia="仿宋_GB2312" w:cs="仿宋_GB2312"/>
                <w:color w:val="auto"/>
                <w:kern w:val="0"/>
                <w:sz w:val="21"/>
                <w:szCs w:val="21"/>
                <w:lang w:bidi="ar"/>
              </w:rPr>
              <w:t>学期，实际训练时间不少于</w:t>
            </w:r>
            <w:r>
              <w:rPr>
                <w:rFonts w:hint="eastAsia" w:ascii="仿宋_GB2312" w:hAnsi="仿宋_GB2312" w:eastAsia="仿宋_GB2312" w:cs="仿宋_GB2312"/>
                <w:color w:val="auto"/>
                <w:sz w:val="21"/>
                <w:szCs w:val="21"/>
              </w:rPr>
              <w:t>14</w:t>
            </w:r>
            <w:r>
              <w:rPr>
                <w:rFonts w:hint="eastAsia" w:ascii="仿宋_GB2312" w:hAnsi="仿宋_GB2312" w:eastAsia="仿宋_GB2312" w:cs="仿宋_GB2312"/>
                <w:color w:val="auto"/>
                <w:kern w:val="0"/>
                <w:sz w:val="21"/>
                <w:szCs w:val="21"/>
                <w:lang w:bidi="ar"/>
              </w:rPr>
              <w:t>天</w:t>
            </w: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1B410101106</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计算机基础</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64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32</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w:t>
            </w:r>
          </w:p>
        </w:tc>
        <w:tc>
          <w:tcPr>
            <w:tcW w:w="132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i w:val="0"/>
                <w:color w:val="auto"/>
                <w:kern w:val="0"/>
                <w:sz w:val="20"/>
                <w:szCs w:val="20"/>
                <w:u w:val="none"/>
                <w:lang w:val="en-US" w:eastAsia="zh-CN" w:bidi="ar"/>
              </w:rPr>
              <w:t>1B410101107</w:t>
            </w:r>
          </w:p>
        </w:tc>
        <w:tc>
          <w:tcPr>
            <w:tcW w:w="206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i w:val="0"/>
                <w:color w:val="auto"/>
                <w:kern w:val="0"/>
                <w:sz w:val="20"/>
                <w:szCs w:val="20"/>
                <w:u w:val="none"/>
                <w:lang w:val="en-US" w:eastAsia="zh-CN" w:bidi="ar"/>
              </w:rPr>
              <w:t>高等数学</w:t>
            </w:r>
          </w:p>
        </w:tc>
        <w:tc>
          <w:tcPr>
            <w:tcW w:w="82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auto"/>
                <w:kern w:val="0"/>
                <w:sz w:val="21"/>
                <w:szCs w:val="21"/>
                <w:u w:val="none"/>
                <w:lang w:val="en-US" w:eastAsia="zh-CN" w:bidi="ar"/>
              </w:rPr>
              <w:t>4</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auto"/>
                <w:kern w:val="0"/>
                <w:sz w:val="21"/>
                <w:szCs w:val="21"/>
                <w:u w:val="none"/>
                <w:lang w:val="en-US" w:eastAsia="zh-CN" w:bidi="ar"/>
              </w:rPr>
              <w:t>64</w:t>
            </w:r>
          </w:p>
        </w:tc>
        <w:tc>
          <w:tcPr>
            <w:tcW w:w="73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auto"/>
                <w:kern w:val="0"/>
                <w:sz w:val="21"/>
                <w:szCs w:val="21"/>
                <w:u w:val="none"/>
                <w:lang w:val="en-US" w:eastAsia="zh-CN" w:bidi="ar"/>
              </w:rPr>
              <w:t>64</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auto"/>
                <w:kern w:val="0"/>
                <w:sz w:val="21"/>
                <w:szCs w:val="21"/>
                <w:u w:val="none"/>
                <w:lang w:val="en-US" w:eastAsia="zh-CN" w:bidi="ar"/>
              </w:rPr>
              <w:t>0</w:t>
            </w:r>
          </w:p>
        </w:tc>
        <w:tc>
          <w:tcPr>
            <w:tcW w:w="33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auto"/>
                <w:kern w:val="0"/>
                <w:sz w:val="21"/>
                <w:szCs w:val="21"/>
                <w:u w:val="none"/>
                <w:lang w:val="en-US" w:eastAsia="zh-CN" w:bidi="ar"/>
              </w:rPr>
              <w:t>2</w:t>
            </w:r>
          </w:p>
        </w:tc>
        <w:tc>
          <w:tcPr>
            <w:tcW w:w="37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auto"/>
                <w:kern w:val="0"/>
                <w:sz w:val="21"/>
                <w:szCs w:val="21"/>
                <w:u w:val="none"/>
                <w:lang w:val="en-US" w:eastAsia="zh-CN" w:bidi="ar"/>
              </w:rPr>
              <w:t>2</w:t>
            </w:r>
          </w:p>
        </w:tc>
        <w:tc>
          <w:tcPr>
            <w:tcW w:w="330"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仿宋_GB2312" w:hAnsi="仿宋_GB2312" w:eastAsia="仿宋_GB2312" w:cs="仿宋_GB2312"/>
                <w:color w:val="auto"/>
                <w:kern w:val="0"/>
                <w:sz w:val="20"/>
                <w:szCs w:val="20"/>
                <w:lang w:bidi="ar"/>
              </w:rPr>
            </w:pPr>
            <w:r>
              <w:rPr>
                <w:rFonts w:hint="eastAsia" w:ascii="宋体" w:hAnsi="宋体" w:eastAsia="宋体" w:cs="宋体"/>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8</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1B410101108</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大学英语</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8</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128</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104</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24</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4</w:t>
            </w: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4</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9</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1C410101109</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大学体育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8</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144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0</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144</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10</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1B410101110</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大学生职业发展与就业指导</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38</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26</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12</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11</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1B410101111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大学生心理健康教育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20</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12</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12</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1C410101112</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劳动教育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16</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0</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16</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13</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1B410101113</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毛泽东思想和中国特色社会主义理论体系概论</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28</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4</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14</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1B410101114</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创新创业教育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16</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12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4</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2</w:t>
            </w: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kern w:val="2"/>
                <w:sz w:val="21"/>
                <w:szCs w:val="21"/>
                <w:lang w:val="en-US" w:eastAsia="zh-CN" w:bidi="ar-SA"/>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val="en-US" w:eastAsia="zh-CN" w:bidi="ar"/>
              </w:rPr>
            </w:pPr>
          </w:p>
        </w:tc>
        <w:tc>
          <w:tcPr>
            <w:tcW w:w="63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val="en-US" w:eastAsia="zh-CN" w:bidi="ar"/>
              </w:rPr>
            </w:pPr>
            <w:r>
              <w:rPr>
                <w:rFonts w:hint="eastAsia" w:ascii="仿宋_GB2312" w:hAnsi="仿宋_GB2312" w:eastAsia="仿宋_GB2312" w:cs="仿宋_GB2312"/>
                <w:color w:val="auto"/>
                <w:kern w:val="0"/>
                <w:sz w:val="20"/>
                <w:szCs w:val="20"/>
                <w:lang w:val="en-US" w:eastAsia="zh-CN" w:bidi="ar"/>
              </w:rPr>
              <w:t>15</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1B410101115</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习近平新时代中国特色社会主义思想概论</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48</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4</w:t>
            </w:r>
            <w:r>
              <w:rPr>
                <w:rFonts w:hint="eastAsia" w:ascii="仿宋_GB2312" w:hAnsi="仿宋_GB2312" w:eastAsia="仿宋_GB2312" w:cs="仿宋_GB2312"/>
                <w:color w:val="auto"/>
                <w:sz w:val="21"/>
                <w:szCs w:val="21"/>
                <w:lang w:val="en-US" w:eastAsia="zh-CN"/>
              </w:rPr>
              <w:t>0</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8</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选修</w:t>
            </w: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中国民俗剪纸技法</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8</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24</w:t>
            </w:r>
          </w:p>
        </w:tc>
        <w:tc>
          <w:tcPr>
            <w:tcW w:w="2059" w:type="dxa"/>
            <w:gridSpan w:val="6"/>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kern w:val="0"/>
                <w:sz w:val="21"/>
                <w:szCs w:val="21"/>
                <w:lang w:bidi="ar"/>
              </w:rPr>
              <w:t xml:space="preserve">公共选修课最低学分要求为 </w:t>
            </w:r>
            <w:r>
              <w:rPr>
                <w:rFonts w:hint="eastAsia" w:ascii="仿宋_GB2312" w:hAnsi="仿宋_GB2312" w:eastAsia="仿宋_GB2312" w:cs="仿宋_GB2312"/>
                <w:color w:val="auto"/>
                <w:sz w:val="21"/>
                <w:szCs w:val="21"/>
              </w:rPr>
              <w:t>8</w:t>
            </w:r>
            <w:r>
              <w:rPr>
                <w:rFonts w:hint="eastAsia" w:ascii="仿宋_GB2312" w:hAnsi="仿宋_GB2312" w:eastAsia="仿宋_GB2312" w:cs="仿宋_GB2312"/>
                <w:color w:val="auto"/>
                <w:kern w:val="0"/>
                <w:sz w:val="21"/>
                <w:szCs w:val="21"/>
                <w:lang w:bidi="ar"/>
              </w:rPr>
              <w:t>学分，其中要求</w:t>
            </w:r>
            <w:r>
              <w:rPr>
                <w:rFonts w:hint="eastAsia" w:ascii="仿宋_GB2312" w:hAnsi="仿宋_GB2312" w:eastAsia="仿宋_GB2312" w:cs="仿宋_GB2312"/>
                <w:color w:val="auto"/>
                <w:sz w:val="21"/>
                <w:szCs w:val="21"/>
              </w:rPr>
              <w:t>2</w:t>
            </w:r>
            <w:r>
              <w:rPr>
                <w:rFonts w:hint="eastAsia" w:ascii="仿宋_GB2312" w:hAnsi="仿宋_GB2312" w:eastAsia="仿宋_GB2312" w:cs="仿宋_GB2312"/>
                <w:color w:val="auto"/>
                <w:kern w:val="0"/>
                <w:sz w:val="21"/>
                <w:szCs w:val="21"/>
                <w:lang w:bidi="ar"/>
              </w:rPr>
              <w:t>个学分为思政选修课学分。</w:t>
            </w: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1B410101202</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影视与鉴赏</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24</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1B410101203</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中华优秀传统文化</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1B410101204</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中国共产党简史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1B410101205</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改革开放简史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1B410101206</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中华人民共和国简史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1B410101207</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社会主义发展简史</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8</w:t>
            </w:r>
          </w:p>
        </w:tc>
        <w:tc>
          <w:tcPr>
            <w:tcW w:w="1323"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1B410101208</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中华民族共同体概论</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kern w:val="0"/>
                <w:sz w:val="20"/>
                <w:szCs w:val="20"/>
                <w:lang w:eastAsia="zh-CN" w:bidi="ar"/>
              </w:rPr>
            </w:pPr>
            <w:r>
              <w:rPr>
                <w:rFonts w:hint="eastAsia" w:ascii="仿宋_GB2312" w:hAnsi="仿宋_GB2312" w:eastAsia="仿宋_GB2312" w:cs="仿宋_GB2312"/>
                <w:color w:val="auto"/>
                <w:kern w:val="0"/>
                <w:sz w:val="20"/>
                <w:szCs w:val="20"/>
                <w:lang w:val="en-US" w:eastAsia="zh-CN" w:bidi="ar"/>
              </w:rPr>
              <w:t>9</w:t>
            </w:r>
          </w:p>
        </w:tc>
        <w:tc>
          <w:tcPr>
            <w:tcW w:w="1323" w:type="dxa"/>
            <w:shd w:val="clear" w:color="auto" w:fill="auto"/>
            <w:vAlign w:val="center"/>
          </w:tcPr>
          <w:p>
            <w:pPr>
              <w:widowControl/>
              <w:spacing w:after="0" w:line="24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1B410101210</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语文</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kern w:val="0"/>
                <w:sz w:val="20"/>
                <w:szCs w:val="20"/>
                <w:lang w:eastAsia="zh-CN" w:bidi="ar"/>
              </w:rPr>
            </w:pPr>
            <w:r>
              <w:rPr>
                <w:rFonts w:hint="eastAsia" w:ascii="仿宋_GB2312" w:hAnsi="仿宋_GB2312" w:eastAsia="仿宋_GB2312" w:cs="仿宋_GB2312"/>
                <w:color w:val="auto"/>
                <w:kern w:val="0"/>
                <w:sz w:val="20"/>
                <w:szCs w:val="20"/>
                <w:lang w:bidi="ar"/>
              </w:rPr>
              <w:t>1</w:t>
            </w:r>
            <w:r>
              <w:rPr>
                <w:rFonts w:hint="eastAsia" w:ascii="仿宋_GB2312" w:hAnsi="仿宋_GB2312" w:eastAsia="仿宋_GB2312" w:cs="仿宋_GB2312"/>
                <w:color w:val="auto"/>
                <w:kern w:val="0"/>
                <w:sz w:val="20"/>
                <w:szCs w:val="20"/>
                <w:lang w:val="en-US" w:eastAsia="zh-CN" w:bidi="ar"/>
              </w:rPr>
              <w:t>0</w:t>
            </w:r>
          </w:p>
        </w:tc>
        <w:tc>
          <w:tcPr>
            <w:tcW w:w="1323" w:type="dxa"/>
            <w:shd w:val="clear" w:color="auto" w:fill="auto"/>
            <w:vAlign w:val="center"/>
          </w:tcPr>
          <w:p>
            <w:pPr>
              <w:widowControl/>
              <w:spacing w:after="0" w:line="24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1B410101211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物理</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vAlign w:val="center"/>
          </w:tcPr>
          <w:p>
            <w:pPr>
              <w:widowControl/>
              <w:spacing w:after="0" w:line="240" w:lineRule="auto"/>
              <w:jc w:val="center"/>
              <w:textAlignment w:val="center"/>
              <w:rPr>
                <w:rFonts w:hint="eastAsia" w:ascii="仿宋_GB2312" w:hAnsi="仿宋_GB2312" w:eastAsia="仿宋_GB2312" w:cs="仿宋_GB2312"/>
                <w:color w:val="auto"/>
                <w:kern w:val="0"/>
                <w:sz w:val="20"/>
                <w:szCs w:val="20"/>
                <w:lang w:eastAsia="zh-CN" w:bidi="ar"/>
              </w:rPr>
            </w:pPr>
            <w:r>
              <w:rPr>
                <w:rFonts w:hint="eastAsia" w:ascii="仿宋_GB2312" w:hAnsi="仿宋_GB2312" w:eastAsia="仿宋_GB2312" w:cs="仿宋_GB2312"/>
                <w:color w:val="auto"/>
                <w:kern w:val="0"/>
                <w:sz w:val="20"/>
                <w:szCs w:val="20"/>
                <w:lang w:bidi="ar"/>
              </w:rPr>
              <w:t>1</w:t>
            </w:r>
            <w:r>
              <w:rPr>
                <w:rFonts w:hint="eastAsia" w:ascii="仿宋_GB2312" w:hAnsi="仿宋_GB2312" w:eastAsia="仿宋_GB2312" w:cs="仿宋_GB2312"/>
                <w:color w:val="auto"/>
                <w:kern w:val="0"/>
                <w:sz w:val="20"/>
                <w:szCs w:val="20"/>
                <w:lang w:val="en-US" w:eastAsia="zh-CN" w:bidi="ar"/>
              </w:rPr>
              <w:t>1</w:t>
            </w:r>
          </w:p>
        </w:tc>
        <w:tc>
          <w:tcPr>
            <w:tcW w:w="1323" w:type="dxa"/>
            <w:shd w:val="clear" w:color="auto" w:fill="auto"/>
            <w:vAlign w:val="center"/>
          </w:tcPr>
          <w:p>
            <w:pPr>
              <w:widowControl/>
              <w:spacing w:after="0" w:line="24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1B410101212</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化学</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w:t>
            </w:r>
          </w:p>
        </w:tc>
        <w:tc>
          <w:tcPr>
            <w:tcW w:w="2059" w:type="dxa"/>
            <w:gridSpan w:val="6"/>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4279" w:type="dxa"/>
            <w:gridSpan w:val="4"/>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公共必修课程学分、学时小计</w:t>
            </w:r>
          </w:p>
        </w:tc>
        <w:tc>
          <w:tcPr>
            <w:tcW w:w="82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FF0000"/>
                <w:kern w:val="0"/>
                <w:sz w:val="20"/>
                <w:szCs w:val="20"/>
                <w:u w:val="none"/>
                <w:lang w:val="en-US" w:eastAsia="zh-CN" w:bidi="ar"/>
              </w:rPr>
              <w:t>44</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FF0000"/>
                <w:kern w:val="0"/>
                <w:sz w:val="20"/>
                <w:szCs w:val="20"/>
                <w:u w:val="none"/>
                <w:lang w:val="en-US" w:eastAsia="zh-CN" w:bidi="ar"/>
              </w:rPr>
              <w:t>826</w:t>
            </w:r>
          </w:p>
        </w:tc>
        <w:tc>
          <w:tcPr>
            <w:tcW w:w="73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FF0000"/>
                <w:kern w:val="0"/>
                <w:sz w:val="20"/>
                <w:szCs w:val="20"/>
                <w:u w:val="none"/>
                <w:lang w:val="en-US" w:eastAsia="zh-CN" w:bidi="ar"/>
              </w:rPr>
              <w:t>446</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FF0000"/>
                <w:kern w:val="0"/>
                <w:sz w:val="20"/>
                <w:szCs w:val="20"/>
                <w:u w:val="none"/>
                <w:lang w:val="en-US" w:eastAsia="zh-CN" w:bidi="ar"/>
              </w:rPr>
              <w:t>380</w:t>
            </w: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7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4279" w:type="dxa"/>
            <w:gridSpan w:val="4"/>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公共必修课程学分、学时占比</w:t>
            </w:r>
          </w:p>
        </w:tc>
        <w:tc>
          <w:tcPr>
            <w:tcW w:w="82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29.14%</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rPr>
            </w:pPr>
            <w:r>
              <w:rPr>
                <w:rFonts w:hint="eastAsia" w:ascii="宋体" w:hAnsi="宋体" w:eastAsia="宋体" w:cs="宋体"/>
                <w:i w:val="0"/>
                <w:color w:val="000000"/>
                <w:w w:val="90"/>
                <w:kern w:val="0"/>
                <w:sz w:val="18"/>
                <w:szCs w:val="18"/>
                <w:u w:val="none"/>
                <w:lang w:val="en-US" w:eastAsia="zh-CN" w:bidi="ar"/>
              </w:rPr>
              <w:t>29.15%</w:t>
            </w:r>
          </w:p>
        </w:tc>
        <w:tc>
          <w:tcPr>
            <w:tcW w:w="73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rPr>
            </w:pPr>
            <w:r>
              <w:rPr>
                <w:rFonts w:hint="eastAsia" w:ascii="宋体" w:hAnsi="宋体" w:eastAsia="宋体" w:cs="宋体"/>
                <w:i w:val="0"/>
                <w:color w:val="000000"/>
                <w:w w:val="90"/>
                <w:kern w:val="0"/>
                <w:sz w:val="18"/>
                <w:szCs w:val="18"/>
                <w:u w:val="none"/>
                <w:lang w:val="en-US" w:eastAsia="zh-CN" w:bidi="ar"/>
              </w:rPr>
              <w:t>15.74%</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4"/>
                <w:szCs w:val="24"/>
              </w:rPr>
            </w:pPr>
            <w:r>
              <w:rPr>
                <w:rFonts w:hint="eastAsia" w:ascii="宋体" w:hAnsi="宋体" w:eastAsia="宋体" w:cs="宋体"/>
                <w:i w:val="0"/>
                <w:color w:val="000000"/>
                <w:w w:val="90"/>
                <w:kern w:val="0"/>
                <w:sz w:val="18"/>
                <w:szCs w:val="18"/>
                <w:u w:val="none"/>
                <w:lang w:val="en-US" w:eastAsia="zh-CN" w:bidi="ar"/>
              </w:rPr>
              <w:t>13.41%</w:t>
            </w: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7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4279" w:type="dxa"/>
            <w:gridSpan w:val="4"/>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公共选修课程学分、学时小计</w:t>
            </w:r>
          </w:p>
        </w:tc>
        <w:tc>
          <w:tcPr>
            <w:tcW w:w="82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8</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128</w:t>
            </w:r>
          </w:p>
        </w:tc>
        <w:tc>
          <w:tcPr>
            <w:tcW w:w="73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80</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48</w:t>
            </w: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7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gridSpan w:val="2"/>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4279" w:type="dxa"/>
            <w:gridSpan w:val="4"/>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公共选修课程学分、学时占比</w:t>
            </w:r>
          </w:p>
        </w:tc>
        <w:tc>
          <w:tcPr>
            <w:tcW w:w="82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5.30%</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4.52%</w:t>
            </w:r>
          </w:p>
        </w:tc>
        <w:tc>
          <w:tcPr>
            <w:tcW w:w="73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2.82%</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4"/>
                <w:szCs w:val="24"/>
              </w:rPr>
            </w:pPr>
            <w:r>
              <w:rPr>
                <w:rFonts w:hint="eastAsia" w:ascii="宋体" w:hAnsi="宋体" w:eastAsia="宋体" w:cs="宋体"/>
                <w:i w:val="0"/>
                <w:color w:val="000000"/>
                <w:kern w:val="0"/>
                <w:sz w:val="18"/>
                <w:szCs w:val="18"/>
                <w:u w:val="none"/>
                <w:lang w:val="en-US" w:eastAsia="zh-CN" w:bidi="ar"/>
              </w:rPr>
              <w:t>1.69%</w:t>
            </w: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7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4"/>
                <w:szCs w:val="24"/>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专业课</w:t>
            </w:r>
          </w:p>
        </w:tc>
        <w:tc>
          <w:tcPr>
            <w:tcW w:w="382"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专业基础课</w:t>
            </w:r>
          </w:p>
        </w:tc>
        <w:tc>
          <w:tcPr>
            <w:tcW w:w="391" w:type="dxa"/>
            <w:vMerge w:val="restart"/>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必修</w:t>
            </w: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电工基础</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6B500113301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交通运输概论</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6B500606303</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形体训练</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6B500606304</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城市轨道交通车辆基础</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6B500606305</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城市轨道交通服务礼仪</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6B500606306</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spacing w:val="-17"/>
                <w:kern w:val="0"/>
                <w:sz w:val="20"/>
                <w:szCs w:val="20"/>
                <w:lang w:bidi="ar"/>
              </w:rPr>
              <w:t>城市轨道交通通信与信号</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6B500606307</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spacing w:val="-20"/>
                <w:kern w:val="0"/>
                <w:sz w:val="20"/>
                <w:szCs w:val="20"/>
                <w:lang w:bidi="ar"/>
              </w:rPr>
              <w:t>城市轨道交通客运服务英语</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8</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6B500606308</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轨道交通安全检查</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9</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6B500606309</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spacing w:val="-20"/>
                <w:kern w:val="0"/>
                <w:sz w:val="20"/>
                <w:szCs w:val="20"/>
                <w:lang w:bidi="ar"/>
              </w:rPr>
              <w:t>城市轨道交通员工职业素养</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w:t>
            </w: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10</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6B500606310</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spacing w:val="-17"/>
                <w:kern w:val="0"/>
                <w:sz w:val="20"/>
                <w:szCs w:val="20"/>
                <w:lang w:bidi="ar"/>
              </w:rPr>
              <w:t>城市轨道交通线路与站场</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1"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专业核心课</w:t>
            </w:r>
          </w:p>
        </w:tc>
        <w:tc>
          <w:tcPr>
            <w:tcW w:w="391" w:type="dxa"/>
            <w:vMerge w:val="restart"/>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必修</w:t>
            </w: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6B500606401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23"/>
                <w:kern w:val="0"/>
                <w:sz w:val="20"/>
                <w:szCs w:val="20"/>
                <w:lang w:bidi="ar"/>
              </w:rPr>
              <w:t>城市轨道交通机电设备运用</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6</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108</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64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kern w:val="0"/>
                <w:sz w:val="21"/>
                <w:szCs w:val="21"/>
                <w:lang w:bidi="ar"/>
              </w:rPr>
              <w:t>6</w:t>
            </w:r>
          </w:p>
        </w:tc>
        <w:tc>
          <w:tcPr>
            <w:tcW w:w="37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6B500606402</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城市轨道交通客运服务</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6B500606403</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城市轨道交通客运组织</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6B500606404</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城市轨道交通行车组织</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6B500606405</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城市轨道交通票务管理</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6B500606406</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城市轨道交通应急处置</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44</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4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w:t>
            </w: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专业拓展课</w:t>
            </w:r>
          </w:p>
        </w:tc>
        <w:tc>
          <w:tcPr>
            <w:tcW w:w="391"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选修</w:t>
            </w: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城市轨道交通调度指挥</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restart"/>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kern w:val="0"/>
                <w:sz w:val="21"/>
                <w:szCs w:val="21"/>
                <w:lang w:bidi="ar"/>
              </w:rPr>
              <w:t>专业拓展课最低学分要求为15学分</w:t>
            </w: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6B500606502</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17"/>
                <w:kern w:val="0"/>
                <w:sz w:val="20"/>
                <w:szCs w:val="20"/>
                <w:lang w:bidi="ar"/>
              </w:rPr>
            </w:pPr>
            <w:r>
              <w:rPr>
                <w:rFonts w:hint="eastAsia" w:ascii="仿宋_GB2312" w:hAnsi="仿宋_GB2312" w:eastAsia="仿宋_GB2312" w:cs="仿宋_GB2312"/>
                <w:color w:val="auto"/>
                <w:spacing w:val="-17"/>
                <w:kern w:val="0"/>
                <w:sz w:val="20"/>
                <w:szCs w:val="20"/>
                <w:lang w:bidi="ar"/>
              </w:rPr>
              <w:t>城市轨道交通班组管理</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3</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6B500606503</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23"/>
                <w:kern w:val="0"/>
                <w:sz w:val="20"/>
                <w:szCs w:val="20"/>
                <w:lang w:bidi="ar"/>
              </w:rPr>
            </w:pPr>
            <w:r>
              <w:rPr>
                <w:rFonts w:hint="eastAsia" w:ascii="仿宋_GB2312" w:hAnsi="仿宋_GB2312" w:eastAsia="仿宋_GB2312" w:cs="仿宋_GB2312"/>
                <w:color w:val="auto"/>
                <w:spacing w:val="-23"/>
                <w:kern w:val="0"/>
                <w:sz w:val="20"/>
                <w:szCs w:val="20"/>
                <w:lang w:bidi="ar"/>
              </w:rPr>
              <w:t>城市轨道交通客运服务手语</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4</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6B500606504</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spacing w:val="-23"/>
                <w:kern w:val="0"/>
                <w:sz w:val="20"/>
                <w:szCs w:val="20"/>
                <w:lang w:bidi="ar"/>
              </w:rPr>
            </w:pPr>
            <w:r>
              <w:rPr>
                <w:rFonts w:hint="eastAsia" w:ascii="仿宋_GB2312" w:hAnsi="仿宋_GB2312" w:eastAsia="仿宋_GB2312" w:cs="仿宋_GB2312"/>
                <w:color w:val="auto"/>
                <w:spacing w:val="-23"/>
                <w:kern w:val="0"/>
                <w:sz w:val="20"/>
                <w:szCs w:val="20"/>
                <w:lang w:bidi="ar"/>
              </w:rPr>
              <w:t>城市轨道交通列车驾驶实务</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5</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6B500606505</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智能综合监控系统</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6B500606506</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智慧城轨运营管理</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7</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6B500606507</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卫生防疫与急救技能</w:t>
            </w:r>
          </w:p>
        </w:tc>
        <w:tc>
          <w:tcPr>
            <w:tcW w:w="829"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8</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6B500606508</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工程制图</w:t>
            </w:r>
          </w:p>
        </w:tc>
        <w:tc>
          <w:tcPr>
            <w:tcW w:w="829"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3</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54</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27</w:t>
            </w:r>
          </w:p>
        </w:tc>
        <w:tc>
          <w:tcPr>
            <w:tcW w:w="2059" w:type="dxa"/>
            <w:gridSpan w:val="6"/>
            <w:vMerge w:val="continue"/>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restart"/>
            <w:shd w:val="clear" w:color="auto" w:fill="auto"/>
            <w:vAlign w:val="center"/>
          </w:tcPr>
          <w:p>
            <w:pPr>
              <w:widowControl/>
              <w:spacing w:after="0" w:line="22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实践</w:t>
            </w:r>
          </w:p>
          <w:p>
            <w:pPr>
              <w:widowControl/>
              <w:spacing w:after="0" w:line="22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性教学环节</w:t>
            </w:r>
          </w:p>
        </w:tc>
        <w:tc>
          <w:tcPr>
            <w:tcW w:w="391" w:type="dxa"/>
            <w:vMerge w:val="restart"/>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必修</w:t>
            </w: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1B410101601</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毕业设计</w:t>
            </w:r>
          </w:p>
        </w:tc>
        <w:tc>
          <w:tcPr>
            <w:tcW w:w="829"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5</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80</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20</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60</w:t>
            </w: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7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sz w:val="21"/>
                <w:szCs w:val="21"/>
              </w:rPr>
              <w:t>20</w:t>
            </w: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82"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391" w:type="dxa"/>
            <w:vMerge w:val="continue"/>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p>
        </w:tc>
        <w:tc>
          <w:tcPr>
            <w:tcW w:w="50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2</w:t>
            </w:r>
          </w:p>
        </w:tc>
        <w:tc>
          <w:tcPr>
            <w:tcW w:w="1323"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1C410101602</w:t>
            </w:r>
          </w:p>
        </w:tc>
        <w:tc>
          <w:tcPr>
            <w:tcW w:w="2065"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岗位实习</w:t>
            </w:r>
          </w:p>
        </w:tc>
        <w:tc>
          <w:tcPr>
            <w:tcW w:w="829"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432</w:t>
            </w:r>
          </w:p>
        </w:tc>
        <w:tc>
          <w:tcPr>
            <w:tcW w:w="73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0</w:t>
            </w:r>
          </w:p>
        </w:tc>
        <w:tc>
          <w:tcPr>
            <w:tcW w:w="72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432</w:t>
            </w: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7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83" w:type="dxa"/>
            <w:gridSpan w:val="6"/>
            <w:shd w:val="clear" w:color="auto" w:fill="auto"/>
            <w:vAlign w:val="bottom"/>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专业必修课程学分、学时小计</w:t>
            </w:r>
          </w:p>
        </w:tc>
        <w:tc>
          <w:tcPr>
            <w:tcW w:w="82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89</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1700</w:t>
            </w:r>
          </w:p>
        </w:tc>
        <w:tc>
          <w:tcPr>
            <w:tcW w:w="73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712</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988</w:t>
            </w:r>
          </w:p>
        </w:tc>
        <w:tc>
          <w:tcPr>
            <w:tcW w:w="330"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83" w:type="dxa"/>
            <w:gridSpan w:val="6"/>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专业必修课程学分、学时占比</w:t>
            </w:r>
          </w:p>
        </w:tc>
        <w:tc>
          <w:tcPr>
            <w:tcW w:w="82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1"/>
                <w:szCs w:val="21"/>
              </w:rPr>
            </w:pPr>
            <w:r>
              <w:rPr>
                <w:rFonts w:hint="eastAsia" w:ascii="仿宋_GB2312" w:hAnsi="仿宋_GB2312" w:eastAsia="仿宋_GB2312" w:cs="仿宋_GB2312"/>
                <w:i w:val="0"/>
                <w:color w:val="000000"/>
                <w:w w:val="90"/>
                <w:kern w:val="0"/>
                <w:sz w:val="21"/>
                <w:szCs w:val="21"/>
                <w:u w:val="none"/>
                <w:lang w:val="en-US" w:eastAsia="zh-CN" w:bidi="ar"/>
              </w:rPr>
              <w:t>58.94%</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80"/>
                <w:sz w:val="21"/>
                <w:szCs w:val="21"/>
              </w:rPr>
            </w:pPr>
            <w:r>
              <w:rPr>
                <w:rFonts w:hint="eastAsia" w:ascii="仿宋_GB2312" w:hAnsi="仿宋_GB2312" w:eastAsia="仿宋_GB2312" w:cs="仿宋_GB2312"/>
                <w:i w:val="0"/>
                <w:color w:val="000000"/>
                <w:w w:val="80"/>
                <w:kern w:val="0"/>
                <w:sz w:val="21"/>
                <w:szCs w:val="21"/>
                <w:u w:val="none"/>
                <w:lang w:val="en-US" w:eastAsia="zh-CN" w:bidi="ar"/>
              </w:rPr>
              <w:t>59.99%</w:t>
            </w:r>
          </w:p>
        </w:tc>
        <w:tc>
          <w:tcPr>
            <w:tcW w:w="73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80"/>
                <w:sz w:val="21"/>
                <w:szCs w:val="21"/>
              </w:rPr>
            </w:pPr>
            <w:r>
              <w:rPr>
                <w:rFonts w:hint="eastAsia" w:ascii="仿宋_GB2312" w:hAnsi="仿宋_GB2312" w:eastAsia="仿宋_GB2312" w:cs="仿宋_GB2312"/>
                <w:i w:val="0"/>
                <w:color w:val="000000"/>
                <w:w w:val="80"/>
                <w:kern w:val="0"/>
                <w:sz w:val="21"/>
                <w:szCs w:val="21"/>
                <w:u w:val="none"/>
                <w:lang w:val="en-US" w:eastAsia="zh-CN" w:bidi="ar"/>
              </w:rPr>
              <w:t>25.12%</w:t>
            </w:r>
          </w:p>
        </w:tc>
        <w:tc>
          <w:tcPr>
            <w:tcW w:w="72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80"/>
                <w:sz w:val="21"/>
                <w:szCs w:val="21"/>
              </w:rPr>
            </w:pPr>
            <w:r>
              <w:rPr>
                <w:rFonts w:hint="eastAsia" w:ascii="仿宋_GB2312" w:hAnsi="仿宋_GB2312" w:eastAsia="仿宋_GB2312" w:cs="仿宋_GB2312"/>
                <w:i w:val="0"/>
                <w:color w:val="000000"/>
                <w:w w:val="80"/>
                <w:kern w:val="0"/>
                <w:sz w:val="21"/>
                <w:szCs w:val="21"/>
                <w:u w:val="none"/>
                <w:lang w:val="en-US" w:eastAsia="zh-CN" w:bidi="ar"/>
              </w:rPr>
              <w:t>34.86%</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83" w:type="dxa"/>
            <w:gridSpan w:val="6"/>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专业拓展课程学分、学时小计</w:t>
            </w:r>
          </w:p>
        </w:tc>
        <w:tc>
          <w:tcPr>
            <w:tcW w:w="82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10</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180</w:t>
            </w:r>
          </w:p>
        </w:tc>
        <w:tc>
          <w:tcPr>
            <w:tcW w:w="73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90</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90</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83" w:type="dxa"/>
            <w:gridSpan w:val="6"/>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专业拓展课程学分、学时占比</w:t>
            </w:r>
          </w:p>
        </w:tc>
        <w:tc>
          <w:tcPr>
            <w:tcW w:w="82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6.62%</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1"/>
                <w:szCs w:val="21"/>
              </w:rPr>
            </w:pPr>
            <w:r>
              <w:rPr>
                <w:rFonts w:hint="eastAsia" w:ascii="仿宋_GB2312" w:hAnsi="仿宋_GB2312" w:eastAsia="仿宋_GB2312" w:cs="仿宋_GB2312"/>
                <w:i w:val="0"/>
                <w:color w:val="000000"/>
                <w:w w:val="90"/>
                <w:kern w:val="0"/>
                <w:sz w:val="21"/>
                <w:szCs w:val="21"/>
                <w:u w:val="none"/>
                <w:lang w:val="en-US" w:eastAsia="zh-CN" w:bidi="ar"/>
              </w:rPr>
              <w:t>6.35%</w:t>
            </w:r>
          </w:p>
        </w:tc>
        <w:tc>
          <w:tcPr>
            <w:tcW w:w="73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1"/>
                <w:szCs w:val="21"/>
              </w:rPr>
            </w:pPr>
            <w:r>
              <w:rPr>
                <w:rFonts w:hint="eastAsia" w:ascii="仿宋_GB2312" w:hAnsi="仿宋_GB2312" w:eastAsia="仿宋_GB2312" w:cs="仿宋_GB2312"/>
                <w:i w:val="0"/>
                <w:color w:val="000000"/>
                <w:w w:val="90"/>
                <w:kern w:val="0"/>
                <w:sz w:val="21"/>
                <w:szCs w:val="21"/>
                <w:u w:val="none"/>
                <w:lang w:val="en-US" w:eastAsia="zh-CN" w:bidi="ar"/>
              </w:rPr>
              <w:t>3.18%</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21"/>
                <w:szCs w:val="21"/>
              </w:rPr>
            </w:pPr>
            <w:r>
              <w:rPr>
                <w:rFonts w:hint="eastAsia" w:ascii="仿宋_GB2312" w:hAnsi="仿宋_GB2312" w:eastAsia="仿宋_GB2312" w:cs="仿宋_GB2312"/>
                <w:i w:val="0"/>
                <w:color w:val="000000"/>
                <w:w w:val="90"/>
                <w:kern w:val="0"/>
                <w:sz w:val="21"/>
                <w:szCs w:val="21"/>
                <w:u w:val="none"/>
                <w:lang w:val="en-US" w:eastAsia="zh-CN" w:bidi="ar"/>
              </w:rPr>
              <w:t>3.18%</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83" w:type="dxa"/>
            <w:gridSpan w:val="6"/>
            <w:shd w:val="clear" w:color="auto" w:fill="auto"/>
            <w:vAlign w:val="center"/>
          </w:tcPr>
          <w:p>
            <w:pPr>
              <w:widowControl/>
              <w:spacing w:after="0" w:line="300" w:lineRule="exact"/>
              <w:jc w:val="center"/>
              <w:textAlignment w:val="center"/>
              <w:rPr>
                <w:rFonts w:hint="eastAsia" w:ascii="仿宋_GB2312" w:hAnsi="仿宋_GB2312" w:eastAsia="仿宋_GB2312" w:cs="仿宋_GB2312"/>
                <w:color w:val="auto"/>
                <w:kern w:val="0"/>
                <w:sz w:val="20"/>
                <w:szCs w:val="20"/>
                <w:lang w:bidi="ar"/>
              </w:rPr>
            </w:pPr>
            <w:r>
              <w:rPr>
                <w:rFonts w:hint="eastAsia" w:ascii="仿宋_GB2312" w:hAnsi="仿宋_GB2312" w:eastAsia="仿宋_GB2312" w:cs="仿宋_GB2312"/>
                <w:color w:val="auto"/>
                <w:kern w:val="0"/>
                <w:sz w:val="20"/>
                <w:szCs w:val="20"/>
                <w:lang w:bidi="ar"/>
              </w:rPr>
              <w:t>总学分、学时合计</w:t>
            </w:r>
          </w:p>
        </w:tc>
        <w:tc>
          <w:tcPr>
            <w:tcW w:w="82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151</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2834</w:t>
            </w:r>
          </w:p>
        </w:tc>
        <w:tc>
          <w:tcPr>
            <w:tcW w:w="73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1328</w:t>
            </w:r>
          </w:p>
        </w:tc>
        <w:tc>
          <w:tcPr>
            <w:tcW w:w="72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i w:val="0"/>
                <w:color w:val="000000"/>
                <w:kern w:val="0"/>
                <w:sz w:val="21"/>
                <w:szCs w:val="21"/>
                <w:u w:val="none"/>
                <w:lang w:val="en-US" w:eastAsia="zh-CN" w:bidi="ar"/>
              </w:rPr>
              <w:t>1506</w:t>
            </w:r>
          </w:p>
        </w:tc>
        <w:tc>
          <w:tcPr>
            <w:tcW w:w="330"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75" w:type="dxa"/>
            <w:shd w:val="clear" w:color="auto" w:fill="auto"/>
            <w:noWrap/>
            <w:vAlign w:val="center"/>
          </w:tcPr>
          <w:p>
            <w:pPr>
              <w:spacing w:after="0" w:line="300" w:lineRule="exact"/>
              <w:jc w:val="center"/>
              <w:rPr>
                <w:rFonts w:hint="eastAsia" w:ascii="仿宋_GB2312" w:hAnsi="仿宋_GB2312" w:eastAsia="仿宋_GB2312" w:cs="仿宋_GB2312"/>
                <w:color w:val="auto"/>
                <w:sz w:val="21"/>
                <w:szCs w:val="21"/>
              </w:rPr>
            </w:pPr>
          </w:p>
        </w:tc>
        <w:tc>
          <w:tcPr>
            <w:tcW w:w="330"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5"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41"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338" w:type="dxa"/>
            <w:shd w:val="clear" w:color="auto" w:fill="auto"/>
            <w:noWrap/>
            <w:vAlign w:val="center"/>
          </w:tcPr>
          <w:p>
            <w:pPr>
              <w:widowControl/>
              <w:spacing w:after="0" w:line="300" w:lineRule="exact"/>
              <w:jc w:val="center"/>
              <w:textAlignment w:val="center"/>
              <w:rPr>
                <w:rFonts w:hint="eastAsia" w:ascii="仿宋_GB2312" w:hAnsi="仿宋_GB2312" w:eastAsia="仿宋_GB2312" w:cs="仿宋_GB2312"/>
                <w:color w:val="auto"/>
                <w:kern w:val="0"/>
                <w:sz w:val="21"/>
                <w:szCs w:val="21"/>
                <w:lang w:bidi="ar"/>
              </w:rPr>
            </w:pPr>
          </w:p>
        </w:tc>
        <w:tc>
          <w:tcPr>
            <w:tcW w:w="633" w:type="dxa"/>
            <w:shd w:val="clear" w:color="auto" w:fill="auto"/>
            <w:noWrap/>
            <w:vAlign w:val="center"/>
          </w:tcPr>
          <w:p>
            <w:pPr>
              <w:widowControl/>
              <w:spacing w:after="0" w:line="300" w:lineRule="exact"/>
              <w:jc w:val="center"/>
              <w:textAlignment w:val="center"/>
              <w:rPr>
                <w:rFonts w:ascii="仿宋_GB2312" w:hAnsi="仿宋_GB2312" w:eastAsia="仿宋_GB2312" w:cs="仿宋_GB2312"/>
                <w:color w:val="auto"/>
                <w:kern w:val="0"/>
                <w:sz w:val="20"/>
                <w:szCs w:val="20"/>
                <w:lang w:bidi="ar"/>
              </w:rPr>
            </w:pPr>
          </w:p>
        </w:tc>
      </w:tr>
      <w:bookmarkEnd w:id="20"/>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队伍结构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专业带头人</w:t>
      </w:r>
    </w:p>
    <w:p>
      <w:pPr>
        <w:spacing w:after="0" w:line="520" w:lineRule="exact"/>
        <w:ind w:firstLine="640" w:firstLineChars="200"/>
        <w:jc w:val="left"/>
        <w:rPr>
          <w:rFonts w:hint="eastAsia" w:ascii="楷体" w:hAnsi="楷体" w:eastAsia="楷体" w:cs="楷体"/>
          <w:color w:val="auto"/>
          <w:sz w:val="32"/>
          <w:szCs w:val="32"/>
          <w:lang w:val="en-US" w:eastAsia="zh-CN"/>
        </w:rPr>
      </w:pPr>
      <w:r>
        <w:rPr>
          <w:rFonts w:hint="eastAsia" w:ascii="仿宋_GB2312" w:hAnsi="仿宋_GB2312" w:eastAsia="仿宋_GB2312" w:cs="仿宋_GB2312"/>
          <w:color w:val="auto"/>
          <w:sz w:val="32"/>
          <w:szCs w:val="32"/>
        </w:rPr>
        <w:t>专业带头人原则上应具有本专业及相关专业副高及以上职称和较强的实践能力，能够较好地把握国内外城市轨道交通工程建筑行业、专业发展，能广泛联系行业企业，了解行业企业对本专业人才的需求实际，主持专业建设、开展教育教学改革、教科研工作和社会服务能力强，在本专业改革发展中起引领作用。本专业带头人为凌壮志，副高职称，负责本专业的规划与建设、主持专业人才培养方案、课程标准的制定与修订、教材、专业教学标准、专业认证体系的建设工作、负责本专业教学改革和实践技能培养方案的制定等工作。</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专任教师</w:t>
      </w:r>
      <w:r>
        <w:rPr>
          <w:rFonts w:hint="eastAsia" w:ascii="仿宋_GB2312" w:hAnsi="仿宋_GB2312" w:eastAsia="仿宋_GB2312" w:cs="仿宋_GB2312"/>
          <w:color w:val="auto"/>
          <w:sz w:val="32"/>
          <w:szCs w:val="32"/>
          <w:lang w:val="en-US" w:eastAsia="zh-CN"/>
        </w:rPr>
        <w:t>具有高校教师资格；原则上具有土木工程、城市地下空间工程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兼职教师</w:t>
      </w:r>
      <w:r>
        <w:rPr>
          <w:rFonts w:hint="eastAsia" w:ascii="仿宋_GB2312" w:hAnsi="仿宋_GB2312" w:eastAsia="仿宋_GB2312" w:cs="仿宋_GB2312"/>
          <w:color w:val="auto"/>
          <w:sz w:val="32"/>
          <w:szCs w:val="32"/>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rPr>
      </w:pPr>
      <w:r>
        <w:rPr>
          <w:rFonts w:hint="eastAsia" w:ascii="黑体" w:hAnsi="黑体" w:eastAsia="黑体" w:cs="黑体"/>
          <w:color w:val="auto"/>
          <w:sz w:val="32"/>
          <w:szCs w:val="32"/>
          <w:lang w:val="en-US" w:eastAsia="zh-CN"/>
        </w:rPr>
        <w:t>十、教学条件</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学校为该专业配备公共教室（配备有多媒体设施）、多媒体教室等，满足理论教学要求。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8"/>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814"/>
        <w:gridCol w:w="2653"/>
        <w:gridCol w:w="255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w:t>
            </w:r>
          </w:p>
        </w:tc>
        <w:tc>
          <w:tcPr>
            <w:tcW w:w="26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实训项目</w:t>
            </w: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29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形体礼仪实训室</w:t>
            </w:r>
          </w:p>
        </w:tc>
        <w:tc>
          <w:tcPr>
            <w:tcW w:w="1814"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城市轨道交通服务礼仪</w:t>
            </w:r>
          </w:p>
        </w:tc>
        <w:tc>
          <w:tcPr>
            <w:tcW w:w="26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服务礼仪培训</w:t>
            </w:r>
          </w:p>
        </w:tc>
        <w:tc>
          <w:tcPr>
            <w:tcW w:w="25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把杆、通体墙面镜、瑜伽垫、形体棒</w:t>
            </w:r>
          </w:p>
        </w:tc>
        <w:tc>
          <w:tcPr>
            <w:tcW w:w="104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29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列车工作实训室</w:t>
            </w:r>
          </w:p>
        </w:tc>
        <w:tc>
          <w:tcPr>
            <w:tcW w:w="1814"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城市轨道交通客运组织、城市轨道交通行车组织</w:t>
            </w:r>
          </w:p>
        </w:tc>
        <w:tc>
          <w:tcPr>
            <w:tcW w:w="26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站务员实训、行车值班员实训</w:t>
            </w:r>
          </w:p>
        </w:tc>
        <w:tc>
          <w:tcPr>
            <w:tcW w:w="25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疏散梯1套、平过板1套</w:t>
            </w:r>
          </w:p>
        </w:tc>
        <w:tc>
          <w:tcPr>
            <w:tcW w:w="104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29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售票工作实训室</w:t>
            </w:r>
          </w:p>
        </w:tc>
        <w:tc>
          <w:tcPr>
            <w:tcW w:w="1814"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城市轨道交通票务管理</w:t>
            </w:r>
          </w:p>
        </w:tc>
        <w:tc>
          <w:tcPr>
            <w:tcW w:w="26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票务实训</w:t>
            </w:r>
          </w:p>
        </w:tc>
        <w:tc>
          <w:tcPr>
            <w:tcW w:w="25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售票台5套</w:t>
            </w:r>
          </w:p>
        </w:tc>
        <w:tc>
          <w:tcPr>
            <w:tcW w:w="104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29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轨道交通沙盘实训</w:t>
            </w:r>
          </w:p>
        </w:tc>
        <w:tc>
          <w:tcPr>
            <w:tcW w:w="1814"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智慧城轨运营管理、城市轨道交通调度</w:t>
            </w:r>
          </w:p>
        </w:tc>
        <w:tc>
          <w:tcPr>
            <w:tcW w:w="26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调度员工作实训</w:t>
            </w:r>
          </w:p>
        </w:tc>
        <w:tc>
          <w:tcPr>
            <w:tcW w:w="2553"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 xml:space="preserve">地铁运营控制中心模拟系统1套、车站控制室模拟系统1套、车辆段调度操作平台1套 </w:t>
            </w:r>
          </w:p>
        </w:tc>
        <w:tc>
          <w:tcPr>
            <w:tcW w:w="104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bl>
    <w:p>
      <w:pPr>
        <w:pStyle w:val="2"/>
        <w:pageBreakBefore w:val="0"/>
        <w:widowControl/>
        <w:kinsoku/>
        <w:wordWrap/>
        <w:overflowPunct/>
        <w:topLinePunct w:val="0"/>
        <w:autoSpaceDE/>
        <w:autoSpaceDN/>
        <w:bidi w:val="0"/>
        <w:adjustRightInd/>
        <w:snapToGrid/>
        <w:spacing w:before="0"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color w:val="auto"/>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训基地2个以上；能够开展票务系统操作、急救与消防设备操作、站台门与车门操作、综合监控系统操作等实训活动；实训设施齐备，实训岗位、实训指导教师确定，实训管理及实施规章制度齐全。</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（2）学生实习基地基本要求</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8"/>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287"/>
        <w:gridCol w:w="1800"/>
        <w:gridCol w:w="3121"/>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28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180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31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p>
        </w:tc>
        <w:tc>
          <w:tcPr>
            <w:tcW w:w="228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广西工程职业学院城市轨道交通运营管理专业校外实习基地</w:t>
            </w:r>
          </w:p>
        </w:tc>
        <w:tc>
          <w:tcPr>
            <w:tcW w:w="1800"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百色市火车站</w:t>
            </w:r>
          </w:p>
        </w:tc>
        <w:tc>
          <w:tcPr>
            <w:tcW w:w="3121"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开展城市轨道交通运营核心岗位实习，覆盖票务售卖与审核、站厅站务管理、客运组织与疏导等实操内容；建立深度校企合作机制，企业派驻资深站务运营导师指导实习，同步对接专业核心课程实践环节，助力学生熟练掌握轨道交通运营服务规范与岗位实操技能</w:t>
            </w:r>
          </w:p>
        </w:tc>
        <w:tc>
          <w:tcPr>
            <w:tcW w:w="2166"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228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广西工程职业学院城市轨道交通运营管理专业校外实习基地</w:t>
            </w:r>
          </w:p>
        </w:tc>
        <w:tc>
          <w:tcPr>
            <w:tcW w:w="1800"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平果市火车站</w:t>
            </w:r>
          </w:p>
        </w:tc>
        <w:tc>
          <w:tcPr>
            <w:tcW w:w="3121"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聚焦城市轨道交通客运服务与站务运营岗位实习，包含客流监测与疏导、站台安全管控、票务系统操作与维护等实践模块；深化校企协同育人，企业提供真实运营场景实训，配合专业开展实习课程设计与考核评价，提升学生岗位适配能力与运营服务综合素养</w:t>
            </w:r>
          </w:p>
        </w:tc>
        <w:tc>
          <w:tcPr>
            <w:tcW w:w="2166"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228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广西工程职业学院城市轨道交通运营管理专业校外实习基地</w:t>
            </w:r>
          </w:p>
        </w:tc>
        <w:tc>
          <w:tcPr>
            <w:tcW w:w="1800"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广西华信中安保安服务有限公司</w:t>
            </w:r>
          </w:p>
        </w:tc>
        <w:tc>
          <w:tcPr>
            <w:tcW w:w="3121"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开展城市轨道交通站点安全保卫相关岗位实习，涉及站点安全巡查、应急处置、秩序维护等实践内容；推进深度合作，企业提供安保技能专项培训，结合轨道交通运营安全规范开展实操教学，协助专业完善安全管理方向实践教学体系</w:t>
            </w:r>
          </w:p>
        </w:tc>
        <w:tc>
          <w:tcPr>
            <w:tcW w:w="2166"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2287"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广西工程职业学院城市轨道交通运营管理专业校外实习基地</w:t>
            </w:r>
          </w:p>
        </w:tc>
        <w:tc>
          <w:tcPr>
            <w:tcW w:w="1800"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广东中保保安服务有限公司</w:t>
            </w:r>
          </w:p>
        </w:tc>
        <w:tc>
          <w:tcPr>
            <w:tcW w:w="3121"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提供城市轨道交通相关安保岗位实习，涵盖站点日常安保值守、客流秩序维护、安全隐患排查等实践任务；深化校企合作，企业派驻专业安保教官指导实习，对接专业安全管理课程需求，开展定制化实训教学，提升学生安全服务实操能力</w:t>
            </w:r>
          </w:p>
        </w:tc>
        <w:tc>
          <w:tcPr>
            <w:tcW w:w="2166" w:type="dxa"/>
            <w:vAlign w:val="center"/>
          </w:tcPr>
          <w:p>
            <w:pPr>
              <w:overflowPunct w:val="0"/>
              <w:adjustRightInd w:val="0"/>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60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1.教材选用基本要求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强化意识形态审查，杜绝政治导向问题或内容陈旧、拼凑的教材。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图书文献配备能满足人才培养、专业建设、教科研等工作的需要。专业类图书文献主要包括：城市轨道交通行业政策法规、行业标准、技术规范以及相关专业技术手册、专业类图书、实务案例类图书、专业学术期刊等。及时配置新经济、新技术、新工艺、新材料、新管理方式、新服务方式等相关的图书文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3.数字教学资源配置基本要求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建设、配备与本专业有关的音视频素材、教学课件、数字化教学案例库、虚拟仿真软件等专业教学资源库，种类丰富、形式多样、使用便捷、动态更新、满足教学。</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p>
    <w:p>
      <w:pPr>
        <w:spacing w:after="0" w:line="520" w:lineRule="exact"/>
        <w:ind w:firstLine="640" w:firstLineChars="200"/>
        <w:jc w:val="left"/>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bookmarkStart w:id="21" w:name="_GoBack"/>
      <w:bookmarkEnd w:id="21"/>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2.教学评价方式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eastAsia" w:ascii="楷体" w:hAnsi="楷体" w:eastAsia="楷体" w:cs="楷体"/>
          <w:color w:val="auto"/>
          <w:kern w:val="2"/>
          <w:sz w:val="32"/>
          <w:szCs w:val="32"/>
          <w:lang w:val="en-US" w:eastAsia="zh-CN" w:bidi="ar-SA"/>
        </w:rPr>
      </w:pPr>
      <w:r>
        <w:rPr>
          <w:rFonts w:hint="eastAsia" w:ascii="楷体" w:hAnsi="楷体" w:eastAsia="楷体" w:cs="楷体"/>
          <w:color w:val="auto"/>
          <w:kern w:val="2"/>
          <w:sz w:val="32"/>
          <w:szCs w:val="32"/>
          <w:lang w:val="en-US" w:eastAsia="zh-CN" w:bidi="ar-SA"/>
        </w:rPr>
        <w:t>（一）学分要求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151学分。其中，必修课133学分，选修课18学分。公共必修课44学分，公共选修课8学分。专业必修课89学分，专业选修课10学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）职业类证书要求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城市轨道交通运营管理专业职业证书一览表</w:t>
      </w:r>
    </w:p>
    <w:tbl>
      <w:tblPr>
        <w:tblStyle w:val="8"/>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施工员</w:t>
            </w:r>
          </w:p>
        </w:tc>
        <w:tc>
          <w:tcPr>
            <w:tcW w:w="27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质量员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安全员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标准员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材料员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机械员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 xml:space="preserve"> 劳务员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资料员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仿宋_GB2312" w:hAnsi="仿宋_GB2312" w:eastAsia="仿宋_GB2312" w:cs="仿宋_GB2312"/>
          <w:color w:val="auto"/>
          <w:kern w:val="2"/>
          <w:sz w:val="32"/>
          <w:szCs w:val="32"/>
          <w:lang w:val="en-US" w:eastAsia="zh-CN" w:bidi="ar-SA"/>
        </w:rPr>
      </w:pPr>
      <w:r>
        <w:rPr>
          <w:rFonts w:hint="eastAsia" w:ascii="楷体" w:hAnsi="楷体" w:eastAsia="楷体" w:cs="楷体"/>
          <w:color w:val="auto"/>
          <w:kern w:val="2"/>
          <w:sz w:val="32"/>
          <w:szCs w:val="32"/>
          <w:lang w:val="en-US" w:eastAsia="zh-CN" w:bidi="ar-SA"/>
        </w:rPr>
        <w:t>（三）综合素质要求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经鉴定思想品德符合要求，国家学生体质健康测试合格，掌握本专业知识和技术技能，积极参加社会实践活动，具备职业综合素质和行动能力。</w:t>
      </w:r>
    </w:p>
    <w:p>
      <w:pPr>
        <w:pageBreakBefore w:val="0"/>
        <w:kinsoku/>
        <w:wordWrap/>
        <w:topLinePunct w:val="0"/>
        <w:autoSpaceDE/>
        <w:autoSpaceDN/>
        <w:bidi w:val="0"/>
        <w:rPr>
          <w:color w:val="auto"/>
        </w:rPr>
      </w:pP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715DF1-FFC1-4302-BBC2-F0810A9D7F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23D58DC-2C79-4BC3-9CEF-8DC9A7DEB0B0}"/>
  </w:font>
  <w:font w:name="华文新魏">
    <w:panose1 w:val="02010800040101010101"/>
    <w:charset w:val="86"/>
    <w:family w:val="auto"/>
    <w:pitch w:val="default"/>
    <w:sig w:usb0="00000000" w:usb1="00000000" w:usb2="00000000" w:usb3="00000000" w:csb0="00000000" w:csb1="00000000"/>
    <w:embedRegular r:id="rId3" w:fontKey="{33E8E17F-BDB5-4355-A2BA-DA8099ED3C1D}"/>
  </w:font>
  <w:font w:name="方正小标宋简体">
    <w:panose1 w:val="00000600000000000000"/>
    <w:charset w:val="86"/>
    <w:family w:val="script"/>
    <w:pitch w:val="default"/>
    <w:sig w:usb0="800002BF" w:usb1="184F6CF8" w:usb2="00000012" w:usb3="00000000" w:csb0="00160001" w:csb1="12030000"/>
    <w:embedRegular r:id="rId4" w:fontKey="{1975DC78-0395-4FBD-8BEB-53EB5C9F942B}"/>
  </w:font>
  <w:font w:name="仿宋_GB2312">
    <w:panose1 w:val="02010609030101010101"/>
    <w:charset w:val="86"/>
    <w:family w:val="modern"/>
    <w:pitch w:val="default"/>
    <w:sig w:usb0="00000001" w:usb1="080E0000" w:usb2="00000000" w:usb3="00000000" w:csb0="00040000" w:csb1="00000000"/>
    <w:embedRegular r:id="rId5" w:fontKey="{37753158-B646-43FD-8EED-3E2F5A49727F}"/>
  </w:font>
  <w:font w:name="楷体">
    <w:panose1 w:val="02010609060101010101"/>
    <w:charset w:val="86"/>
    <w:family w:val="modern"/>
    <w:pitch w:val="default"/>
    <w:sig w:usb0="800002BF" w:usb1="38CF7CFA" w:usb2="00000016" w:usb3="00000000" w:csb0="00040001" w:csb1="00000000"/>
    <w:embedRegular r:id="rId6" w:fontKey="{BCCDFE32-78E3-4764-BADE-B22CE39C79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1E13CF"/>
    <w:rsid w:val="03304250"/>
    <w:rsid w:val="03A07894"/>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E642FD"/>
    <w:rsid w:val="0D3000CB"/>
    <w:rsid w:val="0DE924A0"/>
    <w:rsid w:val="0E2350DD"/>
    <w:rsid w:val="0E5E6115"/>
    <w:rsid w:val="0ED4462A"/>
    <w:rsid w:val="0F386966"/>
    <w:rsid w:val="0FA47B58"/>
    <w:rsid w:val="0FA67D74"/>
    <w:rsid w:val="0FD20B69"/>
    <w:rsid w:val="0FE4089C"/>
    <w:rsid w:val="10093E5F"/>
    <w:rsid w:val="10152804"/>
    <w:rsid w:val="10234F21"/>
    <w:rsid w:val="10914580"/>
    <w:rsid w:val="10EE36A0"/>
    <w:rsid w:val="116752E1"/>
    <w:rsid w:val="12485112"/>
    <w:rsid w:val="127F665A"/>
    <w:rsid w:val="129605A8"/>
    <w:rsid w:val="12DC3AAD"/>
    <w:rsid w:val="12F708E7"/>
    <w:rsid w:val="13203999"/>
    <w:rsid w:val="135C5E82"/>
    <w:rsid w:val="139B5716"/>
    <w:rsid w:val="13C46A1B"/>
    <w:rsid w:val="13C77F07"/>
    <w:rsid w:val="13F454F6"/>
    <w:rsid w:val="14A800EA"/>
    <w:rsid w:val="15001CD4"/>
    <w:rsid w:val="150317C5"/>
    <w:rsid w:val="15202377"/>
    <w:rsid w:val="15542020"/>
    <w:rsid w:val="157D050C"/>
    <w:rsid w:val="165F0C7D"/>
    <w:rsid w:val="1674148E"/>
    <w:rsid w:val="1699418F"/>
    <w:rsid w:val="16995FBA"/>
    <w:rsid w:val="16A42B33"/>
    <w:rsid w:val="16DC051F"/>
    <w:rsid w:val="170B4961"/>
    <w:rsid w:val="1740285C"/>
    <w:rsid w:val="1749510D"/>
    <w:rsid w:val="1796247C"/>
    <w:rsid w:val="18231BC4"/>
    <w:rsid w:val="18CB084B"/>
    <w:rsid w:val="19481E9C"/>
    <w:rsid w:val="19AF3CC9"/>
    <w:rsid w:val="19FA12B7"/>
    <w:rsid w:val="1A262FB5"/>
    <w:rsid w:val="1A8056D6"/>
    <w:rsid w:val="1AE45BF4"/>
    <w:rsid w:val="1AE8049A"/>
    <w:rsid w:val="1BAE7956"/>
    <w:rsid w:val="1BBE1D09"/>
    <w:rsid w:val="1BCC19A4"/>
    <w:rsid w:val="1BF93A5C"/>
    <w:rsid w:val="1C27223D"/>
    <w:rsid w:val="1C6F14EE"/>
    <w:rsid w:val="1CB25FAA"/>
    <w:rsid w:val="1D0377EB"/>
    <w:rsid w:val="1D24677C"/>
    <w:rsid w:val="1DD46F9A"/>
    <w:rsid w:val="1DD51824"/>
    <w:rsid w:val="1E4B3DFE"/>
    <w:rsid w:val="1E91399D"/>
    <w:rsid w:val="1EA77665"/>
    <w:rsid w:val="1ECC6B87"/>
    <w:rsid w:val="1EFA4CED"/>
    <w:rsid w:val="1F3A7811"/>
    <w:rsid w:val="1F5350F7"/>
    <w:rsid w:val="1F5D30B4"/>
    <w:rsid w:val="1FB17C46"/>
    <w:rsid w:val="1FB21E1D"/>
    <w:rsid w:val="1FBC2C9C"/>
    <w:rsid w:val="202A40A9"/>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65B8"/>
    <w:rsid w:val="249D12EE"/>
    <w:rsid w:val="24BE5675"/>
    <w:rsid w:val="24E76143"/>
    <w:rsid w:val="24F353B2"/>
    <w:rsid w:val="26436F3C"/>
    <w:rsid w:val="267A11BB"/>
    <w:rsid w:val="27075144"/>
    <w:rsid w:val="27441EF5"/>
    <w:rsid w:val="27AE3812"/>
    <w:rsid w:val="27BB7D5F"/>
    <w:rsid w:val="27EE3835"/>
    <w:rsid w:val="27F5401D"/>
    <w:rsid w:val="28557849"/>
    <w:rsid w:val="285A12A4"/>
    <w:rsid w:val="289A5B44"/>
    <w:rsid w:val="28BD30CD"/>
    <w:rsid w:val="296E1A2F"/>
    <w:rsid w:val="29B449E4"/>
    <w:rsid w:val="29C72B81"/>
    <w:rsid w:val="29F55728"/>
    <w:rsid w:val="2A3F2C59"/>
    <w:rsid w:val="2B0F281A"/>
    <w:rsid w:val="2B8D373E"/>
    <w:rsid w:val="2BF11F1F"/>
    <w:rsid w:val="2C717E24"/>
    <w:rsid w:val="2C802418"/>
    <w:rsid w:val="2CB341C7"/>
    <w:rsid w:val="2CC66F08"/>
    <w:rsid w:val="2CEB2E12"/>
    <w:rsid w:val="2D017E00"/>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42FDA"/>
    <w:rsid w:val="314678C2"/>
    <w:rsid w:val="318A49A8"/>
    <w:rsid w:val="31A83FF1"/>
    <w:rsid w:val="31AA329C"/>
    <w:rsid w:val="31D2634F"/>
    <w:rsid w:val="321D581C"/>
    <w:rsid w:val="32E71163"/>
    <w:rsid w:val="32F32A21"/>
    <w:rsid w:val="32F92E4C"/>
    <w:rsid w:val="32FA3DAF"/>
    <w:rsid w:val="33260700"/>
    <w:rsid w:val="33266952"/>
    <w:rsid w:val="33AE06F6"/>
    <w:rsid w:val="33B93C14"/>
    <w:rsid w:val="348B3F97"/>
    <w:rsid w:val="34B65AB4"/>
    <w:rsid w:val="34C46423"/>
    <w:rsid w:val="34EA50C0"/>
    <w:rsid w:val="35093B54"/>
    <w:rsid w:val="357449D1"/>
    <w:rsid w:val="35E93C67"/>
    <w:rsid w:val="364315C9"/>
    <w:rsid w:val="36657792"/>
    <w:rsid w:val="370E7E29"/>
    <w:rsid w:val="37360836"/>
    <w:rsid w:val="376B0DD8"/>
    <w:rsid w:val="3770165B"/>
    <w:rsid w:val="37960DB8"/>
    <w:rsid w:val="37AD2573"/>
    <w:rsid w:val="37EE37B7"/>
    <w:rsid w:val="381153F4"/>
    <w:rsid w:val="38481119"/>
    <w:rsid w:val="38877EE4"/>
    <w:rsid w:val="3892511D"/>
    <w:rsid w:val="38C22C79"/>
    <w:rsid w:val="39372651"/>
    <w:rsid w:val="396C0E37"/>
    <w:rsid w:val="39A700C1"/>
    <w:rsid w:val="39FC040D"/>
    <w:rsid w:val="3A451367"/>
    <w:rsid w:val="3A60099C"/>
    <w:rsid w:val="3A7A7584"/>
    <w:rsid w:val="3A8765F3"/>
    <w:rsid w:val="3AEA4709"/>
    <w:rsid w:val="3B4007CD"/>
    <w:rsid w:val="3BDE299C"/>
    <w:rsid w:val="3C17152E"/>
    <w:rsid w:val="3CF1355A"/>
    <w:rsid w:val="3CFD4438"/>
    <w:rsid w:val="3D0047E4"/>
    <w:rsid w:val="3D766728"/>
    <w:rsid w:val="3D9F7A2D"/>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5530C7"/>
    <w:rsid w:val="45C2075D"/>
    <w:rsid w:val="4602706C"/>
    <w:rsid w:val="46733805"/>
    <w:rsid w:val="46B856BC"/>
    <w:rsid w:val="46EE10DD"/>
    <w:rsid w:val="46F661E4"/>
    <w:rsid w:val="47103740"/>
    <w:rsid w:val="471C3E9C"/>
    <w:rsid w:val="47846F9A"/>
    <w:rsid w:val="4803505C"/>
    <w:rsid w:val="480A0199"/>
    <w:rsid w:val="48A57EC2"/>
    <w:rsid w:val="48AE4FC8"/>
    <w:rsid w:val="48BA396D"/>
    <w:rsid w:val="48BD16AF"/>
    <w:rsid w:val="48DF1625"/>
    <w:rsid w:val="48E56510"/>
    <w:rsid w:val="491533A3"/>
    <w:rsid w:val="49395702"/>
    <w:rsid w:val="49843F7B"/>
    <w:rsid w:val="49A63EF1"/>
    <w:rsid w:val="4A3C6604"/>
    <w:rsid w:val="4AA20B5D"/>
    <w:rsid w:val="4AD8632C"/>
    <w:rsid w:val="4AF15640"/>
    <w:rsid w:val="4AFA62A3"/>
    <w:rsid w:val="4B4D50DB"/>
    <w:rsid w:val="4B726781"/>
    <w:rsid w:val="4BC70E4B"/>
    <w:rsid w:val="4C0272E2"/>
    <w:rsid w:val="4C0C0983"/>
    <w:rsid w:val="4C1149B8"/>
    <w:rsid w:val="4C675BBA"/>
    <w:rsid w:val="4D135D42"/>
    <w:rsid w:val="4D1473C4"/>
    <w:rsid w:val="4E514358"/>
    <w:rsid w:val="4E5C7274"/>
    <w:rsid w:val="4EE21ECA"/>
    <w:rsid w:val="4F1B712F"/>
    <w:rsid w:val="4F585C8E"/>
    <w:rsid w:val="4F6B3C13"/>
    <w:rsid w:val="4F7D56F4"/>
    <w:rsid w:val="509C4C8B"/>
    <w:rsid w:val="5135219E"/>
    <w:rsid w:val="517A5B1D"/>
    <w:rsid w:val="51C30881"/>
    <w:rsid w:val="51D535C6"/>
    <w:rsid w:val="51E17BC7"/>
    <w:rsid w:val="51FE1E87"/>
    <w:rsid w:val="522105B9"/>
    <w:rsid w:val="5259656B"/>
    <w:rsid w:val="535B634F"/>
    <w:rsid w:val="53807561"/>
    <w:rsid w:val="53A024CF"/>
    <w:rsid w:val="53C71634"/>
    <w:rsid w:val="542919A7"/>
    <w:rsid w:val="547D6E43"/>
    <w:rsid w:val="54855FA4"/>
    <w:rsid w:val="556000AB"/>
    <w:rsid w:val="55D87B28"/>
    <w:rsid w:val="56397652"/>
    <w:rsid w:val="565C2507"/>
    <w:rsid w:val="566118CC"/>
    <w:rsid w:val="56A23A63"/>
    <w:rsid w:val="56F95FA8"/>
    <w:rsid w:val="572D5C52"/>
    <w:rsid w:val="580D26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694F1D"/>
    <w:rsid w:val="5BBC75A4"/>
    <w:rsid w:val="5BCC4E68"/>
    <w:rsid w:val="5C0C052C"/>
    <w:rsid w:val="5C0E6052"/>
    <w:rsid w:val="5C38700F"/>
    <w:rsid w:val="5C4E644E"/>
    <w:rsid w:val="5C606182"/>
    <w:rsid w:val="5C8C341B"/>
    <w:rsid w:val="5C9B365E"/>
    <w:rsid w:val="5CA81427"/>
    <w:rsid w:val="5CC44589"/>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5165F77"/>
    <w:rsid w:val="65FE0EE5"/>
    <w:rsid w:val="663F14FE"/>
    <w:rsid w:val="66707909"/>
    <w:rsid w:val="66B141AA"/>
    <w:rsid w:val="67470A9D"/>
    <w:rsid w:val="67697E95"/>
    <w:rsid w:val="6773145F"/>
    <w:rsid w:val="67B90B06"/>
    <w:rsid w:val="67FA56DC"/>
    <w:rsid w:val="681A3FD0"/>
    <w:rsid w:val="6888718C"/>
    <w:rsid w:val="68A4680D"/>
    <w:rsid w:val="68AD6B62"/>
    <w:rsid w:val="68B25FB7"/>
    <w:rsid w:val="69164798"/>
    <w:rsid w:val="69D837FB"/>
    <w:rsid w:val="6A246A40"/>
    <w:rsid w:val="6A6657EA"/>
    <w:rsid w:val="6A9C6F1F"/>
    <w:rsid w:val="6ABA1153"/>
    <w:rsid w:val="6AF44665"/>
    <w:rsid w:val="6BDB75D3"/>
    <w:rsid w:val="6BF80185"/>
    <w:rsid w:val="6C2B055A"/>
    <w:rsid w:val="6C423AF6"/>
    <w:rsid w:val="6C8A72E3"/>
    <w:rsid w:val="6C923EBF"/>
    <w:rsid w:val="6CCE7137"/>
    <w:rsid w:val="6D1D49F8"/>
    <w:rsid w:val="6D7E08BE"/>
    <w:rsid w:val="6D8F2D6B"/>
    <w:rsid w:val="6E0C43BB"/>
    <w:rsid w:val="6E661D1D"/>
    <w:rsid w:val="6EF07839"/>
    <w:rsid w:val="6F2F65B3"/>
    <w:rsid w:val="6F721644"/>
    <w:rsid w:val="6FB45967"/>
    <w:rsid w:val="6FC4358D"/>
    <w:rsid w:val="6FF128C8"/>
    <w:rsid w:val="6FF60E7F"/>
    <w:rsid w:val="713C6D66"/>
    <w:rsid w:val="71DD2CB4"/>
    <w:rsid w:val="72011973"/>
    <w:rsid w:val="72563E57"/>
    <w:rsid w:val="72DA6836"/>
    <w:rsid w:val="72F21DD2"/>
    <w:rsid w:val="72FF629D"/>
    <w:rsid w:val="730022F6"/>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1A53DD"/>
    <w:rsid w:val="7535244A"/>
    <w:rsid w:val="75504B8E"/>
    <w:rsid w:val="7585069B"/>
    <w:rsid w:val="76191423"/>
    <w:rsid w:val="76326989"/>
    <w:rsid w:val="76562678"/>
    <w:rsid w:val="7718792D"/>
    <w:rsid w:val="77D965A0"/>
    <w:rsid w:val="77FC484A"/>
    <w:rsid w:val="782C5979"/>
    <w:rsid w:val="7847671C"/>
    <w:rsid w:val="789254BD"/>
    <w:rsid w:val="79002D6F"/>
    <w:rsid w:val="791660EE"/>
    <w:rsid w:val="79205E87"/>
    <w:rsid w:val="79751DE3"/>
    <w:rsid w:val="7A1E674C"/>
    <w:rsid w:val="7A621CC8"/>
    <w:rsid w:val="7AD52274"/>
    <w:rsid w:val="7B821819"/>
    <w:rsid w:val="7BAC4AE8"/>
    <w:rsid w:val="7C7E0F8D"/>
    <w:rsid w:val="7C9C690A"/>
    <w:rsid w:val="7D1172F8"/>
    <w:rsid w:val="7D7B6E68"/>
    <w:rsid w:val="7DAC0DCF"/>
    <w:rsid w:val="7DF80183"/>
    <w:rsid w:val="7E372159"/>
    <w:rsid w:val="7EAF501B"/>
    <w:rsid w:val="7F080287"/>
    <w:rsid w:val="7F1255AA"/>
    <w:rsid w:val="7F491DA9"/>
    <w:rsid w:val="7FB623D9"/>
    <w:rsid w:val="7FE707E4"/>
    <w:rsid w:val="7FFD6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Table Text"/>
    <w:basedOn w:val="1"/>
    <w:semiHidden/>
    <w:qFormat/>
    <w:uiPriority w:val="0"/>
    <w:rPr>
      <w:rFonts w:ascii="宋体" w:hAnsi="宋体" w:cs="宋体"/>
      <w:sz w:val="18"/>
      <w:szCs w:val="18"/>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2499</Words>
  <Characters>2768</Characters>
  <Lines>1850</Lines>
  <Paragraphs>1270</Paragraphs>
  <TotalTime>0</TotalTime>
  <ScaleCrop>false</ScaleCrop>
  <LinksUpToDate>false</LinksUpToDate>
  <CharactersWithSpaces>3069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WPS_1488112007</cp:lastModifiedBy>
  <cp:lastPrinted>2024-09-18T02:55:00Z</cp:lastPrinted>
  <dcterms:modified xsi:type="dcterms:W3CDTF">2026-03-20T07:42:35Z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0DAC74E1EFE5487690866511387BAA3D_13</vt:lpwstr>
  </property>
  <property fmtid="{D5CDD505-2E9C-101B-9397-08002B2CF9AE}" pid="4" name="KSOTemplateDocerSaveRecord">
    <vt:lpwstr>eyJoZGlkIjoiZDc3MjQ3MzEwMTQ3ZDM0MGU0NzhjODc0MTU1MjY3MWMiLCJ1c2VySWQiOiI5MzQ1MzgzNTMifQ==</vt:lpwstr>
  </property>
</Properties>
</file>