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rPr>
          <w:rFonts w:hint="eastAsia" w:ascii="仿宋" w:hAnsi="仿宋" w:eastAsia="仿宋"/>
          <w:color w:val="auto"/>
          <w:szCs w:val="32"/>
        </w:rPr>
      </w:pPr>
      <w:r>
        <w:rPr>
          <w:rFonts w:ascii="宋体" w:hAnsi="宋体" w:cs="宋体"/>
          <w:color w:val="auto"/>
          <w:sz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114925" cy="11309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工程测量技术</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sz w:val="32"/>
          <w:szCs w:val="32"/>
          <w:u w:val="single"/>
        </w:rPr>
        <w:t>420301</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土木工程学院</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auto"/>
          <w:kern w:val="0"/>
          <w:sz w:val="32"/>
          <w:szCs w:val="32"/>
          <w:shd w:val="clear" w:color="auto" w:fill="FFFFFF"/>
        </w:rPr>
      </w:pP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widowControl/>
        <w:overflowPunct w:val="0"/>
        <w:adjustRightInd w:val="0"/>
        <w:snapToGrid w:val="0"/>
        <w:spacing w:after="160"/>
        <w:jc w:val="center"/>
        <w:rPr>
          <w:rFonts w:hint="eastAsia" w:ascii="黑体" w:hAnsi="黑体" w:eastAsia="黑体" w:cs="黑体"/>
          <w:b/>
          <w:bCs/>
          <w:color w:val="auto"/>
          <w:kern w:val="0"/>
          <w:sz w:val="52"/>
          <w:szCs w:val="52"/>
        </w:rPr>
        <w:sectPr>
          <w:headerReference r:id="rId3" w:type="default"/>
          <w:pgSz w:w="11906" w:h="16838"/>
          <w:pgMar w:top="1417" w:right="1417" w:bottom="1417" w:left="1984" w:header="851" w:footer="992" w:gutter="0"/>
          <w:pgNumType w:start="1"/>
          <w:cols w:space="425" w:num="1"/>
          <w:docGrid w:type="lines" w:linePitch="312" w:charSpace="0"/>
        </w:sectPr>
      </w:pPr>
    </w:p>
    <w:p>
      <w:pPr>
        <w:widowControl/>
        <w:overflowPunct w:val="0"/>
        <w:adjustRightInd w:val="0"/>
        <w:snapToGrid w:val="0"/>
        <w:spacing w:after="16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工程职业学院工程测量技术</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广西吉优建筑工程有限公司平果分公司等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1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33"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877"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fldChar w:fldCharType="begin"/>
            </w:r>
            <w:r>
              <w:rPr>
                <w:rFonts w:hint="eastAsia" w:ascii="仿宋_GB2312" w:hAnsi="仿宋_GB2312" w:eastAsia="仿宋_GB2312" w:cs="仿宋_GB2312"/>
                <w:b w:val="0"/>
                <w:bCs/>
                <w:color w:val="auto"/>
                <w:sz w:val="32"/>
                <w:szCs w:val="32"/>
                <w:highlight w:val="none"/>
                <w:vertAlign w:val="baseline"/>
                <w:lang w:val="en-US" w:eastAsia="zh-CN"/>
              </w:rPr>
              <w:instrText xml:space="preserve"> HYPERLINK "https://www.qcc.com/pl/pr197f09beecf26d74b9ec4e0106bad8.html" \t "https://www.qcc.com/web/_blank" </w:instrText>
            </w:r>
            <w:r>
              <w:rPr>
                <w:rFonts w:hint="eastAsia" w:ascii="仿宋_GB2312" w:hAnsi="仿宋_GB2312" w:eastAsia="仿宋_GB2312" w:cs="仿宋_GB2312"/>
                <w:b w:val="0"/>
                <w:bCs/>
                <w:color w:val="auto"/>
                <w:sz w:val="32"/>
                <w:szCs w:val="32"/>
                <w:highlight w:val="none"/>
                <w:vertAlign w:val="baseline"/>
                <w:lang w:val="en-US" w:eastAsia="zh-CN"/>
              </w:rPr>
              <w:fldChar w:fldCharType="separate"/>
            </w:r>
            <w:r>
              <w:rPr>
                <w:rFonts w:hint="eastAsia" w:ascii="仿宋_GB2312" w:hAnsi="仿宋_GB2312" w:eastAsia="仿宋_GB2312" w:cs="仿宋_GB2312"/>
                <w:b w:val="0"/>
                <w:bCs/>
                <w:color w:val="auto"/>
                <w:sz w:val="32"/>
                <w:szCs w:val="32"/>
                <w:highlight w:val="none"/>
                <w:vertAlign w:val="baseline"/>
                <w:lang w:val="en-US" w:eastAsia="zh-CN"/>
              </w:rPr>
              <w:t>李华林</w:t>
            </w:r>
            <w:r>
              <w:rPr>
                <w:rFonts w:hint="eastAsia" w:ascii="仿宋_GB2312" w:hAnsi="仿宋_GB2312" w:eastAsia="仿宋_GB2312" w:cs="仿宋_GB2312"/>
                <w:b w:val="0"/>
                <w:bCs/>
                <w:color w:val="auto"/>
                <w:sz w:val="32"/>
                <w:szCs w:val="32"/>
                <w:highlight w:val="none"/>
                <w:vertAlign w:val="baseline"/>
                <w:lang w:val="en-US" w:eastAsia="zh-CN"/>
              </w:rPr>
              <w:fldChar w:fldCharType="end"/>
            </w:r>
          </w:p>
        </w:tc>
        <w:tc>
          <w:tcPr>
            <w:tcW w:w="2800" w:type="dxa"/>
            <w:vAlign w:val="center"/>
          </w:tcPr>
          <w:p>
            <w:pPr>
              <w:jc w:val="center"/>
              <w:rPr>
                <w:rFonts w:hint="default" w:ascii="仿宋_GB2312" w:hAnsi="仿宋_GB2312" w:eastAsia="仿宋_GB2312" w:cs="仿宋_GB2312"/>
                <w:b w:val="0"/>
                <w:bCs/>
                <w:color w:val="auto"/>
                <w:sz w:val="32"/>
                <w:szCs w:val="32"/>
                <w:highlight w:val="none"/>
                <w:vertAlign w:val="baseline"/>
                <w:lang w:val="en-US"/>
              </w:rPr>
            </w:pPr>
            <w:r>
              <w:rPr>
                <w:rFonts w:hint="eastAsia" w:ascii="仿宋_GB2312" w:hAnsi="仿宋_GB2312" w:eastAsia="仿宋_GB2312" w:cs="仿宋_GB2312"/>
                <w:b w:val="0"/>
                <w:bCs/>
                <w:color w:val="auto"/>
                <w:sz w:val="32"/>
                <w:szCs w:val="32"/>
                <w:highlight w:val="none"/>
                <w:lang w:val="en-US" w:eastAsia="zh-CN"/>
              </w:rPr>
              <w:t>广西吉优建筑工程有限公司平果分公司</w:t>
            </w:r>
          </w:p>
        </w:tc>
        <w:tc>
          <w:tcPr>
            <w:tcW w:w="1833"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经理</w:t>
            </w:r>
            <w:bookmarkStart w:id="68" w:name="_GoBack"/>
            <w:bookmarkEnd w:id="68"/>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阮国能</w:t>
            </w:r>
          </w:p>
        </w:tc>
        <w:tc>
          <w:tcPr>
            <w:tcW w:w="280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教研室主任</w:t>
            </w:r>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中级经济师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潘新康</w:t>
            </w:r>
          </w:p>
        </w:tc>
        <w:tc>
          <w:tcPr>
            <w:tcW w:w="280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李媛媛</w:t>
            </w:r>
          </w:p>
        </w:tc>
        <w:tc>
          <w:tcPr>
            <w:tcW w:w="2800" w:type="dxa"/>
            <w:shd w:val="clear" w:color="auto" w:fill="auto"/>
            <w:vAlign w:val="center"/>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shd w:val="clear" w:color="auto" w:fill="auto"/>
            <w:vAlign w:val="center"/>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5</w:t>
            </w:r>
          </w:p>
        </w:tc>
        <w:tc>
          <w:tcPr>
            <w:tcW w:w="1450"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张寰宇</w:t>
            </w:r>
          </w:p>
        </w:tc>
        <w:tc>
          <w:tcPr>
            <w:tcW w:w="2800" w:type="dxa"/>
            <w:shd w:val="clear" w:color="auto" w:fill="auto"/>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shd w:val="clear" w:color="auto" w:fill="auto"/>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bl>
    <w:p>
      <w:pPr>
        <w:widowControl/>
        <w:overflowPunct w:val="0"/>
        <w:adjustRightInd w:val="0"/>
        <w:snapToGrid w:val="0"/>
        <w:spacing w:after="16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hint="eastAsia" w:ascii="黑体" w:hAnsi="黑体" w:eastAsia="黑体" w:cs="黑体"/>
          <w:b/>
          <w:bCs/>
          <w:kern w:val="2"/>
          <w:sz w:val="32"/>
          <w:szCs w:val="32"/>
          <w:lang w:val="en-US" w:eastAsia="zh-CN" w:bidi="ar-SA"/>
        </w:rPr>
        <w:id w:val="147481104"/>
        <w15:color w:val="DBDBDB"/>
        <w:docPartObj>
          <w:docPartGallery w:val="Table of Contents"/>
          <w:docPartUnique/>
        </w:docPartObj>
      </w:sdtPr>
      <w:sdtEndPr>
        <w:rPr>
          <w:rFonts w:hint="eastAsia" w:ascii="黑体" w:hAnsi="黑体" w:eastAsia="黑体" w:cs="黑体"/>
          <w:b/>
          <w:bCs/>
          <w:color w:val="auto"/>
          <w:kern w:val="0"/>
          <w:sz w:val="21"/>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b/>
              <w:bCs/>
              <w:sz w:val="32"/>
              <w:szCs w:val="32"/>
            </w:rPr>
          </w:pPr>
          <w:r>
            <w:rPr>
              <w:rFonts w:hint="eastAsia" w:ascii="黑体" w:hAnsi="黑体" w:eastAsia="黑体" w:cs="黑体"/>
              <w:b/>
              <w:bCs/>
              <w:sz w:val="32"/>
              <w:szCs w:val="32"/>
            </w:rPr>
            <w:t>目录</w:t>
          </w:r>
        </w:p>
        <w:p>
          <w:pPr>
            <w:pStyle w:val="7"/>
            <w:tabs>
              <w:tab w:val="right" w:leader="dot" w:pos="8505"/>
            </w:tabs>
            <w:rPr>
              <w:rFonts w:hint="eastAsia" w:ascii="楷体" w:hAnsi="楷体" w:eastAsia="楷体" w:cs="楷体"/>
              <w:sz w:val="32"/>
              <w:szCs w:val="32"/>
            </w:rPr>
          </w:pPr>
          <w:r>
            <w:rPr>
              <w:rFonts w:hint="eastAsia" w:ascii="楷体" w:hAnsi="楷体" w:eastAsia="楷体" w:cs="楷体"/>
              <w:b/>
              <w:bCs/>
              <w:color w:val="auto"/>
              <w:kern w:val="0"/>
              <w:sz w:val="32"/>
              <w:szCs w:val="32"/>
            </w:rPr>
            <w:fldChar w:fldCharType="begin"/>
          </w:r>
          <w:r>
            <w:rPr>
              <w:rFonts w:hint="eastAsia" w:ascii="楷体" w:hAnsi="楷体" w:eastAsia="楷体" w:cs="楷体"/>
              <w:b/>
              <w:bCs/>
              <w:color w:val="auto"/>
              <w:kern w:val="0"/>
              <w:sz w:val="32"/>
              <w:szCs w:val="32"/>
            </w:rPr>
            <w:instrText xml:space="preserve">TOC \o "1-3" \h \u </w:instrText>
          </w:r>
          <w:r>
            <w:rPr>
              <w:rFonts w:hint="eastAsia" w:ascii="楷体" w:hAnsi="楷体" w:eastAsia="楷体" w:cs="楷体"/>
              <w:b/>
              <w:bCs/>
              <w:color w:val="auto"/>
              <w:kern w:val="0"/>
              <w:sz w:val="32"/>
              <w:szCs w:val="32"/>
            </w:rPr>
            <w:fldChar w:fldCharType="separate"/>
          </w: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_Toc21142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一、专业名称及代码</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_Toc21142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_Toc6636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二、入学要求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_Toc6636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_Toc8734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三、基本修业年限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_Toc8734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_Toc16793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四、职业面向</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_Toc16793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_Toc740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五、培养目标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_Toc740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_Toc18431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六、培养规格</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_Toc18431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_Toc25899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（一）知识目标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_Toc25899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_Toc29149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（二）能力目标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_Toc29149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_Toc25114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（三）素质目标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_Toc25114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_Toc17816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七、课程设置</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_Toc17816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_Toc22769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（一）公共基础课程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_Toc22769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_Toc5658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（二）专业课程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_Toc5658 \h </w:instrText>
          </w:r>
          <w:r>
            <w:rPr>
              <w:rFonts w:hint="eastAsia" w:ascii="楷体" w:hAnsi="楷体" w:eastAsia="楷体" w:cs="楷体"/>
              <w:sz w:val="32"/>
              <w:szCs w:val="32"/>
            </w:rPr>
            <w:fldChar w:fldCharType="separate"/>
          </w:r>
          <w:r>
            <w:rPr>
              <w:rFonts w:hint="eastAsia" w:ascii="楷体" w:hAnsi="楷体" w:eastAsia="楷体" w:cs="楷体"/>
              <w:sz w:val="32"/>
              <w:szCs w:val="32"/>
            </w:rPr>
            <w:t>19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_Toc22700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（三）第二课堂素质教育课</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_Toc22700 \h </w:instrText>
          </w:r>
          <w:r>
            <w:rPr>
              <w:rFonts w:hint="eastAsia" w:ascii="楷体" w:hAnsi="楷体" w:eastAsia="楷体" w:cs="楷体"/>
              <w:sz w:val="32"/>
              <w:szCs w:val="32"/>
            </w:rPr>
            <w:fldChar w:fldCharType="separate"/>
          </w:r>
          <w:r>
            <w:rPr>
              <w:rFonts w:hint="eastAsia" w:ascii="楷体" w:hAnsi="楷体" w:eastAsia="楷体" w:cs="楷体"/>
              <w:sz w:val="32"/>
              <w:szCs w:val="32"/>
            </w:rPr>
            <w:t>28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_Toc11852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八、教学进程总体安排</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_Toc11852 \h </w:instrText>
          </w:r>
          <w:r>
            <w:rPr>
              <w:rFonts w:hint="eastAsia" w:ascii="楷体" w:hAnsi="楷体" w:eastAsia="楷体" w:cs="楷体"/>
              <w:sz w:val="32"/>
              <w:szCs w:val="32"/>
            </w:rPr>
            <w:fldChar w:fldCharType="separate"/>
          </w:r>
          <w:r>
            <w:rPr>
              <w:rFonts w:hint="eastAsia" w:ascii="楷体" w:hAnsi="楷体" w:eastAsia="楷体" w:cs="楷体"/>
              <w:sz w:val="32"/>
              <w:szCs w:val="32"/>
            </w:rPr>
            <w:t>30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_Toc21010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（一）教学环节分配表</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_Toc21010 \h </w:instrText>
          </w:r>
          <w:r>
            <w:rPr>
              <w:rFonts w:hint="eastAsia" w:ascii="楷体" w:hAnsi="楷体" w:eastAsia="楷体" w:cs="楷体"/>
              <w:sz w:val="32"/>
              <w:szCs w:val="32"/>
            </w:rPr>
            <w:fldChar w:fldCharType="separate"/>
          </w:r>
          <w:r>
            <w:rPr>
              <w:rFonts w:hint="eastAsia" w:ascii="楷体" w:hAnsi="楷体" w:eastAsia="楷体" w:cs="楷体"/>
              <w:sz w:val="32"/>
              <w:szCs w:val="32"/>
            </w:rPr>
            <w:t>30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_Toc18307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w:t>
          </w:r>
          <w:r>
            <w:rPr>
              <w:rFonts w:hint="eastAsia" w:ascii="楷体" w:hAnsi="楷体" w:eastAsia="楷体" w:cs="楷体"/>
              <w:bCs/>
              <w:sz w:val="32"/>
              <w:szCs w:val="32"/>
            </w:rPr>
            <w:t>课程结构与学时、学分分配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_Toc18307 \h </w:instrText>
          </w:r>
          <w:r>
            <w:rPr>
              <w:rFonts w:hint="eastAsia" w:ascii="楷体" w:hAnsi="楷体" w:eastAsia="楷体" w:cs="楷体"/>
              <w:sz w:val="32"/>
              <w:szCs w:val="32"/>
            </w:rPr>
            <w:fldChar w:fldCharType="separate"/>
          </w:r>
          <w:r>
            <w:rPr>
              <w:rFonts w:hint="eastAsia" w:ascii="楷体" w:hAnsi="楷体" w:eastAsia="楷体" w:cs="楷体"/>
              <w:sz w:val="32"/>
              <w:szCs w:val="32"/>
            </w:rPr>
            <w:t>30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_Toc6356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（三）教学计划进程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_Toc6356 \h </w:instrText>
          </w:r>
          <w:r>
            <w:rPr>
              <w:rFonts w:hint="eastAsia" w:ascii="楷体" w:hAnsi="楷体" w:eastAsia="楷体" w:cs="楷体"/>
              <w:sz w:val="32"/>
              <w:szCs w:val="32"/>
            </w:rPr>
            <w:fldChar w:fldCharType="separate"/>
          </w:r>
          <w:r>
            <w:rPr>
              <w:rFonts w:hint="eastAsia" w:ascii="楷体" w:hAnsi="楷体" w:eastAsia="楷体" w:cs="楷体"/>
              <w:sz w:val="32"/>
              <w:szCs w:val="32"/>
            </w:rPr>
            <w:t>31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_Toc21542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九、师资队伍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_Toc21542 \h </w:instrText>
          </w:r>
          <w:r>
            <w:rPr>
              <w:rFonts w:hint="eastAsia" w:ascii="楷体" w:hAnsi="楷体" w:eastAsia="楷体" w:cs="楷体"/>
              <w:sz w:val="32"/>
              <w:szCs w:val="32"/>
            </w:rPr>
            <w:fldChar w:fldCharType="separate"/>
          </w:r>
          <w:r>
            <w:rPr>
              <w:rFonts w:hint="eastAsia" w:ascii="楷体" w:hAnsi="楷体" w:eastAsia="楷体" w:cs="楷体"/>
              <w:sz w:val="32"/>
              <w:szCs w:val="32"/>
            </w:rPr>
            <w:t>34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_Toc1999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 队伍结构</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_Toc1999 \h </w:instrText>
          </w:r>
          <w:r>
            <w:rPr>
              <w:rFonts w:hint="eastAsia" w:ascii="楷体" w:hAnsi="楷体" w:eastAsia="楷体" w:cs="楷体"/>
              <w:sz w:val="32"/>
              <w:szCs w:val="32"/>
            </w:rPr>
            <w:fldChar w:fldCharType="separate"/>
          </w:r>
          <w:r>
            <w:rPr>
              <w:rFonts w:hint="eastAsia" w:ascii="楷体" w:hAnsi="楷体" w:eastAsia="楷体" w:cs="楷体"/>
              <w:sz w:val="32"/>
              <w:szCs w:val="32"/>
            </w:rPr>
            <w:t>34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_Toc8619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 专业带头人</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_Toc8619 \h </w:instrText>
          </w:r>
          <w:r>
            <w:rPr>
              <w:rFonts w:hint="eastAsia" w:ascii="楷体" w:hAnsi="楷体" w:eastAsia="楷体" w:cs="楷体"/>
              <w:sz w:val="32"/>
              <w:szCs w:val="32"/>
            </w:rPr>
            <w:fldChar w:fldCharType="separate"/>
          </w:r>
          <w:r>
            <w:rPr>
              <w:rFonts w:hint="eastAsia" w:ascii="楷体" w:hAnsi="楷体" w:eastAsia="楷体" w:cs="楷体"/>
              <w:sz w:val="32"/>
              <w:szCs w:val="32"/>
            </w:rPr>
            <w:t>34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_Toc17537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 xml:space="preserve">（三） </w:t>
          </w:r>
          <w:r>
            <w:rPr>
              <w:rFonts w:hint="eastAsia" w:ascii="楷体" w:hAnsi="楷体" w:eastAsia="楷体" w:cs="楷体"/>
              <w:sz w:val="32"/>
              <w:szCs w:val="32"/>
              <w:lang w:val="en-US" w:eastAsia="zh-CN"/>
            </w:rPr>
            <w:t>专任教师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_Toc17537 \h </w:instrText>
          </w:r>
          <w:r>
            <w:rPr>
              <w:rFonts w:hint="eastAsia" w:ascii="楷体" w:hAnsi="楷体" w:eastAsia="楷体" w:cs="楷体"/>
              <w:sz w:val="32"/>
              <w:szCs w:val="32"/>
            </w:rPr>
            <w:fldChar w:fldCharType="separate"/>
          </w:r>
          <w:r>
            <w:rPr>
              <w:rFonts w:hint="eastAsia" w:ascii="楷体" w:hAnsi="楷体" w:eastAsia="楷体" w:cs="楷体"/>
              <w:sz w:val="32"/>
              <w:szCs w:val="32"/>
            </w:rPr>
            <w:t>35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_Toc21071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（四）兼职教师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_Toc21071 \h </w:instrText>
          </w:r>
          <w:r>
            <w:rPr>
              <w:rFonts w:hint="eastAsia" w:ascii="楷体" w:hAnsi="楷体" w:eastAsia="楷体" w:cs="楷体"/>
              <w:sz w:val="32"/>
              <w:szCs w:val="32"/>
            </w:rPr>
            <w:fldChar w:fldCharType="separate"/>
          </w:r>
          <w:r>
            <w:rPr>
              <w:rFonts w:hint="eastAsia" w:ascii="楷体" w:hAnsi="楷体" w:eastAsia="楷体" w:cs="楷体"/>
              <w:sz w:val="32"/>
              <w:szCs w:val="32"/>
            </w:rPr>
            <w:t>35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_Toc8174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十、教学条件</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_Toc8174 \h </w:instrText>
          </w:r>
          <w:r>
            <w:rPr>
              <w:rFonts w:hint="eastAsia" w:ascii="楷体" w:hAnsi="楷体" w:eastAsia="楷体" w:cs="楷体"/>
              <w:sz w:val="32"/>
              <w:szCs w:val="32"/>
            </w:rPr>
            <w:fldChar w:fldCharType="separate"/>
          </w:r>
          <w:r>
            <w:rPr>
              <w:rFonts w:hint="eastAsia" w:ascii="楷体" w:hAnsi="楷体" w:eastAsia="楷体" w:cs="楷体"/>
              <w:sz w:val="32"/>
              <w:szCs w:val="32"/>
            </w:rPr>
            <w:t>35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_Toc12463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（一）教学设施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_Toc12463 \h </w:instrText>
          </w:r>
          <w:r>
            <w:rPr>
              <w:rFonts w:hint="eastAsia" w:ascii="楷体" w:hAnsi="楷体" w:eastAsia="楷体" w:cs="楷体"/>
              <w:sz w:val="32"/>
              <w:szCs w:val="32"/>
            </w:rPr>
            <w:fldChar w:fldCharType="separate"/>
          </w:r>
          <w:r>
            <w:rPr>
              <w:rFonts w:hint="eastAsia" w:ascii="楷体" w:hAnsi="楷体" w:eastAsia="楷体" w:cs="楷体"/>
              <w:sz w:val="32"/>
              <w:szCs w:val="32"/>
            </w:rPr>
            <w:t>35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_Toc1504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 教学资源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_Toc1504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_Toc14374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 xml:space="preserve">（三） </w:t>
          </w:r>
          <w:r>
            <w:rPr>
              <w:rFonts w:hint="eastAsia" w:ascii="楷体" w:hAnsi="楷体" w:eastAsia="楷体" w:cs="楷体"/>
              <w:sz w:val="32"/>
              <w:szCs w:val="32"/>
              <w:lang w:val="en-US" w:eastAsia="zh-CN"/>
            </w:rPr>
            <w:t>教学方法</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_Toc14374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_Toc8486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（四）学习评价</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_Toc8486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_Toc15194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十一、 质量保障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_Toc15194 \h </w:instrText>
          </w:r>
          <w:r>
            <w:rPr>
              <w:rFonts w:hint="eastAsia" w:ascii="楷体" w:hAnsi="楷体" w:eastAsia="楷体" w:cs="楷体"/>
              <w:sz w:val="32"/>
              <w:szCs w:val="32"/>
            </w:rPr>
            <w:fldChar w:fldCharType="separate"/>
          </w:r>
          <w:r>
            <w:rPr>
              <w:rFonts w:hint="eastAsia" w:ascii="楷体" w:hAnsi="楷体" w:eastAsia="楷体" w:cs="楷体"/>
              <w:sz w:val="32"/>
              <w:szCs w:val="32"/>
            </w:rPr>
            <w:t>39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_Toc30169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十二、毕业要求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_Toc30169 \h </w:instrText>
          </w:r>
          <w:r>
            <w:rPr>
              <w:rFonts w:hint="eastAsia" w:ascii="楷体" w:hAnsi="楷体" w:eastAsia="楷体" w:cs="楷体"/>
              <w:sz w:val="32"/>
              <w:szCs w:val="32"/>
            </w:rPr>
            <w:fldChar w:fldCharType="separate"/>
          </w:r>
          <w:r>
            <w:rPr>
              <w:rFonts w:hint="eastAsia" w:ascii="楷体" w:hAnsi="楷体" w:eastAsia="楷体" w:cs="楷体"/>
              <w:sz w:val="32"/>
              <w:szCs w:val="32"/>
            </w:rPr>
            <w:t>40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_Toc6550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一</w:t>
          </w:r>
          <w:r>
            <w:rPr>
              <w:rFonts w:hint="eastAsia" w:ascii="楷体" w:hAnsi="楷体" w:eastAsia="楷体" w:cs="楷体"/>
              <w:sz w:val="32"/>
              <w:szCs w:val="32"/>
              <w:lang w:eastAsia="zh-CN"/>
            </w:rPr>
            <w:t>）</w:t>
          </w:r>
          <w:r>
            <w:rPr>
              <w:rFonts w:hint="eastAsia" w:ascii="楷体" w:hAnsi="楷体" w:eastAsia="楷体" w:cs="楷体"/>
              <w:sz w:val="32"/>
              <w:szCs w:val="32"/>
            </w:rPr>
            <w:t>学分要求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_Toc6550 \h </w:instrText>
          </w:r>
          <w:r>
            <w:rPr>
              <w:rFonts w:hint="eastAsia" w:ascii="楷体" w:hAnsi="楷体" w:eastAsia="楷体" w:cs="楷体"/>
              <w:sz w:val="32"/>
              <w:szCs w:val="32"/>
            </w:rPr>
            <w:fldChar w:fldCharType="separate"/>
          </w:r>
          <w:r>
            <w:rPr>
              <w:rFonts w:hint="eastAsia" w:ascii="楷体" w:hAnsi="楷体" w:eastAsia="楷体" w:cs="楷体"/>
              <w:sz w:val="32"/>
              <w:szCs w:val="32"/>
            </w:rPr>
            <w:t>40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_Toc4002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（二）职业类证书要求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_Toc4002 \h </w:instrText>
          </w:r>
          <w:r>
            <w:rPr>
              <w:rFonts w:hint="eastAsia" w:ascii="楷体" w:hAnsi="楷体" w:eastAsia="楷体" w:cs="楷体"/>
              <w:sz w:val="32"/>
              <w:szCs w:val="32"/>
            </w:rPr>
            <w:fldChar w:fldCharType="separate"/>
          </w:r>
          <w:r>
            <w:rPr>
              <w:rFonts w:hint="eastAsia" w:ascii="楷体" w:hAnsi="楷体" w:eastAsia="楷体" w:cs="楷体"/>
              <w:sz w:val="32"/>
              <w:szCs w:val="32"/>
            </w:rPr>
            <w:t>40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_Toc14566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（二）综合素质要求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_Toc14566 \h </w:instrText>
          </w:r>
          <w:r>
            <w:rPr>
              <w:rFonts w:hint="eastAsia" w:ascii="楷体" w:hAnsi="楷体" w:eastAsia="楷体" w:cs="楷体"/>
              <w:sz w:val="32"/>
              <w:szCs w:val="32"/>
            </w:rPr>
            <w:fldChar w:fldCharType="separate"/>
          </w:r>
          <w:r>
            <w:rPr>
              <w:rFonts w:hint="eastAsia" w:ascii="楷体" w:hAnsi="楷体" w:eastAsia="楷体" w:cs="楷体"/>
              <w:sz w:val="32"/>
              <w:szCs w:val="32"/>
            </w:rPr>
            <w:t>41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widowControl/>
            <w:overflowPunct w:val="0"/>
            <w:adjustRightInd w:val="0"/>
            <w:snapToGrid w:val="0"/>
            <w:jc w:val="center"/>
            <w:rPr>
              <w:rFonts w:hint="eastAsia" w:ascii="黑体" w:hAnsi="黑体" w:eastAsia="黑体" w:cs="黑体"/>
              <w:bCs/>
              <w:color w:val="auto"/>
              <w:kern w:val="0"/>
              <w:sz w:val="21"/>
              <w:szCs w:val="32"/>
              <w:lang w:val="en-US" w:eastAsia="zh-CN" w:bidi="ar-SA"/>
            </w:rPr>
          </w:pPr>
          <w:r>
            <w:rPr>
              <w:rFonts w:hint="eastAsia" w:ascii="楷体" w:hAnsi="楷体" w:eastAsia="楷体" w:cs="楷体"/>
              <w:bCs/>
              <w:color w:val="auto"/>
              <w:kern w:val="0"/>
              <w:sz w:val="32"/>
              <w:szCs w:val="32"/>
            </w:rPr>
            <w:fldChar w:fldCharType="end"/>
          </w:r>
        </w:p>
      </w:sdtContent>
    </w:sdt>
    <w:p>
      <w:pPr>
        <w:widowControl/>
        <w:overflowPunct w:val="0"/>
        <w:adjustRightInd w:val="0"/>
        <w:snapToGrid w:val="0"/>
        <w:jc w:val="center"/>
        <w:rPr>
          <w:rFonts w:hint="eastAsia" w:ascii="黑体" w:hAnsi="黑体" w:eastAsia="黑体" w:cs="黑体"/>
          <w:bCs/>
          <w:color w:val="auto"/>
          <w:kern w:val="0"/>
          <w:sz w:val="21"/>
          <w:szCs w:val="32"/>
          <w:lang w:val="en-US" w:eastAsia="zh-CN" w:bidi="ar-SA"/>
        </w:rPr>
      </w:pPr>
    </w:p>
    <w:p>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pageBreakBefore w:val="0"/>
        <w:kinsoku/>
        <w:wordWrap/>
        <w:overflowPunct w:val="0"/>
        <w:topLinePunct w:val="0"/>
        <w:autoSpaceDE/>
        <w:autoSpaceDN/>
        <w:bidi w:val="0"/>
        <w:adjustRightInd w:val="0"/>
        <w:snapToGrid w:val="0"/>
        <w:spacing w:after="0" w:line="520" w:lineRule="exact"/>
        <w:ind w:left="0"/>
        <w:jc w:val="center"/>
        <w:rPr>
          <w:rFonts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工程测量技术专业人才培养方案</w:t>
      </w:r>
    </w:p>
    <w:p>
      <w:pPr>
        <w:pageBreakBefore w:val="0"/>
        <w:kinsoku/>
        <w:wordWrap/>
        <w:overflowPunct w:val="0"/>
        <w:topLinePunct w:val="0"/>
        <w:autoSpaceDE/>
        <w:autoSpaceDN/>
        <w:bidi w:val="0"/>
        <w:adjustRightInd w:val="0"/>
        <w:snapToGrid w:val="0"/>
        <w:spacing w:after="0" w:line="520" w:lineRule="exact"/>
        <w:ind w:left="0"/>
        <w:jc w:val="center"/>
        <w:rPr>
          <w:rFonts w:ascii="方正小标宋简体" w:hAnsi="方正小标宋简体" w:eastAsia="方正小标宋简体" w:cs="方正小标宋简体"/>
          <w:bCs/>
          <w:color w:val="auto"/>
          <w:sz w:val="44"/>
          <w:szCs w:val="44"/>
        </w:rPr>
      </w:pPr>
    </w:p>
    <w:p>
      <w:pPr>
        <w:pageBreakBefore w:val="0"/>
        <w:kinsoku/>
        <w:wordWrap/>
        <w:overflowPunct w:val="0"/>
        <w:topLinePunct w:val="0"/>
        <w:autoSpaceDE/>
        <w:autoSpaceDN/>
        <w:bidi w:val="0"/>
        <w:adjustRightInd w:val="0"/>
        <w:snapToGrid w:val="0"/>
        <w:spacing w:after="0" w:line="520" w:lineRule="exact"/>
        <w:ind w:left="0" w:leftChars="0" w:firstLine="640" w:firstLineChars="200"/>
        <w:outlineLvl w:val="0"/>
        <w:rPr>
          <w:rFonts w:hint="eastAsia" w:ascii="黑体" w:hAnsi="黑体" w:eastAsia="黑体" w:cs="黑体"/>
          <w:color w:val="auto"/>
          <w:sz w:val="32"/>
          <w:szCs w:val="32"/>
        </w:rPr>
      </w:pPr>
      <w:bookmarkStart w:id="0" w:name="_Toc21142"/>
      <w:r>
        <w:rPr>
          <w:rFonts w:hint="eastAsia" w:ascii="黑体" w:hAnsi="黑体" w:eastAsia="黑体" w:cs="黑体"/>
          <w:color w:val="auto"/>
          <w:sz w:val="32"/>
          <w:szCs w:val="32"/>
        </w:rPr>
        <w:t>一、专业名称及代码</w:t>
      </w:r>
      <w:bookmarkEnd w:id="0"/>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专业名称：工程测量技术</w:t>
      </w:r>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专业代码：420301 </w:t>
      </w:r>
    </w:p>
    <w:p>
      <w:pPr>
        <w:pageBreakBefore w:val="0"/>
        <w:kinsoku/>
        <w:wordWrap/>
        <w:overflowPunct w:val="0"/>
        <w:topLinePunct w:val="0"/>
        <w:autoSpaceDE/>
        <w:autoSpaceDN/>
        <w:bidi w:val="0"/>
        <w:adjustRightInd w:val="0"/>
        <w:snapToGrid w:val="0"/>
        <w:spacing w:after="0" w:line="520" w:lineRule="exact"/>
        <w:ind w:left="0" w:leftChars="0" w:firstLine="640" w:firstLineChars="200"/>
        <w:outlineLvl w:val="0"/>
        <w:rPr>
          <w:rFonts w:hint="eastAsia" w:ascii="黑体" w:hAnsi="黑体" w:eastAsia="黑体" w:cs="黑体"/>
          <w:color w:val="auto"/>
          <w:sz w:val="32"/>
          <w:szCs w:val="32"/>
        </w:rPr>
      </w:pPr>
      <w:bookmarkStart w:id="1" w:name="_Toc6636"/>
      <w:r>
        <w:rPr>
          <w:rFonts w:hint="eastAsia" w:ascii="黑体" w:hAnsi="黑体" w:eastAsia="黑体" w:cs="黑体"/>
          <w:color w:val="auto"/>
          <w:sz w:val="32"/>
          <w:szCs w:val="32"/>
        </w:rPr>
        <w:t>二、入学要求</w:t>
      </w:r>
      <w:bookmarkEnd w:id="1"/>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中等职业学校毕业、普通高级中学毕业或具备同等学力。</w:t>
      </w:r>
    </w:p>
    <w:p>
      <w:pPr>
        <w:pageBreakBefore w:val="0"/>
        <w:kinsoku/>
        <w:wordWrap/>
        <w:overflowPunct w:val="0"/>
        <w:topLinePunct w:val="0"/>
        <w:autoSpaceDE/>
        <w:autoSpaceDN/>
        <w:bidi w:val="0"/>
        <w:adjustRightInd w:val="0"/>
        <w:snapToGrid w:val="0"/>
        <w:spacing w:after="0" w:line="520" w:lineRule="exact"/>
        <w:ind w:left="0" w:leftChars="0" w:firstLine="640" w:firstLineChars="200"/>
        <w:outlineLvl w:val="0"/>
        <w:rPr>
          <w:rFonts w:hint="eastAsia" w:ascii="黑体" w:hAnsi="黑体" w:eastAsia="黑体" w:cs="黑体"/>
          <w:color w:val="auto"/>
          <w:sz w:val="32"/>
          <w:szCs w:val="32"/>
        </w:rPr>
      </w:pPr>
      <w:bookmarkStart w:id="2" w:name="_Toc8734"/>
      <w:r>
        <w:rPr>
          <w:rFonts w:hint="eastAsia" w:ascii="黑体" w:hAnsi="黑体" w:eastAsia="黑体" w:cs="黑体"/>
          <w:color w:val="auto"/>
          <w:sz w:val="32"/>
          <w:szCs w:val="32"/>
        </w:rPr>
        <w:t>三、基本修业年限</w:t>
      </w:r>
      <w:bookmarkEnd w:id="2"/>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pPr>
        <w:pageBreakBefore w:val="0"/>
        <w:kinsoku/>
        <w:wordWrap/>
        <w:overflowPunct w:val="0"/>
        <w:topLinePunct w:val="0"/>
        <w:autoSpaceDE/>
        <w:autoSpaceDN/>
        <w:bidi w:val="0"/>
        <w:adjustRightInd w:val="0"/>
        <w:snapToGrid w:val="0"/>
        <w:spacing w:after="0" w:line="520" w:lineRule="exact"/>
        <w:ind w:left="0" w:leftChars="0" w:firstLine="640" w:firstLineChars="200"/>
        <w:outlineLvl w:val="0"/>
        <w:rPr>
          <w:rFonts w:hint="eastAsia" w:ascii="黑体" w:hAnsi="黑体" w:eastAsia="黑体" w:cs="黑体"/>
          <w:color w:val="auto"/>
          <w:sz w:val="32"/>
          <w:szCs w:val="32"/>
        </w:rPr>
      </w:pPr>
      <w:bookmarkStart w:id="3" w:name="_Toc16793"/>
      <w:r>
        <w:rPr>
          <w:rFonts w:hint="eastAsia" w:ascii="黑体" w:hAnsi="黑体" w:eastAsia="黑体" w:cs="黑体"/>
          <w:color w:val="auto"/>
          <w:sz w:val="32"/>
          <w:szCs w:val="32"/>
        </w:rPr>
        <w:t>四、职业面向</w:t>
      </w:r>
      <w:bookmarkEnd w:id="3"/>
    </w:p>
    <w:p>
      <w:pPr>
        <w:pageBreakBefore w:val="0"/>
        <w:kinsoku/>
        <w:wordWrap/>
        <w:overflowPunct w:val="0"/>
        <w:topLinePunct w:val="0"/>
        <w:autoSpaceDE/>
        <w:autoSpaceDN/>
        <w:bidi w:val="0"/>
        <w:adjustRightInd w:val="0"/>
        <w:spacing w:after="0" w:line="520" w:lineRule="exact"/>
        <w:ind w:left="0" w:firstLine="640" w:firstLineChars="200"/>
        <w:jc w:val="center"/>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1"/>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728"/>
        <w:gridCol w:w="2184"/>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pageBreakBefore w:val="0"/>
              <w:kinsoku/>
              <w:wordWrap/>
              <w:overflowPunct w:val="0"/>
              <w:topLinePunct w:val="0"/>
              <w:autoSpaceDE/>
              <w:autoSpaceDN/>
              <w:bidi w:val="0"/>
              <w:adjustRightInd w:val="0"/>
              <w:spacing w:after="0"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所属专业大类</w:t>
            </w:r>
          </w:p>
          <w:p>
            <w:pPr>
              <w:pageBreakBefore w:val="0"/>
              <w:kinsoku/>
              <w:wordWrap/>
              <w:overflowPunct w:val="0"/>
              <w:topLinePunct w:val="0"/>
              <w:autoSpaceDE/>
              <w:autoSpaceDN/>
              <w:bidi w:val="0"/>
              <w:adjustRightInd w:val="0"/>
              <w:spacing w:after="0" w:line="32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（代码）</w:t>
            </w:r>
          </w:p>
        </w:tc>
        <w:tc>
          <w:tcPr>
            <w:tcW w:w="1523" w:type="dxa"/>
            <w:vAlign w:val="center"/>
          </w:tcPr>
          <w:p>
            <w:pPr>
              <w:pageBreakBefore w:val="0"/>
              <w:kinsoku/>
              <w:wordWrap/>
              <w:overflowPunct w:val="0"/>
              <w:topLinePunct w:val="0"/>
              <w:autoSpaceDE/>
              <w:autoSpaceDN/>
              <w:bidi w:val="0"/>
              <w:adjustRightInd w:val="0"/>
              <w:spacing w:after="0" w:line="32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所属专业类</w:t>
            </w:r>
          </w:p>
          <w:p>
            <w:pPr>
              <w:pageBreakBefore w:val="0"/>
              <w:kinsoku/>
              <w:wordWrap/>
              <w:overflowPunct w:val="0"/>
              <w:topLinePunct w:val="0"/>
              <w:autoSpaceDE/>
              <w:autoSpaceDN/>
              <w:bidi w:val="0"/>
              <w:adjustRightInd w:val="0"/>
              <w:spacing w:after="0" w:line="32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（代码）</w:t>
            </w:r>
          </w:p>
        </w:tc>
        <w:tc>
          <w:tcPr>
            <w:tcW w:w="1284" w:type="dxa"/>
            <w:vAlign w:val="center"/>
          </w:tcPr>
          <w:p>
            <w:pPr>
              <w:pageBreakBefore w:val="0"/>
              <w:kinsoku/>
              <w:wordWrap/>
              <w:overflowPunct w:val="0"/>
              <w:topLinePunct w:val="0"/>
              <w:autoSpaceDE/>
              <w:autoSpaceDN/>
              <w:bidi w:val="0"/>
              <w:adjustRightInd w:val="0"/>
              <w:spacing w:after="0" w:line="32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对应行业（代码）</w:t>
            </w:r>
          </w:p>
        </w:tc>
        <w:tc>
          <w:tcPr>
            <w:tcW w:w="1728" w:type="dxa"/>
            <w:vAlign w:val="center"/>
          </w:tcPr>
          <w:p>
            <w:pPr>
              <w:pageBreakBefore w:val="0"/>
              <w:kinsoku/>
              <w:wordWrap/>
              <w:overflowPunct w:val="0"/>
              <w:topLinePunct w:val="0"/>
              <w:autoSpaceDE/>
              <w:autoSpaceDN/>
              <w:bidi w:val="0"/>
              <w:adjustRightInd w:val="0"/>
              <w:spacing w:after="0" w:line="32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主要职业类别（代码）</w:t>
            </w:r>
          </w:p>
        </w:tc>
        <w:tc>
          <w:tcPr>
            <w:tcW w:w="2184" w:type="dxa"/>
            <w:vAlign w:val="center"/>
          </w:tcPr>
          <w:p>
            <w:pPr>
              <w:pageBreakBefore w:val="0"/>
              <w:kinsoku/>
              <w:wordWrap/>
              <w:overflowPunct w:val="0"/>
              <w:topLinePunct w:val="0"/>
              <w:autoSpaceDE/>
              <w:autoSpaceDN/>
              <w:bidi w:val="0"/>
              <w:adjustRightInd w:val="0"/>
              <w:spacing w:after="0" w:line="32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主要岗位（群）或技术领域</w:t>
            </w:r>
          </w:p>
        </w:tc>
        <w:tc>
          <w:tcPr>
            <w:tcW w:w="1866" w:type="dxa"/>
            <w:vAlign w:val="center"/>
          </w:tcPr>
          <w:p>
            <w:pPr>
              <w:pageBreakBefore w:val="0"/>
              <w:kinsoku/>
              <w:wordWrap/>
              <w:overflowPunct w:val="0"/>
              <w:topLinePunct w:val="0"/>
              <w:autoSpaceDE/>
              <w:autoSpaceDN/>
              <w:bidi w:val="0"/>
              <w:adjustRightInd w:val="0"/>
              <w:spacing w:after="0" w:line="32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bookmarkStart w:id="4" w:name="OLE_LINK1" w:colFirst="0" w:colLast="5"/>
            <w:r>
              <w:rPr>
                <w:rFonts w:hint="eastAsia" w:ascii="仿宋_GB2312" w:hAnsi="仿宋_GB2312" w:eastAsia="仿宋_GB2312" w:cs="仿宋_GB2312"/>
                <w:color w:val="auto"/>
                <w:sz w:val="24"/>
                <w:szCs w:val="24"/>
              </w:rPr>
              <w:t>资源环境与安全大类（42）</w:t>
            </w:r>
          </w:p>
        </w:tc>
        <w:tc>
          <w:tcPr>
            <w:tcW w:w="1523" w:type="dxa"/>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测绘地理信息类（4203）</w:t>
            </w:r>
          </w:p>
        </w:tc>
        <w:tc>
          <w:tcPr>
            <w:tcW w:w="1284" w:type="dxa"/>
          </w:tcPr>
          <w:p>
            <w:pPr>
              <w:keepNext w:val="0"/>
              <w:keepLines w:val="0"/>
              <w:pageBreakBefore w:val="0"/>
              <w:widowControl w:val="0"/>
              <w:kinsoku/>
              <w:wordWrap/>
              <w:overflowPunct w:val="0"/>
              <w:topLinePunct w:val="0"/>
              <w:autoSpaceDE/>
              <w:autoSpaceDN/>
              <w:bidi w:val="0"/>
              <w:adjustRightInd w:val="0"/>
              <w:snapToGrid/>
              <w:spacing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测绘地理信息系统</w:t>
            </w:r>
          </w:p>
          <w:p>
            <w:pPr>
              <w:keepNext w:val="0"/>
              <w:keepLines w:val="0"/>
              <w:pageBreakBefore w:val="0"/>
              <w:widowControl w:val="0"/>
              <w:kinsoku/>
              <w:wordWrap/>
              <w:overflowPunct w:val="0"/>
              <w:topLinePunct w:val="0"/>
              <w:autoSpaceDE/>
              <w:autoSpaceDN/>
              <w:bidi w:val="0"/>
              <w:adjustRightInd w:val="0"/>
              <w:snapToGrid/>
              <w:spacing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(744)</w:t>
            </w:r>
          </w:p>
        </w:tc>
        <w:tc>
          <w:tcPr>
            <w:tcW w:w="1728" w:type="dxa"/>
          </w:tcPr>
          <w:p>
            <w:pPr>
              <w:keepNext w:val="0"/>
              <w:keepLines w:val="0"/>
              <w:pageBreakBefore w:val="0"/>
              <w:widowControl w:val="0"/>
              <w:kinsoku/>
              <w:wordWrap/>
              <w:overflowPunct w:val="0"/>
              <w:topLinePunct w:val="0"/>
              <w:autoSpaceDE/>
              <w:autoSpaceDN/>
              <w:bidi w:val="0"/>
              <w:adjustRightInd w:val="0"/>
              <w:snapToGrid/>
              <w:spacing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工程测量工程技术人员</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(2-02-02-02)</w:t>
            </w:r>
          </w:p>
        </w:tc>
        <w:tc>
          <w:tcPr>
            <w:tcW w:w="2184" w:type="dxa"/>
          </w:tcPr>
          <w:p>
            <w:pPr>
              <w:keepNext w:val="0"/>
              <w:keepLines w:val="0"/>
              <w:pageBreakBefore w:val="0"/>
              <w:widowControl w:val="0"/>
              <w:kinsoku/>
              <w:wordWrap/>
              <w:overflowPunct w:val="0"/>
              <w:topLinePunct w:val="0"/>
              <w:autoSpaceDE/>
              <w:autoSpaceDN/>
              <w:bidi w:val="0"/>
              <w:adjustRightInd w:val="0"/>
              <w:snapToGrid/>
              <w:spacing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工程测量、无人机摄影测量、不动产测绘、地理信息系统应用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p>
        </w:tc>
        <w:tc>
          <w:tcPr>
            <w:tcW w:w="1866" w:type="dxa"/>
          </w:tcPr>
          <w:p>
            <w:pPr>
              <w:keepNext w:val="0"/>
              <w:keepLines w:val="0"/>
              <w:pageBreakBefore w:val="0"/>
              <w:widowControl w:val="0"/>
              <w:kinsoku/>
              <w:wordWrap/>
              <w:overflowPunct w:val="0"/>
              <w:topLinePunct w:val="0"/>
              <w:autoSpaceDE/>
              <w:autoSpaceDN/>
              <w:bidi w:val="0"/>
              <w:adjustRightInd w:val="0"/>
              <w:snapToGrid/>
              <w:spacing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测绘地理信息数据获取与处理、不动产数据采集与建库、无人机摄影测量 </w:t>
            </w:r>
          </w:p>
        </w:tc>
      </w:tr>
      <w:bookmarkEnd w:id="4"/>
    </w:tbl>
    <w:p>
      <w:pPr>
        <w:pageBreakBefore w:val="0"/>
        <w:kinsoku/>
        <w:wordWrap/>
        <w:overflowPunct w:val="0"/>
        <w:topLinePunct w:val="0"/>
        <w:autoSpaceDE/>
        <w:autoSpaceDN/>
        <w:bidi w:val="0"/>
        <w:adjustRightInd w:val="0"/>
        <w:spacing w:after="0" w:line="520" w:lineRule="exact"/>
        <w:ind w:left="0" w:leftChars="0" w:firstLine="640" w:firstLineChars="200"/>
        <w:outlineLvl w:val="0"/>
        <w:rPr>
          <w:rFonts w:hint="eastAsia" w:ascii="黑体" w:hAnsi="黑体" w:eastAsia="黑体" w:cs="黑体"/>
          <w:color w:val="auto"/>
          <w:sz w:val="32"/>
          <w:szCs w:val="32"/>
        </w:rPr>
      </w:pPr>
      <w:bookmarkStart w:id="5" w:name="_Toc740"/>
      <w:r>
        <w:rPr>
          <w:rFonts w:hint="eastAsia" w:ascii="黑体" w:hAnsi="黑体" w:eastAsia="黑体" w:cs="黑体"/>
          <w:color w:val="auto"/>
          <w:sz w:val="32"/>
          <w:szCs w:val="32"/>
        </w:rPr>
        <w:t>五、培养目标</w:t>
      </w:r>
      <w:bookmarkEnd w:id="5"/>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本专业培养能够践行社会主义核心价值观，传承技能文明，德智体美劳全面发展，具有一定的科学文化水平，良好的人文素养、科学素养、数字素养、职业道德、创新意识</w:t>
      </w:r>
      <w:r>
        <w:rPr>
          <w:rFonts w:hint="eastAsia" w:eastAsia="仿宋_GB2312" w:cs="仿宋"/>
          <w:color w:val="auto"/>
          <w:sz w:val="32"/>
          <w:szCs w:val="32"/>
          <w:lang w:eastAsia="zh-CN"/>
        </w:rPr>
        <w:t>的技能人才。</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在专业知识方面，需掌握常用工程测量仪器设备的操作与维护保养知识，熟悉工程施工的组织与管理模式、方法和手段，精通地形测量、工程控制、工程施工、变形监测等控制网的布设、施测与数据处理方法，掌握地形图数据采集、编辑处理与制图知识，以及GNSS测量、地下工程测量、航空摄影测量等多方面的专业知识。培养爱岗敬业的职业精神和精益求精的工匠精神，较强的就业创业能力和可持续发展的能力，掌握本专业知识和技术技能，具备职业综合素质和行动能力，面向测绘地理信息服务行业的工程测量工程技术人员职业，能够从事工程建设和资源开发的勘测设计、施工、竣工、变形观测和运营管理中的测量以及无人机摄影测量等工作的高技能人才。</w:t>
      </w:r>
    </w:p>
    <w:p>
      <w:pPr>
        <w:pageBreakBefore w:val="0"/>
        <w:kinsoku/>
        <w:wordWrap/>
        <w:overflowPunct w:val="0"/>
        <w:topLinePunct w:val="0"/>
        <w:autoSpaceDE/>
        <w:autoSpaceDN/>
        <w:bidi w:val="0"/>
        <w:adjustRightInd w:val="0"/>
        <w:spacing w:after="0" w:line="520" w:lineRule="exact"/>
        <w:ind w:left="0" w:leftChars="0" w:firstLine="640" w:firstLineChars="200"/>
        <w:outlineLvl w:val="0"/>
        <w:rPr>
          <w:rFonts w:hint="eastAsia" w:ascii="黑体" w:hAnsi="黑体" w:eastAsia="黑体" w:cs="黑体"/>
          <w:color w:val="auto"/>
          <w:sz w:val="32"/>
          <w:szCs w:val="32"/>
        </w:rPr>
      </w:pPr>
      <w:bookmarkStart w:id="6" w:name="_Toc18431"/>
      <w:r>
        <w:rPr>
          <w:rFonts w:hint="eastAsia" w:ascii="黑体" w:hAnsi="黑体" w:eastAsia="黑体" w:cs="黑体"/>
          <w:color w:val="auto"/>
          <w:sz w:val="32"/>
          <w:szCs w:val="32"/>
        </w:rPr>
        <w:t>六、培养规格</w:t>
      </w:r>
      <w:bookmarkEnd w:id="6"/>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ascii="仿宋_GB2312" w:hAnsi="仿宋_GB2312" w:eastAsia="仿宋_GB2312" w:cs="仿宋_GB2312"/>
          <w:color w:val="auto"/>
          <w:sz w:val="32"/>
          <w:szCs w:val="32"/>
        </w:rPr>
      </w:pPr>
      <w:r>
        <w:rPr>
          <w:rFonts w:hint="eastAsia" w:eastAsia="仿宋_GB2312" w:cs="仿宋"/>
          <w:color w:val="auto"/>
          <w:sz w:val="32"/>
          <w:szCs w:val="32"/>
        </w:rPr>
        <w:t>本专业学生应在知识、能力和素质等方面，</w:t>
      </w:r>
      <w:r>
        <w:rPr>
          <w:rFonts w:hint="eastAsia" w:ascii="仿宋_GB2312" w:hAnsi="仿宋_GB2312" w:eastAsia="仿宋_GB2312" w:cs="仿宋_GB2312"/>
          <w:color w:val="auto"/>
          <w:sz w:val="32"/>
          <w:szCs w:val="32"/>
        </w:rPr>
        <w:t>总体上须达到以下要求：</w:t>
      </w:r>
    </w:p>
    <w:p>
      <w:pPr>
        <w:pageBreakBefore w:val="0"/>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7" w:name="_Toc25899"/>
      <w:r>
        <w:rPr>
          <w:rFonts w:hint="eastAsia" w:ascii="楷体" w:hAnsi="楷体" w:eastAsia="楷体" w:cs="楷体"/>
          <w:color w:val="auto"/>
          <w:sz w:val="32"/>
          <w:szCs w:val="32"/>
        </w:rPr>
        <w:t>（一）知识目标</w:t>
      </w:r>
      <w:bookmarkEnd w:id="7"/>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eastAsia="仿宋_GB2312" w:cs="仿宋"/>
          <w:color w:val="auto"/>
          <w:sz w:val="32"/>
          <w:szCs w:val="32"/>
        </w:rPr>
      </w:pPr>
      <w:r>
        <w:rPr>
          <w:rFonts w:hint="eastAsia" w:eastAsia="仿宋_GB2312" w:cs="仿宋"/>
          <w:color w:val="auto"/>
          <w:sz w:val="32"/>
          <w:szCs w:val="32"/>
        </w:rPr>
        <w:t>1.掌握必备的思想政治理论、科学文化基础知识和中华优秀传统文化知识。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eastAsia="仿宋_GB2312" w:cs="仿宋"/>
          <w:color w:val="auto"/>
          <w:sz w:val="32"/>
          <w:szCs w:val="32"/>
        </w:rPr>
      </w:pPr>
      <w:r>
        <w:rPr>
          <w:rFonts w:hint="eastAsia" w:eastAsia="仿宋_GB2312" w:cs="仿宋"/>
          <w:color w:val="auto"/>
          <w:sz w:val="32"/>
          <w:szCs w:val="32"/>
        </w:rPr>
        <w:t>2.熟悉与本专业相关的法律法规以及环境保护、安全消防、文明生产等知识。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eastAsia="仿宋_GB2312" w:cs="仿宋"/>
          <w:color w:val="auto"/>
          <w:sz w:val="32"/>
          <w:szCs w:val="32"/>
        </w:rPr>
      </w:pPr>
      <w:r>
        <w:rPr>
          <w:rFonts w:hint="eastAsia" w:eastAsia="仿宋_GB2312" w:cs="仿宋"/>
          <w:color w:val="auto"/>
          <w:sz w:val="32"/>
          <w:szCs w:val="32"/>
        </w:rPr>
        <w:t>3.掌握常用工程测量仪器设备操作与维护保养的知识。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eastAsia="仿宋_GB2312" w:cs="仿宋"/>
          <w:color w:val="auto"/>
          <w:sz w:val="32"/>
          <w:szCs w:val="32"/>
        </w:rPr>
      </w:pPr>
      <w:r>
        <w:rPr>
          <w:rFonts w:hint="eastAsia" w:eastAsia="仿宋_GB2312" w:cs="仿宋"/>
          <w:color w:val="auto"/>
          <w:sz w:val="32"/>
          <w:szCs w:val="32"/>
        </w:rPr>
        <w:t>4.熟悉工程施工的组织与管理、控制的模式、方法和手段，掌握工程施工技术与方法的相关知识。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eastAsia="仿宋_GB2312" w:cs="仿宋"/>
          <w:color w:val="auto"/>
          <w:sz w:val="32"/>
          <w:szCs w:val="32"/>
        </w:rPr>
      </w:pPr>
      <w:r>
        <w:rPr>
          <w:rFonts w:hint="eastAsia" w:eastAsia="仿宋_GB2312" w:cs="仿宋"/>
          <w:color w:val="auto"/>
          <w:sz w:val="32"/>
          <w:szCs w:val="32"/>
        </w:rPr>
        <w:t>5.掌握地形测量、工程控制、工程施工、变形监测等控制网布设、施测、数据处理的技术要求和方法。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eastAsia="仿宋_GB2312" w:cs="仿宋"/>
          <w:color w:val="auto"/>
          <w:sz w:val="32"/>
          <w:szCs w:val="32"/>
        </w:rPr>
      </w:pPr>
      <w:r>
        <w:rPr>
          <w:rFonts w:hint="eastAsia" w:eastAsia="仿宋_GB2312" w:cs="仿宋"/>
          <w:color w:val="auto"/>
          <w:sz w:val="32"/>
          <w:szCs w:val="32"/>
        </w:rPr>
        <w:t>6.熟悉地形图图式，掌握工程地形图数据采集、编辑处理与制图的知识。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eastAsia="仿宋_GB2312" w:cs="仿宋"/>
          <w:color w:val="auto"/>
          <w:sz w:val="32"/>
          <w:szCs w:val="32"/>
        </w:rPr>
      </w:pPr>
      <w:r>
        <w:rPr>
          <w:rFonts w:hint="eastAsia" w:eastAsia="仿宋_GB2312" w:cs="仿宋"/>
          <w:color w:val="auto"/>
          <w:sz w:val="32"/>
          <w:szCs w:val="32"/>
        </w:rPr>
        <w:t>7.掌握GNSS静态、GNSS—RTK动态数据采集、编辑处理和成果输出的知识。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08" w:firstLineChars="200"/>
        <w:textAlignment w:val="auto"/>
        <w:outlineLvl w:val="9"/>
        <w:rPr>
          <w:rFonts w:eastAsia="仿宋_GB2312" w:cs="仿宋"/>
          <w:color w:val="auto"/>
          <w:w w:val="95"/>
          <w:sz w:val="32"/>
          <w:szCs w:val="32"/>
        </w:rPr>
      </w:pPr>
      <w:r>
        <w:rPr>
          <w:rFonts w:hint="eastAsia" w:eastAsia="仿宋_GB2312" w:cs="仿宋"/>
          <w:color w:val="auto"/>
          <w:w w:val="95"/>
          <w:sz w:val="32"/>
          <w:szCs w:val="32"/>
        </w:rPr>
        <w:t>8.掌握工程建设施工测量、变形监测施测及数据处理的相关知识。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楷体" w:hAnsi="楷体" w:eastAsia="楷体" w:cs="楷体"/>
          <w:color w:val="auto"/>
          <w:sz w:val="32"/>
          <w:szCs w:val="32"/>
        </w:rPr>
      </w:pPr>
      <w:r>
        <w:rPr>
          <w:rFonts w:hint="eastAsia" w:eastAsia="仿宋_GB2312" w:cs="仿宋"/>
          <w:color w:val="auto"/>
          <w:sz w:val="32"/>
          <w:szCs w:val="32"/>
        </w:rPr>
        <w:t>9.掌握地下工程测量、地下管线探测的基础知识。</w:t>
      </w:r>
    </w:p>
    <w:p>
      <w:pPr>
        <w:pageBreakBefore w:val="0"/>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8" w:name="_Toc29149"/>
      <w:r>
        <w:rPr>
          <w:rFonts w:hint="eastAsia" w:ascii="楷体" w:hAnsi="楷体" w:eastAsia="楷体" w:cs="楷体"/>
          <w:color w:val="auto"/>
          <w:sz w:val="32"/>
          <w:szCs w:val="32"/>
        </w:rPr>
        <w:t>（二）能力目标</w:t>
      </w:r>
      <w:bookmarkEnd w:id="8"/>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1.具有探究学习、终身学习、分析问题和解决问题的能力。</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2.具有良好的语言、文字表达能力和沟通能力。</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3.具有运用计算机处理文字、表格、图像的能力。</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4.能够正确使用和维护水准仪、全站仪和GNSS接收机等常规测绘仪器。</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5.能够识读工程设计图、施工图以及使用常规测绘仪器进行工程放样，并具备地面点定位、平面测量、高程测量的基本能力。</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6.能够布设工程建设控制网以及变形监测、地籍测量等专项工程控制网，并具备进行外业观测、内业数据处理的能力。</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7.具有工程建设规划及勘察设计、工程施工、运营管理等阶段的工程测量能力。</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8.能够使用全站仪和GNSS接收机采集地物地貌数据，并具备利用数字测图软件进行工程地形图的绘制和编辑的能力。</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9.能够发现并有效处理工程施工中的一般性技术问题，具备工程施工、组织与管理的初步能力。</w:t>
      </w:r>
    </w:p>
    <w:p>
      <w:pPr>
        <w:pageBreakBefore w:val="0"/>
        <w:kinsoku/>
        <w:wordWrap/>
        <w:overflowPunct w:val="0"/>
        <w:topLinePunct w:val="0"/>
        <w:autoSpaceDE/>
        <w:autoSpaceDN/>
        <w:bidi w:val="0"/>
        <w:adjustRightInd w:val="0"/>
        <w:spacing w:after="0" w:line="520" w:lineRule="exact"/>
        <w:ind w:left="0" w:leftChars="0" w:firstLine="640" w:firstLineChars="200"/>
        <w:outlineLvl w:val="9"/>
        <w:rPr>
          <w:rFonts w:hint="eastAsia" w:ascii="楷体" w:hAnsi="楷体" w:eastAsia="楷体" w:cs="楷体"/>
          <w:color w:val="auto"/>
          <w:sz w:val="32"/>
          <w:szCs w:val="32"/>
        </w:rPr>
      </w:pPr>
      <w:r>
        <w:rPr>
          <w:rFonts w:hint="eastAsia" w:eastAsia="仿宋_GB2312" w:cs="仿宋"/>
          <w:color w:val="auto"/>
          <w:sz w:val="32"/>
          <w:szCs w:val="32"/>
        </w:rPr>
        <w:t>10.能够初步编写工程测量技术设计书和技术总结报告，具备工程测量成果质量检查与验收的初步能力。</w:t>
      </w:r>
    </w:p>
    <w:p>
      <w:pPr>
        <w:pageBreakBefore w:val="0"/>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9" w:name="_Toc25114"/>
      <w:r>
        <w:rPr>
          <w:rFonts w:hint="eastAsia" w:ascii="楷体" w:hAnsi="楷体" w:eastAsia="楷体" w:cs="楷体"/>
          <w:color w:val="auto"/>
          <w:sz w:val="32"/>
          <w:szCs w:val="32"/>
        </w:rPr>
        <w:t>（三）素质目标</w:t>
      </w:r>
      <w:bookmarkEnd w:id="9"/>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1.坚定拥护中国共产党领导和我国社会主义制度，在习近平新时代中国特色社会主义思想指引下，践行社会主义核心价值观，具有深厚的爱国情感和中华民族自豪感。</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2.崇尚宪法、遵法守纪、崇德向善、诚实守信、尊重生命、热爱劳动，履行道德准则和行为规范，具有社会责任感和社会参与意识。</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3.具有质量意识、环保意识、安全意识、信息素养、工匠精神、创新思维。</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4.勇于奋斗、乐观向上，具有自我管理能力、职业生涯规划的意识，有较强的集体意识和团队合作精神。</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eastAsia="仿宋_GB2312" w:cs="仿宋"/>
          <w:color w:val="auto"/>
          <w:sz w:val="32"/>
          <w:szCs w:val="32"/>
        </w:rPr>
      </w:pPr>
      <w:r>
        <w:rPr>
          <w:rFonts w:hint="eastAsia" w:eastAsia="仿宋_GB2312" w:cs="仿宋"/>
          <w:color w:val="auto"/>
          <w:sz w:val="32"/>
          <w:szCs w:val="32"/>
        </w:rPr>
        <w:t>5.具有健康的体魄、心理和健全的人格，掌握基本运动知识和1—2项运动技能，养成良好的健身与卫生习惯，以及良好的行为习惯。</w:t>
      </w:r>
    </w:p>
    <w:p>
      <w:pPr>
        <w:pageBreakBefore w:val="0"/>
        <w:kinsoku/>
        <w:wordWrap/>
        <w:overflowPunct w:val="0"/>
        <w:topLinePunct w:val="0"/>
        <w:autoSpaceDE/>
        <w:autoSpaceDN/>
        <w:bidi w:val="0"/>
        <w:adjustRightInd w:val="0"/>
        <w:spacing w:after="0" w:line="500" w:lineRule="exact"/>
        <w:ind w:left="0" w:leftChars="0" w:firstLine="640" w:firstLineChars="200"/>
        <w:outlineLvl w:val="9"/>
        <w:rPr>
          <w:rFonts w:hint="eastAsia" w:ascii="楷体" w:hAnsi="楷体" w:eastAsia="楷体" w:cs="楷体"/>
          <w:color w:val="auto"/>
          <w:sz w:val="32"/>
          <w:szCs w:val="32"/>
        </w:rPr>
      </w:pPr>
      <w:r>
        <w:rPr>
          <w:rFonts w:hint="eastAsia" w:eastAsia="仿宋_GB2312" w:cs="仿宋"/>
          <w:color w:val="auto"/>
          <w:sz w:val="32"/>
          <w:szCs w:val="32"/>
        </w:rPr>
        <w:t>6.具有一定的审美和人文素养，能够形成1—2项艺术特长或爱好。</w:t>
      </w:r>
    </w:p>
    <w:p>
      <w:pPr>
        <w:pageBreakBefore w:val="0"/>
        <w:kinsoku/>
        <w:wordWrap/>
        <w:topLinePunct w:val="0"/>
        <w:autoSpaceDE/>
        <w:autoSpaceDN/>
        <w:bidi w:val="0"/>
        <w:adjustRightInd w:val="0"/>
        <w:snapToGrid w:val="0"/>
        <w:spacing w:after="0" w:line="520" w:lineRule="exact"/>
        <w:ind w:left="0" w:leftChars="0" w:firstLine="640" w:firstLineChars="200"/>
        <w:outlineLvl w:val="0"/>
        <w:rPr>
          <w:rFonts w:hint="eastAsia" w:ascii="黑体" w:hAnsi="黑体" w:eastAsia="黑体" w:cs="黑体"/>
          <w:color w:val="auto"/>
          <w:sz w:val="32"/>
          <w:szCs w:val="32"/>
        </w:rPr>
      </w:pPr>
      <w:bookmarkStart w:id="10" w:name="_Toc17816"/>
      <w:r>
        <w:rPr>
          <w:rFonts w:hint="eastAsia" w:ascii="黑体" w:hAnsi="黑体" w:eastAsia="黑体" w:cs="黑体"/>
          <w:color w:val="auto"/>
          <w:sz w:val="32"/>
          <w:szCs w:val="32"/>
        </w:rPr>
        <w:t>七、课程设置</w:t>
      </w:r>
      <w:bookmarkEnd w:id="10"/>
    </w:p>
    <w:p>
      <w:pPr>
        <w:pageBreakBefore w:val="0"/>
        <w:kinsoku/>
        <w:wordWrap/>
        <w:overflowPunct w:val="0"/>
        <w:topLinePunct w:val="0"/>
        <w:autoSpaceDE/>
        <w:autoSpaceDN/>
        <w:bidi w:val="0"/>
        <w:adjustRightInd w:val="0"/>
        <w:spacing w:after="0" w:line="520" w:lineRule="exact"/>
        <w:ind w:left="0" w:leftChars="0" w:firstLine="640" w:firstLineChars="200"/>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pPr>
        <w:pageBreakBefore w:val="0"/>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11" w:name="_Toc22769"/>
      <w:r>
        <w:rPr>
          <w:rFonts w:hint="eastAsia" w:ascii="楷体" w:hAnsi="楷体" w:eastAsia="楷体" w:cs="楷体"/>
          <w:color w:val="auto"/>
          <w:sz w:val="32"/>
          <w:szCs w:val="32"/>
        </w:rPr>
        <w:t>（一）公共基础课程</w:t>
      </w:r>
      <w:bookmarkEnd w:id="1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pageBreakBefore w:val="0"/>
        <w:kinsoku/>
        <w:wordWrap/>
        <w:overflowPunct w:val="0"/>
        <w:topLinePunct w:val="0"/>
        <w:autoSpaceDE/>
        <w:autoSpaceDN/>
        <w:bidi w:val="0"/>
        <w:adjustRightInd w:val="0"/>
        <w:spacing w:after="0" w:line="520" w:lineRule="exact"/>
        <w:ind w:left="0" w:leftChars="0" w:firstLine="640" w:firstLineChars="200"/>
        <w:outlineLvl w:val="9"/>
        <w:rPr>
          <w:rFonts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w:t>
      </w:r>
      <w:r>
        <w:rPr>
          <w:rFonts w:hint="eastAsia" w:ascii="仿宋_GB2312" w:hAnsi="仿宋_GB2312" w:eastAsia="仿宋_GB2312" w:cs="仿宋_GB2312"/>
          <w:color w:val="auto"/>
          <w:sz w:val="32"/>
          <w:szCs w:val="32"/>
        </w:rPr>
        <w:t>。</w:t>
      </w:r>
    </w:p>
    <w:p>
      <w:pPr>
        <w:pageBreakBefore w:val="0"/>
        <w:kinsoku/>
        <w:wordWrap/>
        <w:overflowPunct w:val="0"/>
        <w:topLinePunct w:val="0"/>
        <w:autoSpaceDE/>
        <w:autoSpaceDN/>
        <w:bidi w:val="0"/>
        <w:adjustRightInd w:val="0"/>
        <w:spacing w:line="520" w:lineRule="exact"/>
        <w:ind w:left="0" w:leftChars="0" w:firstLine="640" w:firstLineChars="200"/>
        <w:jc w:val="center"/>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表2公共基础课课程目标、主要教学内容与要求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70"/>
        <w:gridCol w:w="4071"/>
        <w:gridCol w:w="302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7" w:type="dxa"/>
            <w:vAlign w:val="center"/>
          </w:tcPr>
          <w:p>
            <w:pPr>
              <w:pageBreakBefore w:val="0"/>
              <w:kinsoku/>
              <w:wordWrap/>
              <w:topLinePunct w:val="0"/>
              <w:autoSpaceDE/>
              <w:autoSpaceDN/>
              <w:bidi w:val="0"/>
              <w:spacing w:line="360" w:lineRule="exact"/>
              <w:ind w:left="0"/>
              <w:jc w:val="center"/>
              <w:rPr>
                <w:rFonts w:hint="eastAsia" w:ascii="仿宋_GB2312" w:hAnsi="仿宋_GB2312" w:eastAsia="仿宋_GB2312" w:cs="仿宋_GB2312"/>
                <w:color w:val="auto"/>
                <w:sz w:val="24"/>
                <w:szCs w:val="24"/>
              </w:rPr>
            </w:pPr>
            <w:bookmarkStart w:id="13" w:name="_Toc90734979"/>
            <w:bookmarkStart w:id="14" w:name="_Toc2022"/>
            <w:r>
              <w:rPr>
                <w:rFonts w:hint="eastAsia" w:ascii="仿宋_GB2312" w:hAnsi="仿宋_GB2312" w:eastAsia="仿宋_GB2312" w:cs="仿宋_GB2312"/>
                <w:color w:val="auto"/>
                <w:sz w:val="24"/>
                <w:szCs w:val="24"/>
              </w:rPr>
              <w:t>序号</w:t>
            </w:r>
            <w:bookmarkEnd w:id="13"/>
            <w:bookmarkEnd w:id="14"/>
          </w:p>
        </w:tc>
        <w:tc>
          <w:tcPr>
            <w:tcW w:w="770" w:type="dxa"/>
            <w:vAlign w:val="center"/>
          </w:tcPr>
          <w:p>
            <w:pPr>
              <w:pageBreakBefore w:val="0"/>
              <w:kinsoku/>
              <w:wordWrap/>
              <w:topLinePunct w:val="0"/>
              <w:autoSpaceDE/>
              <w:autoSpaceDN/>
              <w:bidi w:val="0"/>
              <w:spacing w:line="360" w:lineRule="exact"/>
              <w:ind w:left="0"/>
              <w:jc w:val="center"/>
              <w:rPr>
                <w:rFonts w:hint="eastAsia" w:ascii="仿宋_GB2312" w:hAnsi="仿宋_GB2312" w:eastAsia="仿宋_GB2312" w:cs="仿宋_GB2312"/>
                <w:color w:val="auto"/>
                <w:sz w:val="24"/>
                <w:szCs w:val="24"/>
              </w:rPr>
            </w:pPr>
            <w:bookmarkStart w:id="15" w:name="_Toc2635"/>
            <w:bookmarkStart w:id="16" w:name="_Toc90734980"/>
            <w:r>
              <w:rPr>
                <w:rFonts w:hint="eastAsia" w:ascii="仿宋_GB2312" w:hAnsi="仿宋_GB2312" w:eastAsia="仿宋_GB2312" w:cs="仿宋_GB2312"/>
                <w:color w:val="auto"/>
                <w:sz w:val="24"/>
                <w:szCs w:val="24"/>
              </w:rPr>
              <w:t>课程名称</w:t>
            </w:r>
            <w:bookmarkEnd w:id="15"/>
            <w:bookmarkEnd w:id="16"/>
          </w:p>
        </w:tc>
        <w:tc>
          <w:tcPr>
            <w:tcW w:w="4071" w:type="dxa"/>
            <w:vAlign w:val="center"/>
          </w:tcPr>
          <w:p>
            <w:pPr>
              <w:pageBreakBefore w:val="0"/>
              <w:kinsoku/>
              <w:wordWrap/>
              <w:topLinePunct w:val="0"/>
              <w:autoSpaceDE/>
              <w:autoSpaceDN/>
              <w:bidi w:val="0"/>
              <w:spacing w:line="360" w:lineRule="exact"/>
              <w:ind w:left="0"/>
              <w:jc w:val="center"/>
              <w:rPr>
                <w:rFonts w:hint="eastAsia" w:ascii="仿宋_GB2312" w:hAnsi="仿宋_GB2312" w:eastAsia="仿宋_GB2312" w:cs="仿宋_GB2312"/>
                <w:color w:val="auto"/>
                <w:sz w:val="24"/>
                <w:szCs w:val="24"/>
              </w:rPr>
            </w:pPr>
            <w:bookmarkStart w:id="17" w:name="_Toc90734981"/>
            <w:bookmarkStart w:id="18" w:name="_Toc24608"/>
            <w:r>
              <w:rPr>
                <w:rFonts w:hint="eastAsia" w:ascii="仿宋_GB2312" w:hAnsi="仿宋_GB2312" w:eastAsia="仿宋_GB2312" w:cs="仿宋_GB2312"/>
                <w:color w:val="auto"/>
                <w:sz w:val="24"/>
                <w:szCs w:val="24"/>
              </w:rPr>
              <w:t>课程目标</w:t>
            </w:r>
            <w:bookmarkEnd w:id="17"/>
            <w:bookmarkEnd w:id="18"/>
          </w:p>
        </w:tc>
        <w:tc>
          <w:tcPr>
            <w:tcW w:w="3021" w:type="dxa"/>
            <w:vAlign w:val="center"/>
          </w:tcPr>
          <w:p>
            <w:pPr>
              <w:pageBreakBefore w:val="0"/>
              <w:kinsoku/>
              <w:wordWrap/>
              <w:topLinePunct w:val="0"/>
              <w:autoSpaceDE/>
              <w:autoSpaceDN/>
              <w:bidi w:val="0"/>
              <w:spacing w:line="360" w:lineRule="exact"/>
              <w:ind w:left="0"/>
              <w:jc w:val="center"/>
              <w:rPr>
                <w:rFonts w:hint="eastAsia" w:ascii="仿宋_GB2312" w:hAnsi="仿宋_GB2312" w:eastAsia="仿宋_GB2312" w:cs="仿宋_GB2312"/>
                <w:color w:val="auto"/>
                <w:sz w:val="24"/>
                <w:szCs w:val="24"/>
              </w:rPr>
            </w:pPr>
            <w:bookmarkStart w:id="19" w:name="_Toc23051"/>
            <w:bookmarkStart w:id="20" w:name="_Toc90734982"/>
            <w:r>
              <w:rPr>
                <w:rFonts w:hint="eastAsia" w:ascii="仿宋_GB2312" w:hAnsi="仿宋_GB2312" w:eastAsia="仿宋_GB2312" w:cs="仿宋_GB2312"/>
                <w:color w:val="auto"/>
                <w:sz w:val="24"/>
                <w:szCs w:val="24"/>
              </w:rPr>
              <w:t>主要教学内容</w:t>
            </w:r>
            <w:bookmarkEnd w:id="19"/>
            <w:bookmarkEnd w:id="20"/>
          </w:p>
        </w:tc>
        <w:tc>
          <w:tcPr>
            <w:tcW w:w="2404" w:type="dxa"/>
            <w:vAlign w:val="center"/>
          </w:tcPr>
          <w:p>
            <w:pPr>
              <w:pageBreakBefore w:val="0"/>
              <w:kinsoku/>
              <w:wordWrap/>
              <w:topLinePunct w:val="0"/>
              <w:autoSpaceDE/>
              <w:autoSpaceDN/>
              <w:bidi w:val="0"/>
              <w:spacing w:line="36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7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407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02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40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407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302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color w:val="auto"/>
                <w:kern w:val="0"/>
                <w:sz w:val="24"/>
                <w:szCs w:val="24"/>
                <w:shd w:val="clear" w:color="auto" w:fill="FFFFFF"/>
                <w:lang w:bidi="ar"/>
              </w:rPr>
            </w:pPr>
          </w:p>
        </w:tc>
        <w:tc>
          <w:tcPr>
            <w:tcW w:w="2404"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4071"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shd w:val="clear" w:color="auto" w:fill="FFFFFF"/>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302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color w:val="auto"/>
                <w:kern w:val="0"/>
                <w:sz w:val="24"/>
                <w:szCs w:val="24"/>
                <w:shd w:val="clear" w:color="auto" w:fill="FFFFFF"/>
                <w:lang w:bidi="ar"/>
              </w:rPr>
            </w:pPr>
          </w:p>
        </w:tc>
        <w:tc>
          <w:tcPr>
            <w:tcW w:w="240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70"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407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70"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407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02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40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70"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407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Cs/>
                <w:color w:val="auto"/>
                <w:kern w:val="0"/>
                <w:sz w:val="24"/>
                <w:szCs w:val="24"/>
                <w:shd w:val="clear" w:color="auto" w:fill="FFFFFF"/>
                <w:lang w:bidi="ar"/>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3021"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40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color w:val="auto"/>
                <w:kern w:val="0"/>
                <w:sz w:val="24"/>
                <w:szCs w:val="24"/>
                <w:shd w:val="clear" w:color="auto" w:fill="FFFFFF"/>
                <w:lang w:bidi="ar"/>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仿宋_GB2312" w:hAnsi="仿宋_GB2312" w:eastAsia="仿宋_GB2312" w:cs="仿宋_GB2312"/>
                <w:b w:val="0"/>
                <w:bCs w:val="0"/>
                <w:color w:val="auto"/>
                <w:kern w:val="2"/>
                <w:sz w:val="24"/>
                <w:szCs w:val="24"/>
                <w:highlight w:val="none"/>
                <w:lang w:val="en-US" w:eastAsia="zh-CN" w:bidi="ar-SA"/>
              </w:rPr>
              <w:t>“以人民为中心”的发展理念，切实增</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强对国家保就业、稳增长工作的信心，充分感知国家在相关领域的坚实能力。</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pacing w:val="-6"/>
                <w:sz w:val="24"/>
                <w:szCs w:val="24"/>
                <w:highlight w:val="none"/>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p>
        </w:tc>
        <w:tc>
          <w:tcPr>
            <w:tcW w:w="2404" w:type="dxa"/>
            <w:shd w:val="clear" w:color="auto" w:fill="auto"/>
            <w:vAlign w:val="top"/>
          </w:tcPr>
          <w:p>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7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407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302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40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7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407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02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40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7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407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30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4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bl>
    <w:p>
      <w:pPr>
        <w:pStyle w:val="2"/>
        <w:keepNext/>
        <w:keepLines/>
        <w:pageBreakBefore w:val="0"/>
        <w:widowControl/>
        <w:kinsoku/>
        <w:wordWrap/>
        <w:overflowPunct/>
        <w:topLinePunct w:val="0"/>
        <w:autoSpaceDE/>
        <w:autoSpaceDN/>
        <w:bidi w:val="0"/>
        <w:adjustRightInd/>
        <w:snapToGrid/>
        <w:spacing w:before="0" w:after="0" w:line="520" w:lineRule="exact"/>
        <w:ind w:left="0" w:leftChars="0" w:firstLine="640" w:firstLineChars="200"/>
        <w:jc w:val="left"/>
        <w:textAlignment w:val="auto"/>
        <w:outlineLvl w:val="1"/>
        <w:rPr>
          <w:rFonts w:hint="eastAsia" w:ascii="楷体" w:hAnsi="楷体" w:eastAsia="楷体" w:cs="楷体"/>
          <w:color w:val="auto"/>
          <w:sz w:val="32"/>
          <w:szCs w:val="32"/>
        </w:rPr>
      </w:pPr>
      <w:bookmarkStart w:id="21" w:name="_Toc5658"/>
      <w:r>
        <w:rPr>
          <w:rFonts w:hint="eastAsia" w:ascii="楷体" w:hAnsi="楷体" w:eastAsia="楷体" w:cs="楷体"/>
          <w:color w:val="auto"/>
          <w:sz w:val="32"/>
          <w:szCs w:val="32"/>
        </w:rPr>
        <w:t>（二）专业课程</w:t>
      </w:r>
      <w:bookmarkEnd w:id="21"/>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一般包括专业基础课程、专业核心课程和专业拓展课程，并涵盖有关实践性教学环节。</w:t>
      </w:r>
    </w:p>
    <w:p>
      <w:pPr>
        <w:pageBreakBefore w:val="0"/>
        <w:kinsoku/>
        <w:wordWrap/>
        <w:overflowPunct w:val="0"/>
        <w:topLinePunct w:val="0"/>
        <w:autoSpaceDE/>
        <w:autoSpaceDN/>
        <w:bidi w:val="0"/>
        <w:adjustRightInd w:val="0"/>
        <w:spacing w:after="0" w:line="520" w:lineRule="exact"/>
        <w:ind w:left="0" w:leftChars="0" w:firstLine="960" w:firstLineChars="300"/>
        <w:outlineLvl w:val="2"/>
        <w:rPr>
          <w:rFonts w:ascii="仿宋_GB2312" w:hAnsi="仿宋_GB2312" w:eastAsia="仿宋_GB2312" w:cs="仿宋_GB2312"/>
          <w:color w:val="auto"/>
          <w:sz w:val="32"/>
          <w:szCs w:val="32"/>
        </w:rPr>
      </w:pPr>
      <w:bookmarkStart w:id="22" w:name="_Toc90734975"/>
      <w:bookmarkStart w:id="23" w:name="_Toc25806"/>
      <w:bookmarkStart w:id="24" w:name="_Toc21791"/>
      <w:bookmarkStart w:id="25" w:name="_Toc9973"/>
      <w:r>
        <w:rPr>
          <w:rFonts w:hint="eastAsia" w:ascii="仿宋_GB2312" w:hAnsi="仿宋_GB2312" w:eastAsia="仿宋_GB2312" w:cs="仿宋_GB2312"/>
          <w:color w:val="auto"/>
          <w:sz w:val="32"/>
          <w:szCs w:val="32"/>
        </w:rPr>
        <w:t>1.专业基础课程</w:t>
      </w:r>
      <w:bookmarkEnd w:id="22"/>
      <w:bookmarkEnd w:id="23"/>
      <w:bookmarkEnd w:id="24"/>
      <w:bookmarkEnd w:id="25"/>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eastAsia="仿宋_GB2312" w:cs="仿宋"/>
          <w:color w:val="auto"/>
          <w:sz w:val="32"/>
          <w:szCs w:val="32"/>
        </w:rPr>
      </w:pPr>
      <w:r>
        <w:rPr>
          <w:rFonts w:hint="eastAsia" w:eastAsia="仿宋_GB2312" w:cs="仿宋"/>
          <w:color w:val="auto"/>
          <w:sz w:val="32"/>
          <w:szCs w:val="32"/>
        </w:rPr>
        <w:t>专业基础课是为后续专业课程学习打基础的课程。包括：工程制图、</w:t>
      </w:r>
      <w:r>
        <w:rPr>
          <w:rFonts w:hint="eastAsia" w:eastAsia="仿宋_GB2312" w:cs="仿宋"/>
          <w:color w:val="auto"/>
          <w:sz w:val="32"/>
          <w:szCs w:val="32"/>
          <w:lang w:val="en-US" w:eastAsia="zh-CN"/>
        </w:rPr>
        <w:t>测绘基础、</w:t>
      </w:r>
      <w:r>
        <w:rPr>
          <w:rFonts w:hint="eastAsia" w:ascii="Times New Roman" w:hAnsi="Times New Roman" w:eastAsia="仿宋_GB2312" w:cs="仿宋"/>
          <w:color w:val="auto"/>
          <w:sz w:val="32"/>
          <w:szCs w:val="32"/>
          <w:lang w:val="en-US" w:eastAsia="zh-CN"/>
        </w:rPr>
        <w:t>施工图识读与会审</w:t>
      </w:r>
      <w:r>
        <w:rPr>
          <w:rFonts w:hint="eastAsia" w:ascii="Times New Roman" w:hAnsi="Times New Roman" w:eastAsia="仿宋_GB2312" w:cs="仿宋"/>
          <w:color w:val="auto"/>
          <w:sz w:val="32"/>
          <w:szCs w:val="32"/>
        </w:rPr>
        <w:t>、</w:t>
      </w:r>
      <w:r>
        <w:rPr>
          <w:rFonts w:hint="eastAsia" w:eastAsia="仿宋_GB2312" w:cs="仿宋"/>
          <w:color w:val="auto"/>
          <w:sz w:val="32"/>
          <w:szCs w:val="32"/>
        </w:rPr>
        <w:t>测绘仪器检测与维护、测绘程序设计、测绘数据处理、摄影测量等课程。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表3专业基础课课程目标、主要教学内容与要求</w:t>
      </w:r>
    </w:p>
    <w:tbl>
      <w:tblPr>
        <w:tblStyle w:val="11"/>
        <w:tblW w:w="10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882"/>
        <w:gridCol w:w="4179"/>
        <w:gridCol w:w="2475"/>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88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417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课程目标</w:t>
            </w:r>
          </w:p>
        </w:tc>
        <w:tc>
          <w:tcPr>
            <w:tcW w:w="2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主要教学内容</w:t>
            </w:r>
          </w:p>
        </w:tc>
        <w:tc>
          <w:tcPr>
            <w:tcW w:w="227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88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工程制图</w:t>
            </w:r>
          </w:p>
        </w:tc>
        <w:tc>
          <w:tcPr>
            <w:tcW w:w="4179" w:type="dxa"/>
          </w:tcPr>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掌握投影原理、制图国标、图纸识读及 CAD 测量绘图专业操作。</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能手绘 / 软件绘图、提测量数据、识图纸问题并提优化方案。</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b/>
                <w:bCs/>
                <w:color w:val="auto"/>
                <w:sz w:val="24"/>
                <w:szCs w:val="24"/>
                <w:lang w:eastAsia="zh-CN"/>
              </w:rPr>
              <w:t>：</w:t>
            </w:r>
            <w:r>
              <w:rPr>
                <w:rFonts w:hint="eastAsia" w:ascii="仿宋_GB2312" w:hAnsi="仿宋_GB2312" w:eastAsia="仿宋_GB2312" w:cs="仿宋_GB2312"/>
                <w:b w:val="0"/>
                <w:bCs w:val="0"/>
                <w:color w:val="auto"/>
                <w:sz w:val="24"/>
                <w:szCs w:val="24"/>
                <w:lang w:eastAsia="zh-CN"/>
              </w:rPr>
              <w:t>培</w:t>
            </w:r>
            <w:r>
              <w:rPr>
                <w:rFonts w:hint="eastAsia" w:ascii="仿宋_GB2312" w:hAnsi="仿宋_GB2312" w:eastAsia="仿宋_GB2312" w:cs="仿宋_GB2312"/>
                <w:b w:val="0"/>
                <w:bCs w:val="0"/>
                <w:color w:val="auto"/>
                <w:sz w:val="24"/>
                <w:szCs w:val="24"/>
                <w:highlight w:val="none"/>
                <w:lang w:val="en-US" w:eastAsia="zh-CN"/>
              </w:rPr>
              <w:t>养</w:t>
            </w:r>
            <w:r>
              <w:rPr>
                <w:rFonts w:hint="eastAsia" w:ascii="仿宋_GB2312" w:hAnsi="仿宋_GB2312" w:eastAsia="仿宋_GB2312" w:cs="仿宋_GB2312"/>
                <w:color w:val="auto"/>
                <w:sz w:val="24"/>
                <w:szCs w:val="24"/>
                <w:highlight w:val="none"/>
                <w:lang w:val="en-US" w:eastAsia="zh-CN"/>
              </w:rPr>
              <w:t>严谨习惯、空间建模力、守标准意识及跨岗位协作能力。</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育工匠精神、工程伦理、科技自信与集体主义精神。</w:t>
            </w:r>
          </w:p>
        </w:tc>
        <w:tc>
          <w:tcPr>
            <w:tcW w:w="2475" w:type="dxa"/>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涵盖制图规范、投影原理、建筑与道路工程图纸绘制方法，以及计算机辅助制图技术，通过实际案例分析图纸设计逻辑与规范要求。</w:t>
            </w:r>
          </w:p>
        </w:tc>
        <w:tc>
          <w:tcPr>
            <w:tcW w:w="2272" w:type="dxa"/>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pacing w:val="-11"/>
                <w:sz w:val="24"/>
                <w:szCs w:val="24"/>
                <w:highlight w:val="none"/>
                <w:lang w:val="en-US" w:eastAsia="zh-CN"/>
              </w:rPr>
              <w:t>强调理论与实践结合，注重案例驱动教学，要求学生通过课堂练习与课后作业巩固制图技能，培养严</w:t>
            </w:r>
            <w:r>
              <w:rPr>
                <w:rFonts w:hint="eastAsia" w:ascii="仿宋_GB2312" w:hAnsi="仿宋_GB2312" w:eastAsia="仿宋_GB2312" w:cs="仿宋_GB2312"/>
                <w:color w:val="auto"/>
                <w:spacing w:val="-17"/>
                <w:sz w:val="24"/>
                <w:szCs w:val="24"/>
                <w:highlight w:val="none"/>
                <w:lang w:val="en-US" w:eastAsia="zh-CN"/>
              </w:rPr>
              <w:t>谨细致的工作态度与规范意识，激发对工程制图技术的探索兴</w:t>
            </w:r>
            <w:r>
              <w:rPr>
                <w:rFonts w:hint="eastAsia" w:ascii="仿宋_GB2312" w:hAnsi="仿宋_GB2312" w:eastAsia="仿宋_GB2312" w:cs="仿宋_GB2312"/>
                <w:color w:val="auto"/>
                <w:sz w:val="24"/>
                <w:szCs w:val="24"/>
                <w:highlight w:val="none"/>
                <w:lang w:val="en-US" w:eastAsia="zh-CN"/>
              </w:rPr>
              <w:t>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bookmarkStart w:id="26" w:name="_Hlk194587108"/>
            <w:r>
              <w:rPr>
                <w:rFonts w:hint="eastAsia" w:ascii="仿宋_GB2312" w:hAnsi="仿宋_GB2312" w:eastAsia="仿宋_GB2312" w:cs="仿宋_GB2312"/>
                <w:color w:val="auto"/>
                <w:sz w:val="24"/>
                <w:szCs w:val="24"/>
                <w:highlight w:val="none"/>
                <w:lang w:val="en-US" w:eastAsia="zh-CN"/>
              </w:rPr>
              <w:t>2</w:t>
            </w:r>
          </w:p>
        </w:tc>
        <w:tc>
          <w:tcPr>
            <w:tcW w:w="88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测绘基础</w:t>
            </w:r>
          </w:p>
        </w:tc>
        <w:tc>
          <w:tcPr>
            <w:tcW w:w="417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掌握测绘基本概念原理，熟悉常用仪器构造，了解数据处理基础方法。</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能操作测绘仪器测量，可进行简单数据处理，具备测绘成果整理能力。</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培养严谨细致态度，增强团队协作意识</w:t>
            </w:r>
            <w:r>
              <w:rPr>
                <w:rFonts w:hint="eastAsia" w:ascii="仿宋_GB2312" w:hAnsi="仿宋_GB2312" w:eastAsia="仿宋_GB2312" w:cs="仿宋_GB2312"/>
                <w:color w:val="auto"/>
                <w:spacing w:val="-6"/>
                <w:sz w:val="24"/>
                <w:szCs w:val="24"/>
                <w:highlight w:val="none"/>
                <w:lang w:val="en-US" w:eastAsia="zh-CN"/>
              </w:rPr>
              <w:t>，养成良好职业规范素养。</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树立测绘报国理想，强化责任担当意识，培育精益求精工匠精神。</w:t>
            </w:r>
          </w:p>
        </w:tc>
        <w:tc>
          <w:tcPr>
            <w:tcW w:w="24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涵盖测绘基础概念、测量坐标系知识，详解水准、角度测量原理与仪器操作及误差分析，介绍距离测量方法与直线定向，讲解测量误差分类、精度评定指标，还涉及小地区控制测量相关理论</w:t>
            </w:r>
            <w:r>
              <w:rPr>
                <w:rFonts w:hint="eastAsia" w:ascii="仿宋_GB2312" w:hAnsi="仿宋_GB2312" w:eastAsia="仿宋_GB2312" w:cs="仿宋_GB2312"/>
                <w:color w:val="auto"/>
                <w:spacing w:val="-6"/>
                <w:sz w:val="24"/>
                <w:szCs w:val="24"/>
                <w:highlight w:val="none"/>
                <w:lang w:val="en-US" w:eastAsia="zh-CN"/>
              </w:rPr>
              <w:t>，让学生系统掌握测绘基础理论知识。</w:t>
            </w:r>
          </w:p>
        </w:tc>
        <w:tc>
          <w:tcPr>
            <w:tcW w:w="227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学生需深入理解测绘基础概念原理，熟练掌握水准仪、经纬仪等仪器操作，能准确分析测量误差并采取措施，具备运用所学知识进行小地区控制测量规划与实施的能力，为后续实践和职业发展筑牢根基。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88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测绘仪器检测与维护</w:t>
            </w:r>
          </w:p>
        </w:tc>
        <w:tc>
          <w:tcPr>
            <w:tcW w:w="417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掌握测绘仪器检测标准与维护原理，明晰常见故障成因。</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能独立完成仪器检测、故障排查及日常维护操作。</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培养严谨细致的工作态度与规范操作的职业素养。</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厚植工匠精神，树立测绘数据真实、坚守行业诚信的价值观。</w:t>
            </w:r>
          </w:p>
        </w:tc>
        <w:tc>
          <w:tcPr>
            <w:tcW w:w="24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包括测绘仪器结构原理、检测标准（如JJG规范）、校准方法（如水平度盘、垂直度盘）、故障诊断与维修技术，以及仪器日常维护与保管要点，通过实操训练强化仪器全生命周期管理。</w:t>
            </w:r>
          </w:p>
        </w:tc>
        <w:tc>
          <w:tcPr>
            <w:tcW w:w="227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采用“理论+实操”教学模式，通过仪器操作与故障排查任务提升动手能力；强调仪器检测与维护的规范性，培养严谨细致的工作态度；激发学习兴趣，鼓励探索仪器创新与智能化发展方向，培养技术革新意识。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8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测绘程序设计</w:t>
            </w:r>
          </w:p>
        </w:tc>
        <w:tc>
          <w:tcPr>
            <w:tcW w:w="417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掌握测绘程序设计基础语法、数据处理算法及测绘软件开发原理。</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能编写测绘数据处理程序，解决实际测绘计算与自动化处理问题。</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培养逻辑思维与创新开发能力，树立代码规范与高效协作意识。</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筑牢科技强国理念，坚守程序开发诚信，传承测绘人严谨精神。</w:t>
            </w:r>
          </w:p>
        </w:tc>
        <w:tc>
          <w:tcPr>
            <w:tcW w:w="24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涵盖编程基础、测绘算法实现及测绘数据处理实战，通过案例驱动强化程序开发流程。</w:t>
            </w:r>
          </w:p>
        </w:tc>
        <w:tc>
          <w:tcPr>
            <w:tcW w:w="227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理论与实践并重，通过代码编写与调试提升编程能力；注重算法思维培养，引导学生理解测绘程序设计的核心逻辑；激发学习兴趣，鼓励主动探索新技术在测绘领域的应用方向，培养创新思维与问题解决能力。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8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施工图识读与会审</w:t>
            </w:r>
          </w:p>
        </w:tc>
        <w:tc>
          <w:tcPr>
            <w:tcW w:w="417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掌握施工图识读规范、各专业图纸要素及会审流程，理解图纸表达逻辑。</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能独立识读建筑、结构等图纸，发现问题并参与会审提出合理建议。</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培养细致严谨的职业素养与</w:t>
            </w:r>
            <w:r>
              <w:rPr>
                <w:rFonts w:hint="eastAsia" w:ascii="仿宋_GB2312" w:hAnsi="仿宋_GB2312" w:eastAsia="仿宋_GB2312" w:cs="仿宋_GB2312"/>
                <w:color w:val="auto"/>
                <w:spacing w:val="-6"/>
                <w:sz w:val="24"/>
                <w:szCs w:val="24"/>
                <w:highlight w:val="none"/>
                <w:lang w:val="en-US" w:eastAsia="zh-CN"/>
              </w:rPr>
              <w:t>沟通协调能力，树立工程质量责任意识。</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厚植工程报国情怀，强化坚守规范、求真务实的职业操守。</w:t>
            </w:r>
          </w:p>
        </w:tc>
        <w:tc>
          <w:tcPr>
            <w:tcW w:w="24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包括建筑图（平、立剖）识读、结构图（基础、梁、板、柱）识读、装饰图识读、建筑图综合实践。</w:t>
            </w:r>
          </w:p>
        </w:tc>
        <w:tc>
          <w:tcPr>
            <w:tcW w:w="227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课程以培养建筑类专业技术人才施工图识读核心能力为目标，遵循“规范导行、图例筑基、实践强技”原则，构建“识图－制图－审图”三阶递进式培养体系，对接行业BIM技术发展趋势，强化岗位规范意识与协作能力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88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测绘数据处理</w:t>
            </w:r>
          </w:p>
        </w:tc>
        <w:tc>
          <w:tcPr>
            <w:tcW w:w="4179" w:type="dxa"/>
          </w:tcPr>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掌握测绘数据处理原理、方法及软件操作，理解数据质量控制要点。</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能独立完成数据预处理、分析与成果输出，解决实际处理问题。</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培养严谨细致的工作态度与团队协作意识，提升创新思维。</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厚植测绘报国情怀，树立数据求真、坚守诚信的职业操守。</w:t>
            </w:r>
          </w:p>
        </w:tc>
        <w:tc>
          <w:tcPr>
            <w:tcW w:w="2475" w:type="dxa"/>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包括测绘数据采集技术、数据预处理、数据分析方法及数据可视化与报告编制，通过实际项目案例强化数据处理能力。</w:t>
            </w:r>
          </w:p>
        </w:tc>
        <w:tc>
          <w:tcPr>
            <w:tcW w:w="2272" w:type="dxa"/>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结合实际测绘项目，通过实验操作与案例分析提升数据处理技能；强调误差理论与质量控制的重要性，培养严谨的数据处理态度与规范意识；激发学习兴趣，鼓励探索数据背后的工程意义与应用价值，培养数据驱动决策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7</w:t>
            </w:r>
          </w:p>
        </w:tc>
        <w:tc>
          <w:tcPr>
            <w:tcW w:w="88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摄影测量</w:t>
            </w:r>
          </w:p>
        </w:tc>
        <w:tc>
          <w:tcPr>
            <w:tcW w:w="4179" w:type="dxa"/>
          </w:tcPr>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掌握摄影测量原理、影像处理方法及三维建模基础，理解成果精度要求。</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能操作专业软件处理影像、</w:t>
            </w:r>
            <w:r>
              <w:rPr>
                <w:rFonts w:hint="eastAsia" w:ascii="仿宋_GB2312" w:hAnsi="仿宋_GB2312" w:eastAsia="仿宋_GB2312" w:cs="仿宋_GB2312"/>
                <w:color w:val="auto"/>
                <w:spacing w:val="-6"/>
                <w:sz w:val="24"/>
                <w:szCs w:val="24"/>
                <w:highlight w:val="none"/>
                <w:lang w:val="en-US" w:eastAsia="zh-CN"/>
              </w:rPr>
              <w:t>提取地理信息，完成基础测绘成果制作。</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养成精准务实的工作作风，提升空间思维与跨学科协作能力。</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传承测绘精神，树立科技报国信念，恪守数据真实的职业底线。</w:t>
            </w:r>
          </w:p>
        </w:tc>
        <w:tc>
          <w:tcPr>
            <w:tcW w:w="2475" w:type="dxa"/>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涵盖摄影测量基础、数字摄影测量技术、无人机摄影测量及三维建模软件应用。</w:t>
            </w:r>
          </w:p>
        </w:tc>
        <w:tc>
          <w:tcPr>
            <w:tcW w:w="2272" w:type="dxa"/>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pacing w:val="-6"/>
                <w:sz w:val="24"/>
                <w:szCs w:val="24"/>
                <w:highlight w:val="none"/>
                <w:lang w:val="en-US" w:eastAsia="zh-CN"/>
              </w:rPr>
              <w:t>理论教学与上机实践结合，通过实验操作强化摄影测量流程理解；注重实际项目案例分析，引导学生从影像数据中提取空间信息；激发学习兴趣，培养探索新技术在测绘领域应用的热情，提升技术创新能力。</w:t>
            </w:r>
          </w:p>
        </w:tc>
      </w:tr>
      <w:bookmarkEnd w:id="26"/>
    </w:tbl>
    <w:p>
      <w:pPr>
        <w:pageBreakBefore w:val="0"/>
        <w:kinsoku/>
        <w:wordWrap/>
        <w:topLinePunct w:val="0"/>
        <w:autoSpaceDE/>
        <w:autoSpaceDN/>
        <w:bidi w:val="0"/>
        <w:adjustRightInd w:val="0"/>
        <w:snapToGrid w:val="0"/>
        <w:spacing w:after="0" w:line="520" w:lineRule="exact"/>
        <w:ind w:left="0" w:leftChars="0" w:firstLine="640" w:firstLineChars="200"/>
        <w:outlineLvl w:val="2"/>
        <w:rPr>
          <w:rFonts w:ascii="仿宋_GB2312" w:hAnsi="仿宋_GB2312" w:eastAsia="仿宋_GB2312" w:cs="仿宋_GB2312"/>
          <w:color w:val="auto"/>
          <w:sz w:val="32"/>
          <w:szCs w:val="32"/>
        </w:rPr>
      </w:pPr>
      <w:bookmarkStart w:id="27" w:name="_Toc8937"/>
      <w:bookmarkStart w:id="28" w:name="_Toc90734977"/>
      <w:bookmarkStart w:id="29" w:name="_Toc22901"/>
      <w:bookmarkStart w:id="30" w:name="_Toc20878"/>
      <w:r>
        <w:rPr>
          <w:rFonts w:hint="eastAsia" w:ascii="仿宋_GB2312" w:hAnsi="仿宋_GB2312" w:eastAsia="仿宋_GB2312" w:cs="仿宋_GB2312"/>
          <w:color w:val="auto"/>
          <w:sz w:val="32"/>
          <w:szCs w:val="32"/>
        </w:rPr>
        <w:t>2.专业核心课程</w:t>
      </w:r>
      <w:bookmarkEnd w:id="27"/>
      <w:bookmarkEnd w:id="28"/>
      <w:bookmarkEnd w:id="29"/>
      <w:bookmarkEnd w:id="30"/>
    </w:p>
    <w:p>
      <w:pPr>
        <w:pageBreakBefore w:val="0"/>
        <w:kinsoku/>
        <w:wordWrap/>
        <w:overflowPunct w:val="0"/>
        <w:topLinePunct w:val="0"/>
        <w:autoSpaceDE/>
        <w:autoSpaceDN/>
        <w:bidi w:val="0"/>
        <w:adjustRightInd w:val="0"/>
        <w:spacing w:after="0" w:line="500" w:lineRule="exact"/>
        <w:ind w:left="0" w:firstLine="640" w:firstLineChars="200"/>
        <w:rPr>
          <w:rFonts w:hint="eastAsia" w:eastAsia="仿宋_GB2312" w:cs="仿宋"/>
          <w:color w:val="auto"/>
          <w:sz w:val="32"/>
          <w:szCs w:val="32"/>
        </w:rPr>
      </w:pPr>
      <w:r>
        <w:rPr>
          <w:rFonts w:hint="eastAsia" w:eastAsia="仿宋_GB2312" w:cs="仿宋"/>
          <w:color w:val="auto"/>
          <w:sz w:val="32"/>
          <w:szCs w:val="32"/>
        </w:rPr>
        <w:t>专业核心课是面向</w:t>
      </w:r>
      <w:r>
        <w:rPr>
          <w:rFonts w:hint="eastAsia" w:eastAsia="仿宋_GB2312" w:cs="仿宋"/>
          <w:color w:val="auto"/>
          <w:sz w:val="32"/>
          <w:szCs w:val="32"/>
          <w:lang w:val="en-US" w:eastAsia="zh-CN"/>
        </w:rPr>
        <w:t>工</w:t>
      </w:r>
      <w:r>
        <w:rPr>
          <w:rFonts w:hint="eastAsia" w:eastAsia="仿宋_GB2312" w:cs="仿宋"/>
          <w:color w:val="auto"/>
          <w:sz w:val="32"/>
          <w:szCs w:val="32"/>
        </w:rPr>
        <w:t>程测量、无人机摄影测量、不动产测绘、地理信息系统应用等岗位，结合国土规划、智慧城市、建筑工程的就业岗位，建立工程测量技术专业核心课程，培养学生空间数据采集与处理、地理信息技术应用、工程测量与施工放样</w:t>
      </w:r>
      <w:r>
        <w:rPr>
          <w:rFonts w:hint="eastAsia" w:eastAsia="仿宋_GB2312" w:cs="仿宋"/>
          <w:color w:val="auto"/>
          <w:sz w:val="32"/>
          <w:szCs w:val="32"/>
          <w:lang w:eastAsia="zh-CN"/>
        </w:rPr>
        <w:t>，以及</w:t>
      </w:r>
      <w:r>
        <w:rPr>
          <w:rFonts w:hint="eastAsia" w:eastAsia="仿宋_GB2312" w:cs="仿宋"/>
          <w:color w:val="auto"/>
          <w:sz w:val="32"/>
          <w:szCs w:val="32"/>
        </w:rPr>
        <w:t>地理信息系统（GIS）原理与软件操作等方面的能力。包括工程测量</w:t>
      </w:r>
      <w:r>
        <w:rPr>
          <w:rFonts w:hint="eastAsia" w:eastAsia="仿宋_GB2312" w:cs="仿宋"/>
          <w:color w:val="auto"/>
          <w:sz w:val="32"/>
          <w:szCs w:val="32"/>
          <w:lang w:eastAsia="zh-CN"/>
        </w:rPr>
        <w:t>、</w:t>
      </w:r>
      <w:r>
        <w:rPr>
          <w:rFonts w:hint="eastAsia" w:eastAsia="仿宋_GB2312" w:cs="仿宋"/>
          <w:color w:val="auto"/>
          <w:sz w:val="32"/>
          <w:szCs w:val="32"/>
        </w:rPr>
        <w:t>GNSS定位测量</w:t>
      </w:r>
      <w:r>
        <w:rPr>
          <w:rFonts w:hint="eastAsia" w:eastAsia="仿宋_GB2312" w:cs="仿宋"/>
          <w:color w:val="auto"/>
          <w:sz w:val="32"/>
          <w:szCs w:val="32"/>
          <w:lang w:eastAsia="zh-CN"/>
        </w:rPr>
        <w:t>、</w:t>
      </w:r>
      <w:r>
        <w:rPr>
          <w:rFonts w:hint="eastAsia" w:eastAsia="仿宋_GB2312" w:cs="仿宋"/>
          <w:color w:val="auto"/>
          <w:sz w:val="32"/>
          <w:szCs w:val="32"/>
        </w:rPr>
        <w:t>控制测量、工程变形监测、无人机摄影测量、数字测图</w:t>
      </w:r>
      <w:r>
        <w:rPr>
          <w:rFonts w:hint="eastAsia" w:eastAsia="仿宋_GB2312" w:cs="仿宋"/>
          <w:color w:val="auto"/>
          <w:sz w:val="32"/>
          <w:szCs w:val="32"/>
          <w:lang w:eastAsia="zh-CN"/>
        </w:rPr>
        <w:t>、</w:t>
      </w:r>
      <w:r>
        <w:rPr>
          <w:rFonts w:hint="eastAsia" w:eastAsia="仿宋_GB2312" w:cs="仿宋"/>
          <w:color w:val="auto"/>
          <w:sz w:val="32"/>
          <w:szCs w:val="32"/>
        </w:rPr>
        <w:t>地理信息技术与应用</w:t>
      </w:r>
      <w:r>
        <w:rPr>
          <w:rFonts w:hint="eastAsia" w:eastAsia="仿宋_GB2312" w:cs="仿宋"/>
          <w:color w:val="auto"/>
          <w:sz w:val="32"/>
          <w:szCs w:val="32"/>
          <w:lang w:eastAsia="zh-CN"/>
        </w:rPr>
        <w:t>、</w:t>
      </w:r>
      <w:r>
        <w:rPr>
          <w:rFonts w:hint="eastAsia" w:eastAsia="仿宋_GB2312" w:cs="仿宋"/>
          <w:color w:val="auto"/>
          <w:sz w:val="32"/>
          <w:szCs w:val="32"/>
        </w:rPr>
        <w:t>不动产测量等课程。</w:t>
      </w:r>
    </w:p>
    <w:p>
      <w:pPr>
        <w:pageBreakBefore w:val="0"/>
        <w:kinsoku/>
        <w:wordWrap/>
        <w:overflowPunct w:val="0"/>
        <w:topLinePunct w:val="0"/>
        <w:autoSpaceDE/>
        <w:autoSpaceDN/>
        <w:bidi w:val="0"/>
        <w:adjustRightInd w:val="0"/>
        <w:spacing w:line="520" w:lineRule="exact"/>
        <w:ind w:left="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表4专业核心课课程目标、主要教学内容与要求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138"/>
        <w:gridCol w:w="1957"/>
        <w:gridCol w:w="3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75" w:type="dxa"/>
            <w:vAlign w:val="center"/>
          </w:tcPr>
          <w:p>
            <w:pPr>
              <w:keepNext w:val="0"/>
              <w:keepLines w:val="0"/>
              <w:pageBreakBefore w:val="0"/>
              <w:kinsoku/>
              <w:wordWrap/>
              <w:topLinePunct w:val="0"/>
              <w:autoSpaceDE/>
              <w:autoSpaceDN/>
              <w:bidi w:val="0"/>
              <w:snapToGrid/>
              <w:spacing w:after="0" w:line="360" w:lineRule="exact"/>
              <w:ind w:left="0"/>
              <w:jc w:val="center"/>
              <w:rPr>
                <w:rFonts w:ascii="仿宋_GB2312" w:hAnsi="仿宋_GB2312" w:eastAsia="仿宋_GB2312" w:cs="仿宋_GB2312"/>
                <w:color w:val="auto"/>
                <w:sz w:val="24"/>
              </w:rPr>
            </w:pPr>
            <w:bookmarkStart w:id="31" w:name="_Toc90734991"/>
            <w:r>
              <w:rPr>
                <w:rFonts w:hint="eastAsia" w:ascii="仿宋_GB2312" w:hAnsi="仿宋_GB2312" w:eastAsia="仿宋_GB2312" w:cs="仿宋_GB2312"/>
                <w:color w:val="auto"/>
                <w:sz w:val="24"/>
              </w:rPr>
              <w:t>序号</w:t>
            </w:r>
          </w:p>
        </w:tc>
        <w:tc>
          <w:tcPr>
            <w:tcW w:w="775" w:type="dxa"/>
            <w:vAlign w:val="center"/>
          </w:tcPr>
          <w:p>
            <w:pPr>
              <w:keepNext w:val="0"/>
              <w:keepLines w:val="0"/>
              <w:pageBreakBefore w:val="0"/>
              <w:kinsoku/>
              <w:wordWrap/>
              <w:topLinePunct w:val="0"/>
              <w:autoSpaceDE/>
              <w:autoSpaceDN/>
              <w:bidi w:val="0"/>
              <w:snapToGrid/>
              <w:spacing w:after="0"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课程名称</w:t>
            </w:r>
          </w:p>
        </w:tc>
        <w:tc>
          <w:tcPr>
            <w:tcW w:w="4138" w:type="dxa"/>
            <w:vAlign w:val="center"/>
          </w:tcPr>
          <w:p>
            <w:pPr>
              <w:keepNext w:val="0"/>
              <w:keepLines w:val="0"/>
              <w:pageBreakBefore w:val="0"/>
              <w:kinsoku/>
              <w:wordWrap/>
              <w:topLinePunct w:val="0"/>
              <w:autoSpaceDE/>
              <w:autoSpaceDN/>
              <w:bidi w:val="0"/>
              <w:snapToGrid/>
              <w:spacing w:after="0"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课程目标</w:t>
            </w:r>
          </w:p>
        </w:tc>
        <w:tc>
          <w:tcPr>
            <w:tcW w:w="1957" w:type="dxa"/>
            <w:vAlign w:val="center"/>
          </w:tcPr>
          <w:p>
            <w:pPr>
              <w:keepNext w:val="0"/>
              <w:keepLines w:val="0"/>
              <w:pageBreakBefore w:val="0"/>
              <w:kinsoku/>
              <w:wordWrap/>
              <w:topLinePunct w:val="0"/>
              <w:autoSpaceDE/>
              <w:autoSpaceDN/>
              <w:bidi w:val="0"/>
              <w:snapToGrid/>
              <w:spacing w:after="0"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主要教学内容</w:t>
            </w:r>
          </w:p>
        </w:tc>
        <w:tc>
          <w:tcPr>
            <w:tcW w:w="3104" w:type="dxa"/>
            <w:vAlign w:val="center"/>
          </w:tcPr>
          <w:p>
            <w:pPr>
              <w:keepNext w:val="0"/>
              <w:keepLines w:val="0"/>
              <w:pageBreakBefore w:val="0"/>
              <w:kinsoku/>
              <w:wordWrap/>
              <w:topLinePunct w:val="0"/>
              <w:autoSpaceDE/>
              <w:autoSpaceDN/>
              <w:bidi w:val="0"/>
              <w:snapToGrid/>
              <w:spacing w:after="0"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kinsoku/>
              <w:wordWrap/>
              <w:overflowPunct w:val="0"/>
              <w:topLinePunct w:val="0"/>
              <w:autoSpaceDE/>
              <w:autoSpaceDN/>
              <w:bidi w:val="0"/>
              <w:adjustRightInd w:val="0"/>
              <w:snapToGrid/>
              <w:spacing w:after="0"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775" w:type="dxa"/>
            <w:vAlign w:val="center"/>
          </w:tcPr>
          <w:p>
            <w:pPr>
              <w:keepNext w:val="0"/>
              <w:keepLines w:val="0"/>
              <w:pageBreakBefore w:val="0"/>
              <w:kinsoku/>
              <w:wordWrap/>
              <w:topLinePunct w:val="0"/>
              <w:autoSpaceDE/>
              <w:autoSpaceDN/>
              <w:bidi w:val="0"/>
              <w:snapToGrid/>
              <w:spacing w:after="0" w:line="360" w:lineRule="exac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工程测量</w:t>
            </w:r>
          </w:p>
        </w:tc>
        <w:tc>
          <w:tcPr>
            <w:tcW w:w="4138" w:type="dxa"/>
            <w:vAlign w:val="center"/>
          </w:tcPr>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：掌握测量原理、仪器操作及数据处理知识，理解工程测量规范标准。</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：能熟练操作仪器、测设点位，</w:t>
            </w:r>
            <w:r>
              <w:rPr>
                <w:rFonts w:hint="eastAsia" w:ascii="仿宋_GB2312" w:hAnsi="仿宋_GB2312" w:eastAsia="仿宋_GB2312" w:cs="仿宋_GB2312"/>
                <w:color w:val="auto"/>
                <w:spacing w:val="-6"/>
                <w:sz w:val="24"/>
              </w:rPr>
              <w:t>具备数据处理与工程问题解决能力。</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：培养严谨细致、团队协作素养，形成精益求精的工程实践态度。</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厚植工匠精</w:t>
            </w:r>
            <w:r>
              <w:rPr>
                <w:rFonts w:hint="eastAsia" w:ascii="仿宋_GB2312" w:hAnsi="仿宋_GB2312" w:eastAsia="仿宋_GB2312" w:cs="仿宋_GB2312"/>
                <w:color w:val="auto"/>
                <w:spacing w:val="-6"/>
                <w:sz w:val="24"/>
              </w:rPr>
              <w:t>神，强化责任担当，树立诚信守规的职业观。</w:t>
            </w:r>
          </w:p>
        </w:tc>
        <w:tc>
          <w:tcPr>
            <w:tcW w:w="195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包括工程测量基础、施工测量、变形监测、竣工测量等核心模块，结合工程测量项目强化技术应用。</w:t>
            </w:r>
          </w:p>
        </w:tc>
        <w:tc>
          <w:tcPr>
            <w:tcW w:w="31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理论结合实践，注重工程测量仪器操作与数据处理训练，通过项目化教学提升工程测量综合能力；强调工程测量规范与精度控制，培养科学严谨的研究态度与问题解决能力，激发对工程测量技术的探索热情。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475" w:type="dxa"/>
            <w:vAlign w:val="center"/>
          </w:tcPr>
          <w:p>
            <w:pPr>
              <w:keepNext w:val="0"/>
              <w:keepLines w:val="0"/>
              <w:pageBreakBefore w:val="0"/>
              <w:kinsoku/>
              <w:wordWrap/>
              <w:overflowPunct w:val="0"/>
              <w:topLinePunct w:val="0"/>
              <w:autoSpaceDE/>
              <w:autoSpaceDN/>
              <w:bidi w:val="0"/>
              <w:adjustRightInd w:val="0"/>
              <w:snapToGrid/>
              <w:spacing w:after="0" w:line="360" w:lineRule="exact"/>
              <w:ind w:left="0"/>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p>
        </w:tc>
        <w:tc>
          <w:tcPr>
            <w:tcW w:w="775" w:type="dxa"/>
            <w:shd w:val="clear" w:color="auto" w:fill="auto"/>
            <w:vAlign w:val="center"/>
          </w:tcPr>
          <w:p>
            <w:pPr>
              <w:keepNext w:val="0"/>
              <w:keepLines w:val="0"/>
              <w:pageBreakBefore w:val="0"/>
              <w:widowControl/>
              <w:kinsoku/>
              <w:wordWrap/>
              <w:topLinePunct w:val="0"/>
              <w:autoSpaceDE/>
              <w:autoSpaceDN/>
              <w:bidi w:val="0"/>
              <w:snapToGrid/>
              <w:spacing w:after="0"/>
              <w:ind w:left="0"/>
              <w:jc w:val="center"/>
              <w:textAlignment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lang w:bidi="ar"/>
              </w:rPr>
              <w:t>GNSS定位测量</w:t>
            </w:r>
          </w:p>
        </w:tc>
        <w:tc>
          <w:tcPr>
            <w:tcW w:w="4138" w:type="dxa"/>
            <w:shd w:val="clear" w:color="auto" w:fill="auto"/>
            <w:vAlign w:val="center"/>
          </w:tcPr>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 GNSS 定位原理、系统组成及数据处理方法，熟悉相关技术规范。</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能操作 GNSS 仪器，进行数据采集、处理及成果分析应用。</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培养严谨求实、创新应用的素养，增强技术钻研意识。</w:t>
            </w:r>
          </w:p>
          <w:p>
            <w:pPr>
              <w:keepNext w:val="0"/>
              <w:keepLines w:val="0"/>
              <w:pageBreakBefore w:val="0"/>
              <w:kinsoku/>
              <w:wordWrap/>
              <w:topLinePunct w:val="0"/>
              <w:autoSpaceDE/>
              <w:autoSpaceDN/>
              <w:bidi w:val="0"/>
              <w:snapToGrid/>
              <w:spacing w:after="0" w:line="320" w:lineRule="exact"/>
              <w:ind w:left="0"/>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厚植科技自信，</w:t>
            </w:r>
            <w:r>
              <w:rPr>
                <w:rFonts w:hint="eastAsia" w:ascii="仿宋_GB2312" w:hAnsi="仿宋_GB2312" w:eastAsia="仿宋_GB2312" w:cs="仿宋_GB2312"/>
                <w:color w:val="auto"/>
                <w:spacing w:val="-6"/>
                <w:sz w:val="24"/>
              </w:rPr>
              <w:t>强化责任担当，树立精准高效的职业观。</w:t>
            </w:r>
          </w:p>
        </w:tc>
        <w:tc>
          <w:tcPr>
            <w:tcW w:w="1957"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涵盖GNSS定位测量基础、GNSS接收机构造、GNSS数据处理、GNSS-RTK技术等核心模块，结合GNSS定位测量项目强化技术应用。</w:t>
            </w:r>
          </w:p>
        </w:tc>
        <w:tc>
          <w:tcPr>
            <w:tcW w:w="3104"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理论结合实践，注重GNSS接收机操作与数据处理训练，通过项目化教学提升GNSS定位测量综合能力；强调GNSS测量规范与精度控制，培养严谨细致的工作态度与团队协作意识，激发对GNSS定位测量技术的探索兴趣。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kinsoku/>
              <w:wordWrap/>
              <w:overflowPunct w:val="0"/>
              <w:topLinePunct w:val="0"/>
              <w:autoSpaceDE/>
              <w:autoSpaceDN/>
              <w:bidi w:val="0"/>
              <w:adjustRightInd w:val="0"/>
              <w:snapToGrid/>
              <w:spacing w:after="0" w:line="360" w:lineRule="exact"/>
              <w:ind w:left="0"/>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w:t>
            </w:r>
          </w:p>
        </w:tc>
        <w:tc>
          <w:tcPr>
            <w:tcW w:w="775" w:type="dxa"/>
            <w:shd w:val="clear" w:color="auto" w:fill="auto"/>
            <w:vAlign w:val="center"/>
          </w:tcPr>
          <w:p>
            <w:pPr>
              <w:keepNext w:val="0"/>
              <w:keepLines w:val="0"/>
              <w:pageBreakBefore w:val="0"/>
              <w:widowControl/>
              <w:kinsoku/>
              <w:wordWrap/>
              <w:topLinePunct w:val="0"/>
              <w:autoSpaceDE/>
              <w:autoSpaceDN/>
              <w:bidi w:val="0"/>
              <w:snapToGrid/>
              <w:spacing w:after="0"/>
              <w:ind w:left="0"/>
              <w:jc w:val="center"/>
              <w:textAlignment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lang w:bidi="ar"/>
              </w:rPr>
              <w:t>控制测量</w:t>
            </w:r>
          </w:p>
        </w:tc>
        <w:tc>
          <w:tcPr>
            <w:tcW w:w="4138" w:type="dxa"/>
            <w:shd w:val="clear" w:color="auto" w:fill="auto"/>
            <w:vAlign w:val="center"/>
          </w:tcPr>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pacing w:val="-6"/>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：掌握控制测量原理、布设</w:t>
            </w:r>
            <w:r>
              <w:rPr>
                <w:rFonts w:hint="eastAsia" w:ascii="仿宋_GB2312" w:hAnsi="仿宋_GB2312" w:eastAsia="仿宋_GB2312" w:cs="仿宋_GB2312"/>
                <w:color w:val="auto"/>
                <w:spacing w:val="-6"/>
                <w:sz w:val="24"/>
              </w:rPr>
              <w:t>方法及数据平差，熟悉精度标准与规范。</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：能设计控制网、操作仪器，完成观测、数据处理及成果检核。</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：培养系统思维、严谨细致的素养，强化全局与质量意识。</w:t>
            </w:r>
          </w:p>
          <w:p>
            <w:pPr>
              <w:keepNext w:val="0"/>
              <w:keepLines w:val="0"/>
              <w:pageBreakBefore w:val="0"/>
              <w:kinsoku/>
              <w:wordWrap/>
              <w:topLinePunct w:val="0"/>
              <w:autoSpaceDE/>
              <w:autoSpaceDN/>
              <w:bidi w:val="0"/>
              <w:snapToGrid/>
              <w:spacing w:after="0" w:line="320" w:lineRule="exact"/>
              <w:ind w:left="0"/>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：树立基准意识，厚植责任担当，坚守测绘数据真实性底线。</w:t>
            </w:r>
          </w:p>
        </w:tc>
        <w:tc>
          <w:tcPr>
            <w:tcW w:w="1957"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包括控制测量基础、控制网布设、观测方案设计、数据处理与分析等核心模块，结合控制测量项目强化技术应用。</w:t>
            </w:r>
          </w:p>
        </w:tc>
        <w:tc>
          <w:tcPr>
            <w:tcW w:w="3104"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理论结合实践，注重控制测量仪器操作与数据处理训练，通过项目化教学提升控制测量综合能力；强调控制测量规范与精度控制，培养科学严谨的研究态度与问题解决能力，激发对控制测量技术的探索热情。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kinsoku/>
              <w:wordWrap/>
              <w:overflowPunct w:val="0"/>
              <w:topLinePunct w:val="0"/>
              <w:autoSpaceDE/>
              <w:autoSpaceDN/>
              <w:bidi w:val="0"/>
              <w:adjustRightInd w:val="0"/>
              <w:snapToGrid/>
              <w:spacing w:after="0" w:line="360" w:lineRule="exact"/>
              <w:ind w:left="0"/>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775" w:type="dxa"/>
            <w:shd w:val="clear" w:color="auto" w:fill="auto"/>
            <w:vAlign w:val="center"/>
          </w:tcPr>
          <w:p>
            <w:pPr>
              <w:keepNext w:val="0"/>
              <w:keepLines w:val="0"/>
              <w:pageBreakBefore w:val="0"/>
              <w:kinsoku/>
              <w:wordWrap/>
              <w:topLinePunct w:val="0"/>
              <w:autoSpaceDE/>
              <w:autoSpaceDN/>
              <w:bidi w:val="0"/>
              <w:snapToGrid/>
              <w:spacing w:after="0" w:line="360" w:lineRule="exact"/>
              <w:ind w:left="0"/>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工程变形监测</w:t>
            </w:r>
          </w:p>
        </w:tc>
        <w:tc>
          <w:tcPr>
            <w:tcW w:w="4138"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：掌握变形监测原理、方法及数据处理，熟悉相关规范标准。</w:t>
            </w:r>
          </w:p>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：能设计监测方案、操作仪器，具备数据分析与预警判断能力。</w:t>
            </w:r>
          </w:p>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：培养精准严谨、责任担当的素养，强化风险防范意识。</w:t>
            </w:r>
          </w:p>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：树立工程安全观，厚植敬业精神，坚守职业操守底线。</w:t>
            </w:r>
          </w:p>
        </w:tc>
        <w:tc>
          <w:tcPr>
            <w:tcW w:w="1957"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涵盖变形监测基础、变形监测方案设计、变形监测数据处理与分析等核心模块，结合工程变形监测项目强化技术应用。</w:t>
            </w:r>
          </w:p>
        </w:tc>
        <w:tc>
          <w:tcPr>
            <w:tcW w:w="3104"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理论结合实践，注重变形监测仪器操作与数据处理训练，通过项目化教学提升工程变形监测综合能力；强调变形监测规范与精度控制，培养严谨细致的工作态度与团队协作意识，激发对工程变形监测技术的探索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kinsoku/>
              <w:wordWrap/>
              <w:overflowPunct w:val="0"/>
              <w:topLinePunct w:val="0"/>
              <w:autoSpaceDE/>
              <w:autoSpaceDN/>
              <w:bidi w:val="0"/>
              <w:adjustRightInd w:val="0"/>
              <w:snapToGrid/>
              <w:spacing w:after="0" w:line="360" w:lineRule="exact"/>
              <w:ind w:left="0"/>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5</w:t>
            </w:r>
          </w:p>
        </w:tc>
        <w:tc>
          <w:tcPr>
            <w:tcW w:w="775" w:type="dxa"/>
            <w:shd w:val="clear" w:color="auto" w:fill="auto"/>
            <w:vAlign w:val="center"/>
          </w:tcPr>
          <w:p>
            <w:pPr>
              <w:keepNext w:val="0"/>
              <w:keepLines w:val="0"/>
              <w:pageBreakBefore w:val="0"/>
              <w:widowControl/>
              <w:kinsoku/>
              <w:wordWrap/>
              <w:topLinePunct w:val="0"/>
              <w:autoSpaceDE/>
              <w:autoSpaceDN/>
              <w:bidi w:val="0"/>
              <w:snapToGrid/>
              <w:spacing w:after="0"/>
              <w:ind w:left="0"/>
              <w:jc w:val="center"/>
              <w:textAlignment w:val="center"/>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lang w:bidi="ar"/>
              </w:rPr>
              <w:t>无人机摄影测量</w:t>
            </w:r>
          </w:p>
        </w:tc>
        <w:tc>
          <w:tcPr>
            <w:tcW w:w="4138"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：掌握无人机航测原理、系</w:t>
            </w:r>
            <w:r>
              <w:rPr>
                <w:rFonts w:hint="eastAsia" w:ascii="仿宋_GB2312" w:hAnsi="仿宋_GB2312" w:eastAsia="仿宋_GB2312" w:cs="仿宋_GB2312"/>
                <w:color w:val="auto"/>
                <w:spacing w:val="-6"/>
                <w:sz w:val="24"/>
              </w:rPr>
              <w:t>统组成及数据处理流程，熟悉作业规范。</w:t>
            </w:r>
          </w:p>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：能规划航线、操作设备，完成数据获取、建模及成果应用。</w:t>
            </w:r>
          </w:p>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：培养精准高效、创新应用的素养，强化安全合规意识。</w:t>
            </w:r>
          </w:p>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：厚植科技应用自信，树立责任意识，恪守行业伦理规范。</w:t>
            </w:r>
          </w:p>
        </w:tc>
        <w:tc>
          <w:tcPr>
            <w:tcW w:w="1957"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涵盖无人机摄影测量基础、无人机操作、摄影测量数据处理、三维建模等核心模块，结合无人机摄影测量项目强化技术应用。</w:t>
            </w:r>
          </w:p>
        </w:tc>
        <w:tc>
          <w:tcPr>
            <w:tcW w:w="3104"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理论结合实践，注重无人机操作与摄影测量数据处理训练，通过项目化教学提升无人机摄影测量综合能力；强调无人机摄影测量规范与精度控制，培养严谨细致的工作态度与团队协作意识，激发对无人机摄影测量技术的探索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Align w:val="center"/>
          </w:tcPr>
          <w:p>
            <w:pPr>
              <w:keepNext w:val="0"/>
              <w:keepLines w:val="0"/>
              <w:pageBreakBefore w:val="0"/>
              <w:kinsoku/>
              <w:wordWrap/>
              <w:overflowPunct w:val="0"/>
              <w:topLinePunct w:val="0"/>
              <w:autoSpaceDE/>
              <w:autoSpaceDN/>
              <w:bidi w:val="0"/>
              <w:adjustRightInd w:val="0"/>
              <w:snapToGrid/>
              <w:spacing w:after="0" w:line="360" w:lineRule="exact"/>
              <w:ind w:left="0"/>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w:t>
            </w:r>
          </w:p>
        </w:tc>
        <w:tc>
          <w:tcPr>
            <w:tcW w:w="775" w:type="dxa"/>
            <w:shd w:val="clear" w:color="auto" w:fill="auto"/>
            <w:vAlign w:val="center"/>
          </w:tcPr>
          <w:p>
            <w:pPr>
              <w:keepNext w:val="0"/>
              <w:keepLines w:val="0"/>
              <w:pageBreakBefore w:val="0"/>
              <w:widowControl/>
              <w:kinsoku/>
              <w:wordWrap/>
              <w:topLinePunct w:val="0"/>
              <w:autoSpaceDE/>
              <w:autoSpaceDN/>
              <w:bidi w:val="0"/>
              <w:snapToGrid/>
              <w:spacing w:after="0"/>
              <w:ind w:left="0"/>
              <w:jc w:val="center"/>
              <w:textAlignment w:val="center"/>
              <w:rPr>
                <w:rFonts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lang w:bidi="ar"/>
              </w:rPr>
              <w:t>数字测图</w:t>
            </w:r>
          </w:p>
        </w:tc>
        <w:tc>
          <w:tcPr>
            <w:tcW w:w="4138"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：掌握数字测图原理、技术流程及成图方法，熟悉相关标准规范。</w:t>
            </w:r>
          </w:p>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：能操作测图软件与仪器，完成数据采集、处理及数字图绘制。</w:t>
            </w:r>
          </w:p>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：培养精细规范、协同合作的素养，强化质量与效率意识。</w:t>
            </w:r>
          </w:p>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：树立数据诚信观，厚植创新精神，坚守测绘职业操守。</w:t>
            </w:r>
          </w:p>
        </w:tc>
        <w:tc>
          <w:tcPr>
            <w:tcW w:w="1957"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涵盖数字测图基础、野外数据采集、内业数据处理、地形图编辑与输出等核心模块，结合数字测图项目强化技术应用。</w:t>
            </w:r>
          </w:p>
        </w:tc>
        <w:tc>
          <w:tcPr>
            <w:tcW w:w="3104"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理论结合实践，注重数字测图软件操作与数据采集训练，通过项目化教学提升数字测图综合能力；强调测图规范与精度控</w:t>
            </w:r>
            <w:r>
              <w:rPr>
                <w:rFonts w:hint="eastAsia" w:ascii="仿宋_GB2312" w:hAnsi="仿宋_GB2312" w:eastAsia="仿宋_GB2312" w:cs="仿宋_GB2312"/>
                <w:color w:val="auto"/>
                <w:spacing w:val="-17"/>
                <w:sz w:val="24"/>
              </w:rPr>
              <w:t>制，培养严谨细致的工作态度与团队协作意识，激发对数字测图技术的探索兴趣。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475" w:type="dxa"/>
            <w:vAlign w:val="center"/>
          </w:tcPr>
          <w:p>
            <w:pPr>
              <w:keepNext w:val="0"/>
              <w:keepLines w:val="0"/>
              <w:pageBreakBefore w:val="0"/>
              <w:kinsoku/>
              <w:wordWrap/>
              <w:overflowPunct w:val="0"/>
              <w:topLinePunct w:val="0"/>
              <w:autoSpaceDE/>
              <w:autoSpaceDN/>
              <w:bidi w:val="0"/>
              <w:adjustRightInd w:val="0"/>
              <w:snapToGrid/>
              <w:spacing w:after="0"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775" w:type="dxa"/>
            <w:shd w:val="clear" w:color="auto" w:fill="auto"/>
            <w:vAlign w:val="center"/>
          </w:tcPr>
          <w:p>
            <w:pPr>
              <w:keepNext w:val="0"/>
              <w:keepLines w:val="0"/>
              <w:pageBreakBefore w:val="0"/>
              <w:widowControl/>
              <w:kinsoku/>
              <w:wordWrap/>
              <w:topLinePunct w:val="0"/>
              <w:autoSpaceDE/>
              <w:autoSpaceDN/>
              <w:bidi w:val="0"/>
              <w:snapToGrid/>
              <w:spacing w:after="0"/>
              <w:ind w:left="0"/>
              <w:jc w:val="center"/>
              <w:textAlignment w:val="center"/>
              <w:rPr>
                <w:rFonts w:ascii="仿宋_GB2312" w:hAnsi="仿宋_GB2312" w:eastAsia="仿宋_GB2312" w:cs="仿宋_GB2312"/>
                <w:color w:val="auto"/>
                <w:kern w:val="0"/>
                <w:sz w:val="24"/>
                <w:lang w:bidi="ar"/>
              </w:rPr>
            </w:pPr>
            <w:r>
              <w:rPr>
                <w:rFonts w:hint="eastAsia" w:ascii="仿宋_GB2312" w:hAnsi="仿宋_GB2312" w:eastAsia="仿宋_GB2312" w:cs="仿宋_GB2312"/>
                <w:color w:val="auto"/>
                <w:kern w:val="0"/>
                <w:sz w:val="24"/>
                <w:lang w:bidi="ar"/>
              </w:rPr>
              <w:t>地理信息技术与应用</w:t>
            </w:r>
          </w:p>
        </w:tc>
        <w:tc>
          <w:tcPr>
            <w:tcW w:w="4138" w:type="dxa"/>
            <w:vAlign w:val="center"/>
          </w:tcPr>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 GIS 原理、数据处理及应用方法，熟悉地理信息系统技术规范。</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：能操作 GIS 软件，完成数据采集、分析及地理信息产品制作。</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：培养空间思维、协同创新素养，强化数据安全与质量意识。</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：树立科技服务社</w:t>
            </w:r>
            <w:r>
              <w:rPr>
                <w:rFonts w:hint="eastAsia" w:ascii="仿宋_GB2312" w:hAnsi="仿宋_GB2312" w:eastAsia="仿宋_GB2312" w:cs="仿宋_GB2312"/>
                <w:color w:val="auto"/>
                <w:spacing w:val="-6"/>
                <w:sz w:val="24"/>
              </w:rPr>
              <w:t>会理念，厚植家国情怀，恪守数据伦理。</w:t>
            </w:r>
          </w:p>
        </w:tc>
        <w:tc>
          <w:tcPr>
            <w:tcW w:w="1957"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color w:val="auto"/>
                <w:sz w:val="24"/>
              </w:rPr>
              <w:t>包括GIS基础、RS原理与应用、GPS定位技术、地理空间分析与建模等核心模块，结合地理信息技术应用项目强化技术应用。</w:t>
            </w:r>
          </w:p>
        </w:tc>
        <w:tc>
          <w:tcPr>
            <w:tcW w:w="3104"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color w:val="auto"/>
                <w:spacing w:val="-11"/>
                <w:sz w:val="24"/>
              </w:rPr>
              <w:t>理论结合实践，注重地理信息技术软件操作与空间分析训练，通过项目化教学提升地理信息技术应用综合能力；强调地理信息技术应用的规范性与创新性，培养综合分析与应用能力，激发对地理信息技术前沿的探索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kinsoku/>
              <w:wordWrap/>
              <w:overflowPunct w:val="0"/>
              <w:topLinePunct w:val="0"/>
              <w:autoSpaceDE/>
              <w:autoSpaceDN/>
              <w:bidi w:val="0"/>
              <w:adjustRightInd w:val="0"/>
              <w:snapToGrid/>
              <w:spacing w:after="0"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775" w:type="dxa"/>
            <w:shd w:val="clear" w:color="auto" w:fill="auto"/>
            <w:vAlign w:val="center"/>
          </w:tcPr>
          <w:p>
            <w:pPr>
              <w:keepNext w:val="0"/>
              <w:keepLines w:val="0"/>
              <w:pageBreakBefore w:val="0"/>
              <w:widowControl/>
              <w:kinsoku/>
              <w:wordWrap/>
              <w:topLinePunct w:val="0"/>
              <w:autoSpaceDE/>
              <w:autoSpaceDN/>
              <w:bidi w:val="0"/>
              <w:snapToGrid/>
              <w:spacing w:after="0"/>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不动产测量</w:t>
            </w:r>
          </w:p>
        </w:tc>
        <w:tc>
          <w:tcPr>
            <w:tcW w:w="4138" w:type="dxa"/>
            <w:vAlign w:val="center"/>
          </w:tcPr>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：掌握不动产测量原理、权属调查方法及成果规范，熟悉相关法律法规。</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：能开展权属调查、测绘不动产，完成数据处理与成果建档。</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：培养公正严谨、细致负责的素养，强化权属意识与服务理念。</w:t>
            </w:r>
          </w:p>
          <w:p>
            <w:pPr>
              <w:keepNext w:val="0"/>
              <w:keepLines w:val="0"/>
              <w:pageBreakBefore w:val="0"/>
              <w:kinsoku/>
              <w:wordWrap/>
              <w:topLinePunct w:val="0"/>
              <w:autoSpaceDE/>
              <w:autoSpaceDN/>
              <w:bidi w:val="0"/>
              <w:snapToGrid/>
              <w:spacing w:after="0" w:line="320" w:lineRule="exact"/>
              <w:ind w:left="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：树立产权保护观，厚植法治精神，坚守测绘公正廉洁底线。</w:t>
            </w:r>
          </w:p>
        </w:tc>
        <w:tc>
          <w:tcPr>
            <w:tcW w:w="1957"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color w:val="auto"/>
                <w:sz w:val="24"/>
              </w:rPr>
              <w:t>包括不动产测量基础、地籍测量、房产测量、不动产调查等核心模块，结合不动产测量项目强化技术应用。</w:t>
            </w:r>
          </w:p>
        </w:tc>
        <w:tc>
          <w:tcPr>
            <w:tcW w:w="3104" w:type="dxa"/>
            <w:shd w:val="clear" w:color="auto" w:fill="auto"/>
            <w:vAlign w:val="top"/>
          </w:tcPr>
          <w:p>
            <w:pPr>
              <w:keepNext w:val="0"/>
              <w:keepLines w:val="0"/>
              <w:pageBreakBefore w:val="0"/>
              <w:kinsoku/>
              <w:wordWrap/>
              <w:topLinePunct w:val="0"/>
              <w:autoSpaceDE/>
              <w:autoSpaceDN/>
              <w:bidi w:val="0"/>
              <w:snapToGrid/>
              <w:spacing w:after="0" w:line="320" w:lineRule="exact"/>
              <w:ind w:left="0"/>
              <w:jc w:val="both"/>
              <w:rPr>
                <w:rFonts w:ascii="仿宋_GB2312" w:hAnsi="仿宋_GB2312" w:eastAsia="仿宋_GB2312" w:cs="仿宋_GB2312"/>
                <w:color w:val="auto"/>
                <w:sz w:val="24"/>
              </w:rPr>
            </w:pPr>
            <w:r>
              <w:rPr>
                <w:rFonts w:hint="eastAsia" w:ascii="仿宋_GB2312" w:hAnsi="仿宋_GB2312" w:eastAsia="仿宋_GB2312" w:cs="仿宋_GB2312"/>
                <w:color w:val="auto"/>
                <w:sz w:val="24"/>
              </w:rPr>
              <w:t>理论结合实践，注重不动产测量仪器操作与数据处理训练，通过项目化教学提升不动产测量综合能力；强调不动产测量规范与精度控制，培养科学严谨的研究态度与问题解决能力，激发对不动产测量技术的探索热情。</w:t>
            </w:r>
          </w:p>
        </w:tc>
      </w:tr>
    </w:tbl>
    <w:p>
      <w:pPr>
        <w:pageBreakBefore w:val="0"/>
        <w:kinsoku/>
        <w:wordWrap/>
        <w:topLinePunct w:val="0"/>
        <w:autoSpaceDE/>
        <w:autoSpaceDN/>
        <w:bidi w:val="0"/>
        <w:adjustRightInd w:val="0"/>
        <w:snapToGrid w:val="0"/>
        <w:spacing w:after="0" w:line="500" w:lineRule="exact"/>
        <w:ind w:left="0" w:leftChars="0" w:firstLine="640" w:firstLineChars="200"/>
        <w:outlineLvl w:val="2"/>
        <w:rPr>
          <w:rFonts w:ascii="仿宋_GB2312" w:hAnsi="仿宋_GB2312" w:eastAsia="仿宋_GB2312" w:cs="仿宋_GB2312"/>
          <w:color w:val="auto"/>
          <w:sz w:val="32"/>
          <w:szCs w:val="32"/>
        </w:rPr>
      </w:pPr>
      <w:bookmarkStart w:id="32" w:name="_Toc24393"/>
      <w:bookmarkStart w:id="33" w:name="_Toc22457"/>
      <w:bookmarkStart w:id="34" w:name="_Toc11324"/>
      <w:r>
        <w:rPr>
          <w:rFonts w:hint="eastAsia" w:ascii="仿宋_GB2312" w:hAnsi="仿宋_GB2312" w:eastAsia="仿宋_GB2312" w:cs="仿宋_GB2312"/>
          <w:color w:val="auto"/>
          <w:sz w:val="32"/>
          <w:szCs w:val="32"/>
        </w:rPr>
        <w:t>3.专业拓展课程</w:t>
      </w:r>
      <w:bookmarkEnd w:id="31"/>
      <w:bookmarkEnd w:id="32"/>
      <w:bookmarkEnd w:id="33"/>
      <w:bookmarkEnd w:id="34"/>
    </w:p>
    <w:p>
      <w:pPr>
        <w:pageBreakBefore w:val="0"/>
        <w:kinsoku/>
        <w:wordWrap/>
        <w:topLinePunct w:val="0"/>
        <w:autoSpaceDE/>
        <w:autoSpaceDN/>
        <w:bidi w:val="0"/>
        <w:adjustRightInd w:val="0"/>
        <w:snapToGrid w:val="0"/>
        <w:spacing w:after="0" w:line="500" w:lineRule="exact"/>
        <w:ind w:left="0" w:firstLine="640" w:firstLineChars="200"/>
        <w:rPr>
          <w:rFonts w:hint="eastAsia" w:ascii="仿宋_GB2312" w:hAnsi="仿宋_GB2312" w:eastAsia="仿宋_GB2312" w:cs="仿宋_GB2312"/>
          <w:color w:val="auto"/>
          <w:sz w:val="32"/>
          <w:szCs w:val="32"/>
        </w:rPr>
      </w:pPr>
      <w:r>
        <w:rPr>
          <w:rFonts w:hint="eastAsia" w:eastAsia="仿宋_GB2312" w:cs="仿宋"/>
          <w:color w:val="auto"/>
          <w:sz w:val="32"/>
          <w:szCs w:val="32"/>
        </w:rPr>
        <w:t>专业拓展课程是按照岗位迁移，根据</w:t>
      </w:r>
      <w:r>
        <w:rPr>
          <w:rFonts w:hint="eastAsia" w:eastAsia="仿宋_GB2312" w:cs="仿宋"/>
          <w:color w:val="auto"/>
          <w:spacing w:val="-2"/>
          <w:sz w:val="32"/>
          <w:szCs w:val="32"/>
        </w:rPr>
        <w:t>测绘与地理信息科学行业</w:t>
      </w:r>
      <w:r>
        <w:rPr>
          <w:rFonts w:hint="eastAsia" w:eastAsia="仿宋_GB2312" w:cs="仿宋"/>
          <w:color w:val="auto"/>
          <w:sz w:val="32"/>
          <w:szCs w:val="32"/>
        </w:rPr>
        <w:t>发展的趋势，依据企业用人需求调研，企业对</w:t>
      </w:r>
      <w:r>
        <w:rPr>
          <w:rFonts w:hint="eastAsia" w:eastAsia="仿宋_GB2312" w:cs="仿宋"/>
          <w:color w:val="auto"/>
          <w:spacing w:val="-2"/>
          <w:sz w:val="32"/>
          <w:szCs w:val="32"/>
        </w:rPr>
        <w:t>地下空间管理、工程地质分析、GIS技术应用及土木工程施工管理</w:t>
      </w:r>
      <w:r>
        <w:rPr>
          <w:rFonts w:hint="eastAsia" w:eastAsia="仿宋_GB2312" w:cs="仿宋"/>
          <w:color w:val="auto"/>
          <w:sz w:val="32"/>
          <w:szCs w:val="32"/>
        </w:rPr>
        <w:t>等方面日益增加的需求，建立了</w:t>
      </w:r>
      <w:r>
        <w:rPr>
          <w:rFonts w:hint="eastAsia" w:eastAsia="仿宋_GB2312" w:cs="仿宋"/>
          <w:color w:val="auto"/>
          <w:spacing w:val="-2"/>
          <w:sz w:val="32"/>
          <w:szCs w:val="32"/>
        </w:rPr>
        <w:t>工程测量技术</w:t>
      </w:r>
      <w:r>
        <w:rPr>
          <w:rFonts w:hint="eastAsia" w:eastAsia="仿宋_GB2312" w:cs="仿宋"/>
          <w:color w:val="auto"/>
          <w:sz w:val="32"/>
          <w:szCs w:val="32"/>
        </w:rPr>
        <w:t>专业拓展课，并将辅修方向课程纳入其中。由</w:t>
      </w:r>
      <w:r>
        <w:rPr>
          <w:rFonts w:hint="eastAsia" w:eastAsia="仿宋_GB2312" w:cs="仿宋"/>
          <w:color w:val="auto"/>
          <w:spacing w:val="-2"/>
          <w:sz w:val="32"/>
          <w:szCs w:val="32"/>
        </w:rPr>
        <w:t>地下管线探测、土木工程施工技术、三维激光扫描与数字建模、地理信息空间数据库、移动测量技术、遥感数字图像处理、测绘法律法规、精密工程测量等</w:t>
      </w:r>
      <w:r>
        <w:rPr>
          <w:rFonts w:hint="eastAsia" w:eastAsia="仿宋_GB2312" w:cs="仿宋"/>
          <w:color w:val="auto"/>
          <w:sz w:val="32"/>
          <w:szCs w:val="32"/>
        </w:rPr>
        <w:t>构成专业拓展课。</w:t>
      </w:r>
    </w:p>
    <w:p>
      <w:pPr>
        <w:pageBreakBefore w:val="0"/>
        <w:kinsoku/>
        <w:wordWrap/>
        <w:overflowPunct w:val="0"/>
        <w:topLinePunct w:val="0"/>
        <w:autoSpaceDE/>
        <w:autoSpaceDN/>
        <w:bidi w:val="0"/>
        <w:adjustRightInd w:val="0"/>
        <w:spacing w:line="520" w:lineRule="exact"/>
        <w:ind w:left="0"/>
        <w:jc w:val="center"/>
        <w:rPr>
          <w:rFonts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表5专业拓展课课程目标、主要教学内容与要求</w:t>
      </w:r>
    </w:p>
    <w:tbl>
      <w:tblPr>
        <w:tblStyle w:val="11"/>
        <w:tblpPr w:leftFromText="180" w:rightFromText="180" w:vertAnchor="text" w:tblpXSpec="center" w:tblpY="1"/>
        <w:tblOverlap w:val="never"/>
        <w:tblW w:w="9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29"/>
        <w:gridCol w:w="3278"/>
        <w:gridCol w:w="1993"/>
        <w:gridCol w:w="2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0" w:type="dxa"/>
            <w:vAlign w:val="center"/>
          </w:tcPr>
          <w:p>
            <w:pPr>
              <w:pageBreakBefore w:val="0"/>
              <w:kinsoku/>
              <w:wordWrap/>
              <w:topLinePunct w:val="0"/>
              <w:autoSpaceDE/>
              <w:autoSpaceDN/>
              <w:bidi w:val="0"/>
              <w:adjustRightInd w:val="0"/>
              <w:snapToGrid w:val="0"/>
              <w:spacing w:after="0" w:line="320" w:lineRule="exact"/>
              <w:ind w:left="0"/>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729" w:type="dxa"/>
            <w:vAlign w:val="center"/>
          </w:tcPr>
          <w:p>
            <w:pPr>
              <w:pageBreakBefore w:val="0"/>
              <w:kinsoku/>
              <w:wordWrap/>
              <w:topLinePunct w:val="0"/>
              <w:autoSpaceDE/>
              <w:autoSpaceDN/>
              <w:bidi w:val="0"/>
              <w:adjustRightInd w:val="0"/>
              <w:snapToGrid w:val="0"/>
              <w:spacing w:line="320" w:lineRule="exact"/>
              <w:ind w:left="0"/>
              <w:jc w:val="center"/>
              <w:rPr>
                <w:rFonts w:hint="eastAsia" w:ascii="仿宋" w:hAnsi="仿宋" w:eastAsia="仿宋" w:cs="仿宋"/>
                <w:color w:val="auto"/>
                <w:sz w:val="24"/>
              </w:rPr>
            </w:pPr>
            <w:r>
              <w:rPr>
                <w:rFonts w:hint="eastAsia" w:ascii="仿宋" w:hAnsi="仿宋" w:eastAsia="仿宋" w:cs="仿宋"/>
                <w:color w:val="auto"/>
                <w:sz w:val="24"/>
              </w:rPr>
              <w:t>课程 名称</w:t>
            </w:r>
          </w:p>
        </w:tc>
        <w:tc>
          <w:tcPr>
            <w:tcW w:w="3278" w:type="dxa"/>
            <w:vAlign w:val="center"/>
          </w:tcPr>
          <w:p>
            <w:pPr>
              <w:pageBreakBefore w:val="0"/>
              <w:kinsoku/>
              <w:wordWrap/>
              <w:topLinePunct w:val="0"/>
              <w:autoSpaceDE/>
              <w:autoSpaceDN/>
              <w:bidi w:val="0"/>
              <w:adjustRightInd w:val="0"/>
              <w:snapToGrid w:val="0"/>
              <w:spacing w:line="320" w:lineRule="exact"/>
              <w:ind w:left="0"/>
              <w:jc w:val="center"/>
              <w:rPr>
                <w:rFonts w:hint="eastAsia" w:ascii="仿宋" w:hAnsi="仿宋" w:eastAsia="仿宋" w:cs="仿宋"/>
                <w:color w:val="auto"/>
                <w:sz w:val="24"/>
              </w:rPr>
            </w:pPr>
            <w:r>
              <w:rPr>
                <w:rFonts w:hint="eastAsia" w:ascii="仿宋" w:hAnsi="仿宋" w:eastAsia="仿宋" w:cs="仿宋"/>
                <w:color w:val="auto"/>
                <w:sz w:val="24"/>
              </w:rPr>
              <w:t>课程目标</w:t>
            </w:r>
          </w:p>
        </w:tc>
        <w:tc>
          <w:tcPr>
            <w:tcW w:w="1993" w:type="dxa"/>
            <w:vAlign w:val="center"/>
          </w:tcPr>
          <w:p>
            <w:pPr>
              <w:pageBreakBefore w:val="0"/>
              <w:kinsoku/>
              <w:wordWrap/>
              <w:topLinePunct w:val="0"/>
              <w:autoSpaceDE/>
              <w:autoSpaceDN/>
              <w:bidi w:val="0"/>
              <w:adjustRightInd w:val="0"/>
              <w:snapToGrid w:val="0"/>
              <w:spacing w:line="320" w:lineRule="exact"/>
              <w:ind w:left="0"/>
              <w:jc w:val="center"/>
              <w:rPr>
                <w:rFonts w:hint="eastAsia" w:ascii="仿宋" w:hAnsi="仿宋" w:eastAsia="仿宋" w:cs="仿宋"/>
                <w:color w:val="auto"/>
                <w:sz w:val="24"/>
              </w:rPr>
            </w:pPr>
            <w:r>
              <w:rPr>
                <w:rFonts w:hint="eastAsia" w:ascii="仿宋" w:hAnsi="仿宋" w:eastAsia="仿宋" w:cs="仿宋"/>
                <w:color w:val="auto"/>
                <w:sz w:val="24"/>
              </w:rPr>
              <w:t>主要教学内容</w:t>
            </w:r>
          </w:p>
        </w:tc>
        <w:tc>
          <w:tcPr>
            <w:tcW w:w="2718" w:type="dxa"/>
            <w:vAlign w:val="center"/>
          </w:tcPr>
          <w:p>
            <w:pPr>
              <w:pageBreakBefore w:val="0"/>
              <w:kinsoku/>
              <w:wordWrap/>
              <w:topLinePunct w:val="0"/>
              <w:autoSpaceDE/>
              <w:autoSpaceDN/>
              <w:bidi w:val="0"/>
              <w:adjustRightInd w:val="0"/>
              <w:snapToGrid w:val="0"/>
              <w:spacing w:line="320" w:lineRule="exact"/>
              <w:ind w:left="0"/>
              <w:jc w:val="center"/>
              <w:rPr>
                <w:rFonts w:hint="eastAsia" w:ascii="仿宋" w:hAnsi="仿宋" w:eastAsia="仿宋" w:cs="仿宋"/>
                <w:color w:val="auto"/>
                <w:sz w:val="24"/>
              </w:rPr>
            </w:pPr>
            <w:r>
              <w:rPr>
                <w:rFonts w:hint="eastAsia" w:ascii="仿宋" w:hAnsi="仿宋" w:eastAsia="仿宋" w:cs="仿宋"/>
                <w:color w:val="auto"/>
                <w:sz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0" w:type="dxa"/>
            <w:vAlign w:val="center"/>
          </w:tcPr>
          <w:p>
            <w:pPr>
              <w:pageBreakBefore w:val="0"/>
              <w:kinsoku/>
              <w:wordWrap/>
              <w:topLinePunct w:val="0"/>
              <w:autoSpaceDE/>
              <w:autoSpaceDN/>
              <w:bidi w:val="0"/>
              <w:spacing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729" w:type="dxa"/>
            <w:shd w:val="clear" w:color="auto" w:fill="auto"/>
            <w:vAlign w:val="center"/>
          </w:tcPr>
          <w:p>
            <w:pPr>
              <w:pageBreakBefore w:val="0"/>
              <w:kinsoku/>
              <w:wordWrap/>
              <w:topLinePunct w:val="0"/>
              <w:autoSpaceDE/>
              <w:autoSpaceDN/>
              <w:bidi w:val="0"/>
              <w:spacing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地下管线探测</w:t>
            </w:r>
          </w:p>
        </w:tc>
        <w:tc>
          <w:tcPr>
            <w:tcW w:w="3278" w:type="dxa"/>
          </w:tcPr>
          <w:p>
            <w:pPr>
              <w:pageBreakBefore w:val="0"/>
              <w:kinsoku/>
              <w:wordWrap/>
              <w:topLinePunct w:val="0"/>
              <w:autoSpaceDE/>
              <w:autoSpaceDN/>
              <w:bidi w:val="0"/>
              <w:adjustRightInd w:val="0"/>
              <w:snapToGrid w:val="0"/>
              <w:spacing w:after="0" w:line="320" w:lineRule="exact"/>
              <w:ind w:left="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掌握地下管线探测基础、数据处理方法及技术规范，紧跟行业前沿动态。</w:t>
            </w:r>
          </w:p>
          <w:p>
            <w:pPr>
              <w:pageBreakBefore w:val="0"/>
              <w:kinsoku/>
              <w:wordWrap/>
              <w:topLinePunct w:val="0"/>
              <w:autoSpaceDE/>
              <w:autoSpaceDN/>
              <w:bidi w:val="0"/>
              <w:adjustRightInd w:val="0"/>
              <w:snapToGrid w:val="0"/>
              <w:spacing w:after="0" w:line="320" w:lineRule="exact"/>
              <w:ind w:left="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熟练操作探测设备，能独立制定方案，具备团队协作解决实际探测问题的能力。</w:t>
            </w:r>
          </w:p>
          <w:p>
            <w:pPr>
              <w:pageBreakBefore w:val="0"/>
              <w:kinsoku/>
              <w:wordWrap/>
              <w:topLinePunct w:val="0"/>
              <w:autoSpaceDE/>
              <w:autoSpaceDN/>
              <w:bidi w:val="0"/>
              <w:adjustRightInd w:val="0"/>
              <w:snapToGrid w:val="0"/>
              <w:spacing w:after="0" w:line="320" w:lineRule="exact"/>
              <w:ind w:left="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养成严谨负责的工作态度，激发探索兴趣与创新精神，强化团队协作与沟通能力。</w:t>
            </w:r>
          </w:p>
          <w:p>
            <w:pPr>
              <w:pageBreakBefore w:val="0"/>
              <w:kinsoku/>
              <w:wordWrap/>
              <w:topLinePunct w:val="0"/>
              <w:autoSpaceDE/>
              <w:autoSpaceDN/>
              <w:bidi w:val="0"/>
              <w:adjustRightInd w:val="0"/>
              <w:snapToGrid w:val="0"/>
              <w:spacing w:after="0" w:line="320" w:lineRule="exact"/>
              <w:ind w:left="0"/>
              <w:rPr>
                <w:rFonts w:hint="eastAsia" w:ascii="仿宋" w:hAnsi="仿宋" w:eastAsia="仿宋" w:cs="仿宋"/>
                <w:color w:val="auto"/>
                <w:sz w:val="24"/>
              </w:rPr>
            </w:pPr>
            <w:r>
              <w:rPr>
                <w:rFonts w:hint="eastAsia" w:ascii="仿宋_GB2312" w:hAnsi="仿宋_GB2312" w:eastAsia="仿宋_GB2312" w:cs="仿宋_GB2312"/>
                <w:b/>
                <w:bCs/>
                <w:color w:val="auto"/>
                <w:sz w:val="24"/>
              </w:rPr>
              <w:t>课程思政育人目标</w:t>
            </w:r>
            <w:r>
              <w:rPr>
                <w:rFonts w:hint="eastAsia" w:ascii="仿宋" w:hAnsi="仿宋" w:eastAsia="仿宋" w:cs="仿宋"/>
                <w:color w:val="auto"/>
                <w:sz w:val="24"/>
              </w:rPr>
              <w:t>：</w:t>
            </w:r>
            <w:r>
              <w:rPr>
                <w:rFonts w:hint="eastAsia" w:ascii="仿宋_GB2312" w:hAnsi="仿宋_GB2312" w:eastAsia="仿宋_GB2312" w:cs="仿宋_GB2312"/>
                <w:color w:val="auto"/>
                <w:sz w:val="24"/>
              </w:rPr>
              <w:t>强化责任担当与科学精神，培育团队协作观念，激发爱国情怀与行业自信。</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涵盖地下管线探测基础、探测设备原理、数据采集与处理方法等核心模块，结合地下管线探测项目强化技术应用。</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理论结合实践，注重探测设备操作与数据处理训练，通过项目化教学提升地下管线探测综合能力；强调技术规范与精度控制，培养严谨细致的工作态度与团队协作意识，激发对地下管线探测技术的探索兴趣。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0" w:type="dxa"/>
            <w:vAlign w:val="center"/>
          </w:tcPr>
          <w:p>
            <w:pPr>
              <w:pageBreakBefore w:val="0"/>
              <w:kinsoku/>
              <w:wordWrap/>
              <w:topLinePunct w:val="0"/>
              <w:autoSpaceDE/>
              <w:autoSpaceDN/>
              <w:bidi w:val="0"/>
              <w:spacing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729" w:type="dxa"/>
            <w:shd w:val="clear" w:color="auto" w:fill="auto"/>
            <w:vAlign w:val="center"/>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土木工程施工技术</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掌握</w:t>
            </w:r>
            <w:r>
              <w:rPr>
                <w:rFonts w:hint="eastAsia" w:ascii="仿宋_GB2312" w:hAnsi="仿宋_GB2312" w:eastAsia="仿宋_GB2312" w:cs="仿宋_GB2312"/>
                <w:color w:val="auto"/>
                <w:sz w:val="24"/>
                <w:highlight w:val="none"/>
              </w:rPr>
              <w:t>土木施工</w:t>
            </w:r>
            <w:r>
              <w:rPr>
                <w:rFonts w:hint="eastAsia" w:ascii="仿宋_GB2312" w:hAnsi="仿宋_GB2312" w:eastAsia="仿宋_GB2312" w:cs="仿宋_GB2312"/>
                <w:color w:val="auto"/>
                <w:sz w:val="24"/>
              </w:rPr>
              <w:t>基础、技术、组织管理知识及规范标准。</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具备施工方案设计与组织管理、实践操作及问题解决能力。</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养成科学严谨态度，激发探索热情，增强团队协作与创新意识。</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color w:val="auto"/>
                <w:sz w:val="24"/>
              </w:rPr>
              <w:t>课程思政育人目标：引导学生树立安全责任意识，养成团结协作的工程素养。</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包括土木工程施工基础、施工技术应用、施工组织设计与管理等核心模块，结合土木工程施工项目强化技术应用。</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论结合实践，注重施工技术应用与施工组织设计训练，通过项目化教学提升土木工程施工技术综合能力；强调技术规范与工程管理，培养科学严谨的研究态度与问题解决能力，激发对土木工程施工技术的探索热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40" w:type="dxa"/>
            <w:vAlign w:val="center"/>
          </w:tcPr>
          <w:p>
            <w:pPr>
              <w:pageBreakBefore w:val="0"/>
              <w:kinsoku/>
              <w:wordWrap/>
              <w:topLinePunct w:val="0"/>
              <w:autoSpaceDE/>
              <w:autoSpaceDN/>
              <w:bidi w:val="0"/>
              <w:spacing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729" w:type="dxa"/>
            <w:shd w:val="clear" w:color="auto" w:fill="auto"/>
            <w:vAlign w:val="center"/>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三维激光扫描与数字建模</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掌握三维激光扫描原理、采集处理及数字建模核心知识。</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具备仪器操作、软件应用及三维建模项目综合实践能力。</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养成严谨态度、团队协作意识与创新探索精神。</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课程思政育人目标</w:t>
            </w:r>
            <w:r>
              <w:rPr>
                <w:rFonts w:hint="eastAsia" w:ascii="仿宋" w:hAnsi="仿宋" w:eastAsia="仿宋" w:cs="仿宋"/>
                <w:color w:val="auto"/>
                <w:sz w:val="24"/>
              </w:rPr>
              <w:t>：</w:t>
            </w:r>
            <w:r>
              <w:rPr>
                <w:rFonts w:hint="eastAsia" w:ascii="仿宋_GB2312" w:hAnsi="仿宋_GB2312" w:eastAsia="仿宋_GB2312" w:cs="仿宋_GB2312"/>
                <w:color w:val="auto"/>
                <w:sz w:val="24"/>
              </w:rPr>
              <w:t>激发技术探索热情，培育严谨负责、协同创新的测绘职业精神。</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涵盖三维激光扫描原理、数据采集、点云处理、数字建模等核心模块，结合三维激光扫描与数字建模项目强化技术应用。</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论结合实践，注重三维激光扫描仪器操作与数字建模软件训练，通过项目化教学提升三维激光扫描与数字建模综合能力；强调技术规范与精度控制，培养严谨细致的工作态度与团队协作意识，激发对三维激光扫描与数字建模技术的探索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0" w:type="dxa"/>
            <w:vAlign w:val="center"/>
          </w:tcPr>
          <w:p>
            <w:pPr>
              <w:pageBreakBefore w:val="0"/>
              <w:kinsoku/>
              <w:wordWrap/>
              <w:topLinePunct w:val="0"/>
              <w:autoSpaceDE/>
              <w:autoSpaceDN/>
              <w:bidi w:val="0"/>
              <w:spacing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729" w:type="dxa"/>
            <w:shd w:val="clear" w:color="auto" w:fill="auto"/>
            <w:vAlign w:val="center"/>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移动测量技术</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掌握移动测量基础、系统集成及数据采集处理核心知识。</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具备系统操作、数据处理及移动测量项目综合实践能力。</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养成严谨态度、问题解决能力与探索创新的精神品质。</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课程思政育人目标</w:t>
            </w:r>
            <w:r>
              <w:rPr>
                <w:rFonts w:hint="eastAsia" w:ascii="仿宋" w:hAnsi="仿宋" w:eastAsia="仿宋" w:cs="仿宋"/>
                <w:color w:val="auto"/>
                <w:sz w:val="24"/>
              </w:rPr>
              <w:t>：</w:t>
            </w:r>
            <w:r>
              <w:rPr>
                <w:rFonts w:hint="eastAsia" w:ascii="仿宋_GB2312" w:hAnsi="仿宋_GB2312" w:eastAsia="仿宋_GB2312" w:cs="仿宋_GB2312"/>
                <w:color w:val="auto"/>
                <w:sz w:val="24"/>
              </w:rPr>
              <w:t>激发探索热情，培育严谨负责、创新攻坚的测绘专业精神。</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包括移动测量技术基础、移动测量系统集成、数据采集与处理方法等核心模块，结合移动测量项目强化技术应用。</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理论结合实践，注重移动测量系统操作与数据处理训练，通过项目化教学提升移动测量技术综合能力；强调技术规范与精度控制，培养科学严谨的研究态度与问题解决能力，激发对移动测量技术的探索热情。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0" w:type="dxa"/>
            <w:vAlign w:val="center"/>
          </w:tcPr>
          <w:p>
            <w:pPr>
              <w:pageBreakBefore w:val="0"/>
              <w:kinsoku/>
              <w:wordWrap/>
              <w:topLinePunct w:val="0"/>
              <w:autoSpaceDE/>
              <w:autoSpaceDN/>
              <w:bidi w:val="0"/>
              <w:spacing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729" w:type="dxa"/>
            <w:shd w:val="clear" w:color="auto" w:fill="auto"/>
            <w:vAlign w:val="center"/>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遥感数字图像处理</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明晰遥感基础，掌握图像预处理及信息提取应用核心知识。</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具备软件操作、图像处理及遥感项目综合应用实践能力。</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养成综合分析、精准把控与探索创新的遥感专业素养。</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课程思政育人目标</w:t>
            </w:r>
            <w:r>
              <w:rPr>
                <w:rFonts w:hint="eastAsia" w:ascii="仿宋" w:hAnsi="仿宋" w:eastAsia="仿宋" w:cs="仿宋"/>
                <w:color w:val="auto"/>
                <w:sz w:val="24"/>
              </w:rPr>
              <w:t>：</w:t>
            </w:r>
            <w:r>
              <w:rPr>
                <w:rFonts w:hint="eastAsia" w:ascii="仿宋_GB2312" w:hAnsi="仿宋_GB2312" w:eastAsia="仿宋_GB2312" w:cs="仿宋_GB2312"/>
                <w:color w:val="auto"/>
                <w:sz w:val="24"/>
              </w:rPr>
              <w:t>激发探索欲，培育严谨负责、创新有为的遥感技术精神。</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涵盖遥感基础、遥感图像预处理、遥感信息提取与应用等核心模块，结合遥感数字图像处理项目强化技术应用。</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理论结合实践，注重遥感软件操作与图像处理训练，通过项目化教学提升遥感数字图像处理综合能力；强调技术规范与精度控制，培养综合分析与应用能力，激发对遥感数字图像处理技术的探索兴趣。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0" w:type="dxa"/>
            <w:vAlign w:val="center"/>
          </w:tcPr>
          <w:p>
            <w:pPr>
              <w:pageBreakBefore w:val="0"/>
              <w:kinsoku/>
              <w:wordWrap/>
              <w:topLinePunct w:val="0"/>
              <w:autoSpaceDE/>
              <w:autoSpaceDN/>
              <w:bidi w:val="0"/>
              <w:adjustRightInd w:val="0"/>
              <w:snapToGrid w:val="0"/>
              <w:spacing w:after="0" w:line="320" w:lineRule="exact"/>
              <w:ind w:left="0"/>
              <w:jc w:val="center"/>
              <w:rPr>
                <w:rFonts w:hint="eastAsia" w:ascii="仿宋" w:hAnsi="仿宋" w:eastAsia="仿宋" w:cs="仿宋"/>
                <w:color w:val="auto"/>
                <w:sz w:val="24"/>
              </w:rPr>
            </w:pPr>
            <w:r>
              <w:rPr>
                <w:rFonts w:hint="eastAsia" w:ascii="仿宋_GB2312" w:hAnsi="仿宋_GB2312" w:eastAsia="仿宋_GB2312" w:cs="仿宋_GB2312"/>
                <w:color w:val="auto"/>
                <w:sz w:val="24"/>
              </w:rPr>
              <w:t>6</w:t>
            </w:r>
          </w:p>
        </w:tc>
        <w:tc>
          <w:tcPr>
            <w:tcW w:w="729" w:type="dxa"/>
            <w:shd w:val="clear" w:color="auto" w:fill="auto"/>
            <w:vAlign w:val="center"/>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地理信息空间数据库</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掌握数据库基础、空间数据模型及数据库设计管理核心知识。</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具备软件操作、数据分析及地理信息空间数据库项目实践能力。</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养成系统思维、创新探索与严谨负责的数据库专业素养。</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课程思政育人目标</w:t>
            </w:r>
            <w:r>
              <w:rPr>
                <w:rFonts w:hint="eastAsia" w:ascii="仿宋" w:hAnsi="仿宋" w:eastAsia="仿宋" w:cs="仿宋"/>
                <w:color w:val="auto"/>
                <w:sz w:val="24"/>
              </w:rPr>
              <w:t>：</w:t>
            </w:r>
            <w:r>
              <w:rPr>
                <w:rFonts w:hint="eastAsia" w:ascii="仿宋_GB2312" w:hAnsi="仿宋_GB2312" w:eastAsia="仿宋_GB2312" w:cs="仿宋_GB2312"/>
                <w:color w:val="auto"/>
                <w:sz w:val="24"/>
              </w:rPr>
              <w:t>激发探索热情，培育严谨创新、守护安全的地理信息精神。</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包括数据库基础、空间数据模型、空间数据库设计与管理等核心模块，结合地理信息空间数据库项目强化技术应用。</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论结合实践，注重数据库软件操作与空间数据分析训练，通过项目化教学提升地理信息空间数据库综合能力；强调技术规范与数据库安全，培养系统思维与创新能力，激发对地理信息空间数据库技术的探索热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0" w:type="dxa"/>
            <w:vAlign w:val="center"/>
          </w:tcPr>
          <w:p>
            <w:pPr>
              <w:pageBreakBefore w:val="0"/>
              <w:kinsoku/>
              <w:wordWrap/>
              <w:topLinePunct w:val="0"/>
              <w:autoSpaceDE/>
              <w:autoSpaceDN/>
              <w:bidi w:val="0"/>
              <w:adjustRightInd w:val="0"/>
              <w:snapToGrid w:val="0"/>
              <w:spacing w:after="0"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729" w:type="dxa"/>
            <w:shd w:val="clear" w:color="auto" w:fill="auto"/>
            <w:vAlign w:val="center"/>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测绘法律法规</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熟知测绘法基础、资质、成果管理及质量监管等法律知识。</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具备运用测绘法规分析案例、解决实际法律问题的能力。</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养成依法测绘意识、职业道德与严谨规范的工作素养。</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 w:hAnsi="仿宋" w:eastAsia="仿宋" w:cs="仿宋"/>
                <w:color w:val="auto"/>
                <w:sz w:val="24"/>
              </w:rPr>
              <w:t>：</w:t>
            </w:r>
            <w:r>
              <w:rPr>
                <w:rFonts w:hint="eastAsia" w:ascii="仿宋_GB2312" w:hAnsi="仿宋_GB2312" w:eastAsia="仿宋_GB2312" w:cs="仿宋_GB2312"/>
                <w:color w:val="auto"/>
                <w:sz w:val="24"/>
              </w:rPr>
              <w:t>激发学法热情，培育守法笃行、担当尽责的测绘法治精神。</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涵盖测绘法基础、测绘资质管理、测绘成果管理、测绘质量监管等核心模块，结合测绘法律法规案例强化法律应用。</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理论结合实践，注重测绘法律法规学习与案例分析训练，通过项目化教学提升测绘法律法规应用能力；强调法律意识与职业道德，培养依法测绘的规范意识与问题解决能力，激发对测绘法律法规的探索兴趣。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740" w:type="dxa"/>
            <w:vAlign w:val="center"/>
          </w:tcPr>
          <w:p>
            <w:pPr>
              <w:pageBreakBefore w:val="0"/>
              <w:kinsoku/>
              <w:wordWrap/>
              <w:topLinePunct w:val="0"/>
              <w:autoSpaceDE/>
              <w:autoSpaceDN/>
              <w:bidi w:val="0"/>
              <w:adjustRightInd w:val="0"/>
              <w:snapToGrid w:val="0"/>
              <w:spacing w:after="0"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729" w:type="dxa"/>
            <w:shd w:val="clear" w:color="auto" w:fill="auto"/>
            <w:vAlign w:val="center"/>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精密工程测量</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掌握精密测量基础、仪器原理及数据处理核心理论知识。</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具备操作仪器、处理数据及完成精密测量项目实践能力。</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养成严谨态度、问题解决能力与探索创新的科研素养。</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课程思政育人目标</w:t>
            </w:r>
            <w:r>
              <w:rPr>
                <w:rFonts w:hint="eastAsia" w:ascii="仿宋" w:hAnsi="仿宋" w:eastAsia="仿宋" w:cs="仿宋"/>
                <w:color w:val="auto"/>
                <w:sz w:val="24"/>
              </w:rPr>
              <w:t>：</w:t>
            </w:r>
            <w:r>
              <w:rPr>
                <w:rFonts w:hint="eastAsia" w:ascii="仿宋_GB2312" w:hAnsi="仿宋_GB2312" w:eastAsia="仿宋_GB2312" w:cs="仿宋_GB2312"/>
                <w:color w:val="auto"/>
                <w:sz w:val="24"/>
              </w:rPr>
              <w:t>激发探索劲头，培育精益求精、担当奉献的测量工匠精神。</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包括精密工程测量基础、精密测量仪器原理、精密测量数据处理等核心模块，结合精密工程测量项目强化技术应用。</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理论结合实践，注重精密测量仪器操作与数据处理训练，通过项目化教学提升精密工程测量综合能力；强调技术规范与精度控制，培养科学严谨的研究态度与问题解决能力，激发对精密工程测量技术的探索热情。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5" w:hRule="atLeast"/>
          <w:jc w:val="center"/>
        </w:trPr>
        <w:tc>
          <w:tcPr>
            <w:tcW w:w="740" w:type="dxa"/>
            <w:vAlign w:val="center"/>
          </w:tcPr>
          <w:p>
            <w:pPr>
              <w:pageBreakBefore w:val="0"/>
              <w:kinsoku/>
              <w:wordWrap/>
              <w:topLinePunct w:val="0"/>
              <w:autoSpaceDE/>
              <w:autoSpaceDN/>
              <w:bidi w:val="0"/>
              <w:spacing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w:t>
            </w:r>
          </w:p>
        </w:tc>
        <w:tc>
          <w:tcPr>
            <w:tcW w:w="729" w:type="dxa"/>
            <w:shd w:val="clear" w:color="auto" w:fill="auto"/>
            <w:vAlign w:val="center"/>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土木工程概论</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明晰土木工程概念、历程，掌握各分支特点及应用知识。</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能分析土木实际问题，运用知识提出合理解决方案。</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养成实践操作能力与严谨务实、勇于创新的工程素养。</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课程思政育人目标</w:t>
            </w:r>
            <w:r>
              <w:rPr>
                <w:rFonts w:hint="eastAsia" w:ascii="仿宋" w:hAnsi="仿宋" w:eastAsia="仿宋" w:cs="仿宋"/>
                <w:color w:val="auto"/>
                <w:sz w:val="24"/>
              </w:rPr>
              <w:t>：</w:t>
            </w:r>
            <w:r>
              <w:rPr>
                <w:rFonts w:hint="eastAsia" w:ascii="仿宋_GB2312" w:hAnsi="仿宋_GB2312" w:eastAsia="仿宋_GB2312" w:cs="仿宋_GB2312"/>
                <w:color w:val="auto"/>
                <w:sz w:val="24"/>
              </w:rPr>
              <w:t>激发行业热爱，培育担当奉献、精益求精的土木精神。</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本课程涵盖了丰富的土木工程领域知识。首先，会介绍土木工程的基本概念、发展历程以及其在社会中的重要地位。其次，深入讲解建筑工程、道路与桥梁工程、岩土工程、水利工程等主要分支的特点和应用。</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学生要深入理解土木工程的基本概念、理论体系和发展历程，掌握其在社会建设中的重要地位和作用。通过学习，能够分析土木工程领域的实际问题，并运用所学知识提出合理</w:t>
            </w:r>
            <w:r>
              <w:rPr>
                <w:rFonts w:hint="eastAsia" w:ascii="仿宋_GB2312" w:hAnsi="仿宋_GB2312" w:eastAsia="仿宋_GB2312" w:cs="仿宋_GB2312"/>
                <w:color w:val="auto"/>
                <w:spacing w:val="-11"/>
                <w:sz w:val="24"/>
              </w:rPr>
              <w:t>的解决方案。注重培养学生的实践能力，通过实验、案例分析等环节，让学生亲身体验土木工程的实际操作，提高解决实际问题的能</w:t>
            </w:r>
            <w:r>
              <w:rPr>
                <w:rFonts w:hint="eastAsia" w:ascii="仿宋_GB2312" w:hAnsi="仿宋_GB2312" w:eastAsia="仿宋_GB2312" w:cs="仿宋_GB2312"/>
                <w:color w:val="auto"/>
                <w:sz w:val="24"/>
              </w:rPr>
              <w:t>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40" w:type="dxa"/>
            <w:vAlign w:val="center"/>
          </w:tcPr>
          <w:p>
            <w:pPr>
              <w:pageBreakBefore w:val="0"/>
              <w:kinsoku/>
              <w:wordWrap/>
              <w:topLinePunct w:val="0"/>
              <w:autoSpaceDE/>
              <w:autoSpaceDN/>
              <w:bidi w:val="0"/>
              <w:spacing w:line="320" w:lineRule="exact"/>
              <w:ind w:lef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w:t>
            </w:r>
          </w:p>
        </w:tc>
        <w:tc>
          <w:tcPr>
            <w:tcW w:w="729" w:type="dxa"/>
            <w:shd w:val="clear" w:color="auto" w:fill="auto"/>
            <w:vAlign w:val="center"/>
          </w:tcPr>
          <w:p>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建筑力学与结构</w:t>
            </w:r>
          </w:p>
        </w:tc>
        <w:tc>
          <w:tcPr>
            <w:tcW w:w="327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静力学基本公理、平面力系简化与平衡条件，建立结构受力分析的理论框架。理解建筑结构的分类、计算简图简化原则，掌握几何不变体系的组成规则及判别方法。熟练静定结构（梁、刚架、桁架）的内力计算与内力图绘制，掌握杆件拉压、扭转、弯曲的应力应变分析及强度刚度验算方法。</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sz w:val="24"/>
                <w:szCs w:val="24"/>
              </w:rPr>
              <w:t>能将实际建筑工程问题简化为力学模型，绘制结构受力图，确定支座约束与荷载传递路径。熟练运用截面法、图乘法、影响线等工具，完成静定 / 超静定结构的内力、位移计算，校核构件强度、刚度与稳定性。</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sz w:val="24"/>
                <w:szCs w:val="24"/>
              </w:rPr>
              <w:t>树立工程伦理与安全意识强化 “安全第一” 的设计理念，培养严谨负责的职业态度。践行理论联系实际，理解结构选型与建筑功能的协同关系，提升综合分析能力。</w:t>
            </w:r>
            <w:r>
              <w:rPr>
                <w:rFonts w:hint="eastAsia" w:ascii="仿宋_GB2312" w:hAnsi="仿宋_GB2312" w:eastAsia="仿宋_GB2312" w:cs="仿宋_GB2312"/>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 w:hAnsi="仿宋" w:eastAsia="仿宋" w:cs="仿宋"/>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sz w:val="24"/>
                <w:szCs w:val="24"/>
              </w:rPr>
              <w:t>感悟中华传统工程文化，增强民族自豪感。结合港珠澳大桥、火神山医院等现代工程案例，诠释力学原理对国家建设的支撑作用，激发行业使命感。：以“结构失效 - 改进”的迭代思维，培养精益求精、实事求是的科研态度。</w:t>
            </w:r>
          </w:p>
        </w:tc>
        <w:tc>
          <w:tcPr>
            <w:tcW w:w="199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力学基础：力的受力分析、平面力系平衡方程（会画受力图、求支座反力）；结构几何组成：自由度计算、几何不变 / 可变体系判别（懂瞬变体系危害）；静定结构分析：梁 / 刚架 / 桁架的内力计算与内力图绘制、组合变形强度验算；变形与稳定：杆件挠度计算（图乘法）、压杆临界力（欧拉公式）、刚度 / 稳等</w:t>
            </w:r>
          </w:p>
        </w:tc>
        <w:tc>
          <w:tcPr>
            <w:tcW w:w="271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理论：掌握核心公式与方法，能独立完成内力计算、内力图绘制、稳定校核；实践：会操作实验设备、处理实验数据，能结合简单工程场景（如楼梯梁、悬挑板）做力学分析；思政：理解工程伦理，树立 “安全第一” 理念，能关联案例理解力学的工程意义。</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7" w:hRule="atLeast"/>
          <w:jc w:val="center"/>
        </w:trPr>
        <w:tc>
          <w:tcPr>
            <w:tcW w:w="740" w:type="dxa"/>
            <w:vAlign w:val="center"/>
          </w:tcPr>
          <w:p>
            <w:pPr>
              <w:pageBreakBefore w:val="0"/>
              <w:kinsoku/>
              <w:wordWrap/>
              <w:topLinePunct w:val="0"/>
              <w:autoSpaceDE/>
              <w:autoSpaceDN/>
              <w:bidi w:val="0"/>
              <w:spacing w:line="320" w:lineRule="exact"/>
              <w:ind w:left="0"/>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1</w:t>
            </w:r>
          </w:p>
        </w:tc>
        <w:tc>
          <w:tcPr>
            <w:tcW w:w="729" w:type="dxa"/>
            <w:shd w:val="clear" w:color="auto" w:fill="auto"/>
            <w:vAlign w:val="center"/>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建筑施工测量</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lang w:val="en-US" w:eastAsia="zh-CN"/>
              </w:rPr>
              <w:t>掌握水准测量、角度测量、距离测量的基本原理与操作规范；理解施工测量在建筑工程（如房屋、道路）各阶段的作用与流程。</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lang w:val="en-US" w:eastAsia="zh-CN"/>
              </w:rPr>
              <w:t>能独立操作水准仪、经纬仪等仪器完成基础测量任务（如标高测设、轴线放线）；能对测量数据进行整理、计算与校核，判断数据准确性。</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lang w:val="en-US" w:eastAsia="zh-CN"/>
              </w:rPr>
              <w:t>养成严谨细致的工作态度，确保测量数据真实、准确，提升团队协作能力，能与施工团队配合完成测量作业</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lang w:val="en-US" w:eastAsia="zh-CN"/>
              </w:rPr>
              <w:t>课程思政</w:t>
            </w:r>
            <w:r>
              <w:rPr>
                <w:rFonts w:hint="eastAsia" w:ascii="仿宋_GB2312" w:hAnsi="仿宋_GB2312" w:eastAsia="仿宋_GB2312" w:cs="仿宋_GB2312"/>
                <w:b/>
                <w:bCs/>
                <w:color w:val="auto"/>
                <w:sz w:val="24"/>
              </w:rPr>
              <w:t>育人目标</w:t>
            </w:r>
            <w:r>
              <w:rPr>
                <w:rFonts w:hint="eastAsia" w:ascii="仿宋" w:hAnsi="仿宋" w:eastAsia="仿宋" w:cs="仿宋"/>
                <w:color w:val="auto"/>
                <w:sz w:val="24"/>
              </w:rPr>
              <w:t>：</w:t>
            </w:r>
            <w:r>
              <w:rPr>
                <w:rFonts w:hint="eastAsia" w:ascii="仿宋_GB2312" w:hAnsi="仿宋_GB2312" w:eastAsia="仿宋_GB2312" w:cs="仿宋_GB2312"/>
                <w:color w:val="auto"/>
                <w:sz w:val="24"/>
                <w:lang w:val="en-US" w:eastAsia="zh-CN"/>
              </w:rPr>
              <w:t>强化责任担当，认识到测量精度对工程质量与安全的重要性，树立 “工匠精神”。</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土石方工程施工测量；基础工程施工测量；钢筋混凝土主体结构施工测量；砌体结构施工测量；钢结构工程施工测量特殊工程施工测量；建筑物变形观测和竣工总平面图测绘。</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学习建筑施工中的测量技术，包括施工放样、变形监测与竣工测量，理解测量误差对施工质量的影响，培养解决实际工程测量问题的能力。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40" w:type="dxa"/>
            <w:vAlign w:val="center"/>
          </w:tcPr>
          <w:p>
            <w:pPr>
              <w:pageBreakBefore w:val="0"/>
              <w:kinsoku/>
              <w:wordWrap/>
              <w:topLinePunct w:val="0"/>
              <w:autoSpaceDE/>
              <w:autoSpaceDN/>
              <w:bidi w:val="0"/>
              <w:adjustRightInd w:val="0"/>
              <w:snapToGrid w:val="0"/>
              <w:spacing w:after="0" w:line="320" w:lineRule="exact"/>
              <w:ind w:left="0"/>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2</w:t>
            </w:r>
          </w:p>
        </w:tc>
        <w:tc>
          <w:tcPr>
            <w:tcW w:w="729" w:type="dxa"/>
            <w:shd w:val="clear" w:color="auto" w:fill="auto"/>
            <w:vAlign w:val="center"/>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安全生产管理</w:t>
            </w:r>
          </w:p>
        </w:tc>
        <w:tc>
          <w:tcPr>
            <w:tcW w:w="3278" w:type="dxa"/>
          </w:tcPr>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 w:hAnsi="仿宋" w:eastAsia="仿宋" w:cs="仿宋"/>
                <w:color w:val="auto"/>
                <w:sz w:val="24"/>
              </w:rPr>
              <w:t>：</w:t>
            </w:r>
            <w:r>
              <w:rPr>
                <w:rFonts w:hint="eastAsia" w:ascii="仿宋_GB2312" w:hAnsi="仿宋_GB2312" w:eastAsia="仿宋_GB2312" w:cs="仿宋_GB2312"/>
                <w:color w:val="auto"/>
                <w:sz w:val="24"/>
              </w:rPr>
              <w:t>掌握安全生产管理概念原理、风险控制方法及安全生产法规知识。</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 w:hAnsi="仿宋" w:eastAsia="仿宋" w:cs="仿宋"/>
                <w:color w:val="auto"/>
                <w:sz w:val="24"/>
              </w:rPr>
              <w:t>：</w:t>
            </w:r>
            <w:r>
              <w:rPr>
                <w:rFonts w:hint="eastAsia" w:ascii="仿宋_GB2312" w:hAnsi="仿宋_GB2312" w:eastAsia="仿宋_GB2312" w:cs="仿宋_GB2312"/>
                <w:color w:val="auto"/>
                <w:sz w:val="24"/>
              </w:rPr>
              <w:t>能依法开展安全生产管理，有效进行风险评估与应急处理。</w:t>
            </w:r>
          </w:p>
          <w:p>
            <w:pPr>
              <w:pageBreakBefore w:val="0"/>
              <w:kinsoku/>
              <w:wordWrap/>
              <w:topLinePunct w:val="0"/>
              <w:autoSpaceDE/>
              <w:autoSpaceDN/>
              <w:bidi w:val="0"/>
              <w:adjustRightInd w:val="0"/>
              <w:snapToGrid w:val="0"/>
              <w:spacing w:after="0" w:line="320" w:lineRule="exact"/>
              <w:ind w:left="0"/>
              <w:jc w:val="lef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 w:hAnsi="仿宋" w:eastAsia="仿宋" w:cs="仿宋"/>
                <w:color w:val="auto"/>
                <w:sz w:val="24"/>
              </w:rPr>
              <w:t>：</w:t>
            </w:r>
            <w:r>
              <w:rPr>
                <w:rFonts w:hint="eastAsia" w:ascii="仿宋_GB2312" w:hAnsi="仿宋_GB2312" w:eastAsia="仿宋_GB2312" w:cs="仿宋_GB2312"/>
                <w:color w:val="auto"/>
                <w:sz w:val="24"/>
              </w:rPr>
              <w:t>养成责任意识、风险敏感度与严谨规范的安全管理素养。</w:t>
            </w:r>
          </w:p>
          <w:p>
            <w:pPr>
              <w:pageBreakBefore w:val="0"/>
              <w:kinsoku/>
              <w:wordWrap/>
              <w:topLinePunct w:val="0"/>
              <w:autoSpaceDE/>
              <w:autoSpaceDN/>
              <w:bidi w:val="0"/>
              <w:adjustRightInd w:val="0"/>
              <w:snapToGrid w:val="0"/>
              <w:spacing w:after="0" w:line="320" w:lineRule="exact"/>
              <w:ind w:left="0"/>
              <w:jc w:val="left"/>
              <w:rPr>
                <w:rFonts w:hint="eastAsia" w:ascii="仿宋" w:hAnsi="仿宋" w:eastAsia="仿宋" w:cs="仿宋"/>
                <w:color w:val="auto"/>
                <w:sz w:val="24"/>
              </w:rPr>
            </w:pPr>
            <w:r>
              <w:rPr>
                <w:rFonts w:hint="eastAsia" w:ascii="仿宋_GB2312" w:hAnsi="仿宋_GB2312" w:eastAsia="仿宋_GB2312" w:cs="仿宋_GB2312"/>
                <w:b/>
                <w:bCs/>
                <w:color w:val="auto"/>
                <w:sz w:val="24"/>
              </w:rPr>
              <w:t>课程思政育人目标</w:t>
            </w:r>
            <w:r>
              <w:rPr>
                <w:rFonts w:hint="eastAsia" w:ascii="仿宋" w:hAnsi="仿宋" w:eastAsia="仿宋" w:cs="仿宋"/>
                <w:color w:val="auto"/>
                <w:sz w:val="24"/>
              </w:rPr>
              <w:t>：</w:t>
            </w:r>
            <w:r>
              <w:rPr>
                <w:rFonts w:hint="eastAsia" w:ascii="仿宋_GB2312" w:hAnsi="仿宋_GB2312" w:eastAsia="仿宋_GB2312" w:cs="仿宋_GB2312"/>
                <w:color w:val="auto"/>
                <w:sz w:val="24"/>
              </w:rPr>
              <w:t>激发安全使命感，培育依法履责、守护生命的担当精神。</w:t>
            </w:r>
          </w:p>
        </w:tc>
        <w:tc>
          <w:tcPr>
            <w:tcW w:w="1993"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介绍安全生产管理的基本概念、原理和目的，让学员了解安全生产管理在企业管理体系中的重要地位和作用。详细讲解国家及地方关于安全生产的法律法规，包括安全生产法、相关条例和规章等，使学员能够依法进行安全生产管理。</w:t>
            </w:r>
          </w:p>
        </w:tc>
        <w:tc>
          <w:tcPr>
            <w:tcW w:w="2718" w:type="dxa"/>
            <w:shd w:val="clear" w:color="auto" w:fill="auto"/>
          </w:tcPr>
          <w:p>
            <w:pPr>
              <w:pageBreakBefore w:val="0"/>
              <w:kinsoku/>
              <w:wordWrap/>
              <w:topLinePunct w:val="0"/>
              <w:autoSpaceDE/>
              <w:autoSpaceDN/>
              <w:bidi w:val="0"/>
              <w:spacing w:line="320" w:lineRule="exact"/>
              <w:ind w:left="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旨在全面融合理论与实践，确保学生在掌握安全生产管理理论、方法与技巧的同时，也深刻理解并遵循相关的法律法规与行业规范。具体而言，本课程不仅要求学生系统学习安全生产管理的基本原理、风险评估与控制、事故预防与应急处理等核心知识，还需深入理解国家及地方关于安全生产的法律法规、政策文件及行业标准，明确企业在安全生产中的主体责任与法律责任。</w:t>
            </w:r>
          </w:p>
        </w:tc>
      </w:tr>
    </w:tbl>
    <w:p>
      <w:pPr>
        <w:pageBreakBefore w:val="0"/>
        <w:kinsoku/>
        <w:wordWrap/>
        <w:topLinePunct w:val="0"/>
        <w:autoSpaceDE/>
        <w:autoSpaceDN/>
        <w:bidi w:val="0"/>
        <w:adjustRightInd w:val="0"/>
        <w:snapToGrid w:val="0"/>
        <w:spacing w:after="0" w:line="520" w:lineRule="exact"/>
        <w:ind w:left="0" w:leftChars="0" w:firstLine="640" w:firstLineChars="200"/>
        <w:outlineLvl w:val="2"/>
        <w:rPr>
          <w:rFonts w:hint="eastAsia" w:ascii="仿宋_GB2312" w:hAnsi="仿宋_GB2312" w:eastAsia="仿宋_GB2312" w:cs="仿宋_GB2312"/>
          <w:color w:val="auto"/>
          <w:sz w:val="32"/>
          <w:szCs w:val="32"/>
        </w:rPr>
      </w:pPr>
      <w:bookmarkStart w:id="35" w:name="_Toc6916"/>
      <w:bookmarkStart w:id="36" w:name="_Toc1830"/>
      <w:bookmarkStart w:id="37" w:name="_Toc9183"/>
      <w:r>
        <w:rPr>
          <w:rFonts w:hint="eastAsia" w:ascii="仿宋_GB2312" w:hAnsi="仿宋_GB2312" w:eastAsia="仿宋_GB2312" w:cs="仿宋_GB2312"/>
          <w:color w:val="auto"/>
          <w:sz w:val="32"/>
          <w:szCs w:val="32"/>
        </w:rPr>
        <w:t>4.实践性教学环节 ：毕业设计、岗位实习。</w:t>
      </w:r>
      <w:bookmarkEnd w:id="35"/>
      <w:bookmarkEnd w:id="36"/>
      <w:bookmarkEnd w:id="37"/>
    </w:p>
    <w:p>
      <w:pPr>
        <w:pageBreakBefore w:val="0"/>
        <w:kinsoku/>
        <w:wordWrap/>
        <w:overflowPunct w:val="0"/>
        <w:topLinePunct w:val="0"/>
        <w:autoSpaceDE/>
        <w:autoSpaceDN/>
        <w:bidi w:val="0"/>
        <w:adjustRightInd w:val="0"/>
        <w:spacing w:after="0" w:line="520" w:lineRule="exact"/>
        <w:ind w:left="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表6实践性教学环节课程目标、主要教学内容与要求</w:t>
      </w:r>
    </w:p>
    <w:tbl>
      <w:tblPr>
        <w:tblStyle w:val="11"/>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764"/>
        <w:gridCol w:w="3119"/>
        <w:gridCol w:w="2676"/>
        <w:gridCol w:w="2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pPr>
              <w:keepNext w:val="0"/>
              <w:keepLines w:val="0"/>
              <w:pageBreakBefore w:val="0"/>
              <w:kinsoku/>
              <w:wordWrap/>
              <w:overflowPunct w:val="0"/>
              <w:topLinePunct w:val="0"/>
              <w:autoSpaceDE/>
              <w:autoSpaceDN/>
              <w:bidi w:val="0"/>
              <w:adjustRightInd w:val="0"/>
              <w:snapToGrid/>
              <w:spacing w:after="0" w:line="360" w:lineRule="exact"/>
              <w:ind w:left="0"/>
              <w:jc w:val="center"/>
              <w:rPr>
                <w:rFonts w:hint="eastAsia" w:ascii="仿宋_GB2312" w:hAnsi="仿宋_GB2312" w:eastAsia="仿宋_GB2312" w:cs="仿宋_GB2312"/>
                <w:color w:val="auto"/>
                <w:sz w:val="24"/>
                <w:szCs w:val="24"/>
              </w:rPr>
            </w:pPr>
            <w:bookmarkStart w:id="38" w:name="OLE_LINK21"/>
            <w:r>
              <w:rPr>
                <w:rFonts w:hint="eastAsia" w:ascii="仿宋_GB2312" w:hAnsi="仿宋_GB2312" w:eastAsia="仿宋_GB2312" w:cs="仿宋_GB2312"/>
                <w:color w:val="auto"/>
                <w:sz w:val="24"/>
                <w:szCs w:val="24"/>
              </w:rPr>
              <w:t>序号</w:t>
            </w:r>
          </w:p>
        </w:tc>
        <w:tc>
          <w:tcPr>
            <w:tcW w:w="764" w:type="dxa"/>
            <w:vAlign w:val="center"/>
          </w:tcPr>
          <w:p>
            <w:pPr>
              <w:keepNext w:val="0"/>
              <w:keepLines w:val="0"/>
              <w:pageBreakBefore w:val="0"/>
              <w:kinsoku/>
              <w:wordWrap/>
              <w:topLinePunct w:val="0"/>
              <w:autoSpaceDE/>
              <w:autoSpaceDN/>
              <w:bidi w:val="0"/>
              <w:snapToGrid/>
              <w:spacing w:after="0" w:line="36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 名称</w:t>
            </w:r>
          </w:p>
        </w:tc>
        <w:tc>
          <w:tcPr>
            <w:tcW w:w="3119" w:type="dxa"/>
            <w:vAlign w:val="center"/>
          </w:tcPr>
          <w:p>
            <w:pPr>
              <w:keepNext w:val="0"/>
              <w:keepLines w:val="0"/>
              <w:pageBreakBefore w:val="0"/>
              <w:kinsoku/>
              <w:wordWrap/>
              <w:topLinePunct w:val="0"/>
              <w:autoSpaceDE/>
              <w:autoSpaceDN/>
              <w:bidi w:val="0"/>
              <w:snapToGrid/>
              <w:spacing w:after="0" w:line="36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课程目标</w:t>
            </w:r>
          </w:p>
        </w:tc>
        <w:tc>
          <w:tcPr>
            <w:tcW w:w="2676" w:type="dxa"/>
            <w:vAlign w:val="center"/>
          </w:tcPr>
          <w:p>
            <w:pPr>
              <w:keepNext w:val="0"/>
              <w:keepLines w:val="0"/>
              <w:pageBreakBefore w:val="0"/>
              <w:kinsoku/>
              <w:wordWrap/>
              <w:topLinePunct w:val="0"/>
              <w:autoSpaceDE/>
              <w:autoSpaceDN/>
              <w:bidi w:val="0"/>
              <w:snapToGrid/>
              <w:spacing w:after="0" w:line="36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主要教学内容</w:t>
            </w:r>
          </w:p>
        </w:tc>
        <w:tc>
          <w:tcPr>
            <w:tcW w:w="2710" w:type="dxa"/>
            <w:vAlign w:val="center"/>
          </w:tcPr>
          <w:p>
            <w:pPr>
              <w:keepNext w:val="0"/>
              <w:keepLines w:val="0"/>
              <w:pageBreakBefore w:val="0"/>
              <w:kinsoku/>
              <w:wordWrap/>
              <w:topLinePunct w:val="0"/>
              <w:autoSpaceDE/>
              <w:autoSpaceDN/>
              <w:bidi w:val="0"/>
              <w:snapToGrid/>
              <w:spacing w:after="0" w:line="36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7" w:type="dxa"/>
            <w:vAlign w:val="center"/>
          </w:tcPr>
          <w:p>
            <w:pPr>
              <w:keepNext w:val="0"/>
              <w:keepLines w:val="0"/>
              <w:pageBreakBefore w:val="0"/>
              <w:kinsoku/>
              <w:wordWrap/>
              <w:topLinePunct w:val="0"/>
              <w:autoSpaceDE/>
              <w:autoSpaceDN/>
              <w:bidi w:val="0"/>
              <w:snapToGrid/>
              <w:spacing w:after="0" w:line="32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764" w:type="dxa"/>
            <w:vAlign w:val="center"/>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毕业设计</w:t>
            </w:r>
          </w:p>
        </w:tc>
        <w:tc>
          <w:tcPr>
            <w:tcW w:w="3119" w:type="dxa"/>
          </w:tcPr>
          <w:p>
            <w:pPr>
              <w:keepNext w:val="0"/>
              <w:keepLines w:val="0"/>
              <w:pageBreakBefore w:val="0"/>
              <w:widowControl/>
              <w:kinsoku/>
              <w:wordWrap/>
              <w:topLinePunct w:val="0"/>
              <w:autoSpaceDE/>
              <w:autoSpaceDN/>
              <w:bidi w:val="0"/>
              <w:snapToGrid/>
              <w:spacing w:after="0" w:line="320" w:lineRule="exact"/>
              <w:ind w:left="0"/>
              <w:textAlignment w:val="center"/>
              <w:rPr>
                <w:rFonts w:hint="eastAsia" w:ascii="仿宋_GB2312" w:hAnsi="仿宋_GB2312" w:eastAsia="仿宋_GB2312" w:cs="仿宋_GB2312"/>
                <w:color w:val="auto"/>
                <w:sz w:val="24"/>
                <w:szCs w:val="24"/>
              </w:rPr>
            </w:pPr>
            <w:r>
              <w:rPr>
                <w:rStyle w:val="16"/>
                <w:rFonts w:hint="eastAsia" w:ascii="仿宋_GB2312" w:hAnsi="仿宋_GB2312" w:eastAsia="仿宋_GB2312" w:cs="仿宋_GB2312"/>
                <w:b/>
                <w:bCs/>
                <w:color w:val="auto"/>
                <w:sz w:val="24"/>
                <w:szCs w:val="24"/>
                <w:lang w:bidi="ar"/>
              </w:rPr>
              <w:t>知识目标：</w:t>
            </w:r>
            <w:r>
              <w:rPr>
                <w:rFonts w:hint="eastAsia" w:ascii="仿宋_GB2312" w:hAnsi="仿宋_GB2312" w:eastAsia="仿宋_GB2312" w:cs="仿宋_GB2312"/>
                <w:color w:val="auto"/>
                <w:sz w:val="24"/>
                <w:szCs w:val="24"/>
              </w:rPr>
              <w:t>掌握本专业核心理论与设计方法，能整合知识解决毕业设计实际问题。</w:t>
            </w:r>
          </w:p>
          <w:p>
            <w:pPr>
              <w:keepNext w:val="0"/>
              <w:keepLines w:val="0"/>
              <w:pageBreakBefore w:val="0"/>
              <w:widowControl/>
              <w:kinsoku/>
              <w:wordWrap/>
              <w:topLinePunct w:val="0"/>
              <w:autoSpaceDE/>
              <w:autoSpaceDN/>
              <w:bidi w:val="0"/>
              <w:snapToGrid/>
              <w:spacing w:after="0" w:line="320" w:lineRule="exact"/>
              <w:ind w:left="0"/>
              <w:textAlignment w:val="center"/>
              <w:rPr>
                <w:rStyle w:val="16"/>
                <w:rFonts w:hint="eastAsia" w:ascii="仿宋_GB2312" w:hAnsi="仿宋_GB2312" w:eastAsia="仿宋_GB2312" w:cs="仿宋_GB2312"/>
                <w:color w:val="auto"/>
                <w:sz w:val="24"/>
                <w:szCs w:val="24"/>
                <w:lang w:bidi="ar"/>
              </w:rPr>
            </w:pPr>
            <w:r>
              <w:rPr>
                <w:rStyle w:val="16"/>
                <w:rFonts w:hint="eastAsia" w:ascii="仿宋_GB2312" w:hAnsi="仿宋_GB2312" w:eastAsia="仿宋_GB2312" w:cs="仿宋_GB2312"/>
                <w:b/>
                <w:bCs/>
                <w:color w:val="auto"/>
                <w:sz w:val="24"/>
                <w:szCs w:val="24"/>
                <w:lang w:bidi="ar"/>
              </w:rPr>
              <w:t>能力目标：</w:t>
            </w:r>
            <w:r>
              <w:rPr>
                <w:rFonts w:hint="eastAsia" w:ascii="仿宋_GB2312" w:hAnsi="仿宋_GB2312" w:eastAsia="仿宋_GB2312" w:cs="仿宋_GB2312"/>
                <w:color w:val="auto"/>
                <w:sz w:val="24"/>
                <w:szCs w:val="24"/>
              </w:rPr>
              <w:t>提升调研、设计、实践与答辩能力，独立完成高质量毕业设计。</w:t>
            </w:r>
          </w:p>
          <w:p>
            <w:pPr>
              <w:keepNext w:val="0"/>
              <w:keepLines w:val="0"/>
              <w:pageBreakBefore w:val="0"/>
              <w:widowControl/>
              <w:kinsoku/>
              <w:wordWrap/>
              <w:topLinePunct w:val="0"/>
              <w:autoSpaceDE/>
              <w:autoSpaceDN/>
              <w:bidi w:val="0"/>
              <w:snapToGrid/>
              <w:spacing w:after="0" w:line="320" w:lineRule="exact"/>
              <w:ind w:left="0"/>
              <w:textAlignment w:val="center"/>
              <w:rPr>
                <w:rStyle w:val="16"/>
                <w:rFonts w:hint="eastAsia" w:ascii="仿宋_GB2312" w:hAnsi="仿宋_GB2312" w:eastAsia="仿宋_GB2312" w:cs="仿宋_GB2312"/>
                <w:color w:val="auto"/>
                <w:sz w:val="24"/>
                <w:szCs w:val="24"/>
                <w:lang w:bidi="ar"/>
              </w:rPr>
            </w:pPr>
            <w:r>
              <w:rPr>
                <w:rStyle w:val="16"/>
                <w:rFonts w:hint="eastAsia" w:ascii="仿宋_GB2312" w:hAnsi="仿宋_GB2312" w:eastAsia="仿宋_GB2312" w:cs="仿宋_GB2312"/>
                <w:b/>
                <w:bCs/>
                <w:color w:val="auto"/>
                <w:sz w:val="24"/>
                <w:szCs w:val="24"/>
                <w:lang w:bidi="ar"/>
              </w:rPr>
              <w:t>素质目标：</w:t>
            </w:r>
            <w:r>
              <w:rPr>
                <w:rFonts w:hint="eastAsia" w:ascii="仿宋_GB2312" w:hAnsi="仿宋_GB2312" w:eastAsia="仿宋_GB2312" w:cs="仿宋_GB2312"/>
                <w:color w:val="auto"/>
                <w:sz w:val="24"/>
                <w:szCs w:val="24"/>
              </w:rPr>
              <w:t>培养严谨治学态度、创新思维与责任意识，适应专业岗位要求。</w:t>
            </w:r>
          </w:p>
          <w:p>
            <w:pPr>
              <w:keepNext w:val="0"/>
              <w:keepLines w:val="0"/>
              <w:pageBreakBefore w:val="0"/>
              <w:widowControl/>
              <w:kinsoku/>
              <w:wordWrap/>
              <w:topLinePunct w:val="0"/>
              <w:autoSpaceDE/>
              <w:autoSpaceDN/>
              <w:bidi w:val="0"/>
              <w:snapToGrid/>
              <w:spacing w:after="0" w:line="320" w:lineRule="exact"/>
              <w:ind w:left="0"/>
              <w:textAlignment w:val="center"/>
              <w:rPr>
                <w:rFonts w:hint="eastAsia" w:ascii="仿宋_GB2312" w:hAnsi="仿宋_GB2312" w:eastAsia="仿宋_GB2312" w:cs="仿宋_GB2312"/>
                <w:color w:val="auto"/>
                <w:sz w:val="24"/>
                <w:szCs w:val="24"/>
              </w:rPr>
            </w:pPr>
            <w:r>
              <w:rPr>
                <w:rStyle w:val="16"/>
                <w:rFonts w:hint="eastAsia" w:ascii="仿宋_GB2312" w:hAnsi="仿宋_GB2312" w:eastAsia="仿宋_GB2312" w:cs="仿宋_GB2312"/>
                <w:b/>
                <w:bCs/>
                <w:color w:val="auto"/>
                <w:sz w:val="24"/>
                <w:szCs w:val="24"/>
                <w:lang w:bidi="ar"/>
              </w:rPr>
              <w:t>课程思政育人目标：</w:t>
            </w:r>
            <w:r>
              <w:rPr>
                <w:rFonts w:hint="eastAsia" w:ascii="仿宋_GB2312" w:hAnsi="仿宋_GB2312" w:eastAsia="仿宋_GB2312" w:cs="仿宋_GB2312"/>
                <w:color w:val="auto"/>
                <w:sz w:val="24"/>
                <w:szCs w:val="24"/>
              </w:rPr>
              <w:t>厚植家国情怀，树立正确设计观，传承精益求精的工匠精神。</w:t>
            </w:r>
          </w:p>
        </w:tc>
        <w:tc>
          <w:tcPr>
            <w:tcW w:w="2676" w:type="dxa"/>
          </w:tcPr>
          <w:p>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atLeast"/>
              <w:ind w:left="0" w:leftChars="0" w:right="0" w:rightChars="0"/>
              <w:jc w:val="left"/>
              <w:textAlignment w:val="auto"/>
              <w:rPr>
                <w:rFonts w:hint="eastAsia" w:ascii="仿宋_GB2312" w:hAnsi="仿宋_GB2312" w:eastAsia="仿宋_GB2312" w:cs="仿宋_GB2312"/>
                <w:color w:val="auto"/>
                <w:kern w:val="2"/>
                <w:sz w:val="24"/>
                <w:szCs w:val="24"/>
                <w:lang w:val="en-US" w:eastAsia="zh-CN" w:bidi="ar"/>
              </w:rPr>
            </w:pPr>
            <w:r>
              <w:rPr>
                <w:rFonts w:hint="eastAsia" w:ascii="仿宋_GB2312" w:hAnsi="仿宋_GB2312" w:eastAsia="仿宋_GB2312" w:cs="仿宋_GB2312"/>
                <w:color w:val="auto"/>
                <w:kern w:val="2"/>
                <w:sz w:val="24"/>
                <w:szCs w:val="24"/>
                <w:lang w:val="en-US" w:eastAsia="zh-CN" w:bidi="ar"/>
              </w:rPr>
              <w:t>解读专业方向与行业热点，讲解选题原则，确定论文题目；指导学生用专业数据库检索文献并撰写综述；</w:t>
            </w:r>
            <w:r>
              <w:rPr>
                <w:rFonts w:hint="eastAsia" w:ascii="仿宋_GB2312" w:hAnsi="仿宋_GB2312" w:eastAsia="仿宋_GB2312" w:cs="仿宋_GB2312"/>
                <w:color w:val="auto"/>
                <w:sz w:val="24"/>
                <w:szCs w:val="24"/>
                <w:lang w:val="en-US" w:eastAsia="zh-CN"/>
              </w:rPr>
              <w:t>以所在实习企业为研究对象，通过实地调查、收集资料，</w:t>
            </w:r>
            <w:r>
              <w:rPr>
                <w:rFonts w:hint="eastAsia" w:ascii="仿宋_GB2312" w:hAnsi="仿宋_GB2312" w:eastAsia="仿宋_GB2312" w:cs="仿宋_GB2312"/>
                <w:color w:val="auto"/>
                <w:kern w:val="2"/>
                <w:sz w:val="24"/>
                <w:szCs w:val="24"/>
                <w:lang w:val="en-US" w:eastAsia="zh-CN" w:bidi="ar"/>
              </w:rPr>
              <w:t>结合选题设计研究方案；明确论文结构，论文撰写原则与要求；</w:t>
            </w:r>
          </w:p>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2"/>
                <w:sz w:val="24"/>
                <w:szCs w:val="24"/>
                <w:lang w:val="en-US" w:eastAsia="zh-CN" w:bidi="ar"/>
              </w:rPr>
              <w:t>指导答辩问答，组织答辩会评定成绩。</w:t>
            </w:r>
          </w:p>
        </w:tc>
        <w:tc>
          <w:tcPr>
            <w:tcW w:w="2710" w:type="dxa"/>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要求学生在导师指导下，综合运用所学专业知识与技能，完成具有创新性和实用性的设计项目或研究课题。通过毕业设计，培养学生独立分析问题、解决问题的能力，提升研究能力、创新能力及团队协作精神，为职业生涯奠定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pPr>
              <w:keepNext w:val="0"/>
              <w:keepLines w:val="0"/>
              <w:pageBreakBefore w:val="0"/>
              <w:kinsoku/>
              <w:wordWrap/>
              <w:topLinePunct w:val="0"/>
              <w:autoSpaceDE/>
              <w:autoSpaceDN/>
              <w:bidi w:val="0"/>
              <w:snapToGrid/>
              <w:spacing w:after="0" w:line="32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64" w:type="dxa"/>
            <w:vAlign w:val="center"/>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岗位实习</w:t>
            </w:r>
          </w:p>
        </w:tc>
        <w:tc>
          <w:tcPr>
            <w:tcW w:w="3119" w:type="dxa"/>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kern w:val="0"/>
                <w:sz w:val="24"/>
                <w:szCs w:val="24"/>
                <w:lang w:bidi="ar"/>
              </w:rPr>
              <w:t>知识目标：</w:t>
            </w:r>
            <w:r>
              <w:rPr>
                <w:rFonts w:hint="eastAsia" w:ascii="仿宋_GB2312" w:hAnsi="仿宋_GB2312" w:eastAsia="仿宋_GB2312" w:cs="仿宋_GB2312"/>
                <w:color w:val="auto"/>
                <w:sz w:val="24"/>
                <w:szCs w:val="24"/>
              </w:rPr>
              <w:t>掌握岗位所需专业知识与行业规范，理解理论在实际工作中的应用。</w:t>
            </w:r>
          </w:p>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kern w:val="0"/>
                <w:sz w:val="24"/>
                <w:szCs w:val="24"/>
                <w:lang w:bidi="ar"/>
              </w:rPr>
              <w:t>能力目标：</w:t>
            </w:r>
            <w:r>
              <w:rPr>
                <w:rFonts w:hint="eastAsia" w:ascii="仿宋_GB2312" w:hAnsi="仿宋_GB2312" w:eastAsia="仿宋_GB2312" w:cs="仿宋_GB2312"/>
                <w:color w:val="auto"/>
                <w:sz w:val="24"/>
                <w:szCs w:val="24"/>
              </w:rPr>
              <w:t>提升岗位实操、沟通协作与问题解决能力，适应职场工作节奏。</w:t>
            </w:r>
          </w:p>
          <w:p>
            <w:pPr>
              <w:keepNext w:val="0"/>
              <w:keepLines w:val="0"/>
              <w:pageBreakBefore w:val="0"/>
              <w:widowControl/>
              <w:kinsoku/>
              <w:wordWrap/>
              <w:topLinePunct w:val="0"/>
              <w:autoSpaceDE/>
              <w:autoSpaceDN/>
              <w:bidi w:val="0"/>
              <w:snapToGrid/>
              <w:spacing w:after="0" w:line="320" w:lineRule="exact"/>
              <w:ind w:left="0"/>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kern w:val="0"/>
                <w:sz w:val="24"/>
                <w:szCs w:val="24"/>
                <w:lang w:bidi="ar"/>
              </w:rPr>
              <w:t>素质目标：</w:t>
            </w:r>
            <w:r>
              <w:rPr>
                <w:rFonts w:hint="eastAsia" w:ascii="仿宋_GB2312" w:hAnsi="仿宋_GB2312" w:eastAsia="仿宋_GB2312" w:cs="仿宋_GB2312"/>
                <w:color w:val="auto"/>
                <w:sz w:val="24"/>
                <w:szCs w:val="24"/>
              </w:rPr>
              <w:t>培养职业素养、敬业精神与时间管理能力，树立正确职业观。</w:t>
            </w:r>
          </w:p>
          <w:p>
            <w:pPr>
              <w:keepNext w:val="0"/>
              <w:keepLines w:val="0"/>
              <w:pageBreakBefore w:val="0"/>
              <w:widowControl/>
              <w:kinsoku/>
              <w:wordWrap/>
              <w:topLinePunct w:val="0"/>
              <w:autoSpaceDE/>
              <w:autoSpaceDN/>
              <w:bidi w:val="0"/>
              <w:snapToGrid/>
              <w:spacing w:after="0" w:line="320" w:lineRule="exact"/>
              <w:ind w:left="0"/>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kern w:val="0"/>
                <w:sz w:val="24"/>
                <w:szCs w:val="24"/>
                <w:lang w:bidi="ar"/>
              </w:rPr>
              <w:t>课程思政育人目标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rPr>
              <w:t>增强职业责任感与社会使命感，践行行业道德与诚信准则。</w:t>
            </w:r>
          </w:p>
        </w:tc>
        <w:tc>
          <w:tcPr>
            <w:tcW w:w="2676" w:type="dxa"/>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测绘工程师岗位实习、地理信息系统分析师岗位实习、建筑测量技术员岗位实习</w:t>
            </w:r>
          </w:p>
        </w:tc>
        <w:tc>
          <w:tcPr>
            <w:tcW w:w="2710" w:type="dxa"/>
          </w:tcPr>
          <w:p>
            <w:pPr>
              <w:keepNext w:val="0"/>
              <w:keepLines w:val="0"/>
              <w:pageBreakBefore w:val="0"/>
              <w:kinsoku/>
              <w:wordWrap/>
              <w:topLinePunct w:val="0"/>
              <w:autoSpaceDE/>
              <w:autoSpaceDN/>
              <w:bidi w:val="0"/>
              <w:snapToGrid/>
              <w:spacing w:after="0" w:line="32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安排学生到相关企事业单位进行岗位实习，亲身体验测绘工程、地理信息系统等领域的工作环境，了解行业规范与工作流程。通过实习，学生能够将所学理论知识与实际工作相结合，增强职业素养与就业竞争力，为毕业后顺利进入职场做好准备。</w:t>
            </w:r>
          </w:p>
        </w:tc>
      </w:tr>
      <w:bookmarkEnd w:id="38"/>
    </w:tbl>
    <w:p>
      <w:pPr>
        <w:pageBreakBefore w:val="0"/>
        <w:kinsoku/>
        <w:wordWrap/>
        <w:topLinePunct w:val="0"/>
        <w:autoSpaceDE/>
        <w:autoSpaceDN/>
        <w:bidi w:val="0"/>
        <w:spacing w:after="0" w:line="520" w:lineRule="exact"/>
        <w:ind w:left="0" w:leftChars="0" w:firstLine="640" w:firstLineChars="200"/>
        <w:outlineLvl w:val="1"/>
        <w:rPr>
          <w:rFonts w:hint="eastAsia" w:ascii="楷体" w:hAnsi="楷体" w:eastAsia="楷体" w:cs="楷体"/>
          <w:color w:val="auto"/>
          <w:sz w:val="32"/>
          <w:szCs w:val="32"/>
        </w:rPr>
      </w:pPr>
      <w:bookmarkStart w:id="39" w:name="_Toc22700"/>
      <w:r>
        <w:rPr>
          <w:rFonts w:hint="eastAsia" w:ascii="楷体" w:hAnsi="楷体" w:eastAsia="楷体" w:cs="楷体"/>
          <w:color w:val="auto"/>
          <w:sz w:val="32"/>
          <w:szCs w:val="32"/>
        </w:rPr>
        <w:t>（三）第二课堂素质教育课</w:t>
      </w:r>
      <w:bookmarkEnd w:id="39"/>
    </w:p>
    <w:p>
      <w:pPr>
        <w:pageBreakBefore w:val="0"/>
        <w:kinsoku/>
        <w:wordWrap/>
        <w:overflowPunct w:val="0"/>
        <w:topLinePunct w:val="0"/>
        <w:autoSpaceDE/>
        <w:autoSpaceDN/>
        <w:bidi w:val="0"/>
        <w:adjustRightInd w:val="0"/>
        <w:spacing w:after="0" w:line="520" w:lineRule="exact"/>
        <w:ind w:left="0" w:leftChars="0" w:firstLine="640" w:firstLineChars="200"/>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第二课堂素质教育课包括思想成长、实践实习、创新创业、志愿公益、文体活动、工作履历、专业技能特长等其他各类课程及活动。</w:t>
      </w:r>
    </w:p>
    <w:p>
      <w:pPr>
        <w:pageBreakBefore w:val="0"/>
        <w:kinsoku/>
        <w:wordWrap/>
        <w:overflowPunct w:val="0"/>
        <w:topLinePunct w:val="0"/>
        <w:autoSpaceDE/>
        <w:autoSpaceDN/>
        <w:bidi w:val="0"/>
        <w:adjustRightInd w:val="0"/>
        <w:spacing w:after="0" w:line="520" w:lineRule="exact"/>
        <w:ind w:left="0" w:leftChars="0"/>
        <w:jc w:val="center"/>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表7 第二课堂素质教育课安排表</w:t>
      </w:r>
    </w:p>
    <w:tbl>
      <w:tblPr>
        <w:tblStyle w:val="11"/>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48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pageBreakBefore w:val="0"/>
              <w:kinsoku/>
              <w:wordWrap/>
              <w:overflowPunct w:val="0"/>
              <w:topLinePunct w:val="0"/>
              <w:autoSpaceDE/>
              <w:autoSpaceDN/>
              <w:bidi w:val="0"/>
              <w:adjustRightInd w:val="0"/>
              <w:spacing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模块</w:t>
            </w:r>
          </w:p>
        </w:tc>
        <w:tc>
          <w:tcPr>
            <w:tcW w:w="3573" w:type="dxa"/>
            <w:vAlign w:val="center"/>
          </w:tcPr>
          <w:p>
            <w:pPr>
              <w:pageBreakBefore w:val="0"/>
              <w:kinsoku/>
              <w:wordWrap/>
              <w:topLinePunct w:val="0"/>
              <w:autoSpaceDE/>
              <w:autoSpaceDN/>
              <w:bidi w:val="0"/>
              <w:spacing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内容</w:t>
            </w:r>
          </w:p>
        </w:tc>
        <w:tc>
          <w:tcPr>
            <w:tcW w:w="880" w:type="dxa"/>
            <w:vAlign w:val="center"/>
          </w:tcPr>
          <w:p>
            <w:pPr>
              <w:pageBreakBefore w:val="0"/>
              <w:kinsoku/>
              <w:wordWrap/>
              <w:topLinePunct w:val="0"/>
              <w:autoSpaceDE/>
              <w:autoSpaceDN/>
              <w:bidi w:val="0"/>
              <w:spacing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pageBreakBefore w:val="0"/>
              <w:kinsoku/>
              <w:wordWrap/>
              <w:topLinePunct w:val="0"/>
              <w:autoSpaceDE/>
              <w:autoSpaceDN/>
              <w:bidi w:val="0"/>
              <w:spacing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认定者</w:t>
            </w:r>
          </w:p>
        </w:tc>
        <w:tc>
          <w:tcPr>
            <w:tcW w:w="1486" w:type="dxa"/>
            <w:vAlign w:val="center"/>
          </w:tcPr>
          <w:p>
            <w:pPr>
              <w:pageBreakBefore w:val="0"/>
              <w:kinsoku/>
              <w:wordWrap/>
              <w:topLinePunct w:val="0"/>
              <w:autoSpaceDE/>
              <w:autoSpaceDN/>
              <w:bidi w:val="0"/>
              <w:spacing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计分标准</w:t>
            </w:r>
          </w:p>
        </w:tc>
        <w:tc>
          <w:tcPr>
            <w:tcW w:w="986" w:type="dxa"/>
            <w:vAlign w:val="center"/>
          </w:tcPr>
          <w:p>
            <w:pPr>
              <w:pageBreakBefore w:val="0"/>
              <w:kinsoku/>
              <w:wordWrap/>
              <w:topLinePunct w:val="0"/>
              <w:autoSpaceDE/>
              <w:autoSpaceDN/>
              <w:bidi w:val="0"/>
              <w:spacing w:line="36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思想成长</w:t>
            </w:r>
          </w:p>
        </w:tc>
        <w:tc>
          <w:tcPr>
            <w:tcW w:w="3573" w:type="dxa"/>
            <w:vAlign w:val="center"/>
          </w:tcPr>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1.思想政治教育主题讲座、形势与政策报告会</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2.爱国主义教育活动</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3.党团组织生活</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4.党团培训 </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5.青年大学习</w:t>
            </w:r>
          </w:p>
        </w:tc>
        <w:tc>
          <w:tcPr>
            <w:tcW w:w="88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86"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986" w:type="dxa"/>
            <w:vMerge w:val="restart"/>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第二课堂成绩由网络管理系 统（到梦 空间）实 时记录，学生在大一、 大二期间积分达60分及以上，可获4学分。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实践实习</w:t>
            </w:r>
          </w:p>
        </w:tc>
        <w:tc>
          <w:tcPr>
            <w:tcW w:w="3573" w:type="dxa"/>
            <w:vAlign w:val="center"/>
          </w:tcPr>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1.暑期“三下乡”社会实践活动 2.寒暑假“返家乡”实践活动 </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3.企业见习实践 </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4.上级、校院交予专项工作项目实践活动含兼挂职锻炼 </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5.新闻宣传报道被学校、学院采用或转发 </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6.晨读</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7.劳动精神、劳模精神、工匠精神专题教育 </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8.实践活动的相关荣誉</w:t>
            </w:r>
          </w:p>
        </w:tc>
        <w:tc>
          <w:tcPr>
            <w:tcW w:w="88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86"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986" w:type="dxa"/>
            <w:vMerge w:val="continue"/>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创新创业</w:t>
            </w:r>
          </w:p>
        </w:tc>
        <w:tc>
          <w:tcPr>
            <w:tcW w:w="3573"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1.发表文章、出版专著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2.发明专利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3.创新创业项目竞赛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4.创新创业项目培训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5.创新创业课程、讲座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6.自主创业</w:t>
            </w:r>
          </w:p>
        </w:tc>
        <w:tc>
          <w:tcPr>
            <w:tcW w:w="88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86"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986" w:type="dxa"/>
            <w:vMerge w:val="continue"/>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志愿公益</w:t>
            </w:r>
          </w:p>
        </w:tc>
        <w:tc>
          <w:tcPr>
            <w:tcW w:w="3573"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1.校级、学院、社团、班级等学生组织开展的志愿服务活动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2.无偿献血活动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3.捐献造血干细胞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4.相关公益类宣传讲座、报告会等志愿服务表彰</w:t>
            </w:r>
          </w:p>
          <w:p>
            <w:pPr>
              <w:pageBreakBefore w:val="0"/>
              <w:kinsoku/>
              <w:wordWrap/>
              <w:topLinePunct w:val="0"/>
              <w:autoSpaceDE/>
              <w:autoSpaceDN/>
              <w:bidi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5.公益劳动 </w:t>
            </w:r>
          </w:p>
        </w:tc>
        <w:tc>
          <w:tcPr>
            <w:tcW w:w="88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86"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986" w:type="dxa"/>
            <w:vMerge w:val="continue"/>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pageBreakBefore w:val="0"/>
              <w:kinsoku/>
              <w:wordWrap/>
              <w:overflowPunct w:val="0"/>
              <w:topLinePunct w:val="0"/>
              <w:autoSpaceDE/>
              <w:autoSpaceDN/>
              <w:bidi w:val="0"/>
              <w:adjustRightInd w:val="0"/>
              <w:spacing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文体活动 </w:t>
            </w:r>
          </w:p>
        </w:tc>
        <w:tc>
          <w:tcPr>
            <w:tcW w:w="3573"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1.文艺竞赛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2.体育竞赛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3.文艺演出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4.体育活动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5.文体讲座</w:t>
            </w:r>
          </w:p>
        </w:tc>
        <w:tc>
          <w:tcPr>
            <w:tcW w:w="88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86"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986" w:type="dxa"/>
            <w:vMerge w:val="continue"/>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pageBreakBefore w:val="0"/>
              <w:kinsoku/>
              <w:wordWrap/>
              <w:overflowPunct w:val="0"/>
              <w:topLinePunct w:val="0"/>
              <w:autoSpaceDE/>
              <w:autoSpaceDN/>
              <w:bidi w:val="0"/>
              <w:adjustRightInd w:val="0"/>
              <w:spacing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工作履历 </w:t>
            </w:r>
          </w:p>
        </w:tc>
        <w:tc>
          <w:tcPr>
            <w:tcW w:w="3573"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1.团学干部任职</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2.团学先进个人</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3.勤工俭学</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4.社会任职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5.退伍军人</w:t>
            </w:r>
          </w:p>
        </w:tc>
        <w:tc>
          <w:tcPr>
            <w:tcW w:w="88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86"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986" w:type="dxa"/>
            <w:vMerge w:val="continue"/>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技能特长 </w:t>
            </w:r>
          </w:p>
        </w:tc>
        <w:tc>
          <w:tcPr>
            <w:tcW w:w="3573"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1.职业资格证书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2.职业技能证书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3.机动车驾驶证</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4.从业人员上岗资格证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5.技能比赛获奖</w:t>
            </w:r>
          </w:p>
        </w:tc>
        <w:tc>
          <w:tcPr>
            <w:tcW w:w="88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86"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986" w:type="dxa"/>
            <w:vMerge w:val="continue"/>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pageBreakBefore w:val="0"/>
              <w:kinsoku/>
              <w:wordWrap/>
              <w:overflowPunct w:val="0"/>
              <w:topLinePunct w:val="0"/>
              <w:autoSpaceDE/>
              <w:autoSpaceDN/>
              <w:bidi w:val="0"/>
              <w:adjustRightInd w:val="0"/>
              <w:spacing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其他</w:t>
            </w:r>
          </w:p>
        </w:tc>
        <w:tc>
          <w:tcPr>
            <w:tcW w:w="3573" w:type="dxa"/>
            <w:vAlign w:val="center"/>
          </w:tcPr>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1.其他证书（社会职业类证书）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 xml:space="preserve">2.校内各单位其他类型活动 </w:t>
            </w:r>
          </w:p>
          <w:p>
            <w:pPr>
              <w:pageBreakBefore w:val="0"/>
              <w:kinsoku/>
              <w:wordWrap/>
              <w:overflowPunct w:val="0"/>
              <w:topLinePunct w:val="0"/>
              <w:autoSpaceDE/>
              <w:autoSpaceDN/>
              <w:bidi w:val="0"/>
              <w:adjustRightInd w:val="0"/>
              <w:spacing w:after="0" w:line="240" w:lineRule="atLeast"/>
              <w:ind w:left="0"/>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3.升旗仪式工作人员</w:t>
            </w:r>
          </w:p>
        </w:tc>
        <w:tc>
          <w:tcPr>
            <w:tcW w:w="88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自选</w:t>
            </w:r>
          </w:p>
        </w:tc>
        <w:tc>
          <w:tcPr>
            <w:tcW w:w="1013"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校团委</w:t>
            </w:r>
          </w:p>
        </w:tc>
        <w:tc>
          <w:tcPr>
            <w:tcW w:w="1486" w:type="dxa"/>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“第二课堂成绩单”活动各模块计分标准</w:t>
            </w:r>
          </w:p>
        </w:tc>
        <w:tc>
          <w:tcPr>
            <w:tcW w:w="986" w:type="dxa"/>
            <w:vMerge w:val="continue"/>
            <w:vAlign w:val="center"/>
          </w:tcPr>
          <w:p>
            <w:pPr>
              <w:pageBreakBefore w:val="0"/>
              <w:kinsoku/>
              <w:wordWrap/>
              <w:overflowPunct w:val="0"/>
              <w:topLinePunct w:val="0"/>
              <w:autoSpaceDE/>
              <w:autoSpaceDN/>
              <w:bidi w:val="0"/>
              <w:adjustRightInd w:val="0"/>
              <w:spacing w:after="0" w:line="240" w:lineRule="atLeast"/>
              <w:ind w:left="0"/>
              <w:jc w:val="center"/>
              <w:rPr>
                <w:rFonts w:ascii="仿宋_GB2312" w:hAnsi="仿宋_GB2312" w:eastAsia="仿宋_GB2312" w:cs="仿宋_GB2312"/>
                <w:color w:val="auto"/>
                <w:sz w:val="24"/>
              </w:rPr>
            </w:pPr>
          </w:p>
        </w:tc>
      </w:tr>
    </w:tbl>
    <w:p>
      <w:pPr>
        <w:pageBreakBefore w:val="0"/>
        <w:kinsoku/>
        <w:wordWrap/>
        <w:overflowPunct w:val="0"/>
        <w:topLinePunct w:val="0"/>
        <w:autoSpaceDE/>
        <w:autoSpaceDN/>
        <w:bidi w:val="0"/>
        <w:adjustRightInd w:val="0"/>
        <w:spacing w:after="0" w:line="520" w:lineRule="exact"/>
        <w:ind w:left="0" w:firstLine="640" w:firstLineChars="200"/>
        <w:outlineLvl w:val="0"/>
        <w:rPr>
          <w:rFonts w:hint="eastAsia" w:ascii="黑体" w:hAnsi="黑体" w:eastAsia="黑体"/>
          <w:color w:val="auto"/>
          <w:sz w:val="32"/>
          <w:szCs w:val="32"/>
        </w:rPr>
      </w:pPr>
      <w:bookmarkStart w:id="40" w:name="_Toc11852"/>
      <w:r>
        <w:rPr>
          <w:rFonts w:hint="eastAsia" w:ascii="黑体" w:hAnsi="黑体" w:eastAsia="黑体"/>
          <w:color w:val="auto"/>
          <w:sz w:val="32"/>
          <w:szCs w:val="32"/>
        </w:rPr>
        <w:t>八</w:t>
      </w:r>
      <w:r>
        <w:rPr>
          <w:rFonts w:ascii="黑体" w:hAnsi="黑体" w:eastAsia="黑体"/>
          <w:color w:val="auto"/>
          <w:sz w:val="32"/>
          <w:szCs w:val="32"/>
        </w:rPr>
        <w:t>、教学进程总体安排</w:t>
      </w:r>
      <w:bookmarkEnd w:id="40"/>
    </w:p>
    <w:p>
      <w:pPr>
        <w:pageBreakBefore w:val="0"/>
        <w:kinsoku/>
        <w:wordWrap/>
        <w:topLinePunct w:val="0"/>
        <w:autoSpaceDE/>
        <w:autoSpaceDN/>
        <w:bidi w:val="0"/>
        <w:spacing w:after="0" w:line="520" w:lineRule="exact"/>
        <w:ind w:left="0" w:leftChars="0" w:firstLine="640" w:firstLineChars="200"/>
        <w:outlineLvl w:val="1"/>
        <w:rPr>
          <w:rFonts w:hint="eastAsia" w:ascii="楷体" w:hAnsi="楷体" w:eastAsia="楷体" w:cs="楷体"/>
          <w:color w:val="auto"/>
          <w:sz w:val="32"/>
          <w:szCs w:val="32"/>
        </w:rPr>
      </w:pPr>
      <w:bookmarkStart w:id="41" w:name="_Toc21010"/>
      <w:r>
        <w:rPr>
          <w:rFonts w:hint="eastAsia" w:ascii="楷体" w:hAnsi="楷体" w:eastAsia="楷体" w:cs="楷体"/>
          <w:color w:val="auto"/>
          <w:sz w:val="32"/>
          <w:szCs w:val="32"/>
        </w:rPr>
        <w:t>（一）教学环节分配表</w:t>
      </w:r>
      <w:bookmarkEnd w:id="41"/>
      <w:r>
        <w:rPr>
          <w:rFonts w:hint="eastAsia" w:ascii="楷体" w:hAnsi="楷体" w:eastAsia="楷体" w:cs="楷体"/>
          <w:color w:val="auto"/>
          <w:sz w:val="32"/>
          <w:szCs w:val="32"/>
        </w:rPr>
        <w:t xml:space="preserve"> </w:t>
      </w:r>
    </w:p>
    <w:p>
      <w:pPr>
        <w:pageBreakBefore w:val="0"/>
        <w:kinsoku/>
        <w:wordWrap/>
        <w:topLinePunct w:val="0"/>
        <w:autoSpaceDE/>
        <w:autoSpaceDN/>
        <w:bidi w:val="0"/>
        <w:spacing w:after="0" w:line="520" w:lineRule="exact"/>
        <w:ind w:left="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教学周数分配表每学期总周数合计应为20周，各学期教学周数应与教学计划进程表一致，军训、入学教育、考试环节、实习开展、毕业设计、社会实践及毕业教育等，学期合计周数为20周。</w:t>
      </w:r>
    </w:p>
    <w:p>
      <w:pPr>
        <w:pageBreakBefore w:val="0"/>
        <w:kinsoku/>
        <w:wordWrap/>
        <w:topLinePunct w:val="0"/>
        <w:autoSpaceDE/>
        <w:autoSpaceDN/>
        <w:bidi w:val="0"/>
        <w:spacing w:after="0" w:line="520" w:lineRule="exact"/>
        <w:ind w:left="0"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表8 教育活动时间分配表（单位：周）</w:t>
      </w:r>
    </w:p>
    <w:tbl>
      <w:tblPr>
        <w:tblStyle w:val="11"/>
        <w:tblW w:w="5116"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4"/>
        <w:gridCol w:w="1229"/>
        <w:gridCol w:w="1109"/>
        <w:gridCol w:w="1106"/>
        <w:gridCol w:w="1108"/>
        <w:gridCol w:w="1106"/>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8" w:type="pct"/>
            <w:vMerge w:val="restart"/>
            <w:vAlign w:val="top"/>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spacing w:after="0" w:line="300" w:lineRule="atLeast"/>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overflowPunct/>
              <w:topLinePunct w:val="0"/>
              <w:autoSpaceDE/>
              <w:autoSpaceDN/>
              <w:bidi w:val="0"/>
              <w:adjustRightInd/>
              <w:snapToGrid/>
              <w:spacing w:after="0" w:line="300" w:lineRule="atLeas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pPr>
              <w:keepNext w:val="0"/>
              <w:keepLines w:val="0"/>
              <w:pageBreakBefore w:val="0"/>
              <w:widowControl w:val="0"/>
              <w:kinsoku/>
              <w:wordWrap/>
              <w:overflowPunct/>
              <w:topLinePunct w:val="0"/>
              <w:autoSpaceDE/>
              <w:autoSpaceDN/>
              <w:bidi w:val="0"/>
              <w:adjustRightInd/>
              <w:snapToGrid/>
              <w:spacing w:after="0" w:line="300" w:lineRule="atLeas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pPr>
              <w:keepNext w:val="0"/>
              <w:keepLines w:val="0"/>
              <w:pageBreakBefore w:val="0"/>
              <w:widowControl w:val="0"/>
              <w:kinsoku/>
              <w:wordWrap/>
              <w:overflowPunct/>
              <w:topLinePunct w:val="0"/>
              <w:autoSpaceDE/>
              <w:autoSpaceDN/>
              <w:bidi w:val="0"/>
              <w:adjustRightInd/>
              <w:snapToGrid/>
              <w:spacing w:after="0" w:line="300" w:lineRule="atLeas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pPr>
              <w:keepNext w:val="0"/>
              <w:keepLines w:val="0"/>
              <w:pageBreakBefore w:val="0"/>
              <w:widowControl w:val="0"/>
              <w:kinsoku/>
              <w:wordWrap/>
              <w:overflowPunct/>
              <w:topLinePunct w:val="0"/>
              <w:autoSpaceDE/>
              <w:autoSpaceDN/>
              <w:bidi w:val="0"/>
              <w:adjustRightInd/>
              <w:snapToGrid/>
              <w:spacing w:after="0" w:line="300" w:lineRule="atLeas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atLeas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keepNext w:val="0"/>
              <w:keepLines w:val="0"/>
              <w:pageBreakBefore w:val="0"/>
              <w:widowControl w:val="0"/>
              <w:kinsoku/>
              <w:wordWrap/>
              <w:overflowPunct/>
              <w:topLinePunct w:val="0"/>
              <w:autoSpaceDE/>
              <w:autoSpaceDN/>
              <w:bidi w:val="0"/>
              <w:adjustRightInd/>
              <w:snapToGrid/>
              <w:spacing w:after="0" w:line="300" w:lineRule="atLeas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一</w:t>
            </w:r>
          </w:p>
        </w:tc>
        <w:tc>
          <w:tcPr>
            <w:tcW w:w="1164" w:type="pct"/>
            <w:gridSpan w:val="2"/>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二</w:t>
            </w:r>
          </w:p>
        </w:tc>
        <w:tc>
          <w:tcPr>
            <w:tcW w:w="1166" w:type="pct"/>
            <w:gridSpan w:val="2"/>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8" w:type="pct"/>
            <w:vMerge w:val="continue"/>
          </w:tcPr>
          <w:p>
            <w:pPr>
              <w:pageBreakBefore w:val="0"/>
              <w:kinsoku/>
              <w:wordWrap/>
              <w:topLinePunct w:val="0"/>
              <w:autoSpaceDE/>
              <w:autoSpaceDN/>
              <w:bidi w:val="0"/>
              <w:spacing w:after="0" w:line="240" w:lineRule="auto"/>
              <w:ind w:left="0"/>
              <w:rPr>
                <w:rFonts w:ascii="仿宋_GB2312" w:hAnsi="仿宋_GB2312" w:eastAsia="仿宋_GB2312" w:cs="仿宋_GB2312"/>
                <w:color w:val="auto"/>
                <w:sz w:val="24"/>
              </w:rPr>
            </w:pP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8"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课堂教学</w:t>
            </w: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1-18</w:t>
            </w: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1-18</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1-18</w:t>
            </w: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1-18</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1-18</w:t>
            </w: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考试</w:t>
            </w: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19-20</w:t>
            </w: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19-20</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19-20</w:t>
            </w: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19-20</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19-20</w:t>
            </w: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军训</w:t>
            </w: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1-2</w:t>
            </w: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入学教育</w:t>
            </w: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3-8</w:t>
            </w: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毕业设计</w:t>
            </w: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1-18</w:t>
            </w: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岗位实习</w:t>
            </w: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1-20</w:t>
            </w: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highlight w:val="green"/>
              </w:rPr>
            </w:pPr>
            <w:r>
              <w:rPr>
                <w:rFonts w:hint="eastAsia" w:ascii="仿宋_GB2312" w:hAnsi="仿宋_GB2312" w:eastAsia="仿宋_GB2312" w:cs="仿宋_GB2312"/>
                <w:color w:val="auto"/>
                <w:sz w:val="24"/>
              </w:rPr>
              <w:t>社会实践</w:t>
            </w: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highlight w:val="green"/>
              </w:rPr>
            </w:pPr>
            <w:r>
              <w:rPr>
                <w:rFonts w:hint="eastAsia" w:ascii="仿宋_GB2312" w:hAnsi="仿宋_GB2312" w:eastAsia="仿宋_GB2312" w:cs="仿宋_GB2312"/>
                <w:color w:val="auto"/>
                <w:sz w:val="24"/>
              </w:rPr>
              <w:t>1-20</w:t>
            </w: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highlight w:val="green"/>
              </w:rPr>
            </w:pPr>
            <w:r>
              <w:rPr>
                <w:rFonts w:hint="eastAsia" w:ascii="仿宋_GB2312" w:hAnsi="仿宋_GB2312" w:eastAsia="仿宋_GB2312" w:cs="仿宋_GB2312"/>
                <w:color w:val="auto"/>
                <w:sz w:val="24"/>
              </w:rPr>
              <w:t>1-20</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highlight w:val="green"/>
              </w:rPr>
            </w:pPr>
            <w:r>
              <w:rPr>
                <w:rFonts w:hint="eastAsia" w:ascii="仿宋_GB2312" w:hAnsi="仿宋_GB2312" w:eastAsia="仿宋_GB2312" w:cs="仿宋_GB2312"/>
                <w:color w:val="auto"/>
                <w:sz w:val="24"/>
              </w:rPr>
              <w:t>1-20</w:t>
            </w: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highlight w:val="green"/>
              </w:rPr>
            </w:pPr>
            <w:r>
              <w:rPr>
                <w:rFonts w:hint="eastAsia" w:ascii="仿宋_GB2312" w:hAnsi="仿宋_GB2312" w:eastAsia="仿宋_GB2312" w:cs="仿宋_GB2312"/>
                <w:color w:val="auto"/>
                <w:sz w:val="24"/>
              </w:rPr>
              <w:t>1-20</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highlight w:val="green"/>
              </w:rPr>
            </w:pPr>
            <w:r>
              <w:rPr>
                <w:rFonts w:hint="eastAsia" w:ascii="仿宋_GB2312" w:hAnsi="仿宋_GB2312" w:eastAsia="仿宋_GB2312" w:cs="仿宋_GB2312"/>
                <w:color w:val="auto"/>
                <w:sz w:val="24"/>
              </w:rPr>
              <w:t>1-20</w:t>
            </w: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highlight w:val="green"/>
              </w:rPr>
            </w:pPr>
            <w:r>
              <w:rPr>
                <w:rFonts w:hint="eastAsia" w:ascii="仿宋_GB2312" w:hAnsi="仿宋_GB2312" w:eastAsia="仿宋_GB2312" w:cs="仿宋_GB2312"/>
                <w:color w:val="auto"/>
                <w:sz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毕业教育</w:t>
            </w: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学期教学总周数</w:t>
            </w:r>
          </w:p>
        </w:tc>
        <w:tc>
          <w:tcPr>
            <w:tcW w:w="646"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20周</w:t>
            </w:r>
          </w:p>
        </w:tc>
        <w:tc>
          <w:tcPr>
            <w:tcW w:w="583"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20周</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20周</w:t>
            </w:r>
          </w:p>
        </w:tc>
        <w:tc>
          <w:tcPr>
            <w:tcW w:w="582"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20周</w:t>
            </w:r>
          </w:p>
        </w:tc>
        <w:tc>
          <w:tcPr>
            <w:tcW w:w="581"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20周</w:t>
            </w:r>
          </w:p>
        </w:tc>
        <w:tc>
          <w:tcPr>
            <w:tcW w:w="584" w:type="pct"/>
            <w:vAlign w:val="center"/>
          </w:tcPr>
          <w:p>
            <w:pPr>
              <w:pageBreakBefore w:val="0"/>
              <w:kinsoku/>
              <w:wordWrap/>
              <w:topLinePunct w:val="0"/>
              <w:autoSpaceDE/>
              <w:autoSpaceDN/>
              <w:bidi w:val="0"/>
              <w:spacing w:after="0" w:line="240" w:lineRule="auto"/>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20周</w:t>
            </w:r>
          </w:p>
        </w:tc>
      </w:tr>
    </w:tbl>
    <w:p>
      <w:pPr>
        <w:pageBreakBefore w:val="0"/>
        <w:kinsoku/>
        <w:wordWrap/>
        <w:topLinePunct w:val="0"/>
        <w:autoSpaceDE/>
        <w:autoSpaceDN/>
        <w:bidi w:val="0"/>
        <w:spacing w:after="0" w:line="520" w:lineRule="exact"/>
        <w:ind w:left="0" w:leftChars="0" w:firstLine="640" w:firstLineChars="200"/>
        <w:outlineLvl w:val="1"/>
        <w:rPr>
          <w:rFonts w:hint="eastAsia" w:ascii="楷体" w:hAnsi="楷体" w:eastAsia="楷体" w:cs="楷体"/>
          <w:bCs/>
          <w:color w:val="auto"/>
          <w:sz w:val="32"/>
          <w:szCs w:val="32"/>
        </w:rPr>
      </w:pPr>
      <w:bookmarkStart w:id="42" w:name="_Toc18307"/>
      <w:r>
        <w:rPr>
          <w:rFonts w:hint="eastAsia" w:ascii="楷体" w:hAnsi="楷体" w:eastAsia="楷体" w:cs="楷体"/>
          <w:color w:val="auto"/>
          <w:sz w:val="32"/>
          <w:szCs w:val="32"/>
        </w:rPr>
        <w:t>（二）</w:t>
      </w:r>
      <w:r>
        <w:rPr>
          <w:rFonts w:hint="eastAsia" w:ascii="楷体" w:hAnsi="楷体" w:eastAsia="楷体" w:cs="楷体"/>
          <w:bCs/>
          <w:color w:val="auto"/>
          <w:sz w:val="32"/>
          <w:szCs w:val="32"/>
        </w:rPr>
        <w:t>课程结构与学时、学分分配</w:t>
      </w:r>
      <w:bookmarkEnd w:id="42"/>
    </w:p>
    <w:p>
      <w:pPr>
        <w:pageBreakBefore w:val="0"/>
        <w:kinsoku/>
        <w:wordWrap/>
        <w:topLinePunct w:val="0"/>
        <w:autoSpaceDE/>
        <w:autoSpaceDN/>
        <w:bidi w:val="0"/>
        <w:spacing w:after="0" w:line="520" w:lineRule="exact"/>
        <w:ind w:left="0" w:firstLine="640" w:firstLineChars="200"/>
        <w:rPr>
          <w:rFonts w:hint="eastAsia" w:ascii="仿宋_GB2312" w:hAnsi="仿宋_GB2312" w:eastAsia="仿宋_GB2312" w:cs="仿宋_GB2312"/>
          <w:color w:val="auto"/>
          <w:sz w:val="32"/>
          <w:szCs w:val="32"/>
        </w:rPr>
      </w:pPr>
      <w:r>
        <w:rPr>
          <w:rFonts w:hint="eastAsia" w:eastAsia="仿宋_GB2312" w:cs="仿宋_GB2312"/>
          <w:bCs/>
          <w:color w:val="auto"/>
          <w:sz w:val="32"/>
          <w:szCs w:val="32"/>
        </w:rPr>
        <w:t>本专业教学总学时为26</w:t>
      </w:r>
      <w:r>
        <w:rPr>
          <w:rFonts w:hint="eastAsia" w:eastAsia="仿宋_GB2312" w:cs="仿宋_GB2312"/>
          <w:bCs/>
          <w:color w:val="auto"/>
          <w:sz w:val="32"/>
          <w:szCs w:val="32"/>
          <w:lang w:val="en-US" w:eastAsia="zh-CN"/>
        </w:rPr>
        <w:t>90</w:t>
      </w:r>
      <w:r>
        <w:rPr>
          <w:rFonts w:hint="eastAsia" w:eastAsia="仿宋_GB2312" w:cs="仿宋_GB2312"/>
          <w:bCs/>
          <w:color w:val="auto"/>
          <w:sz w:val="32"/>
          <w:szCs w:val="32"/>
        </w:rPr>
        <w:t>学时。其中理论教学</w:t>
      </w:r>
      <w:r>
        <w:rPr>
          <w:rFonts w:hint="eastAsia" w:eastAsia="仿宋_GB2312" w:cs="仿宋_GB2312"/>
          <w:bCs/>
          <w:color w:val="auto"/>
          <w:sz w:val="32"/>
          <w:szCs w:val="32"/>
          <w:lang w:val="en-US" w:eastAsia="zh-CN"/>
        </w:rPr>
        <w:t>1032</w:t>
      </w:r>
      <w:r>
        <w:rPr>
          <w:rFonts w:hint="eastAsia" w:eastAsia="仿宋_GB2312" w:cs="仿宋_GB2312"/>
          <w:bCs/>
          <w:color w:val="auto"/>
          <w:sz w:val="32"/>
          <w:szCs w:val="32"/>
        </w:rPr>
        <w:t>学时，占</w:t>
      </w:r>
      <w:r>
        <w:rPr>
          <w:rFonts w:hint="eastAsia" w:eastAsia="仿宋_GB2312" w:cs="仿宋_GB2312"/>
          <w:bCs/>
          <w:color w:val="auto"/>
          <w:sz w:val="32"/>
          <w:szCs w:val="32"/>
          <w:lang w:val="en-US" w:eastAsia="zh-CN"/>
        </w:rPr>
        <w:t>38.36</w:t>
      </w:r>
      <w:r>
        <w:rPr>
          <w:rFonts w:hint="eastAsia" w:eastAsia="仿宋_GB2312" w:cs="仿宋_GB2312"/>
          <w:bCs/>
          <w:color w:val="auto"/>
          <w:sz w:val="32"/>
          <w:szCs w:val="32"/>
        </w:rPr>
        <w:t>%；实践教学</w:t>
      </w:r>
      <w:r>
        <w:rPr>
          <w:rFonts w:hint="eastAsia" w:eastAsia="仿宋_GB2312" w:cs="仿宋_GB2312"/>
          <w:bCs/>
          <w:color w:val="auto"/>
          <w:sz w:val="32"/>
          <w:szCs w:val="32"/>
          <w:lang w:val="en-US" w:eastAsia="zh-CN"/>
        </w:rPr>
        <w:t>1656</w:t>
      </w:r>
      <w:r>
        <w:rPr>
          <w:rFonts w:hint="eastAsia" w:eastAsia="仿宋_GB2312" w:cs="仿宋_GB2312"/>
          <w:bCs/>
          <w:color w:val="auto"/>
          <w:sz w:val="32"/>
          <w:szCs w:val="32"/>
        </w:rPr>
        <w:t>学时，占</w:t>
      </w:r>
      <w:r>
        <w:rPr>
          <w:rFonts w:hint="eastAsia" w:eastAsia="仿宋_GB2312" w:cs="仿宋_GB2312"/>
          <w:bCs/>
          <w:color w:val="auto"/>
          <w:sz w:val="32"/>
          <w:szCs w:val="32"/>
          <w:lang w:val="en-US" w:eastAsia="zh-CN"/>
        </w:rPr>
        <w:t>61.64</w:t>
      </w:r>
      <w:r>
        <w:rPr>
          <w:rFonts w:hint="eastAsia" w:eastAsia="仿宋_GB2312" w:cs="仿宋_GB2312"/>
          <w:bCs/>
          <w:color w:val="auto"/>
          <w:sz w:val="32"/>
          <w:szCs w:val="32"/>
        </w:rPr>
        <w:t>%，其中岗位实习累计时间一般为6个月。</w:t>
      </w:r>
      <w:r>
        <w:rPr>
          <w:rFonts w:hint="eastAsia" w:eastAsia="仿宋_GB2312" w:cs="仿宋_GB2312"/>
          <w:bCs/>
          <w:color w:val="auto"/>
          <w:sz w:val="32"/>
          <w:szCs w:val="32"/>
          <w:highlight w:val="none"/>
        </w:rPr>
        <w:t>公共基础课9</w:t>
      </w:r>
      <w:r>
        <w:rPr>
          <w:rFonts w:hint="eastAsia" w:eastAsia="仿宋_GB2312" w:cs="仿宋_GB2312"/>
          <w:bCs/>
          <w:color w:val="auto"/>
          <w:sz w:val="32"/>
          <w:szCs w:val="32"/>
          <w:highlight w:val="none"/>
          <w:lang w:val="en-US" w:eastAsia="zh-CN"/>
        </w:rPr>
        <w:t>54</w:t>
      </w:r>
      <w:r>
        <w:rPr>
          <w:rFonts w:hint="eastAsia" w:eastAsia="仿宋_GB2312" w:cs="仿宋_GB2312"/>
          <w:bCs/>
          <w:color w:val="auto"/>
          <w:sz w:val="32"/>
          <w:szCs w:val="32"/>
          <w:highlight w:val="none"/>
        </w:rPr>
        <w:t>学时，占</w:t>
      </w:r>
      <w:r>
        <w:rPr>
          <w:rFonts w:hint="eastAsia" w:eastAsia="仿宋_GB2312" w:cs="仿宋_GB2312"/>
          <w:bCs/>
          <w:color w:val="auto"/>
          <w:sz w:val="32"/>
          <w:szCs w:val="32"/>
          <w:highlight w:val="none"/>
          <w:lang w:val="en-US" w:eastAsia="zh-CN"/>
        </w:rPr>
        <w:t>35.46</w:t>
      </w:r>
      <w:r>
        <w:rPr>
          <w:rFonts w:hint="eastAsia" w:eastAsia="仿宋_GB2312" w:cs="仿宋_GB2312"/>
          <w:bCs/>
          <w:color w:val="auto"/>
          <w:sz w:val="32"/>
          <w:szCs w:val="32"/>
          <w:highlight w:val="none"/>
        </w:rPr>
        <w:t>%；</w:t>
      </w:r>
      <w:r>
        <w:rPr>
          <w:rFonts w:hint="eastAsia" w:eastAsia="仿宋_GB2312" w:cs="仿宋_GB2312"/>
          <w:bCs/>
          <w:color w:val="auto"/>
          <w:sz w:val="32"/>
          <w:szCs w:val="32"/>
        </w:rPr>
        <w:t>选修课</w:t>
      </w:r>
      <w:r>
        <w:rPr>
          <w:rFonts w:hint="eastAsia" w:eastAsia="仿宋_GB2312" w:cs="仿宋_GB2312"/>
          <w:bCs/>
          <w:color w:val="auto"/>
          <w:sz w:val="32"/>
          <w:szCs w:val="32"/>
          <w:lang w:val="en-US" w:eastAsia="zh-CN"/>
        </w:rPr>
        <w:t>308</w:t>
      </w:r>
      <w:r>
        <w:rPr>
          <w:rFonts w:hint="eastAsia" w:eastAsia="仿宋_GB2312" w:cs="仿宋_GB2312"/>
          <w:bCs/>
          <w:color w:val="auto"/>
          <w:sz w:val="32"/>
          <w:szCs w:val="32"/>
        </w:rPr>
        <w:t>学时，占1</w:t>
      </w:r>
      <w:r>
        <w:rPr>
          <w:rFonts w:hint="eastAsia" w:eastAsia="仿宋_GB2312" w:cs="仿宋_GB2312"/>
          <w:bCs/>
          <w:color w:val="auto"/>
          <w:sz w:val="32"/>
          <w:szCs w:val="32"/>
          <w:lang w:val="en-US" w:eastAsia="zh-CN"/>
        </w:rPr>
        <w:t>1.45</w:t>
      </w:r>
      <w:r>
        <w:rPr>
          <w:rFonts w:hint="eastAsia" w:eastAsia="仿宋_GB2312" w:cs="仿宋_GB2312"/>
          <w:bCs/>
          <w:color w:val="auto"/>
          <w:sz w:val="32"/>
          <w:szCs w:val="32"/>
        </w:rPr>
        <w:t>%。</w:t>
      </w:r>
    </w:p>
    <w:p>
      <w:pPr>
        <w:pageBreakBefore w:val="0"/>
        <w:kinsoku/>
        <w:wordWrap/>
        <w:topLinePunct w:val="0"/>
        <w:autoSpaceDE/>
        <w:autoSpaceDN/>
        <w:bidi w:val="0"/>
        <w:spacing w:after="0" w:line="520" w:lineRule="exact"/>
        <w:ind w:left="0"/>
        <w:jc w:val="center"/>
        <w:rPr>
          <w:rFonts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表9</w:t>
      </w:r>
      <w:r>
        <w:rPr>
          <w:rFonts w:hint="eastAsia" w:ascii="仿宋_GB2312" w:hAnsi="仿宋_GB2312" w:eastAsia="仿宋_GB2312" w:cs="仿宋_GB2312"/>
          <w:color w:val="auto"/>
          <w:spacing w:val="-2"/>
          <w:sz w:val="32"/>
          <w:szCs w:val="32"/>
        </w:rPr>
        <w:t>课程学时、学分分配表</w:t>
      </w:r>
    </w:p>
    <w:tbl>
      <w:tblPr>
        <w:tblStyle w:val="10"/>
        <w:tblW w:w="10627" w:type="dxa"/>
        <w:jc w:val="center"/>
        <w:tblLayout w:type="fixed"/>
        <w:tblCellMar>
          <w:top w:w="0" w:type="dxa"/>
          <w:left w:w="108" w:type="dxa"/>
          <w:bottom w:w="0" w:type="dxa"/>
          <w:right w:w="108" w:type="dxa"/>
        </w:tblCellMar>
      </w:tblPr>
      <w:tblGrid>
        <w:gridCol w:w="1021"/>
        <w:gridCol w:w="2004"/>
        <w:gridCol w:w="836"/>
        <w:gridCol w:w="718"/>
        <w:gridCol w:w="1118"/>
        <w:gridCol w:w="896"/>
        <w:gridCol w:w="759"/>
        <w:gridCol w:w="1261"/>
        <w:gridCol w:w="750"/>
        <w:gridCol w:w="1264"/>
      </w:tblGrid>
      <w:tr>
        <w:tblPrEx>
          <w:tblCellMar>
            <w:top w:w="0" w:type="dxa"/>
            <w:left w:w="108" w:type="dxa"/>
            <w:bottom w:w="0" w:type="dxa"/>
            <w:right w:w="108" w:type="dxa"/>
          </w:tblCellMar>
        </w:tblPrEx>
        <w:trPr>
          <w:trHeight w:val="240" w:hRule="atLeast"/>
          <w:jc w:val="center"/>
        </w:trPr>
        <w:tc>
          <w:tcPr>
            <w:tcW w:w="30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课程类别</w:t>
            </w:r>
          </w:p>
        </w:tc>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ind w:left="0"/>
              <w:jc w:val="left"/>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tLeast"/>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tLeast"/>
              <w:ind w:left="0"/>
              <w:jc w:val="left"/>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 xml:space="preserve">                         学时</w:t>
            </w:r>
          </w:p>
        </w:tc>
      </w:tr>
      <w:tr>
        <w:tblPrEx>
          <w:tblCellMar>
            <w:top w:w="0" w:type="dxa"/>
            <w:left w:w="108" w:type="dxa"/>
            <w:bottom w:w="0" w:type="dxa"/>
            <w:right w:w="108" w:type="dxa"/>
          </w:tblCellMar>
        </w:tblPrEx>
        <w:trPr>
          <w:trHeight w:val="240" w:hRule="atLeast"/>
          <w:jc w:val="center"/>
        </w:trPr>
        <w:tc>
          <w:tcPr>
            <w:tcW w:w="30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ind w:left="0"/>
              <w:jc w:val="center"/>
              <w:rPr>
                <w:rFonts w:ascii="仿宋_GB2312" w:hAnsi="仿宋_GB2312" w:eastAsia="仿宋_GB2312" w:cs="仿宋_GB2312"/>
                <w:color w:val="auto"/>
                <w:sz w:val="24"/>
              </w:rPr>
            </w:pPr>
          </w:p>
        </w:tc>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ind w:left="0"/>
              <w:jc w:val="center"/>
              <w:rPr>
                <w:rFonts w:ascii="仿宋_GB2312" w:hAnsi="仿宋_GB2312" w:eastAsia="仿宋_GB2312" w:cs="仿宋_GB2312"/>
                <w:color w:val="auto"/>
                <w:sz w:val="24"/>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ind w:left="0"/>
              <w:rPr>
                <w:rFonts w:ascii="仿宋_GB2312" w:hAnsi="仿宋_GB2312" w:eastAsia="仿宋_GB2312" w:cs="仿宋_GB2312"/>
                <w:color w:val="auto"/>
                <w:sz w:val="24"/>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tLeast"/>
              <w:ind w:left="0"/>
              <w:jc w:val="center"/>
              <w:rPr>
                <w:rFonts w:ascii="仿宋_GB2312" w:hAnsi="仿宋_GB2312" w:eastAsia="仿宋_GB2312" w:cs="仿宋_GB2312"/>
                <w:color w:val="auto"/>
                <w:sz w:val="24"/>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tLeast"/>
              <w:ind w:left="0"/>
              <w:jc w:val="left"/>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tLeast"/>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tLeast"/>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实践教学</w:t>
            </w:r>
          </w:p>
        </w:tc>
      </w:tr>
      <w:tr>
        <w:tblPrEx>
          <w:tblCellMar>
            <w:top w:w="0" w:type="dxa"/>
            <w:left w:w="108" w:type="dxa"/>
            <w:bottom w:w="0" w:type="dxa"/>
            <w:right w:w="108" w:type="dxa"/>
          </w:tblCellMar>
        </w:tblPrEx>
        <w:trPr>
          <w:trHeight w:val="770" w:hRule="atLeast"/>
          <w:jc w:val="center"/>
        </w:trPr>
        <w:tc>
          <w:tcPr>
            <w:tcW w:w="30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ind w:left="0"/>
              <w:jc w:val="center"/>
              <w:rPr>
                <w:rFonts w:ascii="仿宋_GB2312" w:hAnsi="仿宋_GB2312" w:eastAsia="仿宋_GB2312" w:cs="仿宋_GB2312"/>
                <w:color w:val="auto"/>
                <w:sz w:val="24"/>
              </w:rPr>
            </w:pPr>
          </w:p>
        </w:tc>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ind w:left="0"/>
              <w:jc w:val="center"/>
              <w:rPr>
                <w:rFonts w:ascii="仿宋_GB2312" w:hAnsi="仿宋_GB2312" w:eastAsia="仿宋_GB2312" w:cs="仿宋_GB2312"/>
                <w:color w:val="auto"/>
                <w:sz w:val="24"/>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ind w:left="0"/>
              <w:rPr>
                <w:rFonts w:ascii="仿宋_GB2312" w:hAnsi="仿宋_GB2312" w:eastAsia="仿宋_GB2312" w:cs="仿宋_GB2312"/>
                <w:color w:val="auto"/>
                <w:sz w:val="24"/>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tLeast"/>
              <w:ind w:left="0"/>
              <w:jc w:val="center"/>
              <w:rPr>
                <w:rFonts w:ascii="仿宋_GB2312" w:hAnsi="仿宋_GB2312" w:eastAsia="仿宋_GB2312" w:cs="仿宋_GB2312"/>
                <w:color w:val="auto"/>
                <w:sz w:val="24"/>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tLeast"/>
              <w:ind w:left="0"/>
              <w:rPr>
                <w:rFonts w:ascii="仿宋_GB2312" w:hAnsi="仿宋_GB2312" w:eastAsia="仿宋_GB2312" w:cs="仿宋_GB2312"/>
                <w:color w:val="auto"/>
                <w:sz w:val="24"/>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tLeast"/>
              <w:ind w:left="0"/>
              <w:jc w:val="left"/>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tLeast"/>
              <w:ind w:left="0"/>
              <w:jc w:val="left"/>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tLeast"/>
              <w:ind w:left="0"/>
              <w:jc w:val="left"/>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tLeast"/>
              <w:ind w:left="0"/>
              <w:jc w:val="left"/>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占专业总学时比例（%）</w:t>
            </w:r>
          </w:p>
        </w:tc>
      </w:tr>
      <w:tr>
        <w:tblPrEx>
          <w:tblCellMar>
            <w:top w:w="0" w:type="dxa"/>
            <w:left w:w="108" w:type="dxa"/>
            <w:bottom w:w="0" w:type="dxa"/>
            <w:right w:w="108" w:type="dxa"/>
          </w:tblCellMar>
        </w:tblPrEx>
        <w:trPr>
          <w:trHeight w:val="238" w:hRule="atLeast"/>
          <w:jc w:val="center"/>
        </w:trPr>
        <w:tc>
          <w:tcPr>
            <w:tcW w:w="30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公共基础课</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kinsoku/>
              <w:wordWrap/>
              <w:topLinePunct w:val="0"/>
              <w:autoSpaceDE/>
              <w:autoSpaceDN/>
              <w:bidi w:val="0"/>
              <w:spacing w:after="0" w:line="320" w:lineRule="exact"/>
              <w:ind w:left="0"/>
              <w:jc w:val="center"/>
              <w:rPr>
                <w:rFonts w:hint="eastAsia" w:eastAsia="仿宋" w:cs="仿宋"/>
                <w:color w:val="auto"/>
                <w:sz w:val="24"/>
              </w:rPr>
            </w:pPr>
            <w:r>
              <w:rPr>
                <w:rFonts w:hint="eastAsia" w:ascii="仿宋_GB2312" w:hAnsi="仿宋_GB2312" w:eastAsia="仿宋_GB2312" w:cs="仿宋_GB2312"/>
                <w:color w:val="auto"/>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30.77%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16.58%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14.13%</w:t>
            </w:r>
          </w:p>
        </w:tc>
      </w:tr>
      <w:tr>
        <w:tblPrEx>
          <w:tblCellMar>
            <w:top w:w="0" w:type="dxa"/>
            <w:left w:w="108" w:type="dxa"/>
            <w:bottom w:w="0" w:type="dxa"/>
            <w:right w:w="108" w:type="dxa"/>
          </w:tblCellMar>
        </w:tblPrEx>
        <w:trPr>
          <w:trHeight w:val="238" w:hRule="atLeast"/>
          <w:jc w:val="center"/>
        </w:trPr>
        <w:tc>
          <w:tcPr>
            <w:tcW w:w="30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5.59%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2.97%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1.78%</w:t>
            </w:r>
          </w:p>
        </w:tc>
      </w:tr>
      <w:tr>
        <w:tblPrEx>
          <w:tblCellMar>
            <w:top w:w="0" w:type="dxa"/>
            <w:left w:w="108" w:type="dxa"/>
            <w:bottom w:w="0" w:type="dxa"/>
            <w:right w:w="108" w:type="dxa"/>
          </w:tblCellMar>
        </w:tblPrEx>
        <w:trPr>
          <w:trHeight w:val="238" w:hRule="atLeast"/>
          <w:jc w:val="center"/>
        </w:trPr>
        <w:tc>
          <w:tcPr>
            <w:tcW w:w="30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36.36%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19.55%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15.91%</w:t>
            </w:r>
          </w:p>
        </w:tc>
      </w:tr>
      <w:tr>
        <w:tblPrEx>
          <w:tblCellMar>
            <w:top w:w="0" w:type="dxa"/>
            <w:left w:w="108" w:type="dxa"/>
            <w:bottom w:w="0" w:type="dxa"/>
            <w:right w:w="108" w:type="dxa"/>
          </w:tblCellMar>
        </w:tblPrEx>
        <w:trPr>
          <w:trHeight w:val="238"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专业课</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专业基础课</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26</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18.18%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468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6.69%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288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10.71%</w:t>
            </w:r>
          </w:p>
        </w:tc>
      </w:tr>
      <w:tr>
        <w:tblPrEx>
          <w:tblCellMar>
            <w:top w:w="0" w:type="dxa"/>
            <w:left w:w="108" w:type="dxa"/>
            <w:bottom w:w="0" w:type="dxa"/>
            <w:right w:w="108" w:type="dxa"/>
          </w:tblCellMar>
        </w:tblPrEx>
        <w:trPr>
          <w:trHeight w:val="238" w:hRule="atLeast"/>
          <w:jc w:val="center"/>
        </w:trPr>
        <w:tc>
          <w:tcPr>
            <w:tcW w:w="1021" w:type="dxa"/>
            <w:vMerge w:val="continue"/>
            <w:tcBorders>
              <w:left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专业核心课</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22.38%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216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8.03%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360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13.38%</w:t>
            </w:r>
          </w:p>
        </w:tc>
      </w:tr>
      <w:tr>
        <w:tblPrEx>
          <w:tblCellMar>
            <w:top w:w="0" w:type="dxa"/>
            <w:left w:w="108" w:type="dxa"/>
            <w:bottom w:w="0" w:type="dxa"/>
            <w:right w:w="108" w:type="dxa"/>
          </w:tblCellMar>
        </w:tblPrEx>
        <w:trPr>
          <w:trHeight w:val="238" w:hRule="atLeast"/>
          <w:jc w:val="center"/>
        </w:trPr>
        <w:tc>
          <w:tcPr>
            <w:tcW w:w="1021" w:type="dxa"/>
            <w:vMerge w:val="continue"/>
            <w:tcBorders>
              <w:left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rPr>
                <w:rFonts w:ascii="仿宋_GB2312" w:hAnsi="仿宋_GB2312" w:eastAsia="仿宋_GB2312" w:cs="仿宋_GB2312"/>
                <w:color w:val="auto"/>
                <w:sz w:val="24"/>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专业拓展课</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6.99%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90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3.35%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90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3.35%</w:t>
            </w:r>
          </w:p>
        </w:tc>
      </w:tr>
      <w:tr>
        <w:tblPrEx>
          <w:tblCellMar>
            <w:top w:w="0" w:type="dxa"/>
            <w:left w:w="108" w:type="dxa"/>
            <w:bottom w:w="0" w:type="dxa"/>
            <w:right w:w="108" w:type="dxa"/>
          </w:tblCellMar>
        </w:tblPrEx>
        <w:trPr>
          <w:trHeight w:val="238" w:hRule="atLeast"/>
          <w:jc w:val="center"/>
        </w:trPr>
        <w:tc>
          <w:tcPr>
            <w:tcW w:w="1021" w:type="dxa"/>
            <w:vMerge w:val="continue"/>
            <w:tcBorders>
              <w:left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kern w:val="0"/>
                <w:sz w:val="24"/>
                <w:lang w:bidi="ar"/>
              </w:rPr>
            </w:pPr>
          </w:p>
        </w:tc>
        <w:tc>
          <w:tcPr>
            <w:tcW w:w="2004" w:type="dxa"/>
            <w:tcBorders>
              <w:top w:val="single" w:color="000000" w:sz="4" w:space="0"/>
              <w:left w:val="single" w:color="auto"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实践</w:t>
            </w:r>
            <w:r>
              <w:rPr>
                <w:rFonts w:hint="eastAsia" w:ascii="仿宋_GB2312" w:hAnsi="仿宋_GB2312" w:eastAsia="仿宋_GB2312" w:cs="仿宋_GB2312"/>
                <w:color w:val="auto"/>
                <w:sz w:val="24"/>
                <w:lang w:val="en-US" w:eastAsia="zh-CN"/>
              </w:rPr>
              <w:t>性</w:t>
            </w:r>
            <w:r>
              <w:rPr>
                <w:rFonts w:hint="eastAsia" w:ascii="仿宋_GB2312" w:hAnsi="仿宋_GB2312" w:eastAsia="仿宋_GB2312" w:cs="仿宋_GB2312"/>
                <w:color w:val="auto"/>
                <w:sz w:val="24"/>
              </w:rPr>
              <w:t>教学环节</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kern w:val="0"/>
                <w:sz w:val="24"/>
                <w:lang w:bidi="ar"/>
              </w:rPr>
            </w:pPr>
            <w:r>
              <w:rPr>
                <w:rFonts w:hint="eastAsia" w:ascii="仿宋_GB2312" w:hAnsi="仿宋_GB2312" w:eastAsia="仿宋_GB2312" w:cs="仿宋_GB2312"/>
                <w:color w:val="auto"/>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16.08%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0.74%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18.29%</w:t>
            </w:r>
          </w:p>
        </w:tc>
      </w:tr>
      <w:tr>
        <w:tblPrEx>
          <w:tblCellMar>
            <w:top w:w="0" w:type="dxa"/>
            <w:left w:w="108" w:type="dxa"/>
            <w:bottom w:w="0" w:type="dxa"/>
            <w:right w:w="108" w:type="dxa"/>
          </w:tblCellMar>
        </w:tblPrEx>
        <w:trPr>
          <w:trHeight w:val="238"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kern w:val="0"/>
                <w:sz w:val="24"/>
                <w:lang w:bidi="ar"/>
              </w:rPr>
            </w:pPr>
          </w:p>
        </w:tc>
        <w:tc>
          <w:tcPr>
            <w:tcW w:w="284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pageBreakBefore w:val="0"/>
              <w:widowControl/>
              <w:kinsoku/>
              <w:wordWrap/>
              <w:topLinePunct w:val="0"/>
              <w:autoSpaceDE/>
              <w:autoSpaceDN/>
              <w:bidi w:val="0"/>
              <w:spacing w:after="0" w:line="240" w:lineRule="auto"/>
              <w:ind w:left="0"/>
              <w:jc w:val="center"/>
              <w:textAlignment w:val="center"/>
              <w:rPr>
                <w:rFonts w:hint="eastAsia" w:ascii="仿宋_GB2312" w:hAnsi="仿宋_GB2312" w:eastAsia="仿宋_GB2312" w:cs="仿宋_GB2312"/>
                <w:color w:val="auto"/>
                <w:kern w:val="0"/>
                <w:sz w:val="24"/>
                <w:lang w:bidi="ar"/>
              </w:rPr>
            </w:pPr>
            <w:r>
              <w:rPr>
                <w:rFonts w:hint="eastAsia" w:ascii="仿宋_GB2312" w:hAnsi="仿宋_GB2312" w:eastAsia="仿宋_GB2312" w:cs="仿宋_GB2312"/>
                <w:color w:val="auto"/>
                <w:kern w:val="0"/>
                <w:sz w:val="24"/>
                <w:lang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91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63.64%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1736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506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18.81%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1230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45.72%</w:t>
            </w:r>
          </w:p>
        </w:tc>
      </w:tr>
      <w:tr>
        <w:tblPrEx>
          <w:tblCellMar>
            <w:top w:w="0" w:type="dxa"/>
            <w:left w:w="108" w:type="dxa"/>
            <w:bottom w:w="0" w:type="dxa"/>
            <w:right w:w="108" w:type="dxa"/>
          </w:tblCellMar>
        </w:tblPrEx>
        <w:trPr>
          <w:trHeight w:val="238"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topLinePunct w:val="0"/>
              <w:autoSpaceDE/>
              <w:autoSpaceDN/>
              <w:bidi w:val="0"/>
              <w:spacing w:after="0" w:line="240" w:lineRule="auto"/>
              <w:ind w:left="0"/>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kern w:val="0"/>
                <w:sz w:val="24"/>
                <w:lang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143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default"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2690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1032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38.36%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1658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320" w:lineRule="exact"/>
              <w:jc w:val="center"/>
              <w:rPr>
                <w:rFonts w:hint="eastAsia" w:ascii="Times New Roman" w:hAnsi="Times New Roman" w:eastAsia="仿宋" w:cs="仿宋"/>
                <w:color w:val="auto"/>
                <w:sz w:val="24"/>
                <w:lang w:val="en-US" w:eastAsia="zh-CN"/>
              </w:rPr>
            </w:pPr>
            <w:r>
              <w:rPr>
                <w:rFonts w:hint="default" w:ascii="Times New Roman" w:hAnsi="Times New Roman" w:eastAsia="仿宋" w:cs="仿宋"/>
                <w:color w:val="auto"/>
                <w:sz w:val="24"/>
                <w:lang w:val="en-US" w:eastAsia="zh-CN"/>
              </w:rPr>
              <w:t>61.64%</w:t>
            </w:r>
          </w:p>
        </w:tc>
      </w:tr>
    </w:tbl>
    <w:p>
      <w:pPr>
        <w:pageBreakBefore w:val="0"/>
        <w:kinsoku/>
        <w:wordWrap/>
        <w:topLinePunct w:val="0"/>
        <w:autoSpaceDE/>
        <w:autoSpaceDN/>
        <w:bidi w:val="0"/>
        <w:spacing w:after="0" w:line="520" w:lineRule="exact"/>
        <w:ind w:left="0" w:leftChars="0" w:firstLine="640" w:firstLineChars="200"/>
        <w:outlineLvl w:val="1"/>
        <w:rPr>
          <w:rFonts w:hint="eastAsia" w:ascii="仿宋_GB2312" w:hAnsi="仿宋_GB2312" w:eastAsia="仿宋_GB2312" w:cs="仿宋_GB2312"/>
          <w:color w:val="auto"/>
          <w:sz w:val="32"/>
          <w:szCs w:val="32"/>
        </w:rPr>
      </w:pPr>
      <w:bookmarkStart w:id="43" w:name="_Toc6356"/>
      <w:r>
        <w:rPr>
          <w:rFonts w:hint="eastAsia" w:ascii="楷体" w:hAnsi="楷体" w:eastAsia="楷体" w:cs="楷体"/>
          <w:color w:val="auto"/>
          <w:sz w:val="32"/>
          <w:szCs w:val="32"/>
        </w:rPr>
        <w:t>（三）教学计划进程</w:t>
      </w:r>
      <w:bookmarkEnd w:id="43"/>
    </w:p>
    <w:p>
      <w:pPr>
        <w:pStyle w:val="9"/>
        <w:pageBreakBefore w:val="0"/>
        <w:shd w:val="clear" w:color="auto" w:fill="FFFFFF"/>
        <w:kinsoku/>
        <w:wordWrap/>
        <w:topLinePunct w:val="0"/>
        <w:autoSpaceDE/>
        <w:autoSpaceDN/>
        <w:bidi w:val="0"/>
        <w:spacing w:before="0" w:beforeAutospacing="0" w:afterAutospacing="0" w:line="520" w:lineRule="exact"/>
        <w:ind w:left="0"/>
        <w:jc w:val="center"/>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0"/>
        <w:tblW w:w="5748" w:type="pct"/>
        <w:jc w:val="center"/>
        <w:tblLayout w:type="fixed"/>
        <w:tblCellMar>
          <w:top w:w="0" w:type="dxa"/>
          <w:left w:w="108" w:type="dxa"/>
          <w:bottom w:w="0" w:type="dxa"/>
          <w:right w:w="108" w:type="dxa"/>
        </w:tblCellMar>
      </w:tblPr>
      <w:tblGrid>
        <w:gridCol w:w="322"/>
        <w:gridCol w:w="381"/>
        <w:gridCol w:w="480"/>
        <w:gridCol w:w="720"/>
        <w:gridCol w:w="1311"/>
        <w:gridCol w:w="1443"/>
        <w:gridCol w:w="848"/>
        <w:gridCol w:w="846"/>
        <w:gridCol w:w="750"/>
        <w:gridCol w:w="818"/>
        <w:gridCol w:w="354"/>
        <w:gridCol w:w="354"/>
        <w:gridCol w:w="354"/>
        <w:gridCol w:w="354"/>
        <w:gridCol w:w="355"/>
        <w:gridCol w:w="356"/>
        <w:gridCol w:w="633"/>
      </w:tblGrid>
      <w:tr>
        <w:tblPrEx>
          <w:tblCellMar>
            <w:top w:w="0" w:type="dxa"/>
            <w:left w:w="108" w:type="dxa"/>
            <w:bottom w:w="0" w:type="dxa"/>
            <w:right w:w="108" w:type="dxa"/>
          </w:tblCellMar>
        </w:tblPrEx>
        <w:trPr>
          <w:trHeight w:val="312" w:hRule="atLeast"/>
          <w:jc w:val="center"/>
        </w:trPr>
        <w:tc>
          <w:tcPr>
            <w:tcW w:w="11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rPr>
                <w:rFonts w:hint="eastAsia" w:ascii="仿宋_GB2312" w:hAnsi="仿宋_GB2312" w:eastAsia="仿宋_GB2312" w:cs="仿宋_GB2312"/>
                <w:color w:val="auto"/>
                <w:sz w:val="20"/>
                <w:szCs w:val="20"/>
              </w:rPr>
            </w:pPr>
            <w:bookmarkStart w:id="44" w:name="OLE_LINK3"/>
            <w:r>
              <w:rPr>
                <w:rFonts w:hint="eastAsia" w:ascii="仿宋_GB2312" w:hAnsi="仿宋_GB2312" w:eastAsia="仿宋_GB2312" w:cs="仿宋_GB2312"/>
                <w:color w:val="auto"/>
                <w:kern w:val="0"/>
                <w:sz w:val="20"/>
                <w:szCs w:val="20"/>
                <w:lang w:bidi="ar"/>
              </w:rPr>
              <w:t>课程类型</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序号</w:t>
            </w:r>
          </w:p>
        </w:tc>
        <w:tc>
          <w:tcPr>
            <w:tcW w:w="13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课程代码</w:t>
            </w:r>
          </w:p>
        </w:tc>
        <w:tc>
          <w:tcPr>
            <w:tcW w:w="1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课程名称</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学分</w:t>
            </w:r>
          </w:p>
        </w:tc>
        <w:tc>
          <w:tcPr>
            <w:tcW w:w="241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教学学时数</w:t>
            </w:r>
          </w:p>
        </w:tc>
        <w:tc>
          <w:tcPr>
            <w:tcW w:w="2127"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开课学期和周学时</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考核类型</w:t>
            </w:r>
          </w:p>
        </w:tc>
      </w:tr>
      <w:tr>
        <w:tblPrEx>
          <w:tblCellMar>
            <w:top w:w="0" w:type="dxa"/>
            <w:left w:w="108" w:type="dxa"/>
            <w:bottom w:w="0" w:type="dxa"/>
            <w:right w:w="108" w:type="dxa"/>
          </w:tblCellMar>
        </w:tblPrEx>
        <w:trPr>
          <w:trHeight w:val="312" w:hRule="atLeast"/>
          <w:jc w:val="center"/>
        </w:trPr>
        <w:tc>
          <w:tcPr>
            <w:tcW w:w="11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rPr>
                <w:rFonts w:hint="eastAsia" w:ascii="仿宋_GB2312" w:hAnsi="仿宋_GB2312" w:eastAsia="仿宋_GB2312" w:cs="仿宋_GB2312"/>
                <w:color w:val="auto"/>
                <w:sz w:val="20"/>
                <w:szCs w:val="20"/>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1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241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r>
      <w:tr>
        <w:tblPrEx>
          <w:tblCellMar>
            <w:top w:w="0" w:type="dxa"/>
            <w:left w:w="108" w:type="dxa"/>
            <w:bottom w:w="0" w:type="dxa"/>
            <w:right w:w="108" w:type="dxa"/>
          </w:tblCellMar>
        </w:tblPrEx>
        <w:trPr>
          <w:trHeight w:val="451" w:hRule="atLeast"/>
          <w:jc w:val="center"/>
        </w:trPr>
        <w:tc>
          <w:tcPr>
            <w:tcW w:w="11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rPr>
                <w:rFonts w:hint="eastAsia" w:ascii="仿宋_GB2312" w:hAnsi="仿宋_GB2312" w:eastAsia="仿宋_GB2312" w:cs="仿宋_GB2312"/>
                <w:color w:val="auto"/>
                <w:sz w:val="20"/>
                <w:szCs w:val="20"/>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1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合计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理论学时</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实践学时</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一</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二</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三</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四</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五</w:t>
            </w: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六</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r>
      <w:tr>
        <w:tblPrEx>
          <w:tblCellMar>
            <w:top w:w="0" w:type="dxa"/>
            <w:left w:w="108" w:type="dxa"/>
            <w:bottom w:w="0" w:type="dxa"/>
            <w:right w:w="108" w:type="dxa"/>
          </w:tblCellMar>
        </w:tblPrEx>
        <w:trPr>
          <w:trHeight w:val="490" w:hRule="atLeast"/>
          <w:jc w:val="center"/>
        </w:trPr>
        <w:tc>
          <w:tcPr>
            <w:tcW w:w="7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1B410101101</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pacing w:val="-17"/>
                <w:kern w:val="0"/>
                <w:sz w:val="20"/>
                <w:szCs w:val="20"/>
                <w:lang w:bidi="ar"/>
              </w:rPr>
              <w:t>思想道德与法治</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考试</w:t>
            </w:r>
          </w:p>
        </w:tc>
      </w:tr>
      <w:tr>
        <w:tblPrEx>
          <w:tblCellMar>
            <w:top w:w="0" w:type="dxa"/>
            <w:left w:w="108" w:type="dxa"/>
            <w:bottom w:w="0" w:type="dxa"/>
            <w:right w:w="108" w:type="dxa"/>
          </w:tblCellMar>
        </w:tblPrEx>
        <w:trPr>
          <w:trHeight w:val="545"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1A410101102</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形势与政策</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212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1到4学期开课，每学期8学时。</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1A410101103</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国家安全教育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16</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1A410101104</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军事理论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5</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1C410101105</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军训</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112</w:t>
            </w:r>
          </w:p>
        </w:tc>
        <w:tc>
          <w:tcPr>
            <w:tcW w:w="212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第1学期，实际训练时间不少于14天</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6</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1B410101106</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计算机基础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64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7</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1B410101107</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高等数学</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64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64</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考试</w:t>
            </w:r>
          </w:p>
        </w:tc>
      </w:tr>
      <w:tr>
        <w:tblPrEx>
          <w:tblCellMar>
            <w:top w:w="0" w:type="dxa"/>
            <w:left w:w="108" w:type="dxa"/>
            <w:bottom w:w="0" w:type="dxa"/>
            <w:right w:w="108" w:type="dxa"/>
          </w:tblCellMar>
        </w:tblPrEx>
        <w:trPr>
          <w:trHeight w:val="293"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8</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1B410101108</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大学英语</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8</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104</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考试</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9</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1C410101109</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大学体育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kern w:val="0"/>
                <w:sz w:val="20"/>
                <w:szCs w:val="20"/>
                <w:lang w:val="en-US" w:eastAsia="zh-CN" w:bidi="ar"/>
              </w:rPr>
              <w:t>8</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0"/>
                <w:sz w:val="20"/>
                <w:szCs w:val="20"/>
                <w:lang w:val="en-US" w:eastAsia="zh-CN" w:bidi="ar"/>
              </w:rPr>
              <w:t>144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0"/>
                <w:sz w:val="20"/>
                <w:szCs w:val="20"/>
                <w:lang w:val="en-US" w:eastAsia="zh-CN" w:bidi="ar"/>
              </w:rPr>
              <w:t>144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9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1B410101110</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大学生职业发展与就业指导</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26</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11</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1B410101111</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大学生心理健康教育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12</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1C410101112</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劳动教育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ind w:left="0"/>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687"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13</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left"/>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1B410101113</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毛泽东思想和中国特色社会主义理论体系概论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考试</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14</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1B410101114</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创新创业教育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ind w:left="0"/>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rPr>
          <w:trHeight w:val="687"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15</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1B410101115</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习近平新时代中国特色社会主义思想概论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kern w:val="0"/>
                <w:sz w:val="20"/>
                <w:szCs w:val="20"/>
                <w:lang w:val="en-US" w:eastAsia="zh-CN" w:bidi="ar"/>
              </w:rPr>
              <w:t>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kern w:val="0"/>
                <w:sz w:val="20"/>
                <w:szCs w:val="20"/>
                <w:lang w:bidi="ar"/>
              </w:rPr>
              <w:t>4</w:t>
            </w:r>
            <w:r>
              <w:rPr>
                <w:rFonts w:hint="eastAsia" w:ascii="仿宋_GB2312" w:hAnsi="仿宋_GB2312" w:eastAsia="仿宋_GB2312" w:cs="仿宋_GB2312"/>
                <w:color w:val="auto"/>
                <w:kern w:val="0"/>
                <w:sz w:val="20"/>
                <w:szCs w:val="20"/>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kern w:val="0"/>
                <w:sz w:val="20"/>
                <w:szCs w:val="20"/>
                <w:lang w:val="en-US" w:eastAsia="zh-CN" w:bidi="ar"/>
              </w:rPr>
              <w:t>8</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考试</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选修</w:t>
            </w: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1A410101201</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中国民俗剪纸技法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24</w:t>
            </w:r>
          </w:p>
        </w:tc>
        <w:tc>
          <w:tcPr>
            <w:tcW w:w="2127"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公共选修课最低学分要求为 8学分，其中要求2个学分为思政选修课学分。</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1A410101202</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影视与鉴赏</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24</w:t>
            </w: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1A410101203</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中华优秀传统文化</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4</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1A410101204</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中国共产党简史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5</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1A410101205</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改革开放简史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6</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1A410101206</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中华人民共和国简史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7</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1A410101207</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社会主义发展简史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8</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1A410101208</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中华民族共同体概论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50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9</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pacing w:val="-11"/>
                <w:kern w:val="0"/>
                <w:sz w:val="20"/>
                <w:szCs w:val="20"/>
                <w:lang w:bidi="ar"/>
              </w:rPr>
            </w:pPr>
            <w:r>
              <w:rPr>
                <w:rFonts w:hint="eastAsia" w:ascii="仿宋_GB2312" w:hAnsi="仿宋_GB2312" w:eastAsia="仿宋_GB2312" w:cs="仿宋_GB2312"/>
                <w:color w:val="auto"/>
                <w:spacing w:val="-11"/>
                <w:kern w:val="0"/>
                <w:sz w:val="20"/>
                <w:szCs w:val="20"/>
                <w:lang w:val="en-US" w:eastAsia="zh-CN" w:bidi="ar"/>
              </w:rPr>
              <w:t>1A410101210</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语文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32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0</w:t>
            </w:r>
          </w:p>
        </w:tc>
        <w:tc>
          <w:tcPr>
            <w:tcW w:w="2127"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58"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公共必修课程学分、学时小计</w:t>
            </w:r>
          </w:p>
        </w:tc>
        <w:tc>
          <w:tcPr>
            <w:tcW w:w="84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44</w:t>
            </w:r>
          </w:p>
        </w:tc>
        <w:tc>
          <w:tcPr>
            <w:tcW w:w="84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826</w:t>
            </w:r>
          </w:p>
        </w:tc>
        <w:tc>
          <w:tcPr>
            <w:tcW w:w="7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446</w:t>
            </w:r>
          </w:p>
        </w:tc>
        <w:tc>
          <w:tcPr>
            <w:tcW w:w="81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380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r>
      <w:tr>
        <w:tblPrEx>
          <w:tblCellMar>
            <w:top w:w="0" w:type="dxa"/>
            <w:left w:w="108" w:type="dxa"/>
            <w:bottom w:w="0" w:type="dxa"/>
            <w:right w:w="108" w:type="dxa"/>
          </w:tblCellMar>
        </w:tblPrEx>
        <w:trPr>
          <w:trHeight w:val="289"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公共必修课程学分、学时占比</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30.77%</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30.71%</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spacing w:val="-20"/>
                <w:kern w:val="0"/>
                <w:sz w:val="20"/>
                <w:szCs w:val="20"/>
                <w:lang w:val="en-US" w:eastAsia="zh-CN" w:bidi="ar"/>
              </w:rPr>
              <w:t>43.22%</w:t>
            </w:r>
          </w:p>
        </w:tc>
        <w:tc>
          <w:tcPr>
            <w:tcW w:w="8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22.92%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r>
      <w:tr>
        <w:tblPrEx>
          <w:tblCellMar>
            <w:top w:w="0" w:type="dxa"/>
            <w:left w:w="108" w:type="dxa"/>
            <w:bottom w:w="0" w:type="dxa"/>
            <w:right w:w="108" w:type="dxa"/>
          </w:tblCellMar>
        </w:tblPrEx>
        <w:trPr>
          <w:trHeight w:val="170"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公共选修课程学分、学时小计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w:t>
            </w:r>
          </w:p>
        </w:tc>
        <w:tc>
          <w:tcPr>
            <w:tcW w:w="84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r>
      <w:tr>
        <w:tblPrEx>
          <w:tblCellMar>
            <w:top w:w="0" w:type="dxa"/>
            <w:left w:w="108" w:type="dxa"/>
            <w:bottom w:w="0" w:type="dxa"/>
            <w:right w:w="108" w:type="dxa"/>
          </w:tblCellMar>
        </w:tblPrEx>
        <w:trPr>
          <w:trHeight w:val="382" w:hRule="atLeast"/>
          <w:jc w:val="center"/>
        </w:trPr>
        <w:tc>
          <w:tcPr>
            <w:tcW w:w="7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公共选修课程学分、学时占比</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5.59%</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7.69%</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2.90%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r>
      <w:tr>
        <w:tblPrEx>
          <w:tblCellMar>
            <w:top w:w="0" w:type="dxa"/>
            <w:left w:w="108" w:type="dxa"/>
            <w:bottom w:w="0" w:type="dxa"/>
            <w:right w:w="108" w:type="dxa"/>
          </w:tblCellMar>
        </w:tblPrEx>
        <w:trPr>
          <w:trHeight w:val="312" w:hRule="atLeast"/>
          <w:jc w:val="center"/>
        </w:trPr>
        <w:tc>
          <w:tcPr>
            <w:tcW w:w="322"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专业课</w:t>
            </w:r>
          </w:p>
        </w:tc>
        <w:tc>
          <w:tcPr>
            <w:tcW w:w="381" w:type="dxa"/>
            <w:vMerge w:val="restart"/>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专业基础课</w:t>
            </w:r>
          </w:p>
        </w:tc>
        <w:tc>
          <w:tcPr>
            <w:tcW w:w="480"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2B420301301</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工程制图</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2B420301302</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测绘基础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考试</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val="en-US" w:eastAsia="zh-CN" w:bidi="ar"/>
              </w:rPr>
            </w:pPr>
            <w:r>
              <w:rPr>
                <w:rFonts w:hint="eastAsia" w:ascii="仿宋_GB2312" w:hAnsi="仿宋_GB2312" w:eastAsia="仿宋_GB2312" w:cs="仿宋_GB2312"/>
                <w:i w:val="0"/>
                <w:iCs w:val="0"/>
                <w:color w:val="auto"/>
                <w:spacing w:val="-6"/>
                <w:kern w:val="0"/>
                <w:sz w:val="20"/>
                <w:szCs w:val="20"/>
                <w:u w:val="none"/>
                <w:lang w:val="en-US" w:eastAsia="zh-CN" w:bidi="ar"/>
              </w:rPr>
              <w:t>2B420301303</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测绘仪器检测与维护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val="en-US" w:eastAsia="zh-CN" w:bidi="ar"/>
              </w:rPr>
            </w:pPr>
            <w:r>
              <w:rPr>
                <w:rFonts w:hint="eastAsia" w:ascii="仿宋_GB2312" w:hAnsi="仿宋_GB2312" w:eastAsia="仿宋_GB2312" w:cs="仿宋_GB2312"/>
                <w:i w:val="0"/>
                <w:iCs w:val="0"/>
                <w:color w:val="auto"/>
                <w:spacing w:val="-6"/>
                <w:kern w:val="0"/>
                <w:sz w:val="20"/>
                <w:szCs w:val="20"/>
                <w:u w:val="none"/>
                <w:lang w:val="en-US" w:eastAsia="zh-CN" w:bidi="ar"/>
              </w:rPr>
              <w:t>2B420301304</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测绘程序设计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54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val="en-US" w:eastAsia="zh-CN"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2B420301305</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施工图识读与会审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highlight w:val="none"/>
                <w:lang w:val="en-US" w:eastAsia="zh-CN"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0"/>
                <w:sz w:val="20"/>
                <w:szCs w:val="20"/>
                <w:lang w:val="en-US" w:eastAsia="zh-CN" w:bidi="ar"/>
              </w:rPr>
              <w:t>6</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val="en-US" w:eastAsia="zh-CN" w:bidi="ar"/>
              </w:rPr>
            </w:pPr>
            <w:r>
              <w:rPr>
                <w:rFonts w:hint="eastAsia" w:ascii="仿宋_GB2312" w:hAnsi="仿宋_GB2312" w:eastAsia="仿宋_GB2312" w:cs="仿宋_GB2312"/>
                <w:i w:val="0"/>
                <w:iCs w:val="0"/>
                <w:color w:val="000000"/>
                <w:spacing w:val="-6"/>
                <w:kern w:val="0"/>
                <w:sz w:val="20"/>
                <w:szCs w:val="20"/>
                <w:u w:val="none"/>
                <w:lang w:val="en-US" w:eastAsia="zh-CN" w:bidi="ar"/>
              </w:rPr>
              <w:t>2C420301306</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测绘数据处理</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kern w:val="0"/>
                <w:sz w:val="20"/>
                <w:szCs w:val="20"/>
                <w:lang w:val="en-US" w:eastAsia="zh-CN" w:bidi="ar"/>
              </w:rPr>
              <w:t>7</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2B420301307</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摄影测量</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2B420301401</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工程测量</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CellMar>
            <w:top w:w="0" w:type="dxa"/>
            <w:left w:w="108" w:type="dxa"/>
            <w:bottom w:w="0" w:type="dxa"/>
            <w:right w:w="108" w:type="dxa"/>
          </w:tblCellMar>
        </w:tblPrEx>
        <w:trPr>
          <w:trHeight w:val="461"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val="en-US" w:eastAsia="zh-CN"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2B420301402</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GNSS定位测量</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461"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3</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val="en-US" w:eastAsia="zh-CN"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2B420301403</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控制测量</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54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CellMar>
            <w:top w:w="0" w:type="dxa"/>
            <w:left w:w="108" w:type="dxa"/>
            <w:bottom w:w="0" w:type="dxa"/>
            <w:right w:w="108" w:type="dxa"/>
          </w:tblCellMar>
        </w:tblPrEx>
        <w:trPr>
          <w:trHeight w:val="461"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kern w:val="0"/>
                <w:sz w:val="20"/>
                <w:szCs w:val="20"/>
                <w:lang w:val="en-US" w:eastAsia="zh-CN" w:bidi="ar"/>
              </w:rPr>
              <w:t>4</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2B420301404</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工程变形监测</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5</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val="en-US" w:eastAsia="zh-CN"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2B420301405</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无人机摄影测量</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54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461"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kern w:val="0"/>
                <w:sz w:val="20"/>
                <w:szCs w:val="20"/>
                <w:lang w:val="en-US" w:eastAsia="zh-CN" w:bidi="ar"/>
              </w:rPr>
              <w:t>6</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2B420301406</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数字测图</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7</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val="en-US" w:eastAsia="zh-CN"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2B420301407</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地理信息系统技术应用</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461"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val="en-US" w:eastAsia="zh-CN"/>
              </w:rPr>
              <w:t>8</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val="en-US" w:eastAsia="zh-CN"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2B420301408</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不动产测量</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kern w:val="0"/>
                <w:sz w:val="20"/>
                <w:szCs w:val="20"/>
                <w:lang w:bidi="ar"/>
              </w:rPr>
              <w:t>专业拓展课</w:t>
            </w: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选修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2B420301501</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地下管线探测</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2127" w:type="dxa"/>
            <w:gridSpan w:val="6"/>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sz w:val="20"/>
                <w:szCs w:val="20"/>
              </w:rPr>
              <w:t>专业拓展课最低学分要求为10学分</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2B420301502</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土木工程施工技术</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2B420301503</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三维激光扫描与数字建模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2B420301504</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移动测量技术</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2B420301505</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遥感数字图像处理</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2B420301506</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地理信息空间数据库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kern w:val="0"/>
                <w:sz w:val="20"/>
                <w:szCs w:val="20"/>
                <w:lang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7</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000000"/>
                <w:spacing w:val="-6"/>
                <w:kern w:val="0"/>
                <w:sz w:val="20"/>
                <w:szCs w:val="20"/>
                <w:u w:val="none"/>
                <w:lang w:val="en-US" w:eastAsia="zh-CN" w:bidi="ar"/>
              </w:rPr>
              <w:t>2B420301507</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测绘法律法规</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81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240"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8</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auto"/>
                <w:spacing w:val="-6"/>
                <w:kern w:val="0"/>
                <w:sz w:val="20"/>
                <w:szCs w:val="20"/>
                <w:u w:val="none"/>
                <w:lang w:val="en-US" w:eastAsia="zh-CN" w:bidi="ar"/>
              </w:rPr>
              <w:t>2B420301508</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精密工程测量</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8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20"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9</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auto"/>
                <w:spacing w:val="-6"/>
                <w:kern w:val="0"/>
                <w:sz w:val="20"/>
                <w:szCs w:val="20"/>
                <w:u w:val="none"/>
                <w:lang w:val="en-US" w:eastAsia="zh-CN" w:bidi="ar"/>
              </w:rPr>
              <w:t>2A420301509</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土木工程概论</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8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0</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20"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auto"/>
                <w:spacing w:val="-6"/>
                <w:kern w:val="0"/>
                <w:sz w:val="20"/>
                <w:szCs w:val="20"/>
                <w:u w:val="none"/>
                <w:lang w:val="en-US" w:eastAsia="zh-CN" w:bidi="ar"/>
              </w:rPr>
              <w:t>2B420301510</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建筑力学与结构</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default" w:ascii="仿宋_GB2312" w:hAnsi="仿宋_GB2312" w:eastAsia="仿宋_GB2312" w:cs="仿宋_GB2312"/>
                <w:color w:val="auto"/>
                <w:kern w:val="0"/>
                <w:sz w:val="20"/>
                <w:szCs w:val="20"/>
                <w:lang w:val="en-US" w:bidi="ar"/>
              </w:rPr>
            </w:pPr>
            <w:r>
              <w:rPr>
                <w:rFonts w:hint="eastAsia"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default" w:ascii="仿宋_GB2312" w:hAnsi="仿宋_GB2312" w:eastAsia="仿宋_GB2312" w:cs="仿宋_GB2312"/>
                <w:color w:val="auto"/>
                <w:kern w:val="0"/>
                <w:sz w:val="20"/>
                <w:szCs w:val="20"/>
                <w:lang w:val="en-US" w:bidi="ar"/>
              </w:rPr>
            </w:pPr>
            <w:r>
              <w:rPr>
                <w:rFonts w:hint="eastAsia" w:ascii="仿宋_GB2312" w:hAnsi="仿宋_GB2312" w:eastAsia="仿宋_GB2312" w:cs="仿宋_GB2312"/>
                <w:color w:val="auto"/>
                <w:kern w:val="0"/>
                <w:sz w:val="20"/>
                <w:szCs w:val="20"/>
                <w:lang w:val="en-US" w:eastAsia="zh-CN" w:bidi="ar"/>
              </w:rPr>
              <w:t>18</w:t>
            </w:r>
          </w:p>
        </w:tc>
        <w:tc>
          <w:tcPr>
            <w:tcW w:w="8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default" w:ascii="仿宋_GB2312" w:hAnsi="仿宋_GB2312" w:eastAsia="仿宋_GB2312" w:cs="仿宋_GB2312"/>
                <w:color w:val="auto"/>
                <w:kern w:val="0"/>
                <w:sz w:val="20"/>
                <w:szCs w:val="20"/>
                <w:lang w:val="en-US" w:bidi="ar"/>
              </w:rPr>
            </w:pPr>
            <w:r>
              <w:rPr>
                <w:rFonts w:hint="eastAsia" w:ascii="仿宋_GB2312" w:hAnsi="仿宋_GB2312" w:eastAsia="仿宋_GB2312" w:cs="仿宋_GB2312"/>
                <w:color w:val="auto"/>
                <w:kern w:val="0"/>
                <w:sz w:val="20"/>
                <w:szCs w:val="20"/>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20"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eastAsia="zh-CN" w:bidi="ar"/>
              </w:rPr>
            </w:pPr>
            <w:r>
              <w:rPr>
                <w:rFonts w:hint="eastAsia" w:ascii="仿宋_GB2312" w:hAnsi="仿宋_GB2312" w:eastAsia="仿宋_GB2312" w:cs="仿宋_GB2312"/>
                <w:color w:val="auto"/>
                <w:kern w:val="0"/>
                <w:sz w:val="20"/>
                <w:szCs w:val="20"/>
                <w:lang w:bidi="ar"/>
              </w:rPr>
              <w:t>1</w:t>
            </w:r>
            <w:r>
              <w:rPr>
                <w:rFonts w:hint="eastAsia" w:ascii="仿宋_GB2312" w:hAnsi="仿宋_GB2312" w:eastAsia="仿宋_GB2312" w:cs="仿宋_GB2312"/>
                <w:color w:val="auto"/>
                <w:kern w:val="0"/>
                <w:sz w:val="20"/>
                <w:szCs w:val="20"/>
                <w:lang w:val="en-US" w:eastAsia="zh-CN" w:bidi="ar"/>
              </w:rPr>
              <w:t>1</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auto"/>
                <w:spacing w:val="-6"/>
                <w:kern w:val="0"/>
                <w:sz w:val="20"/>
                <w:szCs w:val="20"/>
                <w:u w:val="none"/>
                <w:lang w:val="en-US" w:eastAsia="zh-CN" w:bidi="ar"/>
              </w:rPr>
              <w:t>2B420301511</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建筑施工测量</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default" w:ascii="仿宋_GB2312" w:hAnsi="仿宋_GB2312" w:eastAsia="仿宋_GB2312" w:cs="仿宋_GB2312"/>
                <w:color w:val="auto"/>
                <w:kern w:val="0"/>
                <w:sz w:val="20"/>
                <w:szCs w:val="20"/>
                <w:lang w:val="en-US" w:bidi="ar"/>
              </w:rPr>
            </w:pPr>
            <w:r>
              <w:rPr>
                <w:rFonts w:hint="eastAsia" w:ascii="仿宋_GB2312" w:hAnsi="仿宋_GB2312" w:eastAsia="仿宋_GB2312" w:cs="仿宋_GB2312"/>
                <w:color w:val="auto"/>
                <w:kern w:val="0"/>
                <w:sz w:val="20"/>
                <w:szCs w:val="20"/>
                <w:lang w:val="en-US" w:eastAsia="zh-CN" w:bidi="ar"/>
              </w:rPr>
              <w:t>18</w:t>
            </w:r>
          </w:p>
        </w:tc>
        <w:tc>
          <w:tcPr>
            <w:tcW w:w="8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default"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18</w:t>
            </w:r>
          </w:p>
        </w:tc>
        <w:tc>
          <w:tcPr>
            <w:tcW w:w="2127"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20"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eastAsia="zh-CN" w:bidi="ar"/>
              </w:rPr>
            </w:pPr>
            <w:r>
              <w:rPr>
                <w:rFonts w:hint="eastAsia" w:ascii="仿宋_GB2312" w:hAnsi="仿宋_GB2312" w:eastAsia="仿宋_GB2312" w:cs="仿宋_GB2312"/>
                <w:color w:val="auto"/>
                <w:kern w:val="0"/>
                <w:sz w:val="20"/>
                <w:szCs w:val="20"/>
                <w:lang w:bidi="ar"/>
              </w:rPr>
              <w:t>1</w:t>
            </w:r>
            <w:r>
              <w:rPr>
                <w:rFonts w:hint="eastAsia" w:ascii="仿宋_GB2312" w:hAnsi="仿宋_GB2312" w:eastAsia="仿宋_GB2312" w:cs="仿宋_GB2312"/>
                <w:color w:val="auto"/>
                <w:kern w:val="0"/>
                <w:sz w:val="20"/>
                <w:szCs w:val="20"/>
                <w:lang w:val="en-US" w:eastAsia="zh-CN" w:bidi="ar"/>
              </w:rPr>
              <w:t>2</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auto"/>
                <w:spacing w:val="-6"/>
                <w:kern w:val="0"/>
                <w:sz w:val="20"/>
                <w:szCs w:val="20"/>
                <w:u w:val="none"/>
                <w:lang w:val="en-US" w:eastAsia="zh-CN" w:bidi="ar"/>
              </w:rPr>
              <w:t>2A420301512</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val="en-US" w:eastAsia="zh-CN" w:bidi="ar"/>
              </w:rPr>
              <w:t>安全生产管理</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36</w:t>
            </w:r>
          </w:p>
        </w:tc>
        <w:tc>
          <w:tcPr>
            <w:tcW w:w="8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default" w:ascii="仿宋_GB2312" w:hAnsi="仿宋_GB2312" w:eastAsia="仿宋_GB2312" w:cs="仿宋_GB2312"/>
                <w:color w:val="auto"/>
                <w:kern w:val="0"/>
                <w:sz w:val="20"/>
                <w:szCs w:val="20"/>
                <w:lang w:val="en-US" w:eastAsia="zh-CN" w:bidi="ar"/>
              </w:rPr>
              <w:t>0</w:t>
            </w:r>
          </w:p>
        </w:tc>
        <w:tc>
          <w:tcPr>
            <w:tcW w:w="2127" w:type="dxa"/>
            <w:gridSpan w:val="6"/>
            <w:vMerge w:val="continue"/>
            <w:tcBorders>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56"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381" w:type="dxa"/>
            <w:vMerge w:val="restart"/>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60" w:lineRule="exact"/>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实践</w:t>
            </w:r>
            <w:r>
              <w:rPr>
                <w:rFonts w:hint="eastAsia" w:ascii="仿宋_GB2312" w:hAnsi="仿宋_GB2312" w:eastAsia="仿宋_GB2312" w:cs="仿宋_GB2312"/>
                <w:color w:val="auto"/>
                <w:kern w:val="0"/>
                <w:sz w:val="20"/>
                <w:szCs w:val="20"/>
                <w:lang w:val="en-US" w:eastAsia="zh-CN" w:bidi="ar"/>
              </w:rPr>
              <w:t>性</w:t>
            </w:r>
            <w:r>
              <w:rPr>
                <w:rFonts w:hint="eastAsia" w:ascii="仿宋_GB2312" w:hAnsi="仿宋_GB2312" w:eastAsia="仿宋_GB2312" w:cs="仿宋_GB2312"/>
                <w:color w:val="auto"/>
                <w:kern w:val="0"/>
                <w:sz w:val="20"/>
                <w:szCs w:val="20"/>
                <w:lang w:bidi="ar"/>
              </w:rPr>
              <w:t>教学环节</w:t>
            </w:r>
          </w:p>
        </w:tc>
        <w:tc>
          <w:tcPr>
            <w:tcW w:w="480"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必修</w:t>
            </w:r>
          </w:p>
        </w:tc>
        <w:tc>
          <w:tcPr>
            <w:tcW w:w="72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w:t>
            </w:r>
          </w:p>
        </w:tc>
        <w:tc>
          <w:tcPr>
            <w:tcW w:w="131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auto"/>
                <w:spacing w:val="-6"/>
                <w:kern w:val="0"/>
                <w:sz w:val="20"/>
                <w:szCs w:val="20"/>
                <w:u w:val="none"/>
                <w:lang w:val="en-US" w:eastAsia="zh-CN" w:bidi="ar"/>
              </w:rPr>
              <w:t>1B410101601</w:t>
            </w:r>
          </w:p>
        </w:tc>
        <w:tc>
          <w:tcPr>
            <w:tcW w:w="144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毕业设计</w:t>
            </w:r>
          </w:p>
        </w:tc>
        <w:tc>
          <w:tcPr>
            <w:tcW w:w="84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w:t>
            </w:r>
          </w:p>
        </w:tc>
        <w:tc>
          <w:tcPr>
            <w:tcW w:w="84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80</w:t>
            </w:r>
          </w:p>
        </w:tc>
        <w:tc>
          <w:tcPr>
            <w:tcW w:w="75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20</w:t>
            </w:r>
          </w:p>
        </w:tc>
        <w:tc>
          <w:tcPr>
            <w:tcW w:w="818"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60</w:t>
            </w:r>
          </w:p>
        </w:tc>
        <w:tc>
          <w:tcPr>
            <w:tcW w:w="354"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354"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w:t>
            </w:r>
          </w:p>
        </w:tc>
        <w:tc>
          <w:tcPr>
            <w:tcW w:w="35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03" w:hRule="atLeast"/>
          <w:jc w:val="center"/>
        </w:trPr>
        <w:tc>
          <w:tcPr>
            <w:tcW w:w="322"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381"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color w:val="auto"/>
                <w:sz w:val="20"/>
                <w:szCs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color w:val="auto"/>
                <w:spacing w:val="-6"/>
                <w:kern w:val="0"/>
                <w:sz w:val="20"/>
                <w:szCs w:val="20"/>
                <w:lang w:bidi="ar"/>
              </w:rPr>
            </w:pPr>
            <w:r>
              <w:rPr>
                <w:rFonts w:hint="eastAsia" w:ascii="仿宋_GB2312" w:hAnsi="仿宋_GB2312" w:eastAsia="仿宋_GB2312" w:cs="仿宋_GB2312"/>
                <w:i w:val="0"/>
                <w:iCs w:val="0"/>
                <w:color w:val="auto"/>
                <w:spacing w:val="-6"/>
                <w:kern w:val="0"/>
                <w:sz w:val="20"/>
                <w:szCs w:val="20"/>
                <w:u w:val="none"/>
                <w:lang w:val="en-US" w:eastAsia="zh-CN" w:bidi="ar"/>
              </w:rPr>
              <w:t>1C410101602</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岗位实习</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18</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432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default"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18</w:t>
            </w: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left="0"/>
              <w:jc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highlight w:val="none"/>
                <w:lang w:bidi="ar"/>
              </w:rPr>
              <w:t>考查</w:t>
            </w:r>
          </w:p>
        </w:tc>
      </w:tr>
      <w:tr>
        <w:tblPrEx>
          <w:tblCellMar>
            <w:top w:w="0" w:type="dxa"/>
            <w:left w:w="108" w:type="dxa"/>
            <w:bottom w:w="0" w:type="dxa"/>
            <w:right w:w="108" w:type="dxa"/>
          </w:tblCellMar>
        </w:tblPrEx>
        <w:trPr>
          <w:trHeight w:val="361"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专业必修课程学分、学时小计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1556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416</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1140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r>
      <w:tr>
        <w:tblPrEx>
          <w:tblCellMar>
            <w:top w:w="0" w:type="dxa"/>
            <w:left w:w="108" w:type="dxa"/>
            <w:bottom w:w="0" w:type="dxa"/>
            <w:right w:w="108" w:type="dxa"/>
          </w:tblCellMar>
        </w:tblPrEx>
        <w:trPr>
          <w:trHeight w:val="346"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专业必修课程学分、学时占比</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56.64%</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57.84%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spacing w:val="-20"/>
                <w:kern w:val="0"/>
                <w:sz w:val="20"/>
                <w:szCs w:val="20"/>
                <w:lang w:val="en-US" w:eastAsia="zh-CN" w:bidi="ar"/>
              </w:rPr>
              <w:t>40.31%</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68.76%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r>
      <w:tr>
        <w:tblPrEx>
          <w:tblCellMar>
            <w:top w:w="0" w:type="dxa"/>
            <w:left w:w="108" w:type="dxa"/>
            <w:bottom w:w="0" w:type="dxa"/>
            <w:right w:w="108" w:type="dxa"/>
          </w:tblCellMar>
        </w:tblPrEx>
        <w:trPr>
          <w:trHeight w:val="495"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专业拓展课程学分、学时小计</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10</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180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90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90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r>
      <w:tr>
        <w:tblPrEx>
          <w:tblCellMar>
            <w:top w:w="0" w:type="dxa"/>
            <w:left w:w="108" w:type="dxa"/>
            <w:bottom w:w="0" w:type="dxa"/>
            <w:right w:w="108" w:type="dxa"/>
          </w:tblCellMar>
        </w:tblPrEx>
        <w:trPr>
          <w:trHeight w:val="303"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专业拓展课程学分、学时占比</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6.99%</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6.69%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8.72%</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5.43%</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r>
      <w:tr>
        <w:tblPrEx>
          <w:tblCellMar>
            <w:top w:w="0" w:type="dxa"/>
            <w:left w:w="108" w:type="dxa"/>
            <w:bottom w:w="0" w:type="dxa"/>
            <w:right w:w="108" w:type="dxa"/>
          </w:tblCellMar>
        </w:tblPrEx>
        <w:trPr>
          <w:trHeight w:val="313"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总学分、学时合计</w:t>
            </w:r>
          </w:p>
        </w:tc>
        <w:tc>
          <w:tcPr>
            <w:tcW w:w="84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143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2690</w:t>
            </w:r>
          </w:p>
        </w:tc>
        <w:tc>
          <w:tcPr>
            <w:tcW w:w="7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1032</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1658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left="0"/>
              <w:jc w:val="center"/>
              <w:textAlignment w:val="center"/>
              <w:rPr>
                <w:rFonts w:hint="eastAsia" w:ascii="仿宋_GB2312" w:hAnsi="仿宋_GB2312" w:eastAsia="仿宋_GB2312" w:cs="仿宋_GB2312"/>
                <w:color w:val="auto"/>
                <w:kern w:val="0"/>
                <w:sz w:val="20"/>
                <w:szCs w:val="20"/>
                <w:lang w:bidi="ar"/>
              </w:rPr>
            </w:pPr>
          </w:p>
        </w:tc>
      </w:tr>
      <w:bookmarkEnd w:id="44"/>
    </w:tbl>
    <w:p>
      <w:pPr>
        <w:pageBreakBefore w:val="0"/>
        <w:kinsoku/>
        <w:wordWrap/>
        <w:overflowPunct w:val="0"/>
        <w:topLinePunct w:val="0"/>
        <w:autoSpaceDE/>
        <w:autoSpaceDN/>
        <w:bidi w:val="0"/>
        <w:adjustRightInd w:val="0"/>
        <w:spacing w:after="0" w:line="520" w:lineRule="exact"/>
        <w:ind w:left="0" w:firstLine="640" w:firstLineChars="200"/>
        <w:outlineLvl w:val="0"/>
        <w:rPr>
          <w:rFonts w:hint="eastAsia" w:ascii="黑体" w:hAnsi="黑体" w:eastAsia="黑体" w:cs="黑体"/>
          <w:color w:val="auto"/>
          <w:sz w:val="32"/>
          <w:szCs w:val="32"/>
        </w:rPr>
      </w:pPr>
      <w:bookmarkStart w:id="45" w:name="_Toc21542"/>
      <w:r>
        <w:rPr>
          <w:rFonts w:hint="eastAsia" w:ascii="黑体" w:hAnsi="黑体" w:eastAsia="黑体" w:cs="黑体"/>
          <w:color w:val="auto"/>
          <w:sz w:val="32"/>
          <w:szCs w:val="32"/>
        </w:rPr>
        <w:t>九、师资队伍</w:t>
      </w:r>
      <w:bookmarkEnd w:id="45"/>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按照“四有好老师”“四个相统一”“四个引路人”的要求建设专业教师队伍，将师德师风作为教师队伍建设的第一标准。</w:t>
      </w:r>
    </w:p>
    <w:p>
      <w:pPr>
        <w:pageBreakBefore w:val="0"/>
        <w:numPr>
          <w:ilvl w:val="0"/>
          <w:numId w:val="1"/>
        </w:numPr>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46" w:name="_Toc1999"/>
      <w:r>
        <w:rPr>
          <w:rFonts w:hint="eastAsia" w:ascii="楷体" w:hAnsi="楷体" w:eastAsia="楷体" w:cs="楷体"/>
          <w:color w:val="auto"/>
          <w:sz w:val="32"/>
          <w:szCs w:val="32"/>
        </w:rPr>
        <w:t>队伍结构</w:t>
      </w:r>
      <w:bookmarkEnd w:id="4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xml:space="preserve">能够整合校内外优质人才资源，选聘企业高级技术人员担任行业导师，组建校企合作、专兼结合的教师团队，建立定期开展专业（学科）教研机制。 </w:t>
      </w:r>
    </w:p>
    <w:p>
      <w:pPr>
        <w:pageBreakBefore w:val="0"/>
        <w:numPr>
          <w:ilvl w:val="0"/>
          <w:numId w:val="1"/>
        </w:numPr>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47" w:name="_Toc8619"/>
      <w:r>
        <w:rPr>
          <w:rFonts w:hint="eastAsia" w:ascii="楷体" w:hAnsi="楷体" w:eastAsia="楷体" w:cs="楷体"/>
          <w:color w:val="auto"/>
          <w:sz w:val="32"/>
          <w:szCs w:val="32"/>
        </w:rPr>
        <w:t>专业带头人</w:t>
      </w:r>
      <w:bookmarkEnd w:id="4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专业带头人原则上原则上应具有本专业及相关专业副高及以上职称和较强的实践能力， 能够较好地把握国内外测绘地理信息服务行业、专业发展，能广泛联系行业企业，了解行业企业对本专业人才的需求实际，主持专业建设、开展教育教学改革、教科研工作和社会服务能力强，在本专业改革发展中起引领作用。</w:t>
      </w:r>
      <w:r>
        <w:rPr>
          <w:rFonts w:hint="eastAsia" w:ascii="仿宋_GB2312" w:hAnsi="仿宋_GB2312" w:eastAsia="仿宋_GB2312" w:cs="仿宋_GB2312"/>
          <w:b w:val="0"/>
          <w:bCs w:val="0"/>
          <w:color w:val="auto"/>
          <w:sz w:val="32"/>
          <w:szCs w:val="32"/>
          <w:highlight w:val="none"/>
          <w:lang w:val="en-US" w:eastAsia="zh-CN"/>
        </w:rPr>
        <w:br w:type="textWrapping"/>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p>
    <w:p>
      <w:pPr>
        <w:pageBreakBefore w:val="0"/>
        <w:numPr>
          <w:ilvl w:val="0"/>
          <w:numId w:val="1"/>
        </w:numPr>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48" w:name="_Toc17537"/>
      <w:r>
        <w:rPr>
          <w:rFonts w:hint="eastAsia" w:ascii="楷体" w:hAnsi="楷体" w:eastAsia="楷体" w:cs="楷体"/>
          <w:color w:val="auto"/>
          <w:sz w:val="32"/>
          <w:szCs w:val="32"/>
          <w:lang w:val="en-US" w:eastAsia="zh-CN"/>
        </w:rPr>
        <w:t>专任教师</w:t>
      </w:r>
      <w:bookmarkEnd w:id="4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sz w:val="32"/>
          <w:szCs w:val="32"/>
        </w:rPr>
      </w:pPr>
      <w:bookmarkStart w:id="49" w:name="_Toc6055"/>
      <w:bookmarkStart w:id="50" w:name="_Toc481"/>
      <w:bookmarkStart w:id="51" w:name="_Toc7661"/>
      <w:r>
        <w:rPr>
          <w:rFonts w:hint="eastAsia" w:ascii="仿宋_GB2312" w:hAnsi="仿宋_GB2312" w:eastAsia="仿宋_GB2312" w:cs="仿宋_GB2312"/>
          <w:b w:val="0"/>
          <w:bCs w:val="0"/>
          <w:color w:val="auto"/>
          <w:sz w:val="32"/>
          <w:szCs w:val="32"/>
          <w:highlight w:val="none"/>
          <w:lang w:val="en-US" w:eastAsia="zh-CN"/>
        </w:rPr>
        <w:t>专任教师应具有高校教师资格；原则上具有测绘地理信息类相关专业本科及以上学历；具有一定年限的相应工作经历或者实践经验， 达到相应的技术技能水平；具有本专业理论和实践能力； 能够落实课程思政要求，挖掘专业课程中的思政教育元素和资源；能够运用信息技术开展混 合式教学等教法改革；能够跟踪新经济、新技术发展前沿，开展技术研发与社会服务；专业教师每年至少 1 个月在企业或生产性实训基地锻炼，每 5 年累计不少于 6 个月的企业实践经历。</w:t>
      </w:r>
      <w:bookmarkEnd w:id="49"/>
      <w:bookmarkEnd w:id="50"/>
      <w:bookmarkEnd w:id="51"/>
      <w:r>
        <w:rPr>
          <w:rFonts w:hint="eastAsia" w:ascii="楷体" w:hAnsi="楷体" w:eastAsia="楷体" w:cs="楷体"/>
          <w:color w:val="auto"/>
          <w:sz w:val="32"/>
          <w:szCs w:val="32"/>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sz w:val="32"/>
          <w:szCs w:val="32"/>
        </w:rPr>
      </w:pPr>
      <w:bookmarkStart w:id="52" w:name="_Toc21071"/>
      <w:r>
        <w:rPr>
          <w:rFonts w:hint="eastAsia" w:ascii="楷体" w:hAnsi="楷体" w:eastAsia="楷体" w:cs="楷体"/>
          <w:color w:val="auto"/>
          <w:sz w:val="32"/>
          <w:szCs w:val="32"/>
        </w:rPr>
        <w:t>（四）兼职教师</w:t>
      </w:r>
      <w:bookmarkEnd w:id="5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黑体" w:hAnsi="黑体" w:eastAsia="黑体" w:cs="黑体"/>
          <w:color w:val="auto"/>
          <w:sz w:val="32"/>
          <w:szCs w:val="32"/>
        </w:rPr>
      </w:pPr>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pageBreakBefore w:val="0"/>
        <w:kinsoku/>
        <w:wordWrap/>
        <w:overflowPunct w:val="0"/>
        <w:topLinePunct w:val="0"/>
        <w:autoSpaceDE/>
        <w:autoSpaceDN/>
        <w:bidi w:val="0"/>
        <w:adjustRightInd w:val="0"/>
        <w:spacing w:after="0" w:line="520" w:lineRule="exact"/>
        <w:ind w:left="0" w:firstLine="640" w:firstLineChars="200"/>
        <w:outlineLvl w:val="0"/>
        <w:rPr>
          <w:rFonts w:hint="eastAsia" w:ascii="楷体" w:hAnsi="楷体" w:eastAsia="楷体" w:cs="楷体"/>
          <w:color w:val="auto"/>
          <w:sz w:val="32"/>
          <w:szCs w:val="32"/>
        </w:rPr>
      </w:pPr>
      <w:bookmarkStart w:id="53" w:name="_Toc8174"/>
      <w:r>
        <w:rPr>
          <w:rFonts w:hint="eastAsia" w:ascii="黑体" w:hAnsi="黑体" w:eastAsia="黑体" w:cs="黑体"/>
          <w:color w:val="auto"/>
          <w:sz w:val="32"/>
          <w:szCs w:val="32"/>
        </w:rPr>
        <w:t>十、教学条件</w:t>
      </w:r>
      <w:bookmarkEnd w:id="53"/>
    </w:p>
    <w:p>
      <w:pPr>
        <w:pageBreakBefore w:val="0"/>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54" w:name="_Toc12463"/>
      <w:r>
        <w:rPr>
          <w:rFonts w:hint="eastAsia" w:ascii="楷体" w:hAnsi="楷体" w:eastAsia="楷体" w:cs="楷体"/>
          <w:color w:val="auto"/>
          <w:sz w:val="32"/>
          <w:szCs w:val="32"/>
        </w:rPr>
        <w:t>（一）教学设施</w:t>
      </w:r>
      <w:bookmarkEnd w:id="54"/>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pageBreakBefore w:val="0"/>
        <w:kinsoku/>
        <w:wordWrap/>
        <w:overflowPunct w:val="0"/>
        <w:topLinePunct w:val="0"/>
        <w:autoSpaceDE/>
        <w:autoSpaceDN/>
        <w:bidi w:val="0"/>
        <w:adjustRightInd w:val="0"/>
        <w:spacing w:after="0" w:line="520" w:lineRule="exact"/>
        <w:ind w:left="0" w:leftChars="0" w:firstLine="640" w:firstLineChars="200"/>
        <w:outlineLvl w:val="2"/>
        <w:rPr>
          <w:rFonts w:ascii="仿宋_GB2312" w:hAnsi="仿宋_GB2312" w:eastAsia="仿宋_GB2312" w:cs="仿宋_GB2312"/>
          <w:color w:val="auto"/>
          <w:sz w:val="32"/>
          <w:szCs w:val="32"/>
        </w:rPr>
      </w:pPr>
      <w:bookmarkStart w:id="55" w:name="_Toc9152"/>
      <w:r>
        <w:rPr>
          <w:rFonts w:hint="eastAsia" w:ascii="仿宋_GB2312" w:hAnsi="仿宋_GB2312" w:eastAsia="仿宋_GB2312" w:cs="仿宋_GB2312"/>
          <w:color w:val="auto"/>
          <w:sz w:val="32"/>
          <w:szCs w:val="32"/>
        </w:rPr>
        <w:t>1.专业教室要求</w:t>
      </w:r>
      <w:bookmarkEnd w:id="55"/>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pPr>
        <w:pageBreakBefore w:val="0"/>
        <w:kinsoku/>
        <w:wordWrap/>
        <w:overflowPunct w:val="0"/>
        <w:topLinePunct w:val="0"/>
        <w:autoSpaceDE/>
        <w:autoSpaceDN/>
        <w:bidi w:val="0"/>
        <w:adjustRightInd w:val="0"/>
        <w:spacing w:after="0" w:line="520" w:lineRule="exact"/>
        <w:ind w:left="0" w:leftChars="0" w:firstLine="640" w:firstLineChars="200"/>
        <w:outlineLvl w:val="2"/>
        <w:rPr>
          <w:rFonts w:hint="eastAsia" w:ascii="仿宋_GB2312" w:hAnsi="仿宋_GB2312" w:eastAsia="仿宋_GB2312" w:cs="仿宋_GB2312"/>
          <w:color w:val="auto"/>
          <w:sz w:val="32"/>
          <w:szCs w:val="32"/>
        </w:rPr>
      </w:pPr>
      <w:bookmarkStart w:id="56" w:name="_Toc25601"/>
      <w:r>
        <w:rPr>
          <w:rFonts w:hint="eastAsia" w:ascii="仿宋_GB2312" w:hAnsi="仿宋_GB2312" w:eastAsia="仿宋_GB2312" w:cs="仿宋_GB2312"/>
          <w:color w:val="auto"/>
          <w:sz w:val="32"/>
          <w:szCs w:val="32"/>
        </w:rPr>
        <w:t>2.校内实训资源</w:t>
      </w:r>
      <w:bookmarkEnd w:id="56"/>
    </w:p>
    <w:p>
      <w:pPr>
        <w:pageBreakBefore w:val="0"/>
        <w:kinsoku/>
        <w:wordWrap/>
        <w:overflowPunct w:val="0"/>
        <w:topLinePunct w:val="0"/>
        <w:autoSpaceDE/>
        <w:autoSpaceDN/>
        <w:bidi w:val="0"/>
        <w:adjustRightInd w:val="0"/>
        <w:spacing w:after="0" w:line="520" w:lineRule="exact"/>
        <w:ind w:left="0"/>
        <w:jc w:val="center"/>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 xml:space="preserve">表11 </w:t>
      </w:r>
      <w:r>
        <w:rPr>
          <w:rFonts w:hint="eastAsia" w:ascii="仿宋_GB2312" w:hAnsi="仿宋_GB2312" w:eastAsia="仿宋_GB2312" w:cs="仿宋_GB2312"/>
          <w:color w:val="auto"/>
          <w:kern w:val="0"/>
          <w:sz w:val="32"/>
          <w:szCs w:val="32"/>
        </w:rPr>
        <w:t>校内实训资源列表</w:t>
      </w:r>
    </w:p>
    <w:tbl>
      <w:tblPr>
        <w:tblStyle w:val="11"/>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302"/>
        <w:gridCol w:w="1634"/>
        <w:gridCol w:w="2865"/>
        <w:gridCol w:w="2745"/>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20"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302"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1634"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实训适用</w:t>
            </w:r>
          </w:p>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w:t>
            </w:r>
          </w:p>
        </w:tc>
        <w:tc>
          <w:tcPr>
            <w:tcW w:w="2865"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实训</w:t>
            </w:r>
          </w:p>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项目</w:t>
            </w:r>
          </w:p>
        </w:tc>
        <w:tc>
          <w:tcPr>
            <w:tcW w:w="2745" w:type="dxa"/>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w:t>
            </w:r>
          </w:p>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及配置数量</w:t>
            </w:r>
          </w:p>
        </w:tc>
        <w:tc>
          <w:tcPr>
            <w:tcW w:w="1021" w:type="dxa"/>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p>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302" w:type="dxa"/>
            <w:vAlign w:val="center"/>
          </w:tcPr>
          <w:p>
            <w:pPr>
              <w:keepNext w:val="0"/>
              <w:keepLines w:val="0"/>
              <w:pageBreakBefore w:val="0"/>
              <w:widowControl/>
              <w:suppressLineNumbers w:val="0"/>
              <w:kinsoku/>
              <w:wordWrap/>
              <w:topLinePunct w:val="0"/>
              <w:autoSpaceDE/>
              <w:autoSpaceDN/>
              <w:bidi w:val="0"/>
              <w:snapToGrid/>
              <w:spacing w:line="300" w:lineRule="exact"/>
              <w:jc w:val="center"/>
              <w:textAlignment w:val="center"/>
              <w:rPr>
                <w:rFonts w:ascii="仿宋_GB2312" w:hAnsi="仿宋_GB2312" w:eastAsia="仿宋_GB2312" w:cs="仿宋_GB2312"/>
                <w:color w:val="auto"/>
                <w:sz w:val="24"/>
              </w:rPr>
            </w:pPr>
            <w:r>
              <w:rPr>
                <w:rFonts w:hint="eastAsia" w:ascii="Times New Roman" w:hAnsi="Times New Roman" w:eastAsia="仿宋_GB2312" w:cs="仿宋"/>
                <w:i w:val="0"/>
                <w:iCs w:val="0"/>
                <w:color w:val="auto"/>
                <w:kern w:val="0"/>
                <w:sz w:val="24"/>
                <w:szCs w:val="24"/>
                <w:u w:val="none"/>
                <w:lang w:val="en-US" w:eastAsia="zh-CN" w:bidi="ar"/>
              </w:rPr>
              <w:t>建筑工程制图室</w:t>
            </w:r>
          </w:p>
        </w:tc>
        <w:tc>
          <w:tcPr>
            <w:tcW w:w="1634"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
                <w:i w:val="0"/>
                <w:iCs w:val="0"/>
                <w:color w:val="auto"/>
                <w:kern w:val="0"/>
                <w:sz w:val="24"/>
                <w:szCs w:val="24"/>
                <w:u w:val="none"/>
                <w:lang w:val="en-US" w:eastAsia="zh-CN" w:bidi="ar"/>
              </w:rPr>
            </w:pPr>
            <w:r>
              <w:rPr>
                <w:rFonts w:hint="eastAsia" w:ascii="Times New Roman" w:hAnsi="Times New Roman" w:eastAsia="仿宋_GB2312" w:cs="仿宋"/>
                <w:i w:val="0"/>
                <w:iCs w:val="0"/>
                <w:color w:val="auto"/>
                <w:kern w:val="0"/>
                <w:sz w:val="24"/>
                <w:szCs w:val="24"/>
                <w:u w:val="none"/>
                <w:lang w:val="en-US" w:eastAsia="zh-CN" w:bidi="ar"/>
              </w:rPr>
              <w:t>数字测图、</w:t>
            </w:r>
          </w:p>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ascii="仿宋_GB2312" w:hAnsi="仿宋_GB2312" w:eastAsia="仿宋_GB2312" w:cs="仿宋_GB2312"/>
                <w:color w:val="auto"/>
                <w:sz w:val="24"/>
              </w:rPr>
            </w:pPr>
            <w:r>
              <w:rPr>
                <w:rFonts w:hint="eastAsia" w:ascii="Times New Roman" w:hAnsi="Times New Roman" w:eastAsia="仿宋_GB2312" w:cs="仿宋"/>
                <w:i w:val="0"/>
                <w:iCs w:val="0"/>
                <w:color w:val="auto"/>
                <w:kern w:val="0"/>
                <w:sz w:val="24"/>
                <w:szCs w:val="24"/>
                <w:u w:val="none"/>
                <w:lang w:val="en-US" w:eastAsia="zh-CN" w:bidi="ar"/>
              </w:rPr>
              <w:t>地图学与地图制图、测量程序设计</w:t>
            </w:r>
          </w:p>
        </w:tc>
        <w:tc>
          <w:tcPr>
            <w:tcW w:w="2865" w:type="dxa"/>
            <w:vAlign w:val="center"/>
          </w:tcPr>
          <w:p>
            <w:pPr>
              <w:keepNext w:val="0"/>
              <w:keepLines w:val="0"/>
              <w:pageBreakBefore w:val="0"/>
              <w:widowControl/>
              <w:suppressLineNumbers w:val="0"/>
              <w:kinsoku/>
              <w:wordWrap/>
              <w:topLinePunct w:val="0"/>
              <w:autoSpaceDE/>
              <w:autoSpaceDN/>
              <w:bidi w:val="0"/>
              <w:snapToGrid/>
              <w:spacing w:line="300" w:lineRule="exact"/>
              <w:jc w:val="left"/>
              <w:textAlignment w:val="center"/>
              <w:rPr>
                <w:rFonts w:ascii="仿宋_GB2312" w:hAnsi="仿宋_GB2312" w:eastAsia="仿宋_GB2312" w:cs="仿宋_GB2312"/>
                <w:color w:val="auto"/>
                <w:sz w:val="24"/>
              </w:rPr>
            </w:pPr>
            <w:r>
              <w:rPr>
                <w:rFonts w:hint="eastAsia" w:ascii="Times New Roman" w:hAnsi="Times New Roman" w:eastAsia="仿宋_GB2312" w:cs="仿宋"/>
                <w:i w:val="0"/>
                <w:iCs w:val="0"/>
                <w:color w:val="auto"/>
                <w:kern w:val="0"/>
                <w:sz w:val="24"/>
                <w:szCs w:val="24"/>
                <w:u w:val="none"/>
                <w:lang w:val="en-US" w:eastAsia="zh-CN" w:bidi="ar"/>
              </w:rPr>
              <w:t>CAD制图软件、数字测图软件、GNSS数据处理软件、</w:t>
            </w:r>
          </w:p>
        </w:tc>
        <w:tc>
          <w:tcPr>
            <w:tcW w:w="2745" w:type="dxa"/>
            <w:vAlign w:val="center"/>
          </w:tcPr>
          <w:p>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left"/>
              <w:textAlignment w:val="auto"/>
              <w:rPr>
                <w:rFonts w:ascii="仿宋_GB2312" w:hAnsi="仿宋_GB2312" w:eastAsia="仿宋_GB2312" w:cs="仿宋_GB2312"/>
                <w:color w:val="auto"/>
                <w:sz w:val="24"/>
              </w:rPr>
            </w:pPr>
            <w:r>
              <w:rPr>
                <w:rFonts w:hint="eastAsia" w:ascii="Times New Roman" w:hAnsi="Times New Roman" w:eastAsia="仿宋_GB2312" w:cs="仿宋"/>
                <w:color w:val="auto"/>
                <w:sz w:val="24"/>
                <w:lang w:val="en-US" w:eastAsia="zh-CN"/>
              </w:rPr>
              <w:t>服务器1台、交换机1台以及可运行AutoCAD软件、数字测图软件、GNSS数据处理软件的计算机80台实训设备</w:t>
            </w:r>
          </w:p>
        </w:tc>
        <w:tc>
          <w:tcPr>
            <w:tcW w:w="1021" w:type="dxa"/>
            <w:vAlign w:val="center"/>
          </w:tcPr>
          <w:p>
            <w:pPr>
              <w:keepNext w:val="0"/>
              <w:keepLines w:val="0"/>
              <w:pageBreakBefore w:val="0"/>
              <w:widowControl/>
              <w:suppressLineNumbers w:val="0"/>
              <w:kinsoku/>
              <w:wordWrap/>
              <w:topLinePunct w:val="0"/>
              <w:autoSpaceDE/>
              <w:autoSpaceDN/>
              <w:bidi w:val="0"/>
              <w:snapToGrid/>
              <w:spacing w:line="300" w:lineRule="exact"/>
              <w:jc w:val="center"/>
              <w:textAlignment w:val="center"/>
              <w:rPr>
                <w:rFonts w:hint="default" w:ascii="仿宋_GB2312" w:hAnsi="仿宋_GB2312" w:eastAsia="仿宋_GB2312" w:cs="仿宋_GB2312"/>
                <w:color w:val="auto"/>
                <w:sz w:val="24"/>
                <w:lang w:val="en-US" w:eastAsia="zh-CN"/>
              </w:rPr>
            </w:pPr>
            <w:r>
              <w:rPr>
                <w:rFonts w:hint="eastAsia" w:ascii="Times New Roman" w:hAnsi="Times New Roman" w:eastAsia="仿宋_GB2312" w:cs="仿宋"/>
                <w:i w:val="0"/>
                <w:iCs w:val="0"/>
                <w:color w:val="auto"/>
                <w:kern w:val="0"/>
                <w:sz w:val="24"/>
                <w:szCs w:val="24"/>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302" w:type="dxa"/>
            <w:vAlign w:val="center"/>
          </w:tcPr>
          <w:p>
            <w:pPr>
              <w:keepNext w:val="0"/>
              <w:keepLines w:val="0"/>
              <w:pageBreakBefore w:val="0"/>
              <w:widowControl/>
              <w:suppressLineNumbers w:val="0"/>
              <w:kinsoku/>
              <w:wordWrap/>
              <w:topLinePunct w:val="0"/>
              <w:autoSpaceDE/>
              <w:autoSpaceDN/>
              <w:bidi w:val="0"/>
              <w:snapToGrid/>
              <w:spacing w:line="300" w:lineRule="exact"/>
              <w:jc w:val="center"/>
              <w:textAlignment w:val="center"/>
              <w:rPr>
                <w:rFonts w:ascii="仿宋_GB2312" w:hAnsi="仿宋_GB2312" w:eastAsia="仿宋_GB2312" w:cs="仿宋_GB2312"/>
                <w:color w:val="auto"/>
                <w:sz w:val="24"/>
              </w:rPr>
            </w:pPr>
            <w:r>
              <w:rPr>
                <w:rFonts w:hint="eastAsia" w:ascii="Times New Roman" w:hAnsi="Times New Roman" w:eastAsia="仿宋_GB2312" w:cs="仿宋"/>
                <w:i w:val="0"/>
                <w:iCs w:val="0"/>
                <w:color w:val="auto"/>
                <w:kern w:val="0"/>
                <w:sz w:val="24"/>
                <w:szCs w:val="24"/>
                <w:u w:val="none"/>
                <w:lang w:val="en-US" w:eastAsia="zh-CN" w:bidi="ar"/>
              </w:rPr>
              <w:t>测绘仪器室</w:t>
            </w:r>
          </w:p>
        </w:tc>
        <w:tc>
          <w:tcPr>
            <w:tcW w:w="1634"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
                <w:i w:val="0"/>
                <w:iCs w:val="0"/>
                <w:color w:val="auto"/>
                <w:kern w:val="0"/>
                <w:sz w:val="24"/>
                <w:szCs w:val="24"/>
                <w:u w:val="none"/>
                <w:lang w:val="en-US" w:eastAsia="zh-CN" w:bidi="ar"/>
              </w:rPr>
            </w:pPr>
            <w:r>
              <w:rPr>
                <w:rFonts w:hint="eastAsia" w:ascii="Times New Roman" w:hAnsi="Times New Roman" w:eastAsia="仿宋_GB2312" w:cs="仿宋"/>
                <w:i w:val="0"/>
                <w:iCs w:val="0"/>
                <w:color w:val="auto"/>
                <w:kern w:val="0"/>
                <w:sz w:val="24"/>
                <w:szCs w:val="24"/>
                <w:u w:val="none"/>
                <w:lang w:val="en-US" w:eastAsia="zh-CN" w:bidi="ar"/>
              </w:rPr>
              <w:t>测量学、</w:t>
            </w:r>
          </w:p>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Times New Roman" w:hAnsi="Times New Roman" w:eastAsia="仿宋_GB2312" w:cs="仿宋"/>
                <w:i w:val="0"/>
                <w:iCs w:val="0"/>
                <w:color w:val="auto"/>
                <w:kern w:val="0"/>
                <w:sz w:val="24"/>
                <w:szCs w:val="24"/>
                <w:u w:val="none"/>
                <w:lang w:val="en-US" w:eastAsia="zh-CN" w:bidi="ar"/>
              </w:rPr>
            </w:pPr>
            <w:r>
              <w:rPr>
                <w:rFonts w:hint="eastAsia" w:ascii="Times New Roman" w:hAnsi="Times New Roman" w:eastAsia="仿宋_GB2312" w:cs="仿宋"/>
                <w:i w:val="0"/>
                <w:iCs w:val="0"/>
                <w:color w:val="auto"/>
                <w:kern w:val="0"/>
                <w:sz w:val="24"/>
                <w:szCs w:val="24"/>
                <w:u w:val="none"/>
                <w:lang w:val="en-US" w:eastAsia="zh-CN" w:bidi="ar"/>
              </w:rPr>
              <w:t>数字测图、</w:t>
            </w:r>
          </w:p>
          <w:p>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ascii="仿宋_GB2312" w:hAnsi="仿宋_GB2312" w:eastAsia="仿宋_GB2312" w:cs="仿宋_GB2312"/>
                <w:color w:val="auto"/>
                <w:sz w:val="24"/>
              </w:rPr>
            </w:pPr>
            <w:r>
              <w:rPr>
                <w:rFonts w:hint="eastAsia" w:ascii="Times New Roman" w:hAnsi="Times New Roman" w:eastAsia="仿宋_GB2312" w:cs="仿宋"/>
                <w:i w:val="0"/>
                <w:iCs w:val="0"/>
                <w:color w:val="auto"/>
                <w:kern w:val="0"/>
                <w:sz w:val="24"/>
                <w:szCs w:val="24"/>
                <w:u w:val="none"/>
                <w:lang w:val="en-US" w:eastAsia="zh-CN" w:bidi="ar"/>
              </w:rPr>
              <w:t>建筑施工测量</w:t>
            </w:r>
          </w:p>
        </w:tc>
        <w:tc>
          <w:tcPr>
            <w:tcW w:w="2865" w:type="dxa"/>
            <w:vAlign w:val="center"/>
          </w:tcPr>
          <w:p>
            <w:pPr>
              <w:keepNext w:val="0"/>
              <w:keepLines w:val="0"/>
              <w:pageBreakBefore w:val="0"/>
              <w:widowControl/>
              <w:suppressLineNumbers w:val="0"/>
              <w:kinsoku/>
              <w:wordWrap/>
              <w:topLinePunct w:val="0"/>
              <w:autoSpaceDE/>
              <w:autoSpaceDN/>
              <w:bidi w:val="0"/>
              <w:snapToGrid/>
              <w:spacing w:line="300" w:lineRule="exact"/>
              <w:jc w:val="left"/>
              <w:textAlignment w:val="center"/>
              <w:rPr>
                <w:rFonts w:ascii="仿宋_GB2312" w:hAnsi="仿宋_GB2312" w:eastAsia="仿宋_GB2312" w:cs="仿宋_GB2312"/>
                <w:color w:val="auto"/>
                <w:sz w:val="24"/>
              </w:rPr>
            </w:pPr>
            <w:r>
              <w:rPr>
                <w:rFonts w:hint="eastAsia" w:ascii="Times New Roman" w:hAnsi="Times New Roman" w:eastAsia="仿宋_GB2312" w:cs="仿宋"/>
                <w:i w:val="0"/>
                <w:iCs w:val="0"/>
                <w:color w:val="auto"/>
                <w:kern w:val="0"/>
                <w:sz w:val="24"/>
                <w:szCs w:val="24"/>
                <w:u w:val="none"/>
                <w:lang w:val="en-US" w:eastAsia="zh-CN" w:bidi="ar"/>
              </w:rPr>
              <w:t>普通水准测量、二等水准测量、四等水准测量、经纬仪角度测量、经纬仪视距测量、全站仪坐标测量、全站仪坐标放样</w:t>
            </w:r>
          </w:p>
        </w:tc>
        <w:tc>
          <w:tcPr>
            <w:tcW w:w="2745" w:type="dxa"/>
            <w:vAlign w:val="center"/>
          </w:tcPr>
          <w:p>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00" w:lineRule="exact"/>
              <w:ind w:left="0" w:leftChars="0" w:right="0" w:rightChars="0"/>
              <w:jc w:val="left"/>
              <w:textAlignment w:val="auto"/>
              <w:rPr>
                <w:rFonts w:ascii="仿宋_GB2312" w:hAnsi="仿宋_GB2312" w:eastAsia="仿宋_GB2312" w:cs="仿宋_GB2312"/>
                <w:color w:val="auto"/>
                <w:sz w:val="24"/>
              </w:rPr>
            </w:pPr>
            <w:r>
              <w:rPr>
                <w:rFonts w:hint="eastAsia" w:ascii="Times New Roman" w:hAnsi="Times New Roman" w:eastAsia="仿宋_GB2312" w:cs="仿宋"/>
                <w:color w:val="auto"/>
                <w:sz w:val="24"/>
                <w:lang w:val="en-US" w:eastAsia="zh-CN"/>
              </w:rPr>
              <w:t>自动安平水准仪25台、数字水准仪10台、DJ6经纬仪30台、全站仪20台、GPS - RTK 9台</w:t>
            </w:r>
          </w:p>
        </w:tc>
        <w:tc>
          <w:tcPr>
            <w:tcW w:w="1021" w:type="dxa"/>
            <w:vAlign w:val="center"/>
          </w:tcPr>
          <w:p>
            <w:pPr>
              <w:keepNext w:val="0"/>
              <w:keepLines w:val="0"/>
              <w:pageBreakBefore w:val="0"/>
              <w:widowControl/>
              <w:suppressLineNumbers w:val="0"/>
              <w:kinsoku/>
              <w:wordWrap/>
              <w:topLinePunct w:val="0"/>
              <w:autoSpaceDE/>
              <w:autoSpaceDN/>
              <w:bidi w:val="0"/>
              <w:snapToGrid/>
              <w:spacing w:line="300" w:lineRule="exact"/>
              <w:jc w:val="center"/>
              <w:textAlignment w:val="center"/>
              <w:rPr>
                <w:rFonts w:ascii="仿宋_GB2312" w:hAnsi="仿宋_GB2312" w:eastAsia="仿宋_GB2312" w:cs="仿宋_GB2312"/>
                <w:color w:val="auto"/>
                <w:sz w:val="24"/>
              </w:rPr>
            </w:pPr>
            <w:r>
              <w:rPr>
                <w:rFonts w:hint="eastAsia" w:ascii="Times New Roman" w:hAnsi="Times New Roman" w:eastAsia="仿宋_GB2312" w:cs="仿宋"/>
                <w:i w:val="0"/>
                <w:iCs w:val="0"/>
                <w:color w:val="auto"/>
                <w:kern w:val="0"/>
                <w:sz w:val="24"/>
                <w:szCs w:val="24"/>
                <w:u w:val="none"/>
                <w:lang w:val="en-US" w:eastAsia="zh-CN" w:bidi="ar"/>
              </w:rPr>
              <w:t>60</w:t>
            </w:r>
          </w:p>
        </w:tc>
      </w:tr>
    </w:tbl>
    <w:p>
      <w:pPr>
        <w:pStyle w:val="2"/>
        <w:pageBreakBefore w:val="0"/>
        <w:widowControl/>
        <w:kinsoku/>
        <w:wordWrap/>
        <w:topLinePunct w:val="0"/>
        <w:autoSpaceDE/>
        <w:autoSpaceDN/>
        <w:bidi w:val="0"/>
        <w:spacing w:before="0" w:after="0" w:line="520" w:lineRule="exact"/>
        <w:ind w:left="0" w:firstLine="640" w:firstLineChars="200"/>
        <w:rPr>
          <w:rFonts w:ascii="仿宋_GB2312" w:hAnsi="仿宋_GB2312" w:eastAsia="仿宋_GB2312" w:cs="仿宋_GB2312"/>
          <w:color w:val="auto"/>
          <w:sz w:val="32"/>
          <w:szCs w:val="32"/>
        </w:rPr>
      </w:pPr>
      <w:bookmarkStart w:id="57" w:name="_Toc31376"/>
      <w:r>
        <w:rPr>
          <w:rFonts w:hint="eastAsia" w:ascii="仿宋_GB2312" w:hAnsi="仿宋_GB2312" w:eastAsia="仿宋_GB2312" w:cs="仿宋_GB2312"/>
          <w:color w:val="auto"/>
          <w:sz w:val="32"/>
          <w:szCs w:val="32"/>
        </w:rPr>
        <w:t>3.校外实训资源</w:t>
      </w:r>
      <w:bookmarkEnd w:id="57"/>
    </w:p>
    <w:p>
      <w:pPr>
        <w:pageBreakBefore w:val="0"/>
        <w:kinsoku/>
        <w:wordWrap/>
        <w:overflowPunct w:val="0"/>
        <w:topLinePunct w:val="0"/>
        <w:autoSpaceDE/>
        <w:autoSpaceDN/>
        <w:bidi w:val="0"/>
        <w:adjustRightInd w:val="0"/>
        <w:spacing w:after="0" w:line="500" w:lineRule="exact"/>
        <w:ind w:left="0" w:leftChars="0" w:firstLine="640" w:firstLineChars="200"/>
        <w:outlineLvl w:val="3"/>
        <w:rPr>
          <w:rFonts w:eastAsia="仿宋_GB2312" w:cs="仿宋"/>
          <w:color w:val="auto"/>
          <w:sz w:val="32"/>
          <w:szCs w:val="32"/>
        </w:rPr>
      </w:pPr>
      <w:r>
        <w:rPr>
          <w:rFonts w:hint="eastAsia" w:eastAsia="仿宋_GB2312" w:cs="仿宋"/>
          <w:color w:val="auto"/>
          <w:sz w:val="32"/>
          <w:szCs w:val="32"/>
        </w:rPr>
        <w:t>（1）校外实训基地基本要求</w:t>
      </w:r>
    </w:p>
    <w:p>
      <w:pPr>
        <w:pageBreakBefore w:val="0"/>
        <w:kinsoku/>
        <w:wordWrap/>
        <w:overflowPunct w:val="0"/>
        <w:topLinePunct w:val="0"/>
        <w:autoSpaceDE/>
        <w:autoSpaceDN/>
        <w:bidi w:val="0"/>
        <w:adjustRightInd w:val="0"/>
        <w:spacing w:after="0" w:line="500" w:lineRule="exact"/>
        <w:ind w:left="0" w:firstLine="640" w:firstLineChars="200"/>
        <w:rPr>
          <w:rFonts w:eastAsia="仿宋_GB2312" w:cs="仿宋"/>
          <w:color w:val="auto"/>
          <w:sz w:val="32"/>
          <w:szCs w:val="32"/>
        </w:rPr>
      </w:pPr>
      <w:r>
        <w:rPr>
          <w:rFonts w:hint="eastAsia" w:eastAsia="仿宋_GB2312" w:cs="仿宋"/>
          <w:color w:val="auto"/>
          <w:sz w:val="32"/>
          <w:szCs w:val="32"/>
        </w:rPr>
        <w:t>具有稳定的校外实训基地2个以上；能够开展水准测量、角度测量、距离测量、大比例地形图的测绘、施工放样测量等实训活动；实训设施齐备，实训岗位、实训指导教师确定，实训管理及实施规章制度齐全。</w:t>
      </w:r>
    </w:p>
    <w:p>
      <w:pPr>
        <w:pageBreakBefore w:val="0"/>
        <w:kinsoku/>
        <w:wordWrap/>
        <w:overflowPunct w:val="0"/>
        <w:topLinePunct w:val="0"/>
        <w:autoSpaceDE/>
        <w:autoSpaceDN/>
        <w:bidi w:val="0"/>
        <w:adjustRightInd w:val="0"/>
        <w:spacing w:after="0" w:line="500" w:lineRule="exact"/>
        <w:ind w:left="0" w:leftChars="0" w:firstLine="640" w:firstLineChars="200"/>
        <w:outlineLvl w:val="3"/>
        <w:rPr>
          <w:rFonts w:eastAsia="仿宋_GB2312" w:cs="仿宋"/>
          <w:color w:val="auto"/>
          <w:sz w:val="32"/>
          <w:szCs w:val="32"/>
        </w:rPr>
      </w:pPr>
      <w:r>
        <w:rPr>
          <w:rFonts w:hint="eastAsia" w:eastAsia="仿宋_GB2312" w:cs="仿宋"/>
          <w:color w:val="auto"/>
          <w:sz w:val="32"/>
          <w:szCs w:val="32"/>
        </w:rPr>
        <w:t>（2）学生实习基地基本要求</w:t>
      </w:r>
    </w:p>
    <w:p>
      <w:pPr>
        <w:pageBreakBefore w:val="0"/>
        <w:kinsoku/>
        <w:wordWrap/>
        <w:overflowPunct w:val="0"/>
        <w:topLinePunct w:val="0"/>
        <w:autoSpaceDE/>
        <w:autoSpaceDN/>
        <w:bidi w:val="0"/>
        <w:adjustRightInd w:val="0"/>
        <w:spacing w:after="0" w:line="500" w:lineRule="exact"/>
        <w:ind w:left="0" w:firstLine="640" w:firstLineChars="200"/>
        <w:rPr>
          <w:rFonts w:ascii="仿宋_GB2312" w:hAnsi="仿宋_GB2312" w:eastAsia="仿宋_GB2312" w:cs="仿宋_GB2312"/>
          <w:color w:val="auto"/>
          <w:sz w:val="32"/>
          <w:szCs w:val="32"/>
        </w:rPr>
      </w:pPr>
      <w:r>
        <w:rPr>
          <w:rFonts w:hint="eastAsia" w:eastAsia="仿宋_GB2312" w:cs="仿宋"/>
          <w:color w:val="auto"/>
          <w:sz w:val="32"/>
          <w:szCs w:val="32"/>
        </w:rPr>
        <w:t>具有稳定的校外实习基地2个以上；能提供测量员、施工员等相关实习岗位，能涵盖当前相关产业的主流技术，可接纳一定规模的学生实习；能够配备相应数量的指导教师对学生实习进行指导和管理；有保证实习生日常工作、学习、生活的规章制度，有安全、保险保障。</w:t>
      </w:r>
    </w:p>
    <w:p>
      <w:pPr>
        <w:pageBreakBefore w:val="0"/>
        <w:kinsoku/>
        <w:wordWrap/>
        <w:overflowPunct w:val="0"/>
        <w:topLinePunct w:val="0"/>
        <w:autoSpaceDE/>
        <w:autoSpaceDN/>
        <w:bidi w:val="0"/>
        <w:adjustRightInd w:val="0"/>
        <w:spacing w:after="0" w:line="520" w:lineRule="exact"/>
        <w:ind w:left="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表12 校外实习基地一览表</w:t>
      </w:r>
    </w:p>
    <w:tbl>
      <w:tblPr>
        <w:tblStyle w:val="11"/>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365"/>
        <w:gridCol w:w="2044"/>
        <w:gridCol w:w="2719"/>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2365"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校外实习基地名称</w:t>
            </w:r>
          </w:p>
        </w:tc>
        <w:tc>
          <w:tcPr>
            <w:tcW w:w="2044"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合作企业名称</w:t>
            </w:r>
          </w:p>
        </w:tc>
        <w:tc>
          <w:tcPr>
            <w:tcW w:w="2719"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952" w:type="dxa"/>
            <w:vAlign w:val="center"/>
          </w:tcPr>
          <w:p>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6"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1</w:t>
            </w:r>
          </w:p>
        </w:tc>
        <w:tc>
          <w:tcPr>
            <w:tcW w:w="2365"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广西工程职业学院工程测量技术专业校外实习基地</w:t>
            </w:r>
          </w:p>
        </w:tc>
        <w:tc>
          <w:tcPr>
            <w:tcW w:w="2044"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广西英超建设有限公司</w:t>
            </w:r>
          </w:p>
        </w:tc>
        <w:tc>
          <w:tcPr>
            <w:tcW w:w="2719" w:type="dxa"/>
            <w:vAlign w:val="top"/>
          </w:tcPr>
          <w:p>
            <w:pPr>
              <w:keepNext w:val="0"/>
              <w:keepLines w:val="0"/>
              <w:pageBreakBefore w:val="0"/>
              <w:widowControl/>
              <w:kinsoku/>
              <w:wordWrap/>
              <w:topLinePunct w:val="0"/>
              <w:autoSpaceDE/>
              <w:autoSpaceDN/>
              <w:bidi w:val="0"/>
              <w:snapToGrid/>
              <w:spacing w:line="300" w:lineRule="exact"/>
              <w:ind w:left="0"/>
              <w:jc w:val="both"/>
              <w:textAlignment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kern w:val="0"/>
                <w:sz w:val="24"/>
                <w:szCs w:val="24"/>
                <w:lang w:val="en-US" w:eastAsia="zh-CN" w:bidi="ar"/>
              </w:rPr>
              <w:t>提供</w:t>
            </w:r>
            <w:r>
              <w:rPr>
                <w:rFonts w:hint="eastAsia" w:ascii="仿宋_GB2312" w:hAnsi="仿宋_GB2312" w:eastAsia="仿宋_GB2312" w:cs="仿宋_GB2312"/>
                <w:color w:val="auto"/>
                <w:kern w:val="0"/>
                <w:sz w:val="24"/>
                <w:szCs w:val="24"/>
                <w:lang w:bidi="ar"/>
              </w:rPr>
              <w:t>房建项目的平面控制测量、高程控制测量、施工放样、沉降观测，以及市政道路的中线测设、管线测量等</w:t>
            </w:r>
            <w:r>
              <w:rPr>
                <w:rFonts w:hint="eastAsia" w:ascii="仿宋_GB2312" w:hAnsi="仿宋_GB2312" w:eastAsia="仿宋_GB2312" w:cs="仿宋_GB2312"/>
                <w:color w:val="auto"/>
                <w:kern w:val="0"/>
                <w:sz w:val="24"/>
                <w:szCs w:val="24"/>
                <w:lang w:val="en-US" w:eastAsia="zh-CN" w:bidi="ar"/>
              </w:rPr>
              <w:t>实习</w:t>
            </w:r>
            <w:r>
              <w:rPr>
                <w:rFonts w:hint="eastAsia" w:ascii="仿宋_GB2312" w:hAnsi="仿宋_GB2312" w:eastAsia="仿宋_GB2312" w:cs="仿宋_GB2312"/>
                <w:color w:val="auto"/>
                <w:kern w:val="0"/>
                <w:sz w:val="24"/>
                <w:szCs w:val="24"/>
                <w:lang w:bidi="ar"/>
              </w:rPr>
              <w:t>任务；提供真实施工图纸、测量原始数据、沉降监测报告等实训素材</w:t>
            </w:r>
            <w:r>
              <w:rPr>
                <w:rFonts w:hint="eastAsia" w:ascii="仿宋_GB2312" w:hAnsi="仿宋_GB2312" w:eastAsia="仿宋_GB2312" w:cs="仿宋_GB2312"/>
                <w:color w:val="auto"/>
                <w:kern w:val="0"/>
                <w:sz w:val="24"/>
                <w:szCs w:val="24"/>
                <w:lang w:eastAsia="zh-CN" w:bidi="ar"/>
              </w:rPr>
              <w:t>。</w:t>
            </w:r>
          </w:p>
        </w:tc>
        <w:tc>
          <w:tcPr>
            <w:tcW w:w="952"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2</w:t>
            </w:r>
          </w:p>
        </w:tc>
        <w:tc>
          <w:tcPr>
            <w:tcW w:w="2365"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广西工程职业学院工程测量技术专业校外实习基地</w:t>
            </w:r>
          </w:p>
        </w:tc>
        <w:tc>
          <w:tcPr>
            <w:tcW w:w="2044"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广西第六建筑工程有限公司</w:t>
            </w:r>
          </w:p>
        </w:tc>
        <w:tc>
          <w:tcPr>
            <w:tcW w:w="2719" w:type="dxa"/>
            <w:vAlign w:val="center"/>
          </w:tcPr>
          <w:p>
            <w:pPr>
              <w:keepNext w:val="0"/>
              <w:keepLines w:val="0"/>
              <w:pageBreakBefore w:val="0"/>
              <w:widowControl/>
              <w:kinsoku/>
              <w:wordWrap/>
              <w:topLinePunct w:val="0"/>
              <w:autoSpaceDE/>
              <w:autoSpaceDN/>
              <w:bidi w:val="0"/>
              <w:snapToGrid/>
              <w:spacing w:line="300" w:lineRule="exact"/>
              <w:ind w:left="0"/>
              <w:jc w:val="left"/>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0"/>
                <w:sz w:val="24"/>
                <w:szCs w:val="24"/>
                <w:lang w:val="en-US" w:eastAsia="zh-CN" w:bidi="ar"/>
              </w:rPr>
              <w:t>提供学生</w:t>
            </w:r>
            <w:r>
              <w:rPr>
                <w:rFonts w:hint="eastAsia" w:ascii="仿宋_GB2312" w:hAnsi="仿宋_GB2312" w:eastAsia="仿宋_GB2312" w:cs="仿宋_GB2312"/>
                <w:color w:val="auto"/>
                <w:kern w:val="0"/>
                <w:sz w:val="24"/>
                <w:szCs w:val="24"/>
                <w:lang w:bidi="ar"/>
              </w:rPr>
              <w:t>进行认知实习与跟岗实训，参与大型商业综合体、装配式建筑的测量放线、预制构件定位、竣工测量等工作；开放企业 “BIM + 测量技术中心”，让学生学习三维激光扫描、BIM 放样机器人等前沿测量技术的应用。</w:t>
            </w:r>
          </w:p>
        </w:tc>
        <w:tc>
          <w:tcPr>
            <w:tcW w:w="952"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3</w:t>
            </w:r>
          </w:p>
        </w:tc>
        <w:tc>
          <w:tcPr>
            <w:tcW w:w="2365"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广西工程职业学院工程测量技术专业校外实习基地</w:t>
            </w:r>
          </w:p>
        </w:tc>
        <w:tc>
          <w:tcPr>
            <w:tcW w:w="2044" w:type="dxa"/>
            <w:vAlign w:val="center"/>
          </w:tcPr>
          <w:p>
            <w:pPr>
              <w:keepNext w:val="0"/>
              <w:keepLines w:val="0"/>
              <w:pageBreakBefore w:val="0"/>
              <w:widowControl/>
              <w:kinsoku/>
              <w:wordWrap/>
              <w:topLinePunct w:val="0"/>
              <w:autoSpaceDE/>
              <w:autoSpaceDN/>
              <w:bidi w:val="0"/>
              <w:snapToGrid/>
              <w:spacing w:line="300" w:lineRule="exact"/>
              <w:ind w:left="0"/>
              <w:jc w:val="left"/>
              <w:textAlignment w:val="center"/>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广西路桥工程集团有限公司</w:t>
            </w:r>
          </w:p>
        </w:tc>
        <w:tc>
          <w:tcPr>
            <w:tcW w:w="2719" w:type="dxa"/>
            <w:vAlign w:val="center"/>
          </w:tcPr>
          <w:p>
            <w:pPr>
              <w:keepNext w:val="0"/>
              <w:keepLines w:val="0"/>
              <w:pageBreakBefore w:val="0"/>
              <w:widowControl/>
              <w:kinsoku/>
              <w:wordWrap/>
              <w:topLinePunct w:val="0"/>
              <w:autoSpaceDE/>
              <w:autoSpaceDN/>
              <w:bidi w:val="0"/>
              <w:snapToGrid/>
              <w:spacing w:line="300" w:lineRule="exact"/>
              <w:ind w:left="0"/>
              <w:jc w:val="left"/>
              <w:textAlignment w:val="center"/>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依托企业资源，组织学生参与 “全国职业院校工程测量技能大赛”“BIM 技术应用大赛”，并对接 “测量员”“工程测量员” 等职业资格证书考核，实现 “以赛促学、以证促能”。</w:t>
            </w:r>
          </w:p>
        </w:tc>
        <w:tc>
          <w:tcPr>
            <w:tcW w:w="952" w:type="dxa"/>
            <w:vAlign w:val="center"/>
          </w:tcPr>
          <w:p>
            <w:pPr>
              <w:keepNext w:val="0"/>
              <w:keepLines w:val="0"/>
              <w:pageBreakBefore w:val="0"/>
              <w:widowControl/>
              <w:kinsoku/>
              <w:wordWrap/>
              <w:topLinePunct w:val="0"/>
              <w:autoSpaceDE/>
              <w:autoSpaceDN/>
              <w:bidi w:val="0"/>
              <w:snapToGrid/>
              <w:spacing w:line="300" w:lineRule="exact"/>
              <w:ind w:left="0"/>
              <w:jc w:val="center"/>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40</w:t>
            </w:r>
          </w:p>
        </w:tc>
      </w:tr>
    </w:tbl>
    <w:p>
      <w:pPr>
        <w:pageBreakBefore w:val="0"/>
        <w:numPr>
          <w:ilvl w:val="0"/>
          <w:numId w:val="2"/>
        </w:numPr>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58" w:name="_Toc1504"/>
      <w:r>
        <w:rPr>
          <w:rFonts w:hint="eastAsia" w:ascii="楷体" w:hAnsi="楷体" w:eastAsia="楷体" w:cs="楷体"/>
          <w:color w:val="auto"/>
          <w:sz w:val="32"/>
          <w:szCs w:val="32"/>
        </w:rPr>
        <w:t>教学资源</w:t>
      </w:r>
      <w:bookmarkEnd w:id="58"/>
    </w:p>
    <w:p>
      <w:pPr>
        <w:pageBreakBefore w:val="0"/>
        <w:kinsoku/>
        <w:wordWrap/>
        <w:overflowPunct w:val="0"/>
        <w:topLinePunct w:val="0"/>
        <w:autoSpaceDE/>
        <w:autoSpaceDN/>
        <w:bidi w:val="0"/>
        <w:adjustRightInd w:val="0"/>
        <w:spacing w:after="0" w:line="500" w:lineRule="exact"/>
        <w:ind w:left="0"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教学资源主要包括能满足学生专业学习、教师专业教学研究和教学实施所需的教材、图书文献及数字教学资源等。</w:t>
      </w:r>
    </w:p>
    <w:p>
      <w:pPr>
        <w:pageBreakBefore w:val="0"/>
        <w:kinsoku/>
        <w:wordWrap/>
        <w:overflowPunct w:val="0"/>
        <w:topLinePunct w:val="0"/>
        <w:autoSpaceDE/>
        <w:autoSpaceDN/>
        <w:bidi w:val="0"/>
        <w:adjustRightInd w:val="0"/>
        <w:spacing w:after="0" w:line="500" w:lineRule="exact"/>
        <w:ind w:left="0"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1.教材选用基本要求</w:t>
      </w:r>
    </w:p>
    <w:p>
      <w:pPr>
        <w:pageBreakBefore w:val="0"/>
        <w:kinsoku/>
        <w:wordWrap/>
        <w:overflowPunct w:val="0"/>
        <w:topLinePunct w:val="0"/>
        <w:autoSpaceDE/>
        <w:autoSpaceDN/>
        <w:bidi w:val="0"/>
        <w:adjustRightInd w:val="0"/>
        <w:spacing w:after="0" w:line="500" w:lineRule="exact"/>
        <w:ind w:left="0"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pageBreakBefore w:val="0"/>
        <w:kinsoku/>
        <w:wordWrap/>
        <w:overflowPunct w:val="0"/>
        <w:topLinePunct w:val="0"/>
        <w:autoSpaceDE/>
        <w:autoSpaceDN/>
        <w:bidi w:val="0"/>
        <w:adjustRightInd w:val="0"/>
        <w:spacing w:after="0" w:line="500" w:lineRule="exact"/>
        <w:ind w:left="0"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pageBreakBefore w:val="0"/>
        <w:kinsoku/>
        <w:wordWrap/>
        <w:overflowPunct w:val="0"/>
        <w:topLinePunct w:val="0"/>
        <w:autoSpaceDE/>
        <w:autoSpaceDN/>
        <w:bidi w:val="0"/>
        <w:adjustRightInd w:val="0"/>
        <w:spacing w:after="0" w:line="500" w:lineRule="exact"/>
        <w:ind w:left="0"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2.图书文献配备基本要求</w:t>
      </w:r>
    </w:p>
    <w:p>
      <w:pPr>
        <w:pageBreakBefore w:val="0"/>
        <w:kinsoku/>
        <w:wordWrap/>
        <w:overflowPunct w:val="0"/>
        <w:topLinePunct w:val="0"/>
        <w:autoSpaceDE/>
        <w:autoSpaceDN/>
        <w:bidi w:val="0"/>
        <w:adjustRightInd w:val="0"/>
        <w:spacing w:after="0" w:line="500" w:lineRule="exact"/>
        <w:ind w:left="0"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图书文献配备能满足人才培养、专业建设、教科研等工作的需要，方便师生查询、借阅。专业类文献主要包括：工程测量技术相关行业政策法规、行业标准、技术规范以及国家标准等与服务相关专业类图书和实务案例类图书。专业图书资料（含电子图书）不低于500册，5 种以上工程测量技术类专业学术期刊，并能保持每年更新。</w:t>
      </w:r>
    </w:p>
    <w:p>
      <w:pPr>
        <w:pageBreakBefore w:val="0"/>
        <w:kinsoku/>
        <w:wordWrap/>
        <w:overflowPunct w:val="0"/>
        <w:topLinePunct w:val="0"/>
        <w:autoSpaceDE/>
        <w:autoSpaceDN/>
        <w:bidi w:val="0"/>
        <w:adjustRightInd w:val="0"/>
        <w:spacing w:after="0" w:line="500" w:lineRule="exact"/>
        <w:ind w:left="0"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3.数字教学资源配置基本要求</w:t>
      </w:r>
    </w:p>
    <w:p>
      <w:pPr>
        <w:pageBreakBefore w:val="0"/>
        <w:kinsoku/>
        <w:wordWrap/>
        <w:overflowPunct w:val="0"/>
        <w:topLinePunct w:val="0"/>
        <w:autoSpaceDE/>
        <w:autoSpaceDN/>
        <w:bidi w:val="0"/>
        <w:adjustRightInd w:val="0"/>
        <w:spacing w:after="0" w:line="500" w:lineRule="exact"/>
        <w:ind w:left="0"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建设、配备与专业相关的音视频素材、教学课件、数字化教学案例库、虚拟仿真软件、数字教材等专业教学资源库，应种类丰富、形式多样、使用便捷、动态更新，能满足教学要求。</w:t>
      </w:r>
    </w:p>
    <w:p>
      <w:pPr>
        <w:pageBreakBefore w:val="0"/>
        <w:numPr>
          <w:ilvl w:val="0"/>
          <w:numId w:val="2"/>
        </w:numPr>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59" w:name="_Toc14374"/>
      <w:r>
        <w:rPr>
          <w:rFonts w:hint="eastAsia" w:ascii="楷体" w:hAnsi="楷体" w:eastAsia="楷体" w:cs="楷体"/>
          <w:color w:val="auto"/>
          <w:sz w:val="32"/>
          <w:szCs w:val="32"/>
          <w:lang w:val="en-US" w:eastAsia="zh-CN"/>
        </w:rPr>
        <w:t>教学方法</w:t>
      </w:r>
      <w:bookmarkEnd w:id="59"/>
    </w:p>
    <w:p>
      <w:pPr>
        <w:pageBreakBefore w:val="0"/>
        <w:kinsoku/>
        <w:wordWrap/>
        <w:overflowPunct w:val="0"/>
        <w:topLinePunct w:val="0"/>
        <w:autoSpaceDE/>
        <w:autoSpaceDN/>
        <w:bidi w:val="0"/>
        <w:adjustRightInd w:val="0"/>
        <w:spacing w:after="0" w:line="520" w:lineRule="exact"/>
        <w:ind w:left="0" w:firstLine="640" w:firstLineChars="200"/>
        <w:rPr>
          <w:rFonts w:hint="eastAsia" w:ascii="楷体" w:hAnsi="楷体" w:eastAsia="楷体" w:cs="楷体"/>
          <w:color w:val="auto"/>
          <w:sz w:val="32"/>
          <w:szCs w:val="32"/>
        </w:rPr>
      </w:pPr>
      <w:r>
        <w:rPr>
          <w:rFonts w:hint="eastAsia" w:eastAsia="仿宋_GB2312" w:cs="仿宋"/>
          <w:color w:val="auto"/>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pageBreakBefore w:val="0"/>
        <w:kinsoku/>
        <w:wordWrap/>
        <w:overflowPunct w:val="0"/>
        <w:topLinePunct w:val="0"/>
        <w:autoSpaceDE/>
        <w:autoSpaceDN/>
        <w:bidi w:val="0"/>
        <w:adjustRightInd w:val="0"/>
        <w:spacing w:after="0" w:line="520" w:lineRule="exact"/>
        <w:ind w:left="0" w:leftChars="0" w:firstLine="640" w:firstLineChars="200"/>
        <w:outlineLvl w:val="1"/>
        <w:rPr>
          <w:rFonts w:hint="eastAsia" w:ascii="楷体" w:hAnsi="楷体" w:eastAsia="楷体" w:cs="楷体"/>
          <w:color w:val="auto"/>
          <w:sz w:val="32"/>
          <w:szCs w:val="32"/>
        </w:rPr>
      </w:pPr>
      <w:bookmarkStart w:id="60" w:name="_Toc8486"/>
      <w:r>
        <w:rPr>
          <w:rFonts w:hint="eastAsia" w:ascii="楷体" w:hAnsi="楷体" w:eastAsia="楷体" w:cs="楷体"/>
          <w:color w:val="auto"/>
          <w:sz w:val="32"/>
          <w:szCs w:val="32"/>
        </w:rPr>
        <w:t>（四）学习评价</w:t>
      </w:r>
      <w:bookmarkEnd w:id="60"/>
    </w:p>
    <w:p>
      <w:pPr>
        <w:pageBreakBefore w:val="0"/>
        <w:kinsoku/>
        <w:wordWrap/>
        <w:overflowPunct w:val="0"/>
        <w:topLinePunct w:val="0"/>
        <w:autoSpaceDE/>
        <w:autoSpaceDN/>
        <w:bidi w:val="0"/>
        <w:adjustRightInd w:val="0"/>
        <w:spacing w:after="0" w:line="520" w:lineRule="exact"/>
        <w:ind w:left="0" w:leftChars="0" w:firstLine="640" w:firstLineChars="200"/>
        <w:outlineLvl w:val="2"/>
        <w:rPr>
          <w:rFonts w:ascii="仿宋_GB2312" w:hAnsi="仿宋_GB2312" w:eastAsia="仿宋_GB2312" w:cs="仿宋_GB2312"/>
          <w:color w:val="auto"/>
          <w:sz w:val="32"/>
          <w:szCs w:val="32"/>
        </w:rPr>
      </w:pPr>
      <w:bookmarkStart w:id="61" w:name="_Toc12636"/>
      <w:r>
        <w:rPr>
          <w:rFonts w:hint="eastAsia" w:ascii="仿宋_GB2312" w:hAnsi="仿宋_GB2312" w:eastAsia="仿宋_GB2312" w:cs="仿宋_GB2312"/>
          <w:color w:val="auto"/>
          <w:sz w:val="32"/>
          <w:szCs w:val="32"/>
        </w:rPr>
        <w:t>1.课程考核方法</w:t>
      </w:r>
      <w:bookmarkEnd w:id="61"/>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pageBreakBefore w:val="0"/>
        <w:kinsoku/>
        <w:wordWrap/>
        <w:overflowPunct w:val="0"/>
        <w:topLinePunct w:val="0"/>
        <w:autoSpaceDE/>
        <w:autoSpaceDN/>
        <w:bidi w:val="0"/>
        <w:adjustRightInd w:val="0"/>
        <w:spacing w:after="0" w:line="520" w:lineRule="exact"/>
        <w:ind w:left="0" w:leftChars="0" w:firstLine="640" w:firstLineChars="200"/>
        <w:outlineLvl w:val="3"/>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（1）A类课程成绩构成（纯理论）</w:t>
      </w:r>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课程总成绩=期末卷面考试成绩（50%）+平时成绩（50%）</w:t>
      </w:r>
    </w:p>
    <w:p>
      <w:pPr>
        <w:pageBreakBefore w:val="0"/>
        <w:kinsoku/>
        <w:wordWrap/>
        <w:overflowPunct w:val="0"/>
        <w:topLinePunct w:val="0"/>
        <w:autoSpaceDE/>
        <w:autoSpaceDN/>
        <w:bidi w:val="0"/>
        <w:adjustRightInd w:val="0"/>
        <w:spacing w:after="0" w:line="520" w:lineRule="exact"/>
        <w:ind w:left="0" w:leftChars="0" w:firstLine="640" w:firstLineChars="200"/>
        <w:outlineLvl w:val="3"/>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（2）B类课程成绩构成（理论+实践）</w:t>
      </w:r>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rPr>
        <w:t>（40%）+技能成绩（30%）+平时成绩（30%）。</w:t>
      </w:r>
    </w:p>
    <w:p>
      <w:pPr>
        <w:pageBreakBefore w:val="0"/>
        <w:kinsoku/>
        <w:wordWrap/>
        <w:overflowPunct w:val="0"/>
        <w:topLinePunct w:val="0"/>
        <w:autoSpaceDE/>
        <w:autoSpaceDN/>
        <w:bidi w:val="0"/>
        <w:adjustRightInd w:val="0"/>
        <w:spacing w:after="0" w:line="520" w:lineRule="exact"/>
        <w:ind w:left="0" w:leftChars="0" w:firstLine="640" w:firstLineChars="200"/>
        <w:outlineLvl w:val="3"/>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pageBreakBefore w:val="0"/>
        <w:kinsoku/>
        <w:wordWrap/>
        <w:overflowPunct w:val="0"/>
        <w:topLinePunct w:val="0"/>
        <w:autoSpaceDE/>
        <w:autoSpaceDN/>
        <w:bidi w:val="0"/>
        <w:adjustRightInd w:val="0"/>
        <w:spacing w:after="0" w:line="520" w:lineRule="exact"/>
        <w:ind w:left="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课程总成绩=技能成绩（50%）+平时成绩（50%）</w:t>
      </w:r>
    </w:p>
    <w:p>
      <w:pPr>
        <w:pageBreakBefore w:val="0"/>
        <w:kinsoku/>
        <w:wordWrap/>
        <w:overflowPunct w:val="0"/>
        <w:topLinePunct w:val="0"/>
        <w:autoSpaceDE/>
        <w:autoSpaceDN/>
        <w:bidi w:val="0"/>
        <w:adjustRightInd w:val="0"/>
        <w:spacing w:after="0" w:line="520" w:lineRule="exact"/>
        <w:ind w:left="0" w:leftChars="0" w:firstLine="640" w:firstLineChars="200"/>
        <w:outlineLvl w:val="2"/>
        <w:rPr>
          <w:rFonts w:ascii="仿宋_GB2312" w:hAnsi="仿宋_GB2312" w:eastAsia="仿宋_GB2312" w:cs="仿宋_GB2312"/>
          <w:color w:val="auto"/>
          <w:sz w:val="32"/>
          <w:szCs w:val="32"/>
        </w:rPr>
      </w:pPr>
      <w:bookmarkStart w:id="62" w:name="_Toc32518"/>
      <w:r>
        <w:rPr>
          <w:rFonts w:hint="eastAsia" w:ascii="仿宋_GB2312" w:hAnsi="仿宋_GB2312" w:eastAsia="仿宋_GB2312" w:cs="仿宋_GB2312"/>
          <w:color w:val="auto"/>
          <w:sz w:val="32"/>
          <w:szCs w:val="32"/>
        </w:rPr>
        <w:t>2.教学评价方式</w:t>
      </w:r>
      <w:bookmarkEnd w:id="62"/>
    </w:p>
    <w:p>
      <w:pPr>
        <w:pageBreakBefore w:val="0"/>
        <w:kinsoku/>
        <w:wordWrap/>
        <w:overflowPunct w:val="0"/>
        <w:topLinePunct w:val="0"/>
        <w:autoSpaceDE/>
        <w:autoSpaceDN/>
        <w:bidi w:val="0"/>
        <w:adjustRightInd w:val="0"/>
        <w:spacing w:after="0" w:line="500" w:lineRule="exact"/>
        <w:ind w:left="0" w:firstLine="640" w:firstLineChars="200"/>
        <w:rPr>
          <w:rFonts w:ascii="仿宋_GB2312" w:hAnsi="仿宋_GB2312" w:eastAsia="仿宋_GB2312" w:cs="仿宋_GB2312"/>
          <w:color w:val="auto"/>
          <w:sz w:val="32"/>
          <w:szCs w:val="32"/>
        </w:rPr>
      </w:pPr>
      <w:r>
        <w:rPr>
          <w:rFonts w:hint="eastAsia" w:eastAsia="仿宋_GB2312" w:cs="仿宋"/>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pageBreakBefore w:val="0"/>
        <w:numPr>
          <w:ilvl w:val="0"/>
          <w:numId w:val="3"/>
        </w:numPr>
        <w:kinsoku/>
        <w:wordWrap/>
        <w:overflowPunct w:val="0"/>
        <w:topLinePunct w:val="0"/>
        <w:autoSpaceDE/>
        <w:autoSpaceDN/>
        <w:bidi w:val="0"/>
        <w:adjustRightInd w:val="0"/>
        <w:spacing w:after="0" w:line="520" w:lineRule="exact"/>
        <w:ind w:left="0" w:firstLine="640" w:firstLineChars="200"/>
        <w:outlineLvl w:val="0"/>
        <w:rPr>
          <w:rFonts w:hint="eastAsia" w:ascii="黑体" w:hAnsi="黑体" w:eastAsia="黑体" w:cs="黑体"/>
          <w:color w:val="auto"/>
          <w:sz w:val="32"/>
          <w:szCs w:val="32"/>
        </w:rPr>
      </w:pPr>
      <w:bookmarkStart w:id="63" w:name="_Toc15194"/>
      <w:r>
        <w:rPr>
          <w:rFonts w:hint="eastAsia" w:ascii="黑体" w:hAnsi="黑体" w:eastAsia="黑体" w:cs="黑体"/>
          <w:color w:val="auto"/>
          <w:sz w:val="32"/>
          <w:szCs w:val="32"/>
        </w:rPr>
        <w:t>质量保障</w:t>
      </w:r>
      <w:bookmarkEnd w:id="63"/>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黑体" w:hAnsi="黑体" w:eastAsia="黑体" w:cs="黑体"/>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pageBreakBefore w:val="0"/>
        <w:kinsoku/>
        <w:wordWrap/>
        <w:overflowPunct w:val="0"/>
        <w:topLinePunct w:val="0"/>
        <w:autoSpaceDE/>
        <w:autoSpaceDN/>
        <w:bidi w:val="0"/>
        <w:adjustRightInd w:val="0"/>
        <w:spacing w:after="0" w:line="520" w:lineRule="exact"/>
        <w:ind w:left="0" w:firstLine="640" w:firstLineChars="200"/>
        <w:outlineLvl w:val="0"/>
        <w:rPr>
          <w:rFonts w:hint="eastAsia" w:ascii="黑体" w:hAnsi="黑体" w:eastAsia="黑体" w:cs="黑体"/>
          <w:color w:val="auto"/>
          <w:sz w:val="32"/>
          <w:szCs w:val="32"/>
        </w:rPr>
      </w:pPr>
      <w:bookmarkStart w:id="64" w:name="_Toc30169"/>
      <w:r>
        <w:rPr>
          <w:rFonts w:hint="eastAsia" w:ascii="黑体" w:hAnsi="黑体" w:eastAsia="黑体" w:cs="黑体"/>
          <w:color w:val="auto"/>
          <w:sz w:val="32"/>
          <w:szCs w:val="32"/>
        </w:rPr>
        <w:t>十二、毕业要求</w:t>
      </w:r>
      <w:bookmarkEnd w:id="64"/>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65" w:name="_Toc655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学分要求</w:t>
      </w:r>
      <w:bookmarkEnd w:id="65"/>
    </w:p>
    <w:p>
      <w:pPr>
        <w:pageBreakBefore w:val="0"/>
        <w:kinsoku/>
        <w:wordWrap/>
        <w:overflowPunct w:val="0"/>
        <w:topLinePunct w:val="0"/>
        <w:autoSpaceDE/>
        <w:autoSpaceDN/>
        <w:bidi w:val="0"/>
        <w:adjustRightInd w:val="0"/>
        <w:spacing w:after="0" w:line="520" w:lineRule="exact"/>
        <w:ind w:left="0" w:leftChars="0" w:firstLine="640" w:firstLineChars="200"/>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本专业要求学生根据人才培养方案确定的目标和培养规格，完成规定的实习实训，全部课程考核合格且修满至少</w:t>
      </w:r>
      <w:r>
        <w:rPr>
          <w:rFonts w:hint="eastAsia" w:eastAsia="仿宋_GB2312" w:cs="仿宋"/>
          <w:color w:val="auto"/>
          <w:sz w:val="32"/>
          <w:szCs w:val="32"/>
        </w:rPr>
        <w:t>14</w:t>
      </w:r>
      <w:r>
        <w:rPr>
          <w:rFonts w:hint="eastAsia" w:eastAsia="仿宋_GB2312" w:cs="仿宋"/>
          <w:color w:val="auto"/>
          <w:sz w:val="32"/>
          <w:szCs w:val="32"/>
          <w:lang w:val="en-US" w:eastAsia="zh-CN"/>
        </w:rPr>
        <w:t>3</w:t>
      </w:r>
      <w:r>
        <w:rPr>
          <w:rFonts w:hint="eastAsia" w:ascii="仿宋_GB2312" w:hAnsi="仿宋_GB2312" w:eastAsia="仿宋_GB2312" w:cs="仿宋_GB2312"/>
          <w:color w:val="auto"/>
          <w:sz w:val="32"/>
          <w:szCs w:val="32"/>
        </w:rPr>
        <w:t>学分。其中，必修课</w:t>
      </w:r>
      <w:r>
        <w:rPr>
          <w:rFonts w:hint="eastAsia" w:eastAsia="仿宋_GB2312" w:cs="仿宋"/>
          <w:color w:val="auto"/>
          <w:sz w:val="32"/>
          <w:szCs w:val="32"/>
        </w:rPr>
        <w:t>12</w:t>
      </w:r>
      <w:r>
        <w:rPr>
          <w:rFonts w:hint="eastAsia" w:eastAsia="仿宋_GB2312" w:cs="仿宋"/>
          <w:color w:val="auto"/>
          <w:sz w:val="32"/>
          <w:szCs w:val="32"/>
          <w:lang w:val="en-US" w:eastAsia="zh-CN"/>
        </w:rPr>
        <w:t>5</w:t>
      </w:r>
      <w:r>
        <w:rPr>
          <w:rFonts w:hint="eastAsia" w:ascii="仿宋_GB2312" w:hAnsi="仿宋_GB2312" w:eastAsia="仿宋_GB2312" w:cs="仿宋_GB2312"/>
          <w:color w:val="auto"/>
          <w:sz w:val="32"/>
          <w:szCs w:val="32"/>
        </w:rPr>
        <w:t>学分，选修课18学分。公共必修课4</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学分，公共选修课</w:t>
      </w:r>
      <w:r>
        <w:rPr>
          <w:rFonts w:hint="eastAsia" w:eastAsia="仿宋_GB2312" w:cs="仿宋"/>
          <w:color w:val="auto"/>
          <w:sz w:val="32"/>
          <w:szCs w:val="32"/>
        </w:rPr>
        <w:t>8</w:t>
      </w:r>
      <w:r>
        <w:rPr>
          <w:rFonts w:hint="eastAsia" w:ascii="仿宋_GB2312" w:hAnsi="仿宋_GB2312" w:eastAsia="仿宋_GB2312" w:cs="仿宋_GB2312"/>
          <w:color w:val="auto"/>
          <w:sz w:val="32"/>
          <w:szCs w:val="32"/>
        </w:rPr>
        <w:t>学分。专业必修课81学分，专业选修课10学分。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640" w:leftChars="0"/>
        <w:textAlignment w:val="auto"/>
        <w:outlineLvl w:val="1"/>
        <w:rPr>
          <w:rFonts w:hint="eastAsia" w:ascii="楷体" w:hAnsi="楷体" w:eastAsia="楷体" w:cs="楷体"/>
          <w:color w:val="auto"/>
          <w:kern w:val="2"/>
          <w:sz w:val="32"/>
          <w:szCs w:val="32"/>
          <w:lang w:val="en-US" w:eastAsia="zh-CN" w:bidi="ar-SA"/>
        </w:rPr>
      </w:pPr>
      <w:bookmarkStart w:id="66" w:name="_Toc4002"/>
      <w:r>
        <w:rPr>
          <w:rFonts w:hint="eastAsia" w:ascii="楷体" w:hAnsi="楷体" w:eastAsia="楷体" w:cs="楷体"/>
          <w:color w:val="auto"/>
          <w:kern w:val="2"/>
          <w:sz w:val="32"/>
          <w:szCs w:val="32"/>
          <w:lang w:val="en-US" w:eastAsia="zh-CN" w:bidi="ar-SA"/>
        </w:rPr>
        <w:t>（二）职业类证书要求</w:t>
      </w:r>
      <w:bookmarkEnd w:id="66"/>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工程测量技术专业职业证书一览表</w:t>
      </w:r>
    </w:p>
    <w:tbl>
      <w:tblPr>
        <w:tblStyle w:val="11"/>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2735"/>
        <w:gridCol w:w="4706"/>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912" w:type="dxa"/>
            <w:noWrap w:val="0"/>
            <w:tcMar>
              <w:top w:w="-1" w:type="dxa"/>
              <w:left w:w="-1" w:type="dxa"/>
              <w:bottom w:w="-1" w:type="dxa"/>
              <w:right w:w="-1"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b/>
                <w:color w:val="auto"/>
                <w:sz w:val="24"/>
                <w:szCs w:val="24"/>
                <w:lang w:val="en-US" w:eastAsia="zh-CN"/>
              </w:rPr>
            </w:pPr>
            <w:r>
              <w:rPr>
                <w:rFonts w:hint="eastAsia" w:ascii="仿宋_GB2312" w:hAnsi="仿宋_GB2312" w:eastAsia="仿宋_GB2312" w:cs="仿宋_GB2312"/>
                <w:b/>
                <w:color w:val="auto"/>
                <w:sz w:val="24"/>
                <w:szCs w:val="24"/>
                <w:lang w:val="en-US" w:eastAsia="zh-CN"/>
              </w:rPr>
              <w:t>序号</w:t>
            </w:r>
          </w:p>
        </w:tc>
        <w:tc>
          <w:tcPr>
            <w:tcW w:w="2735" w:type="dxa"/>
            <w:noWrap w:val="0"/>
            <w:tcMar>
              <w:top w:w="-1" w:type="dxa"/>
              <w:left w:w="-1" w:type="dxa"/>
              <w:bottom w:w="-1" w:type="dxa"/>
              <w:right w:w="-1"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b/>
                <w:color w:val="auto"/>
                <w:sz w:val="24"/>
                <w:szCs w:val="24"/>
                <w:lang w:val="en-US" w:eastAsia="zh-CN"/>
              </w:rPr>
            </w:pPr>
            <w:r>
              <w:rPr>
                <w:rFonts w:hint="eastAsia" w:ascii="仿宋_GB2312" w:hAnsi="仿宋_GB2312" w:eastAsia="仿宋_GB2312" w:cs="仿宋_GB2312"/>
                <w:b/>
                <w:color w:val="auto"/>
                <w:sz w:val="24"/>
                <w:szCs w:val="24"/>
                <w:lang w:val="en-US" w:eastAsia="zh-CN"/>
              </w:rPr>
              <w:t>证书名称</w:t>
            </w:r>
          </w:p>
        </w:tc>
        <w:tc>
          <w:tcPr>
            <w:tcW w:w="4706" w:type="dxa"/>
            <w:noWrap w:val="0"/>
            <w:tcMar>
              <w:top w:w="-1" w:type="dxa"/>
              <w:left w:w="-1" w:type="dxa"/>
              <w:bottom w:w="-1" w:type="dxa"/>
              <w:right w:w="-1"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b/>
                <w:color w:val="auto"/>
                <w:sz w:val="24"/>
                <w:szCs w:val="24"/>
                <w:lang w:val="en-US" w:eastAsia="zh-CN"/>
              </w:rPr>
            </w:pPr>
            <w:r>
              <w:rPr>
                <w:rFonts w:hint="eastAsia" w:ascii="仿宋_GB2312" w:hAnsi="仿宋_GB2312" w:eastAsia="仿宋_GB2312" w:cs="仿宋_GB2312"/>
                <w:b/>
                <w:color w:val="auto"/>
                <w:sz w:val="24"/>
                <w:szCs w:val="24"/>
                <w:lang w:val="en-US" w:eastAsia="zh-CN"/>
              </w:rPr>
              <w:t>发证机构</w:t>
            </w:r>
          </w:p>
        </w:tc>
        <w:tc>
          <w:tcPr>
            <w:tcW w:w="935" w:type="dxa"/>
            <w:noWrap w:val="0"/>
            <w:tcMar>
              <w:top w:w="-1" w:type="dxa"/>
              <w:left w:w="-1" w:type="dxa"/>
              <w:bottom w:w="-1" w:type="dxa"/>
              <w:right w:w="-1" w:type="dxa"/>
            </w:tcMar>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b/>
                <w:color w:val="auto"/>
                <w:sz w:val="24"/>
                <w:szCs w:val="24"/>
                <w:lang w:val="en-US" w:eastAsia="zh-CN"/>
              </w:rPr>
            </w:pPr>
            <w:r>
              <w:rPr>
                <w:rFonts w:hint="eastAsia" w:ascii="仿宋_GB2312" w:hAnsi="仿宋_GB2312" w:eastAsia="仿宋_GB2312" w:cs="仿宋_GB2312"/>
                <w:b/>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12"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2735"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土建施工员</w:t>
            </w:r>
          </w:p>
        </w:tc>
        <w:tc>
          <w:tcPr>
            <w:tcW w:w="4706" w:type="dxa"/>
            <w:vMerge w:val="restart"/>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935" w:type="dxa"/>
            <w:vMerge w:val="restart"/>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12"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2735"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市政工程施工员</w:t>
            </w:r>
          </w:p>
        </w:tc>
        <w:tc>
          <w:tcPr>
            <w:tcW w:w="4706"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c>
          <w:tcPr>
            <w:tcW w:w="935"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12"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2735"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材料员</w:t>
            </w:r>
          </w:p>
        </w:tc>
        <w:tc>
          <w:tcPr>
            <w:tcW w:w="4706"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c>
          <w:tcPr>
            <w:tcW w:w="935"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12"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2735"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资料员</w:t>
            </w:r>
          </w:p>
        </w:tc>
        <w:tc>
          <w:tcPr>
            <w:tcW w:w="4706"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c>
          <w:tcPr>
            <w:tcW w:w="935"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12"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2735"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土建质量员</w:t>
            </w:r>
          </w:p>
        </w:tc>
        <w:tc>
          <w:tcPr>
            <w:tcW w:w="4706"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c>
          <w:tcPr>
            <w:tcW w:w="935"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12"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2735"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安全员</w:t>
            </w:r>
          </w:p>
        </w:tc>
        <w:tc>
          <w:tcPr>
            <w:tcW w:w="4706"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c>
          <w:tcPr>
            <w:tcW w:w="935" w:type="dxa"/>
            <w:vMerge w:val="continue"/>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12"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2735"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4706" w:type="dxa"/>
            <w:noWrap w:val="0"/>
            <w:tcMar>
              <w:top w:w="-1" w:type="dxa"/>
              <w:left w:w="-1" w:type="dxa"/>
              <w:bottom w:w="-1" w:type="dxa"/>
              <w:right w:w="-1"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935" w:type="dxa"/>
            <w:noWrap w:val="0"/>
            <w:tcMar>
              <w:top w:w="-1" w:type="dxa"/>
              <w:left w:w="-1" w:type="dxa"/>
              <w:bottom w:w="-1" w:type="dxa"/>
              <w:right w:w="-1"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12"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2735" w:type="dxa"/>
            <w:noWrap w:val="0"/>
            <w:tcMar>
              <w:top w:w="-1" w:type="dxa"/>
              <w:left w:w="-1" w:type="dxa"/>
              <w:bottom w:w="-1" w:type="dxa"/>
              <w:right w:w="-1" w:type="dxa"/>
            </w:tcMar>
            <w:vAlign w:val="center"/>
          </w:tcPr>
          <w:p>
            <w:pPr>
              <w:pStyle w:val="9"/>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4706" w:type="dxa"/>
            <w:noWrap w:val="0"/>
            <w:tcMar>
              <w:top w:w="-1" w:type="dxa"/>
              <w:left w:w="-1" w:type="dxa"/>
              <w:bottom w:w="-1" w:type="dxa"/>
              <w:right w:w="-1"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935" w:type="dxa"/>
            <w:noWrap w:val="0"/>
            <w:tcMar>
              <w:top w:w="-1" w:type="dxa"/>
              <w:left w:w="-1" w:type="dxa"/>
              <w:bottom w:w="-1" w:type="dxa"/>
              <w:right w:w="-1"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rightChars="0" w:firstLine="0" w:firstLineChars="0"/>
              <w:jc w:val="left"/>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pageBreakBefore w:val="0"/>
        <w:kinsoku/>
        <w:wordWrap/>
        <w:topLinePunct w:val="0"/>
        <w:autoSpaceDE/>
        <w:autoSpaceDN/>
        <w:bidi w:val="0"/>
        <w:ind w:left="0"/>
        <w:rPr>
          <w:color w:val="auto"/>
        </w:rPr>
      </w:pPr>
    </w:p>
    <w:p>
      <w:pPr>
        <w:pageBreakBefore w:val="0"/>
        <w:kinsoku/>
        <w:wordWrap/>
        <w:overflowPunct w:val="0"/>
        <w:topLinePunct w:val="0"/>
        <w:autoSpaceDE/>
        <w:autoSpaceDN/>
        <w:bidi w:val="0"/>
        <w:adjustRightInd w:val="0"/>
        <w:spacing w:after="0" w:line="520" w:lineRule="exact"/>
        <w:ind w:left="0" w:leftChars="0" w:firstLine="640" w:firstLineChars="200"/>
        <w:outlineLvl w:val="1"/>
        <w:rPr>
          <w:rFonts w:ascii="仿宋_GB2312" w:hAnsi="仿宋_GB2312" w:eastAsia="仿宋_GB2312" w:cs="仿宋_GB2312"/>
          <w:color w:val="auto"/>
          <w:sz w:val="32"/>
          <w:szCs w:val="32"/>
        </w:rPr>
      </w:pPr>
      <w:bookmarkStart w:id="67" w:name="_Toc14566"/>
      <w:r>
        <w:rPr>
          <w:rFonts w:hint="eastAsia" w:ascii="楷体" w:hAnsi="楷体" w:eastAsia="楷体" w:cs="楷体"/>
          <w:color w:val="auto"/>
          <w:sz w:val="32"/>
          <w:szCs w:val="32"/>
        </w:rPr>
        <w:t>（二）综合素质要求</w:t>
      </w:r>
      <w:bookmarkEnd w:id="67"/>
    </w:p>
    <w:p>
      <w:pPr>
        <w:pageBreakBefore w:val="0"/>
        <w:kinsoku/>
        <w:wordWrap/>
        <w:overflowPunct w:val="0"/>
        <w:topLinePunct w:val="0"/>
        <w:autoSpaceDE/>
        <w:autoSpaceDN/>
        <w:bidi w:val="0"/>
        <w:adjustRightInd w:val="0"/>
        <w:spacing w:after="0" w:line="520" w:lineRule="exact"/>
        <w:ind w:left="0" w:leftChars="0" w:firstLine="640" w:firstLineChars="200"/>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经鉴定思想品德符合要求，掌握本专业知识和技术技能，积极参加社会实践活动，具备职业综合素质和行动能力。</w:t>
      </w:r>
    </w:p>
    <w:p>
      <w:pPr>
        <w:pageBreakBefore w:val="0"/>
        <w:kinsoku/>
        <w:wordWrap/>
        <w:topLinePunct w:val="0"/>
        <w:autoSpaceDE/>
        <w:autoSpaceDN/>
        <w:bidi w:val="0"/>
        <w:ind w:left="0"/>
        <w:rPr>
          <w:color w:val="auto"/>
        </w:rPr>
      </w:pPr>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471DE0-B192-418E-93E5-E6EBE1309F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B9EF310-0230-4A42-88D4-C2E089537C3E}"/>
  </w:font>
  <w:font w:name="仿宋">
    <w:panose1 w:val="02010609060101010101"/>
    <w:charset w:val="86"/>
    <w:family w:val="modern"/>
    <w:pitch w:val="default"/>
    <w:sig w:usb0="800002BF" w:usb1="38CF7CFA" w:usb2="00000016" w:usb3="00000000" w:csb0="00040001" w:csb1="00000000"/>
    <w:embedRegular r:id="rId3" w:fontKey="{89018DDC-BFE1-4A89-978A-97967CB3D5FA}"/>
  </w:font>
  <w:font w:name="华文新魏">
    <w:panose1 w:val="02010800040101010101"/>
    <w:charset w:val="86"/>
    <w:family w:val="auto"/>
    <w:pitch w:val="default"/>
    <w:sig w:usb0="00000000" w:usb1="00000000" w:usb2="00000000" w:usb3="00000000" w:csb0="00000000" w:csb1="00000000"/>
    <w:embedRegular r:id="rId4" w:fontKey="{D3A1D70A-17D4-4489-9AA7-3E2A8C16BFAC}"/>
  </w:font>
  <w:font w:name="方正小标宋简体">
    <w:panose1 w:val="03000509000000000000"/>
    <w:charset w:val="86"/>
    <w:family w:val="script"/>
    <w:pitch w:val="default"/>
    <w:sig w:usb0="00000001" w:usb1="080E0000" w:usb2="00000000" w:usb3="00000000" w:csb0="00040000" w:csb1="00000000"/>
    <w:embedRegular r:id="rId5" w:fontKey="{5098105A-F329-48F7-BA2E-70DDEF13EDB2}"/>
  </w:font>
  <w:font w:name="楷体">
    <w:panose1 w:val="02010609060101010101"/>
    <w:charset w:val="86"/>
    <w:family w:val="modern"/>
    <w:pitch w:val="default"/>
    <w:sig w:usb0="800002BF" w:usb1="38CF7CFA" w:usb2="00000016" w:usb3="00000000" w:csb0="00040001" w:csb1="00000000"/>
    <w:embedRegular r:id="rId6" w:fontKey="{5E9B7E3A-53E4-4886-BD13-3168525280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3EA8EC60"/>
    <w:multiLevelType w:val="singleLevel"/>
    <w:tmpl w:val="3EA8EC60"/>
    <w:lvl w:ilvl="0" w:tentative="0">
      <w:start w:val="11"/>
      <w:numFmt w:val="chineseCounting"/>
      <w:suff w:val="nothing"/>
      <w:lvlText w:val="%1、"/>
      <w:lvlJc w:val="left"/>
      <w:rPr>
        <w:rFonts w:hint="eastAsia"/>
      </w:rPr>
    </w:lvl>
  </w:abstractNum>
  <w:abstractNum w:abstractNumId="2">
    <w:nsid w:val="6240CBC4"/>
    <w:multiLevelType w:val="singleLevel"/>
    <w:tmpl w:val="6240CBC4"/>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90F2D"/>
    <w:rsid w:val="001A7FBE"/>
    <w:rsid w:val="001C60C0"/>
    <w:rsid w:val="002235CA"/>
    <w:rsid w:val="00283E45"/>
    <w:rsid w:val="002D15C0"/>
    <w:rsid w:val="003531B3"/>
    <w:rsid w:val="003D3CE4"/>
    <w:rsid w:val="005645D8"/>
    <w:rsid w:val="005A2BBB"/>
    <w:rsid w:val="00682198"/>
    <w:rsid w:val="006A1AE0"/>
    <w:rsid w:val="0071110E"/>
    <w:rsid w:val="00731666"/>
    <w:rsid w:val="00733E26"/>
    <w:rsid w:val="00771B68"/>
    <w:rsid w:val="007A21C3"/>
    <w:rsid w:val="00846585"/>
    <w:rsid w:val="008A28FC"/>
    <w:rsid w:val="00977B14"/>
    <w:rsid w:val="00A12741"/>
    <w:rsid w:val="00A165B0"/>
    <w:rsid w:val="00A23811"/>
    <w:rsid w:val="00A42EBB"/>
    <w:rsid w:val="00AB71CC"/>
    <w:rsid w:val="00B14C0C"/>
    <w:rsid w:val="00B46AB6"/>
    <w:rsid w:val="00B91791"/>
    <w:rsid w:val="00C3446C"/>
    <w:rsid w:val="00C4271B"/>
    <w:rsid w:val="00CE2E4C"/>
    <w:rsid w:val="00D03D56"/>
    <w:rsid w:val="00D24FF0"/>
    <w:rsid w:val="00D6572A"/>
    <w:rsid w:val="00D70437"/>
    <w:rsid w:val="00DD534F"/>
    <w:rsid w:val="00E2700A"/>
    <w:rsid w:val="00ED3BD8"/>
    <w:rsid w:val="00F52A8D"/>
    <w:rsid w:val="00F63617"/>
    <w:rsid w:val="00F82685"/>
    <w:rsid w:val="00FA77F6"/>
    <w:rsid w:val="00FB052B"/>
    <w:rsid w:val="010333FC"/>
    <w:rsid w:val="010D6029"/>
    <w:rsid w:val="011A24F4"/>
    <w:rsid w:val="01514167"/>
    <w:rsid w:val="0170038D"/>
    <w:rsid w:val="01786F4B"/>
    <w:rsid w:val="019E3125"/>
    <w:rsid w:val="01A7022B"/>
    <w:rsid w:val="01AA3877"/>
    <w:rsid w:val="01AD5116"/>
    <w:rsid w:val="01BB7833"/>
    <w:rsid w:val="01DB6127"/>
    <w:rsid w:val="01EA5D5E"/>
    <w:rsid w:val="020B6A0C"/>
    <w:rsid w:val="02150462"/>
    <w:rsid w:val="021C3352"/>
    <w:rsid w:val="02551A35"/>
    <w:rsid w:val="02661E94"/>
    <w:rsid w:val="026779BA"/>
    <w:rsid w:val="027D0F8C"/>
    <w:rsid w:val="02897931"/>
    <w:rsid w:val="028C02AA"/>
    <w:rsid w:val="02C95F7F"/>
    <w:rsid w:val="02CD5374"/>
    <w:rsid w:val="02D4191C"/>
    <w:rsid w:val="03025C10"/>
    <w:rsid w:val="031F3DF1"/>
    <w:rsid w:val="032B6C3A"/>
    <w:rsid w:val="03304250"/>
    <w:rsid w:val="035C6DF3"/>
    <w:rsid w:val="037959A0"/>
    <w:rsid w:val="03A07894"/>
    <w:rsid w:val="03B1713F"/>
    <w:rsid w:val="03B409DD"/>
    <w:rsid w:val="03BE185C"/>
    <w:rsid w:val="03C2134C"/>
    <w:rsid w:val="03C27B84"/>
    <w:rsid w:val="03C36E72"/>
    <w:rsid w:val="03F4702C"/>
    <w:rsid w:val="03FB03BA"/>
    <w:rsid w:val="03FE58A6"/>
    <w:rsid w:val="04176113"/>
    <w:rsid w:val="046E6DDE"/>
    <w:rsid w:val="048C3708"/>
    <w:rsid w:val="04A22F2C"/>
    <w:rsid w:val="04BC3FEE"/>
    <w:rsid w:val="04E86B91"/>
    <w:rsid w:val="051223C4"/>
    <w:rsid w:val="05353DA0"/>
    <w:rsid w:val="056F2E0E"/>
    <w:rsid w:val="058843D4"/>
    <w:rsid w:val="05DB36AB"/>
    <w:rsid w:val="05F652DD"/>
    <w:rsid w:val="062E0F1B"/>
    <w:rsid w:val="06383B48"/>
    <w:rsid w:val="06471FDD"/>
    <w:rsid w:val="065B4B07"/>
    <w:rsid w:val="06AD62E4"/>
    <w:rsid w:val="06C90C44"/>
    <w:rsid w:val="070954E4"/>
    <w:rsid w:val="070B31A6"/>
    <w:rsid w:val="072D443A"/>
    <w:rsid w:val="07322345"/>
    <w:rsid w:val="0737795B"/>
    <w:rsid w:val="075C4CF6"/>
    <w:rsid w:val="078057A6"/>
    <w:rsid w:val="07A56335"/>
    <w:rsid w:val="07ED2710"/>
    <w:rsid w:val="07F65A68"/>
    <w:rsid w:val="0807695A"/>
    <w:rsid w:val="081163FE"/>
    <w:rsid w:val="081B54CF"/>
    <w:rsid w:val="082500FC"/>
    <w:rsid w:val="082C4FE6"/>
    <w:rsid w:val="082F2519"/>
    <w:rsid w:val="084C7436"/>
    <w:rsid w:val="08682437"/>
    <w:rsid w:val="087846CF"/>
    <w:rsid w:val="08812254"/>
    <w:rsid w:val="08B51E3D"/>
    <w:rsid w:val="08DA7138"/>
    <w:rsid w:val="08DB6A0C"/>
    <w:rsid w:val="08F70DAF"/>
    <w:rsid w:val="09075A53"/>
    <w:rsid w:val="09210852"/>
    <w:rsid w:val="094D790A"/>
    <w:rsid w:val="095347F5"/>
    <w:rsid w:val="095962AF"/>
    <w:rsid w:val="095C586C"/>
    <w:rsid w:val="099E1F14"/>
    <w:rsid w:val="09C872BF"/>
    <w:rsid w:val="09CB082F"/>
    <w:rsid w:val="09D058BB"/>
    <w:rsid w:val="09D45935"/>
    <w:rsid w:val="0A1E4E03"/>
    <w:rsid w:val="0A320BC7"/>
    <w:rsid w:val="0A4A3E4A"/>
    <w:rsid w:val="0A634F0B"/>
    <w:rsid w:val="0A7D7D7B"/>
    <w:rsid w:val="0AC260D6"/>
    <w:rsid w:val="0AC91212"/>
    <w:rsid w:val="0ACA5155"/>
    <w:rsid w:val="0AF53DB5"/>
    <w:rsid w:val="0AF838A6"/>
    <w:rsid w:val="0AFF69E2"/>
    <w:rsid w:val="0B04049C"/>
    <w:rsid w:val="0B0C7351"/>
    <w:rsid w:val="0B1C57E6"/>
    <w:rsid w:val="0B325009"/>
    <w:rsid w:val="0B3A5C6C"/>
    <w:rsid w:val="0B64718D"/>
    <w:rsid w:val="0B780C4C"/>
    <w:rsid w:val="0B8B23C6"/>
    <w:rsid w:val="0B9335CE"/>
    <w:rsid w:val="0B9E269F"/>
    <w:rsid w:val="0BA41FB7"/>
    <w:rsid w:val="0BB93035"/>
    <w:rsid w:val="0BDC4F75"/>
    <w:rsid w:val="0BEA61D8"/>
    <w:rsid w:val="0C0A3BA0"/>
    <w:rsid w:val="0C2D757F"/>
    <w:rsid w:val="0C7927C4"/>
    <w:rsid w:val="0C8F1FE8"/>
    <w:rsid w:val="0CA5180B"/>
    <w:rsid w:val="0CAA0BCF"/>
    <w:rsid w:val="0CAC0DEC"/>
    <w:rsid w:val="0CE642FD"/>
    <w:rsid w:val="0CEE6D0E"/>
    <w:rsid w:val="0CFF0F1B"/>
    <w:rsid w:val="0D3000CB"/>
    <w:rsid w:val="0DB51C1E"/>
    <w:rsid w:val="0DBE2B84"/>
    <w:rsid w:val="0DE924A0"/>
    <w:rsid w:val="0DFC18FF"/>
    <w:rsid w:val="0DFF4F4B"/>
    <w:rsid w:val="0E2350DD"/>
    <w:rsid w:val="0E252C04"/>
    <w:rsid w:val="0E5E6115"/>
    <w:rsid w:val="0E6E45B2"/>
    <w:rsid w:val="0E7B6CC7"/>
    <w:rsid w:val="0E8649CF"/>
    <w:rsid w:val="0E883192"/>
    <w:rsid w:val="0E9908FE"/>
    <w:rsid w:val="0ED4462A"/>
    <w:rsid w:val="0EE71B28"/>
    <w:rsid w:val="0EE85502"/>
    <w:rsid w:val="0EEC54CF"/>
    <w:rsid w:val="0EF6634E"/>
    <w:rsid w:val="0F2E7896"/>
    <w:rsid w:val="0F386966"/>
    <w:rsid w:val="0F451083"/>
    <w:rsid w:val="0F5F3EF3"/>
    <w:rsid w:val="0FA47B58"/>
    <w:rsid w:val="0FA67D74"/>
    <w:rsid w:val="0FD20B69"/>
    <w:rsid w:val="0FE4089C"/>
    <w:rsid w:val="1004562B"/>
    <w:rsid w:val="10093E5F"/>
    <w:rsid w:val="10120F66"/>
    <w:rsid w:val="10150A56"/>
    <w:rsid w:val="10152804"/>
    <w:rsid w:val="10234F21"/>
    <w:rsid w:val="102D5D9F"/>
    <w:rsid w:val="103A04BC"/>
    <w:rsid w:val="1077526D"/>
    <w:rsid w:val="108C51BC"/>
    <w:rsid w:val="10914580"/>
    <w:rsid w:val="10AB4F16"/>
    <w:rsid w:val="10ED5960"/>
    <w:rsid w:val="10EE36A0"/>
    <w:rsid w:val="112D6D98"/>
    <w:rsid w:val="11383AA2"/>
    <w:rsid w:val="116611DD"/>
    <w:rsid w:val="116752E1"/>
    <w:rsid w:val="116E2B13"/>
    <w:rsid w:val="11A7392F"/>
    <w:rsid w:val="11B30526"/>
    <w:rsid w:val="11C95F9C"/>
    <w:rsid w:val="11EE5A02"/>
    <w:rsid w:val="12222CC9"/>
    <w:rsid w:val="1231466D"/>
    <w:rsid w:val="12320F1A"/>
    <w:rsid w:val="12485112"/>
    <w:rsid w:val="127F665A"/>
    <w:rsid w:val="12A61E39"/>
    <w:rsid w:val="12A76ED9"/>
    <w:rsid w:val="12C50511"/>
    <w:rsid w:val="12DC3AAD"/>
    <w:rsid w:val="12F708E7"/>
    <w:rsid w:val="131075C7"/>
    <w:rsid w:val="131274CE"/>
    <w:rsid w:val="13160D6D"/>
    <w:rsid w:val="131E7C21"/>
    <w:rsid w:val="13203999"/>
    <w:rsid w:val="132D19F1"/>
    <w:rsid w:val="133631BD"/>
    <w:rsid w:val="133E02C4"/>
    <w:rsid w:val="135C5E82"/>
    <w:rsid w:val="13854144"/>
    <w:rsid w:val="139B5716"/>
    <w:rsid w:val="13BB1914"/>
    <w:rsid w:val="13C77F07"/>
    <w:rsid w:val="13D824C6"/>
    <w:rsid w:val="13DA4490"/>
    <w:rsid w:val="13DE0213"/>
    <w:rsid w:val="13F454F6"/>
    <w:rsid w:val="14250C9D"/>
    <w:rsid w:val="144F5DC3"/>
    <w:rsid w:val="145F6743"/>
    <w:rsid w:val="149D101A"/>
    <w:rsid w:val="14A800EA"/>
    <w:rsid w:val="14D56A06"/>
    <w:rsid w:val="14F5226F"/>
    <w:rsid w:val="15001CD4"/>
    <w:rsid w:val="150215C3"/>
    <w:rsid w:val="150317C5"/>
    <w:rsid w:val="15202377"/>
    <w:rsid w:val="15237771"/>
    <w:rsid w:val="154F4A0A"/>
    <w:rsid w:val="15542020"/>
    <w:rsid w:val="15692509"/>
    <w:rsid w:val="1571672E"/>
    <w:rsid w:val="15C10475"/>
    <w:rsid w:val="15C72F70"/>
    <w:rsid w:val="15EF4B8C"/>
    <w:rsid w:val="165B2F3A"/>
    <w:rsid w:val="165C118C"/>
    <w:rsid w:val="165F0C7D"/>
    <w:rsid w:val="166A13D0"/>
    <w:rsid w:val="1699418F"/>
    <w:rsid w:val="16995FBA"/>
    <w:rsid w:val="16A42B33"/>
    <w:rsid w:val="16D6322F"/>
    <w:rsid w:val="16DC051F"/>
    <w:rsid w:val="16DC22CD"/>
    <w:rsid w:val="16E772C0"/>
    <w:rsid w:val="170B4961"/>
    <w:rsid w:val="1740285C"/>
    <w:rsid w:val="1749510D"/>
    <w:rsid w:val="17555BDC"/>
    <w:rsid w:val="1796247C"/>
    <w:rsid w:val="1840063A"/>
    <w:rsid w:val="1844012A"/>
    <w:rsid w:val="1864257A"/>
    <w:rsid w:val="1869758A"/>
    <w:rsid w:val="18754787"/>
    <w:rsid w:val="18956BD8"/>
    <w:rsid w:val="18BA4890"/>
    <w:rsid w:val="18BC23B6"/>
    <w:rsid w:val="18CB084B"/>
    <w:rsid w:val="18E15979"/>
    <w:rsid w:val="18F51F48"/>
    <w:rsid w:val="18F733EE"/>
    <w:rsid w:val="192835A8"/>
    <w:rsid w:val="19481E9C"/>
    <w:rsid w:val="199616BA"/>
    <w:rsid w:val="19AF3CC9"/>
    <w:rsid w:val="19D96F98"/>
    <w:rsid w:val="19FE255B"/>
    <w:rsid w:val="1A262FB5"/>
    <w:rsid w:val="1A312930"/>
    <w:rsid w:val="1A5F2FF9"/>
    <w:rsid w:val="1A91517D"/>
    <w:rsid w:val="1AC92B69"/>
    <w:rsid w:val="1AE45BF4"/>
    <w:rsid w:val="1B140288"/>
    <w:rsid w:val="1B23671D"/>
    <w:rsid w:val="1B29736C"/>
    <w:rsid w:val="1B7018DA"/>
    <w:rsid w:val="1B8151F1"/>
    <w:rsid w:val="1BAE7956"/>
    <w:rsid w:val="1BCC19A4"/>
    <w:rsid w:val="1BCE217F"/>
    <w:rsid w:val="1BDB6FF7"/>
    <w:rsid w:val="1BE85270"/>
    <w:rsid w:val="1BF93A5C"/>
    <w:rsid w:val="1C246FF4"/>
    <w:rsid w:val="1C27223D"/>
    <w:rsid w:val="1C492974"/>
    <w:rsid w:val="1C625023"/>
    <w:rsid w:val="1C6F14EE"/>
    <w:rsid w:val="1C705992"/>
    <w:rsid w:val="1C9571A6"/>
    <w:rsid w:val="1C9A47BD"/>
    <w:rsid w:val="1CB25FAA"/>
    <w:rsid w:val="1CB537A3"/>
    <w:rsid w:val="1CBF5FD1"/>
    <w:rsid w:val="1CCB706C"/>
    <w:rsid w:val="1CD52B68"/>
    <w:rsid w:val="1CE974F2"/>
    <w:rsid w:val="1D0377EB"/>
    <w:rsid w:val="1D0E51AB"/>
    <w:rsid w:val="1D161771"/>
    <w:rsid w:val="1D24677C"/>
    <w:rsid w:val="1D295B40"/>
    <w:rsid w:val="1D3249F5"/>
    <w:rsid w:val="1D3F35B6"/>
    <w:rsid w:val="1D614F86"/>
    <w:rsid w:val="1D7019C1"/>
    <w:rsid w:val="1D70551D"/>
    <w:rsid w:val="1D9A07EC"/>
    <w:rsid w:val="1DD51824"/>
    <w:rsid w:val="1DDF48B8"/>
    <w:rsid w:val="1DF12B02"/>
    <w:rsid w:val="1E0740D4"/>
    <w:rsid w:val="1E4B3DFE"/>
    <w:rsid w:val="1E7D7293"/>
    <w:rsid w:val="1E91399D"/>
    <w:rsid w:val="1EA77665"/>
    <w:rsid w:val="1EAE27A1"/>
    <w:rsid w:val="1ECC6B87"/>
    <w:rsid w:val="1EDD6BE3"/>
    <w:rsid w:val="1EE937D9"/>
    <w:rsid w:val="1EED0876"/>
    <w:rsid w:val="1F071EB1"/>
    <w:rsid w:val="1F130856"/>
    <w:rsid w:val="1F1A0C18"/>
    <w:rsid w:val="1F372797"/>
    <w:rsid w:val="1F3A7811"/>
    <w:rsid w:val="1F5350F7"/>
    <w:rsid w:val="1F7E7854"/>
    <w:rsid w:val="1FA63952"/>
    <w:rsid w:val="1FB17C46"/>
    <w:rsid w:val="1FB21E1D"/>
    <w:rsid w:val="1FBC2C9C"/>
    <w:rsid w:val="1FC35DD8"/>
    <w:rsid w:val="1FD60202"/>
    <w:rsid w:val="1FDE2C12"/>
    <w:rsid w:val="20036B1D"/>
    <w:rsid w:val="2029725D"/>
    <w:rsid w:val="20471392"/>
    <w:rsid w:val="207417C9"/>
    <w:rsid w:val="20AA343C"/>
    <w:rsid w:val="20AD7038"/>
    <w:rsid w:val="20B147CB"/>
    <w:rsid w:val="20BE4D41"/>
    <w:rsid w:val="20D81D57"/>
    <w:rsid w:val="20E56222"/>
    <w:rsid w:val="210E0F0E"/>
    <w:rsid w:val="21154D5A"/>
    <w:rsid w:val="211A5ECC"/>
    <w:rsid w:val="21400C6F"/>
    <w:rsid w:val="21466CC1"/>
    <w:rsid w:val="2170143C"/>
    <w:rsid w:val="21B300CF"/>
    <w:rsid w:val="21CE177C"/>
    <w:rsid w:val="21D818E3"/>
    <w:rsid w:val="21EB3D26"/>
    <w:rsid w:val="21ED460F"/>
    <w:rsid w:val="21F42BC1"/>
    <w:rsid w:val="21FE4123"/>
    <w:rsid w:val="220A4192"/>
    <w:rsid w:val="22123047"/>
    <w:rsid w:val="223461B5"/>
    <w:rsid w:val="224D22D1"/>
    <w:rsid w:val="228A7081"/>
    <w:rsid w:val="22967FAA"/>
    <w:rsid w:val="229C4DF0"/>
    <w:rsid w:val="22A00653"/>
    <w:rsid w:val="22AA3280"/>
    <w:rsid w:val="22AF6AE8"/>
    <w:rsid w:val="22F866E1"/>
    <w:rsid w:val="2309444A"/>
    <w:rsid w:val="2338088B"/>
    <w:rsid w:val="234E6301"/>
    <w:rsid w:val="236773C3"/>
    <w:rsid w:val="237D0994"/>
    <w:rsid w:val="23825FAA"/>
    <w:rsid w:val="23954DD6"/>
    <w:rsid w:val="239B0E1A"/>
    <w:rsid w:val="23C56DC7"/>
    <w:rsid w:val="23D42CAA"/>
    <w:rsid w:val="23FF69E2"/>
    <w:rsid w:val="244316A7"/>
    <w:rsid w:val="248060FE"/>
    <w:rsid w:val="249D12EE"/>
    <w:rsid w:val="24A106B2"/>
    <w:rsid w:val="24A3442A"/>
    <w:rsid w:val="24B6415E"/>
    <w:rsid w:val="24BC54EC"/>
    <w:rsid w:val="24E76143"/>
    <w:rsid w:val="24F353B2"/>
    <w:rsid w:val="25C24D84"/>
    <w:rsid w:val="25C40AFC"/>
    <w:rsid w:val="25F74A2E"/>
    <w:rsid w:val="263C4B36"/>
    <w:rsid w:val="26415CA9"/>
    <w:rsid w:val="26435EC5"/>
    <w:rsid w:val="26655E3B"/>
    <w:rsid w:val="267A11BB"/>
    <w:rsid w:val="26940722"/>
    <w:rsid w:val="26D27249"/>
    <w:rsid w:val="26EC030B"/>
    <w:rsid w:val="26FD3A9D"/>
    <w:rsid w:val="27075144"/>
    <w:rsid w:val="27245C6E"/>
    <w:rsid w:val="27441EF5"/>
    <w:rsid w:val="27790766"/>
    <w:rsid w:val="27AE3812"/>
    <w:rsid w:val="27E46C12"/>
    <w:rsid w:val="27E77793"/>
    <w:rsid w:val="27F5401D"/>
    <w:rsid w:val="28296D29"/>
    <w:rsid w:val="28557849"/>
    <w:rsid w:val="285A12A4"/>
    <w:rsid w:val="285A6BA3"/>
    <w:rsid w:val="289A5B44"/>
    <w:rsid w:val="28BD30CD"/>
    <w:rsid w:val="28EC1F83"/>
    <w:rsid w:val="28F416F8"/>
    <w:rsid w:val="29001E4B"/>
    <w:rsid w:val="29221A0D"/>
    <w:rsid w:val="294C5091"/>
    <w:rsid w:val="296543A4"/>
    <w:rsid w:val="296E1A2F"/>
    <w:rsid w:val="2984482A"/>
    <w:rsid w:val="29932CBF"/>
    <w:rsid w:val="29B449E4"/>
    <w:rsid w:val="29C72B81"/>
    <w:rsid w:val="29F55728"/>
    <w:rsid w:val="2A111E36"/>
    <w:rsid w:val="2A487DF5"/>
    <w:rsid w:val="2A783C63"/>
    <w:rsid w:val="2A862824"/>
    <w:rsid w:val="2AB27175"/>
    <w:rsid w:val="2AB32EED"/>
    <w:rsid w:val="2B0F281A"/>
    <w:rsid w:val="2B204A27"/>
    <w:rsid w:val="2B3337D2"/>
    <w:rsid w:val="2B373B1E"/>
    <w:rsid w:val="2B8D373E"/>
    <w:rsid w:val="2B9D1BD3"/>
    <w:rsid w:val="2BF11F1F"/>
    <w:rsid w:val="2C2440A3"/>
    <w:rsid w:val="2C6941AB"/>
    <w:rsid w:val="2C7C3158"/>
    <w:rsid w:val="2C802418"/>
    <w:rsid w:val="2CB341C7"/>
    <w:rsid w:val="2CBE44F7"/>
    <w:rsid w:val="2CC66F08"/>
    <w:rsid w:val="2CEB2E12"/>
    <w:rsid w:val="2CF021D7"/>
    <w:rsid w:val="2D3703BB"/>
    <w:rsid w:val="2D5269EE"/>
    <w:rsid w:val="2D5704A8"/>
    <w:rsid w:val="2D621327"/>
    <w:rsid w:val="2D8165B1"/>
    <w:rsid w:val="2D83129D"/>
    <w:rsid w:val="2D8D7A26"/>
    <w:rsid w:val="2D964B2C"/>
    <w:rsid w:val="2D9E60D7"/>
    <w:rsid w:val="2DAC4350"/>
    <w:rsid w:val="2DB11966"/>
    <w:rsid w:val="2DBE22D5"/>
    <w:rsid w:val="2DE34A1F"/>
    <w:rsid w:val="2DE47F8D"/>
    <w:rsid w:val="2DEF248E"/>
    <w:rsid w:val="2E0E500A"/>
    <w:rsid w:val="2E734E6D"/>
    <w:rsid w:val="2E954DE4"/>
    <w:rsid w:val="2E9647B7"/>
    <w:rsid w:val="2EF52C24"/>
    <w:rsid w:val="2F083808"/>
    <w:rsid w:val="2F13458E"/>
    <w:rsid w:val="2F2D7712"/>
    <w:rsid w:val="2F34284F"/>
    <w:rsid w:val="2F3F11F4"/>
    <w:rsid w:val="2F436F36"/>
    <w:rsid w:val="2F4C59FA"/>
    <w:rsid w:val="2F7A2E0A"/>
    <w:rsid w:val="2F8D1F5F"/>
    <w:rsid w:val="2FA96B3D"/>
    <w:rsid w:val="2FBD0B5F"/>
    <w:rsid w:val="2FD933F6"/>
    <w:rsid w:val="2FDB716E"/>
    <w:rsid w:val="301A2DFD"/>
    <w:rsid w:val="3034687E"/>
    <w:rsid w:val="305B3E0B"/>
    <w:rsid w:val="309D61D2"/>
    <w:rsid w:val="30A6152A"/>
    <w:rsid w:val="30A77050"/>
    <w:rsid w:val="30DC27D6"/>
    <w:rsid w:val="30E62590"/>
    <w:rsid w:val="30F93D50"/>
    <w:rsid w:val="3115220C"/>
    <w:rsid w:val="311F12DD"/>
    <w:rsid w:val="31321010"/>
    <w:rsid w:val="31342FDA"/>
    <w:rsid w:val="3179279B"/>
    <w:rsid w:val="318A49A8"/>
    <w:rsid w:val="31A83FF1"/>
    <w:rsid w:val="31AA329C"/>
    <w:rsid w:val="31BE4652"/>
    <w:rsid w:val="31D132C5"/>
    <w:rsid w:val="31D2634F"/>
    <w:rsid w:val="31D826EB"/>
    <w:rsid w:val="31EC350E"/>
    <w:rsid w:val="31FB58A6"/>
    <w:rsid w:val="3207424B"/>
    <w:rsid w:val="321D581C"/>
    <w:rsid w:val="322C10EA"/>
    <w:rsid w:val="327E5810"/>
    <w:rsid w:val="3282595F"/>
    <w:rsid w:val="328F4926"/>
    <w:rsid w:val="3292376B"/>
    <w:rsid w:val="32C959A4"/>
    <w:rsid w:val="32D57EA5"/>
    <w:rsid w:val="32DE010C"/>
    <w:rsid w:val="32F32A21"/>
    <w:rsid w:val="32F92E4C"/>
    <w:rsid w:val="32FA3DAF"/>
    <w:rsid w:val="33020D2D"/>
    <w:rsid w:val="3304078A"/>
    <w:rsid w:val="330C37E8"/>
    <w:rsid w:val="33105381"/>
    <w:rsid w:val="33242BDA"/>
    <w:rsid w:val="33260700"/>
    <w:rsid w:val="33266952"/>
    <w:rsid w:val="334C7765"/>
    <w:rsid w:val="33AE06F6"/>
    <w:rsid w:val="33B93C14"/>
    <w:rsid w:val="33DA57A0"/>
    <w:rsid w:val="33DE547F"/>
    <w:rsid w:val="33ED121E"/>
    <w:rsid w:val="34272869"/>
    <w:rsid w:val="343155AF"/>
    <w:rsid w:val="344164BE"/>
    <w:rsid w:val="34433534"/>
    <w:rsid w:val="3461281E"/>
    <w:rsid w:val="348B3F97"/>
    <w:rsid w:val="34B65AB4"/>
    <w:rsid w:val="34C46423"/>
    <w:rsid w:val="34EA50C0"/>
    <w:rsid w:val="350A7012"/>
    <w:rsid w:val="350E769E"/>
    <w:rsid w:val="3522139B"/>
    <w:rsid w:val="355552CD"/>
    <w:rsid w:val="356814A4"/>
    <w:rsid w:val="357449D1"/>
    <w:rsid w:val="357D65D2"/>
    <w:rsid w:val="359758E5"/>
    <w:rsid w:val="35A90387"/>
    <w:rsid w:val="35E93C67"/>
    <w:rsid w:val="35F25212"/>
    <w:rsid w:val="362C0724"/>
    <w:rsid w:val="364315C9"/>
    <w:rsid w:val="364343C9"/>
    <w:rsid w:val="36657792"/>
    <w:rsid w:val="36B67FED"/>
    <w:rsid w:val="36EB413B"/>
    <w:rsid w:val="36EC1C61"/>
    <w:rsid w:val="37024FE0"/>
    <w:rsid w:val="370E7E29"/>
    <w:rsid w:val="37411FAD"/>
    <w:rsid w:val="37517D16"/>
    <w:rsid w:val="376B0DD8"/>
    <w:rsid w:val="3770165B"/>
    <w:rsid w:val="37781747"/>
    <w:rsid w:val="377F4883"/>
    <w:rsid w:val="3789702A"/>
    <w:rsid w:val="37960DB8"/>
    <w:rsid w:val="37A4253C"/>
    <w:rsid w:val="37AD2573"/>
    <w:rsid w:val="37C869D1"/>
    <w:rsid w:val="381153F4"/>
    <w:rsid w:val="381604FE"/>
    <w:rsid w:val="383733B0"/>
    <w:rsid w:val="38481119"/>
    <w:rsid w:val="38877EE4"/>
    <w:rsid w:val="38C22C79"/>
    <w:rsid w:val="38C42E95"/>
    <w:rsid w:val="38EE7F12"/>
    <w:rsid w:val="38F23EE7"/>
    <w:rsid w:val="39372651"/>
    <w:rsid w:val="39513FFD"/>
    <w:rsid w:val="396C608C"/>
    <w:rsid w:val="39783C80"/>
    <w:rsid w:val="39A56D62"/>
    <w:rsid w:val="39A700C1"/>
    <w:rsid w:val="39B33EE3"/>
    <w:rsid w:val="39BA3285"/>
    <w:rsid w:val="39FD5F33"/>
    <w:rsid w:val="3A0948D8"/>
    <w:rsid w:val="3A0F6392"/>
    <w:rsid w:val="3A205C6C"/>
    <w:rsid w:val="3A451367"/>
    <w:rsid w:val="3A4C2C68"/>
    <w:rsid w:val="3A520422"/>
    <w:rsid w:val="3A60099C"/>
    <w:rsid w:val="3A6C5593"/>
    <w:rsid w:val="3A7A7584"/>
    <w:rsid w:val="3AA56BF4"/>
    <w:rsid w:val="3AD43138"/>
    <w:rsid w:val="3ADF493E"/>
    <w:rsid w:val="3AE36167"/>
    <w:rsid w:val="3AEA4709"/>
    <w:rsid w:val="3B2F672E"/>
    <w:rsid w:val="3B36794F"/>
    <w:rsid w:val="3B4007CD"/>
    <w:rsid w:val="3B5F5F53"/>
    <w:rsid w:val="3B876039"/>
    <w:rsid w:val="3B8E32E7"/>
    <w:rsid w:val="3BA26862"/>
    <w:rsid w:val="3BB50675"/>
    <w:rsid w:val="3BFB06DB"/>
    <w:rsid w:val="3C17152E"/>
    <w:rsid w:val="3C2E0626"/>
    <w:rsid w:val="3C4A64C4"/>
    <w:rsid w:val="3C5C33E5"/>
    <w:rsid w:val="3C9178C6"/>
    <w:rsid w:val="3CF37ABB"/>
    <w:rsid w:val="3CF7310E"/>
    <w:rsid w:val="3D0047E4"/>
    <w:rsid w:val="3D21379B"/>
    <w:rsid w:val="3D422923"/>
    <w:rsid w:val="3D69400B"/>
    <w:rsid w:val="3D766728"/>
    <w:rsid w:val="3D9F7A2D"/>
    <w:rsid w:val="3DE9514C"/>
    <w:rsid w:val="3E1A70B4"/>
    <w:rsid w:val="3E4203B8"/>
    <w:rsid w:val="3E4D7489"/>
    <w:rsid w:val="3E725142"/>
    <w:rsid w:val="3EA3354D"/>
    <w:rsid w:val="3EB92D70"/>
    <w:rsid w:val="3EEB0A50"/>
    <w:rsid w:val="3F035D9A"/>
    <w:rsid w:val="3F0B4C4E"/>
    <w:rsid w:val="3F0E28EF"/>
    <w:rsid w:val="3F2752A1"/>
    <w:rsid w:val="3F27605A"/>
    <w:rsid w:val="3F60143E"/>
    <w:rsid w:val="3F6A4DBB"/>
    <w:rsid w:val="3F785DC7"/>
    <w:rsid w:val="3F7D6A2F"/>
    <w:rsid w:val="3F8772C9"/>
    <w:rsid w:val="3F8E43CD"/>
    <w:rsid w:val="3F9B5FD2"/>
    <w:rsid w:val="3FAF1A7E"/>
    <w:rsid w:val="3FC75019"/>
    <w:rsid w:val="3FE1257F"/>
    <w:rsid w:val="3FE756BB"/>
    <w:rsid w:val="3FF86C17"/>
    <w:rsid w:val="3FFC1167"/>
    <w:rsid w:val="40077B0C"/>
    <w:rsid w:val="402266F3"/>
    <w:rsid w:val="40291830"/>
    <w:rsid w:val="404B5C4A"/>
    <w:rsid w:val="40664832"/>
    <w:rsid w:val="406A05DB"/>
    <w:rsid w:val="4084115C"/>
    <w:rsid w:val="4099592E"/>
    <w:rsid w:val="40A4552D"/>
    <w:rsid w:val="40B36AF3"/>
    <w:rsid w:val="40B53BBC"/>
    <w:rsid w:val="40B557B9"/>
    <w:rsid w:val="40C8470D"/>
    <w:rsid w:val="40F41E3E"/>
    <w:rsid w:val="41036CC8"/>
    <w:rsid w:val="41276FAD"/>
    <w:rsid w:val="413D6362"/>
    <w:rsid w:val="41540B2E"/>
    <w:rsid w:val="415648A7"/>
    <w:rsid w:val="41605725"/>
    <w:rsid w:val="41727207"/>
    <w:rsid w:val="41A42FA1"/>
    <w:rsid w:val="41BB6E00"/>
    <w:rsid w:val="41BE244C"/>
    <w:rsid w:val="41CA0DF1"/>
    <w:rsid w:val="41CF62FB"/>
    <w:rsid w:val="41DE5079"/>
    <w:rsid w:val="422A57D8"/>
    <w:rsid w:val="424C69F2"/>
    <w:rsid w:val="42817701"/>
    <w:rsid w:val="428611BC"/>
    <w:rsid w:val="428E1E1E"/>
    <w:rsid w:val="429C09DF"/>
    <w:rsid w:val="42A31D6D"/>
    <w:rsid w:val="42B86E9B"/>
    <w:rsid w:val="42C27D1A"/>
    <w:rsid w:val="42E12896"/>
    <w:rsid w:val="43105F3B"/>
    <w:rsid w:val="436463B1"/>
    <w:rsid w:val="436808C1"/>
    <w:rsid w:val="43713C1A"/>
    <w:rsid w:val="43792ACE"/>
    <w:rsid w:val="43A538C3"/>
    <w:rsid w:val="43A833B4"/>
    <w:rsid w:val="43AC0629"/>
    <w:rsid w:val="43C31F9B"/>
    <w:rsid w:val="43C755E8"/>
    <w:rsid w:val="43F0780B"/>
    <w:rsid w:val="43F26BD4"/>
    <w:rsid w:val="441F32A8"/>
    <w:rsid w:val="44380293"/>
    <w:rsid w:val="44382456"/>
    <w:rsid w:val="443F1622"/>
    <w:rsid w:val="4444495C"/>
    <w:rsid w:val="446F7A2D"/>
    <w:rsid w:val="447A3981"/>
    <w:rsid w:val="447D65EE"/>
    <w:rsid w:val="44931ED6"/>
    <w:rsid w:val="44A43B7B"/>
    <w:rsid w:val="44B71B00"/>
    <w:rsid w:val="44B862E9"/>
    <w:rsid w:val="450338D7"/>
    <w:rsid w:val="451C06FD"/>
    <w:rsid w:val="45264590"/>
    <w:rsid w:val="45322F35"/>
    <w:rsid w:val="455530C7"/>
    <w:rsid w:val="4557299B"/>
    <w:rsid w:val="455E1F7C"/>
    <w:rsid w:val="456B6447"/>
    <w:rsid w:val="45CD7101"/>
    <w:rsid w:val="4602706C"/>
    <w:rsid w:val="46713F31"/>
    <w:rsid w:val="46733805"/>
    <w:rsid w:val="46A165C4"/>
    <w:rsid w:val="46B03787"/>
    <w:rsid w:val="46B21B8D"/>
    <w:rsid w:val="46B856BC"/>
    <w:rsid w:val="46BA04DD"/>
    <w:rsid w:val="46C50728"/>
    <w:rsid w:val="46D42ADE"/>
    <w:rsid w:val="46EE10DD"/>
    <w:rsid w:val="46F661E4"/>
    <w:rsid w:val="47103740"/>
    <w:rsid w:val="471C3E9C"/>
    <w:rsid w:val="4770243A"/>
    <w:rsid w:val="47A0687C"/>
    <w:rsid w:val="47C7699D"/>
    <w:rsid w:val="47F646ED"/>
    <w:rsid w:val="4803505C"/>
    <w:rsid w:val="480A0199"/>
    <w:rsid w:val="485A1120"/>
    <w:rsid w:val="48755B39"/>
    <w:rsid w:val="48855A71"/>
    <w:rsid w:val="488E4926"/>
    <w:rsid w:val="48A57EC2"/>
    <w:rsid w:val="48AE4FC8"/>
    <w:rsid w:val="48AE6D76"/>
    <w:rsid w:val="48AF2AEE"/>
    <w:rsid w:val="48BA396D"/>
    <w:rsid w:val="48BD16AF"/>
    <w:rsid w:val="48DF1625"/>
    <w:rsid w:val="48E56510"/>
    <w:rsid w:val="48EB7183"/>
    <w:rsid w:val="49202B06"/>
    <w:rsid w:val="492A15D1"/>
    <w:rsid w:val="49395702"/>
    <w:rsid w:val="4941408E"/>
    <w:rsid w:val="4961028C"/>
    <w:rsid w:val="497D6D76"/>
    <w:rsid w:val="49843F7B"/>
    <w:rsid w:val="49931D31"/>
    <w:rsid w:val="49A63EF1"/>
    <w:rsid w:val="49CF169A"/>
    <w:rsid w:val="49E62540"/>
    <w:rsid w:val="4A0A0924"/>
    <w:rsid w:val="4A3C6604"/>
    <w:rsid w:val="4A534079"/>
    <w:rsid w:val="4A7E09CA"/>
    <w:rsid w:val="4A804742"/>
    <w:rsid w:val="4A9106FD"/>
    <w:rsid w:val="4AA20B5D"/>
    <w:rsid w:val="4ACE1952"/>
    <w:rsid w:val="4AD8632C"/>
    <w:rsid w:val="4AF15640"/>
    <w:rsid w:val="4AF55130"/>
    <w:rsid w:val="4AFA62A3"/>
    <w:rsid w:val="4B103D18"/>
    <w:rsid w:val="4B4B4F95"/>
    <w:rsid w:val="4B7074CA"/>
    <w:rsid w:val="4B726781"/>
    <w:rsid w:val="4BB072A9"/>
    <w:rsid w:val="4BB943B0"/>
    <w:rsid w:val="4BBC594D"/>
    <w:rsid w:val="4BD034A7"/>
    <w:rsid w:val="4BD905AE"/>
    <w:rsid w:val="4C0272E2"/>
    <w:rsid w:val="4C0C0983"/>
    <w:rsid w:val="4C1149B8"/>
    <w:rsid w:val="4C172E84"/>
    <w:rsid w:val="4C194E4E"/>
    <w:rsid w:val="4C485734"/>
    <w:rsid w:val="4C673E0C"/>
    <w:rsid w:val="4C675BBA"/>
    <w:rsid w:val="4C87625C"/>
    <w:rsid w:val="4CAC5CC3"/>
    <w:rsid w:val="4CB100E9"/>
    <w:rsid w:val="4CBA03DF"/>
    <w:rsid w:val="4CC823D1"/>
    <w:rsid w:val="4CE0771A"/>
    <w:rsid w:val="4D135D42"/>
    <w:rsid w:val="4D1473C4"/>
    <w:rsid w:val="4D3B37FA"/>
    <w:rsid w:val="4D4904F1"/>
    <w:rsid w:val="4D5A127B"/>
    <w:rsid w:val="4D6C2FCA"/>
    <w:rsid w:val="4D761E2D"/>
    <w:rsid w:val="4D840CC5"/>
    <w:rsid w:val="4D9F1383"/>
    <w:rsid w:val="4DD52FF7"/>
    <w:rsid w:val="4DDF0999"/>
    <w:rsid w:val="4E21623C"/>
    <w:rsid w:val="4E2236B2"/>
    <w:rsid w:val="4E2777FC"/>
    <w:rsid w:val="4E2D4BE1"/>
    <w:rsid w:val="4E3C3076"/>
    <w:rsid w:val="4E514358"/>
    <w:rsid w:val="4E5C7274"/>
    <w:rsid w:val="4E6D3230"/>
    <w:rsid w:val="4E764B3D"/>
    <w:rsid w:val="4E8862BB"/>
    <w:rsid w:val="4EB42C0C"/>
    <w:rsid w:val="4F0A0A7E"/>
    <w:rsid w:val="4F277882"/>
    <w:rsid w:val="4F4F0B87"/>
    <w:rsid w:val="4F585C8E"/>
    <w:rsid w:val="4F6B3C13"/>
    <w:rsid w:val="4F7D56F4"/>
    <w:rsid w:val="4F883F03"/>
    <w:rsid w:val="4F9A7106"/>
    <w:rsid w:val="4FD8762C"/>
    <w:rsid w:val="4FF0236A"/>
    <w:rsid w:val="4FF04090"/>
    <w:rsid w:val="500F3535"/>
    <w:rsid w:val="502C325A"/>
    <w:rsid w:val="503E1327"/>
    <w:rsid w:val="50412BC6"/>
    <w:rsid w:val="50416722"/>
    <w:rsid w:val="508036EE"/>
    <w:rsid w:val="50821724"/>
    <w:rsid w:val="50991610"/>
    <w:rsid w:val="509C4C8B"/>
    <w:rsid w:val="50E7551B"/>
    <w:rsid w:val="5135219E"/>
    <w:rsid w:val="515F3303"/>
    <w:rsid w:val="51694182"/>
    <w:rsid w:val="516C3C72"/>
    <w:rsid w:val="51892452"/>
    <w:rsid w:val="51C30881"/>
    <w:rsid w:val="51CC64BF"/>
    <w:rsid w:val="51D27F79"/>
    <w:rsid w:val="51D535C6"/>
    <w:rsid w:val="51DD691E"/>
    <w:rsid w:val="51FE1E87"/>
    <w:rsid w:val="521536EF"/>
    <w:rsid w:val="522105B9"/>
    <w:rsid w:val="523302EC"/>
    <w:rsid w:val="5259656B"/>
    <w:rsid w:val="52614E59"/>
    <w:rsid w:val="526B27DD"/>
    <w:rsid w:val="528A2602"/>
    <w:rsid w:val="52C11D9C"/>
    <w:rsid w:val="52C869C8"/>
    <w:rsid w:val="52D82B62"/>
    <w:rsid w:val="52DB4FE0"/>
    <w:rsid w:val="52F92CDD"/>
    <w:rsid w:val="53004672"/>
    <w:rsid w:val="532A7941"/>
    <w:rsid w:val="534C78B7"/>
    <w:rsid w:val="535B634F"/>
    <w:rsid w:val="53807561"/>
    <w:rsid w:val="53A47807"/>
    <w:rsid w:val="53BA6F17"/>
    <w:rsid w:val="53C71634"/>
    <w:rsid w:val="53DB05A2"/>
    <w:rsid w:val="53E34D71"/>
    <w:rsid w:val="541A1527"/>
    <w:rsid w:val="541A5C08"/>
    <w:rsid w:val="542919A7"/>
    <w:rsid w:val="546B1FBF"/>
    <w:rsid w:val="54840F8E"/>
    <w:rsid w:val="54927C0A"/>
    <w:rsid w:val="553C395C"/>
    <w:rsid w:val="555451EB"/>
    <w:rsid w:val="55C0633B"/>
    <w:rsid w:val="55D87B28"/>
    <w:rsid w:val="55EF09CE"/>
    <w:rsid w:val="561577C6"/>
    <w:rsid w:val="562B40FC"/>
    <w:rsid w:val="56397652"/>
    <w:rsid w:val="56494582"/>
    <w:rsid w:val="565C2507"/>
    <w:rsid w:val="566118CC"/>
    <w:rsid w:val="56757125"/>
    <w:rsid w:val="56A23A63"/>
    <w:rsid w:val="56A87492"/>
    <w:rsid w:val="56D06A51"/>
    <w:rsid w:val="56F95FA8"/>
    <w:rsid w:val="57124614"/>
    <w:rsid w:val="572D5C52"/>
    <w:rsid w:val="57773288"/>
    <w:rsid w:val="57B7551B"/>
    <w:rsid w:val="57CB6E97"/>
    <w:rsid w:val="58337298"/>
    <w:rsid w:val="584A6390"/>
    <w:rsid w:val="58584F50"/>
    <w:rsid w:val="58680DC2"/>
    <w:rsid w:val="588673C8"/>
    <w:rsid w:val="589F0489"/>
    <w:rsid w:val="58BC3AB2"/>
    <w:rsid w:val="58D41FD7"/>
    <w:rsid w:val="58E02A3F"/>
    <w:rsid w:val="5900361E"/>
    <w:rsid w:val="59254E33"/>
    <w:rsid w:val="592F7A5F"/>
    <w:rsid w:val="59345076"/>
    <w:rsid w:val="59352B9C"/>
    <w:rsid w:val="59575208"/>
    <w:rsid w:val="595C12A3"/>
    <w:rsid w:val="597C07CB"/>
    <w:rsid w:val="5996188C"/>
    <w:rsid w:val="59C77C98"/>
    <w:rsid w:val="59DE1485"/>
    <w:rsid w:val="59DE4FE1"/>
    <w:rsid w:val="59E051FD"/>
    <w:rsid w:val="5A184997"/>
    <w:rsid w:val="5A9A53AC"/>
    <w:rsid w:val="5A9F0C15"/>
    <w:rsid w:val="5AD36B10"/>
    <w:rsid w:val="5ADE798F"/>
    <w:rsid w:val="5AE64A95"/>
    <w:rsid w:val="5B137EF8"/>
    <w:rsid w:val="5B152C85"/>
    <w:rsid w:val="5B1F1DFE"/>
    <w:rsid w:val="5B322D65"/>
    <w:rsid w:val="5B637E94"/>
    <w:rsid w:val="5B87628F"/>
    <w:rsid w:val="5BB95D06"/>
    <w:rsid w:val="5BBC75A4"/>
    <w:rsid w:val="5BCC4E68"/>
    <w:rsid w:val="5BDB5443"/>
    <w:rsid w:val="5C0E6052"/>
    <w:rsid w:val="5C38700F"/>
    <w:rsid w:val="5C4668EC"/>
    <w:rsid w:val="5C4E644E"/>
    <w:rsid w:val="5C606182"/>
    <w:rsid w:val="5C7F0CFE"/>
    <w:rsid w:val="5C8C341B"/>
    <w:rsid w:val="5C9B365E"/>
    <w:rsid w:val="5CD1707F"/>
    <w:rsid w:val="5CD32DF8"/>
    <w:rsid w:val="5D01298C"/>
    <w:rsid w:val="5D206DB4"/>
    <w:rsid w:val="5D292A17"/>
    <w:rsid w:val="5D4B6E32"/>
    <w:rsid w:val="5D6F0D72"/>
    <w:rsid w:val="5D973E25"/>
    <w:rsid w:val="5DCF1BBF"/>
    <w:rsid w:val="5DFD637E"/>
    <w:rsid w:val="5E015DFD"/>
    <w:rsid w:val="5E043D85"/>
    <w:rsid w:val="5E251431"/>
    <w:rsid w:val="5E510503"/>
    <w:rsid w:val="5E7540E3"/>
    <w:rsid w:val="5E8B1BDC"/>
    <w:rsid w:val="5E93321A"/>
    <w:rsid w:val="5E9B7945"/>
    <w:rsid w:val="5E9F11E3"/>
    <w:rsid w:val="5EBD5B0D"/>
    <w:rsid w:val="5ED54D16"/>
    <w:rsid w:val="5EE4753E"/>
    <w:rsid w:val="5EF07C91"/>
    <w:rsid w:val="5F07293D"/>
    <w:rsid w:val="5F1B4F3C"/>
    <w:rsid w:val="5F1C2834"/>
    <w:rsid w:val="5F245B8C"/>
    <w:rsid w:val="5F2913F5"/>
    <w:rsid w:val="5F2B6F1B"/>
    <w:rsid w:val="5F335DCF"/>
    <w:rsid w:val="5F475456"/>
    <w:rsid w:val="5F4C0C3F"/>
    <w:rsid w:val="5F5F0972"/>
    <w:rsid w:val="5F6146EB"/>
    <w:rsid w:val="5FB94527"/>
    <w:rsid w:val="5FC058B5"/>
    <w:rsid w:val="5FE1582B"/>
    <w:rsid w:val="5FE84BC4"/>
    <w:rsid w:val="5FED2422"/>
    <w:rsid w:val="5FF23595"/>
    <w:rsid w:val="5FF437B1"/>
    <w:rsid w:val="601C4AB5"/>
    <w:rsid w:val="604D614D"/>
    <w:rsid w:val="60545FFD"/>
    <w:rsid w:val="608D150F"/>
    <w:rsid w:val="60AC7409"/>
    <w:rsid w:val="60BB42CE"/>
    <w:rsid w:val="60FE4F3D"/>
    <w:rsid w:val="611D2893"/>
    <w:rsid w:val="613D1187"/>
    <w:rsid w:val="614442C4"/>
    <w:rsid w:val="614C4F26"/>
    <w:rsid w:val="61750921"/>
    <w:rsid w:val="617A5F38"/>
    <w:rsid w:val="61826B9A"/>
    <w:rsid w:val="61926DDD"/>
    <w:rsid w:val="619743F4"/>
    <w:rsid w:val="61AB60F1"/>
    <w:rsid w:val="61BC41C8"/>
    <w:rsid w:val="61EB0BE3"/>
    <w:rsid w:val="620F48D2"/>
    <w:rsid w:val="62386256"/>
    <w:rsid w:val="623936FD"/>
    <w:rsid w:val="6243457B"/>
    <w:rsid w:val="624502F4"/>
    <w:rsid w:val="62757148"/>
    <w:rsid w:val="62B31701"/>
    <w:rsid w:val="62BF0591"/>
    <w:rsid w:val="62D11B87"/>
    <w:rsid w:val="62D60F4C"/>
    <w:rsid w:val="62DF24F6"/>
    <w:rsid w:val="62E80EC0"/>
    <w:rsid w:val="62F43847"/>
    <w:rsid w:val="630A5099"/>
    <w:rsid w:val="631D301E"/>
    <w:rsid w:val="631F49AF"/>
    <w:rsid w:val="63213AB5"/>
    <w:rsid w:val="632717A7"/>
    <w:rsid w:val="6329551F"/>
    <w:rsid w:val="634B193A"/>
    <w:rsid w:val="63741E5B"/>
    <w:rsid w:val="637434AE"/>
    <w:rsid w:val="637846F9"/>
    <w:rsid w:val="6384309D"/>
    <w:rsid w:val="638D0589"/>
    <w:rsid w:val="63A81207"/>
    <w:rsid w:val="63B05C41"/>
    <w:rsid w:val="63BC7C1D"/>
    <w:rsid w:val="63CE39A4"/>
    <w:rsid w:val="63D27965"/>
    <w:rsid w:val="63E8362C"/>
    <w:rsid w:val="63FA510E"/>
    <w:rsid w:val="64025D70"/>
    <w:rsid w:val="643017E4"/>
    <w:rsid w:val="643E149E"/>
    <w:rsid w:val="644840CB"/>
    <w:rsid w:val="64692EF6"/>
    <w:rsid w:val="64947310"/>
    <w:rsid w:val="64966BE4"/>
    <w:rsid w:val="649E018F"/>
    <w:rsid w:val="64BD0615"/>
    <w:rsid w:val="64D94D23"/>
    <w:rsid w:val="6507445F"/>
    <w:rsid w:val="65165F77"/>
    <w:rsid w:val="65270184"/>
    <w:rsid w:val="65586590"/>
    <w:rsid w:val="655D5954"/>
    <w:rsid w:val="65644F35"/>
    <w:rsid w:val="65A25B6C"/>
    <w:rsid w:val="65D211BD"/>
    <w:rsid w:val="65E73470"/>
    <w:rsid w:val="65F067C8"/>
    <w:rsid w:val="65FE0EE5"/>
    <w:rsid w:val="66081D64"/>
    <w:rsid w:val="66342C11"/>
    <w:rsid w:val="663F14FE"/>
    <w:rsid w:val="66636F9A"/>
    <w:rsid w:val="66707909"/>
    <w:rsid w:val="667411A7"/>
    <w:rsid w:val="66967370"/>
    <w:rsid w:val="669E7FD2"/>
    <w:rsid w:val="66B141AA"/>
    <w:rsid w:val="66DD77E5"/>
    <w:rsid w:val="6703252B"/>
    <w:rsid w:val="67470A9D"/>
    <w:rsid w:val="675D60DF"/>
    <w:rsid w:val="6773145F"/>
    <w:rsid w:val="6784541A"/>
    <w:rsid w:val="679C6286"/>
    <w:rsid w:val="67B90B06"/>
    <w:rsid w:val="67FA56DC"/>
    <w:rsid w:val="680340BE"/>
    <w:rsid w:val="681A3FD0"/>
    <w:rsid w:val="6870599E"/>
    <w:rsid w:val="6884144A"/>
    <w:rsid w:val="6888718C"/>
    <w:rsid w:val="68B25FB7"/>
    <w:rsid w:val="68EF0FB9"/>
    <w:rsid w:val="69164798"/>
    <w:rsid w:val="69392234"/>
    <w:rsid w:val="69BA15C7"/>
    <w:rsid w:val="69D837FB"/>
    <w:rsid w:val="69F15D69"/>
    <w:rsid w:val="6A246A40"/>
    <w:rsid w:val="6A2B7F9F"/>
    <w:rsid w:val="6A505A87"/>
    <w:rsid w:val="6A694DC3"/>
    <w:rsid w:val="6A9C6F1F"/>
    <w:rsid w:val="6ABA1153"/>
    <w:rsid w:val="6AC87D14"/>
    <w:rsid w:val="6AE14931"/>
    <w:rsid w:val="6AED777A"/>
    <w:rsid w:val="6AF44665"/>
    <w:rsid w:val="6B7B4D86"/>
    <w:rsid w:val="6B7E4876"/>
    <w:rsid w:val="6B96396E"/>
    <w:rsid w:val="6BD66460"/>
    <w:rsid w:val="6BDB75D3"/>
    <w:rsid w:val="6BEE37AA"/>
    <w:rsid w:val="6BF80185"/>
    <w:rsid w:val="6C0035B4"/>
    <w:rsid w:val="6C21592D"/>
    <w:rsid w:val="6C2B055A"/>
    <w:rsid w:val="6C423AF6"/>
    <w:rsid w:val="6C842F54"/>
    <w:rsid w:val="6C8A72E3"/>
    <w:rsid w:val="6C923EBF"/>
    <w:rsid w:val="6C951E77"/>
    <w:rsid w:val="6C9F2CF6"/>
    <w:rsid w:val="6CB542C8"/>
    <w:rsid w:val="6CC4275D"/>
    <w:rsid w:val="6D130D30"/>
    <w:rsid w:val="6D1D49F8"/>
    <w:rsid w:val="6D785A21"/>
    <w:rsid w:val="6D852470"/>
    <w:rsid w:val="6D8F2D6B"/>
    <w:rsid w:val="6DAF6F69"/>
    <w:rsid w:val="6DB36A59"/>
    <w:rsid w:val="6DBE53FE"/>
    <w:rsid w:val="6DD93FE6"/>
    <w:rsid w:val="6DEC3D19"/>
    <w:rsid w:val="6E0C43BB"/>
    <w:rsid w:val="6E1E6D28"/>
    <w:rsid w:val="6E2214E9"/>
    <w:rsid w:val="6E263897"/>
    <w:rsid w:val="6E445903"/>
    <w:rsid w:val="6E737F96"/>
    <w:rsid w:val="6EE67DB6"/>
    <w:rsid w:val="6EF07839"/>
    <w:rsid w:val="6F1654F2"/>
    <w:rsid w:val="6F23376B"/>
    <w:rsid w:val="6F2F65B3"/>
    <w:rsid w:val="6F356488"/>
    <w:rsid w:val="6F51652A"/>
    <w:rsid w:val="6F755C7D"/>
    <w:rsid w:val="6F881F78"/>
    <w:rsid w:val="6F9603E0"/>
    <w:rsid w:val="6FBD3BBF"/>
    <w:rsid w:val="6FC4358D"/>
    <w:rsid w:val="6FE3114C"/>
    <w:rsid w:val="6FF128C8"/>
    <w:rsid w:val="6FF60E7F"/>
    <w:rsid w:val="70142C08"/>
    <w:rsid w:val="70183191"/>
    <w:rsid w:val="7040692D"/>
    <w:rsid w:val="709A3F00"/>
    <w:rsid w:val="70E76A1A"/>
    <w:rsid w:val="70F353BF"/>
    <w:rsid w:val="70F65B41"/>
    <w:rsid w:val="711772FF"/>
    <w:rsid w:val="711C35B2"/>
    <w:rsid w:val="713C6D66"/>
    <w:rsid w:val="713F6856"/>
    <w:rsid w:val="718D136F"/>
    <w:rsid w:val="71D64AC4"/>
    <w:rsid w:val="71DD2CB4"/>
    <w:rsid w:val="71F62B06"/>
    <w:rsid w:val="71F948A7"/>
    <w:rsid w:val="72011973"/>
    <w:rsid w:val="722C0B88"/>
    <w:rsid w:val="72563E57"/>
    <w:rsid w:val="72DA6836"/>
    <w:rsid w:val="72F21DD2"/>
    <w:rsid w:val="72FF629D"/>
    <w:rsid w:val="730022F6"/>
    <w:rsid w:val="73045661"/>
    <w:rsid w:val="732301DD"/>
    <w:rsid w:val="732950C8"/>
    <w:rsid w:val="735A7977"/>
    <w:rsid w:val="735C724B"/>
    <w:rsid w:val="735E76C4"/>
    <w:rsid w:val="737547B1"/>
    <w:rsid w:val="737F73DD"/>
    <w:rsid w:val="738B118E"/>
    <w:rsid w:val="739E7864"/>
    <w:rsid w:val="73A41134"/>
    <w:rsid w:val="73C60B68"/>
    <w:rsid w:val="73FD2CDB"/>
    <w:rsid w:val="74024296"/>
    <w:rsid w:val="74185868"/>
    <w:rsid w:val="742510D0"/>
    <w:rsid w:val="74257F85"/>
    <w:rsid w:val="743A0DD1"/>
    <w:rsid w:val="744F0B5E"/>
    <w:rsid w:val="74962C31"/>
    <w:rsid w:val="74984782"/>
    <w:rsid w:val="749A44CF"/>
    <w:rsid w:val="74B60BDD"/>
    <w:rsid w:val="74D55507"/>
    <w:rsid w:val="74E4399C"/>
    <w:rsid w:val="74F55BA9"/>
    <w:rsid w:val="74F6722B"/>
    <w:rsid w:val="74FD680C"/>
    <w:rsid w:val="751A53DD"/>
    <w:rsid w:val="75504B8E"/>
    <w:rsid w:val="755F1275"/>
    <w:rsid w:val="75674878"/>
    <w:rsid w:val="75B8102F"/>
    <w:rsid w:val="761048CE"/>
    <w:rsid w:val="76191423"/>
    <w:rsid w:val="76326989"/>
    <w:rsid w:val="76562678"/>
    <w:rsid w:val="76571F4C"/>
    <w:rsid w:val="767851E8"/>
    <w:rsid w:val="76A01B45"/>
    <w:rsid w:val="76A72ED3"/>
    <w:rsid w:val="76C75323"/>
    <w:rsid w:val="76CB17EE"/>
    <w:rsid w:val="770E2F52"/>
    <w:rsid w:val="771340C5"/>
    <w:rsid w:val="7718792D"/>
    <w:rsid w:val="77431B5F"/>
    <w:rsid w:val="77505319"/>
    <w:rsid w:val="775C1F10"/>
    <w:rsid w:val="777D59E2"/>
    <w:rsid w:val="77907334"/>
    <w:rsid w:val="779F1DFC"/>
    <w:rsid w:val="77B838CA"/>
    <w:rsid w:val="77D965A0"/>
    <w:rsid w:val="77FC484A"/>
    <w:rsid w:val="781E0F73"/>
    <w:rsid w:val="78283BA0"/>
    <w:rsid w:val="782C5979"/>
    <w:rsid w:val="78340796"/>
    <w:rsid w:val="78462278"/>
    <w:rsid w:val="7847671C"/>
    <w:rsid w:val="78540E39"/>
    <w:rsid w:val="7866291A"/>
    <w:rsid w:val="788D7264"/>
    <w:rsid w:val="789254BD"/>
    <w:rsid w:val="78A771BA"/>
    <w:rsid w:val="78AF606F"/>
    <w:rsid w:val="78B33DB1"/>
    <w:rsid w:val="78E90425"/>
    <w:rsid w:val="78F4689B"/>
    <w:rsid w:val="79002D6F"/>
    <w:rsid w:val="79023C3E"/>
    <w:rsid w:val="790A599B"/>
    <w:rsid w:val="791660EE"/>
    <w:rsid w:val="796230E1"/>
    <w:rsid w:val="79751DE3"/>
    <w:rsid w:val="79905EA0"/>
    <w:rsid w:val="79AB4A88"/>
    <w:rsid w:val="79E32474"/>
    <w:rsid w:val="7A1E674C"/>
    <w:rsid w:val="7A360A7E"/>
    <w:rsid w:val="7A381810"/>
    <w:rsid w:val="7A8034FC"/>
    <w:rsid w:val="7A94551C"/>
    <w:rsid w:val="7ABB0CFB"/>
    <w:rsid w:val="7B2B5B3F"/>
    <w:rsid w:val="7B5D6256"/>
    <w:rsid w:val="7B821819"/>
    <w:rsid w:val="7B8E47E8"/>
    <w:rsid w:val="7BAC4AE8"/>
    <w:rsid w:val="7BCA08C1"/>
    <w:rsid w:val="7C0C05A3"/>
    <w:rsid w:val="7C5A2796"/>
    <w:rsid w:val="7C6B04AB"/>
    <w:rsid w:val="7C6D4277"/>
    <w:rsid w:val="7C9C690A"/>
    <w:rsid w:val="7CA52C0F"/>
    <w:rsid w:val="7CA770EA"/>
    <w:rsid w:val="7CF023C4"/>
    <w:rsid w:val="7D020E63"/>
    <w:rsid w:val="7D1172F8"/>
    <w:rsid w:val="7D3E79C1"/>
    <w:rsid w:val="7D564903"/>
    <w:rsid w:val="7D627B54"/>
    <w:rsid w:val="7D7B6E68"/>
    <w:rsid w:val="7D943A85"/>
    <w:rsid w:val="7DAC0DCF"/>
    <w:rsid w:val="7DBA173E"/>
    <w:rsid w:val="7E272AD8"/>
    <w:rsid w:val="7E372159"/>
    <w:rsid w:val="7E3B788A"/>
    <w:rsid w:val="7E71317F"/>
    <w:rsid w:val="7E7538B7"/>
    <w:rsid w:val="7E825AC4"/>
    <w:rsid w:val="7E8F4979"/>
    <w:rsid w:val="7EAF501B"/>
    <w:rsid w:val="7EC85386"/>
    <w:rsid w:val="7EDE145C"/>
    <w:rsid w:val="7EEB73D9"/>
    <w:rsid w:val="7F080287"/>
    <w:rsid w:val="7F0A01D2"/>
    <w:rsid w:val="7F0C5FC9"/>
    <w:rsid w:val="7F1255AA"/>
    <w:rsid w:val="7F2C666B"/>
    <w:rsid w:val="7F2D7CEE"/>
    <w:rsid w:val="7F491DA9"/>
    <w:rsid w:val="7F842003"/>
    <w:rsid w:val="7F986465"/>
    <w:rsid w:val="7FAF2DF8"/>
    <w:rsid w:val="7FB623D9"/>
    <w:rsid w:val="7FE64A6C"/>
    <w:rsid w:val="7FE707E4"/>
    <w:rsid w:val="7FF67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character" w:customStyle="1" w:styleId="16">
    <w:name w:val="font31"/>
    <w:basedOn w:val="12"/>
    <w:qFormat/>
    <w:uiPriority w:val="0"/>
    <w:rPr>
      <w:rFonts w:hint="eastAsia" w:ascii="仿宋_GB2312" w:eastAsia="仿宋_GB2312" w:cs="仿宋_GB2312"/>
      <w:color w:val="000000"/>
      <w:sz w:val="24"/>
      <w:szCs w:val="24"/>
      <w:u w:val="none"/>
    </w:rPr>
  </w:style>
  <w:style w:type="character" w:customStyle="1" w:styleId="17">
    <w:name w:val="font41"/>
    <w:basedOn w:val="12"/>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67074D-DD7E-4FED-AE56-08FC9FB168AD}">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19774</Words>
  <Characters>19932</Characters>
  <Lines>31</Lines>
  <Paragraphs>69</Paragraphs>
  <TotalTime>0</TotalTime>
  <ScaleCrop>false</ScaleCrop>
  <LinksUpToDate>false</LinksUpToDate>
  <CharactersWithSpaces>20273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ll</cp:lastModifiedBy>
  <cp:lastPrinted>2026-03-24T02:15:00Z</cp:lastPrinted>
  <dcterms:modified xsi:type="dcterms:W3CDTF">2026-03-24T13:55:16Z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0DAC74E1EFE5487690866511387BAA3D_13</vt:lpwstr>
  </property>
  <property fmtid="{D5CDD505-2E9C-101B-9397-08002B2CF9AE}" pid="4" name="KSOTemplateDocerSaveRecord">
    <vt:lpwstr>eyJoZGlkIjoiNDU2N2I3ZWNjZDY1ZDVhNjNiNjIxMDdlZjMyNjcxOWEiLCJ1c2VySWQiOiI4MTAzODczOTgifQ==</vt:lpwstr>
  </property>
</Properties>
</file>