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114925" cy="11309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工程造价</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sz w:val="32"/>
          <w:szCs w:val="32"/>
          <w:u w:val="single"/>
          <w:lang w:val="en-US" w:eastAsia="zh-CN"/>
        </w:rPr>
        <w:t>440501</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widowControl/>
        <w:overflowPunct w:val="0"/>
        <w:adjustRightInd w:val="0"/>
        <w:snapToGrid w:val="0"/>
        <w:jc w:val="center"/>
        <w:rPr>
          <w:rFonts w:hint="eastAsia" w:ascii="黑体" w:hAnsi="黑体" w:eastAsia="黑体" w:cs="黑体"/>
          <w:b/>
          <w:bCs/>
          <w:color w:val="auto"/>
          <w:kern w:val="0"/>
          <w:sz w:val="52"/>
          <w:szCs w:val="52"/>
        </w:rPr>
        <w:sectPr>
          <w:headerReference r:id="rId3" w:type="default"/>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工程职业学院工程造价</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广西吉安建设工程有限公司等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fldChar w:fldCharType="begin"/>
            </w:r>
            <w:r>
              <w:rPr>
                <w:rFonts w:hint="eastAsia" w:ascii="仿宋_GB2312" w:hAnsi="仿宋_GB2312" w:eastAsia="仿宋_GB2312" w:cs="仿宋_GB2312"/>
                <w:b w:val="0"/>
                <w:bCs/>
                <w:color w:val="auto"/>
                <w:sz w:val="32"/>
                <w:szCs w:val="32"/>
                <w:highlight w:val="none"/>
                <w:vertAlign w:val="baseline"/>
                <w:lang w:val="en-US" w:eastAsia="zh-CN"/>
              </w:rPr>
              <w:instrText xml:space="preserve"> HYPERLINK "https://www.qcc.com/pl/pr0182b1d8424350c89756367e79a8cb.html" \t "https://www.qcc.com/web/_blank" </w:instrText>
            </w:r>
            <w:r>
              <w:rPr>
                <w:rFonts w:hint="eastAsia" w:ascii="仿宋_GB2312" w:hAnsi="仿宋_GB2312" w:eastAsia="仿宋_GB2312" w:cs="仿宋_GB2312"/>
                <w:b w:val="0"/>
                <w:bCs/>
                <w:color w:val="auto"/>
                <w:sz w:val="32"/>
                <w:szCs w:val="32"/>
                <w:highlight w:val="none"/>
                <w:vertAlign w:val="baseline"/>
                <w:lang w:val="en-US" w:eastAsia="zh-CN"/>
              </w:rPr>
              <w:fldChar w:fldCharType="separate"/>
            </w:r>
            <w:r>
              <w:rPr>
                <w:rFonts w:hint="eastAsia" w:ascii="仿宋_GB2312" w:hAnsi="仿宋_GB2312" w:eastAsia="仿宋_GB2312" w:cs="仿宋_GB2312"/>
                <w:b w:val="0"/>
                <w:bCs/>
                <w:color w:val="auto"/>
                <w:sz w:val="32"/>
                <w:szCs w:val="32"/>
                <w:highlight w:val="none"/>
                <w:vertAlign w:val="baseline"/>
                <w:lang w:val="en-US" w:eastAsia="zh-CN"/>
              </w:rPr>
              <w:t>江纯</w:t>
            </w:r>
            <w:r>
              <w:rPr>
                <w:rFonts w:hint="eastAsia" w:ascii="仿宋_GB2312" w:hAnsi="仿宋_GB2312" w:eastAsia="仿宋_GB2312" w:cs="仿宋_GB2312"/>
                <w:b w:val="0"/>
                <w:bCs/>
                <w:color w:val="auto"/>
                <w:sz w:val="32"/>
                <w:szCs w:val="32"/>
                <w:highlight w:val="none"/>
                <w:vertAlign w:val="baseline"/>
                <w:lang w:val="en-US" w:eastAsia="zh-CN"/>
              </w:rPr>
              <w:fldChar w:fldCharType="end"/>
            </w:r>
          </w:p>
        </w:tc>
        <w:tc>
          <w:tcPr>
            <w:tcW w:w="2800" w:type="dxa"/>
            <w:vAlign w:val="center"/>
          </w:tcPr>
          <w:p>
            <w:pPr>
              <w:jc w:val="center"/>
              <w:rPr>
                <w:rFonts w:hint="default" w:ascii="仿宋_GB2312" w:hAnsi="仿宋_GB2312" w:eastAsia="仿宋_GB2312" w:cs="仿宋_GB2312"/>
                <w:b w:val="0"/>
                <w:bCs/>
                <w:color w:val="auto"/>
                <w:sz w:val="32"/>
                <w:szCs w:val="32"/>
                <w:highlight w:val="none"/>
                <w:vertAlign w:val="baseline"/>
                <w:lang w:val="en-US"/>
              </w:rPr>
            </w:pPr>
            <w:r>
              <w:rPr>
                <w:rFonts w:hint="eastAsia" w:ascii="仿宋_GB2312" w:hAnsi="仿宋_GB2312" w:eastAsia="仿宋_GB2312" w:cs="仿宋_GB2312"/>
                <w:b w:val="0"/>
                <w:bCs/>
                <w:color w:val="auto"/>
                <w:sz w:val="32"/>
                <w:szCs w:val="32"/>
                <w:highlight w:val="none"/>
                <w:lang w:val="en-US" w:eastAsia="zh-CN"/>
              </w:rPr>
              <w:t>广西吉优建筑工程有限公司</w:t>
            </w:r>
          </w:p>
        </w:tc>
        <w:tc>
          <w:tcPr>
            <w:tcW w:w="1833"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经理</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黄武福</w:t>
            </w:r>
          </w:p>
        </w:tc>
        <w:tc>
          <w:tcPr>
            <w:tcW w:w="280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教</w:t>
            </w:r>
            <w:bookmarkStart w:id="79" w:name="_GoBack"/>
            <w:bookmarkEnd w:id="79"/>
            <w:r>
              <w:rPr>
                <w:rFonts w:hint="eastAsia" w:ascii="仿宋_GB2312" w:hAnsi="仿宋_GB2312" w:eastAsia="仿宋_GB2312" w:cs="仿宋_GB2312"/>
                <w:b w:val="0"/>
                <w:bCs/>
                <w:color w:val="auto"/>
                <w:sz w:val="32"/>
                <w:szCs w:val="32"/>
                <w:highlight w:val="none"/>
                <w:vertAlign w:val="baseline"/>
                <w:lang w:val="en-US" w:eastAsia="zh-CN"/>
              </w:rPr>
              <w:t>研室主任</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马惠周</w:t>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中级经济师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罗柳华</w:t>
            </w:r>
          </w:p>
        </w:tc>
        <w:tc>
          <w:tcPr>
            <w:tcW w:w="2800"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bl>
    <w:p>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color w:val="auto"/>
          <w:kern w:val="2"/>
          <w:sz w:val="32"/>
          <w:szCs w:val="32"/>
          <w:lang w:val="en-US" w:eastAsia="zh-CN" w:bidi="ar-SA"/>
        </w:rPr>
        <w:id w:val="147478181"/>
        <w15:color w:val="DBDBDB"/>
        <w:docPartObj>
          <w:docPartGallery w:val="Table of Contents"/>
          <w:docPartUnique/>
        </w:docPartObj>
      </w:sdtPr>
      <w:sdtEndPr>
        <w:rPr>
          <w:rFonts w:hint="eastAsia" w:ascii="黑体" w:hAnsi="黑体" w:eastAsia="黑体" w:cs="黑体"/>
          <w:bCs/>
          <w:color w:val="auto"/>
          <w:kern w:val="0"/>
          <w:sz w:val="21"/>
          <w:szCs w:val="5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color w:val="auto"/>
              <w:kern w:val="0"/>
              <w:sz w:val="32"/>
              <w:szCs w:val="32"/>
              <w:lang w:val="en-US" w:eastAsia="zh-CN" w:bidi="ar-SA"/>
            </w:rPr>
            <w:instrText xml:space="preserve">TOC \o "1-9" \h \u </w:instrText>
          </w:r>
          <w:r>
            <w:rPr>
              <w:rFonts w:hint="eastAsia" w:ascii="楷体" w:hAnsi="楷体" w:eastAsia="楷体" w:cs="楷体"/>
              <w:bCs/>
              <w:color w:val="auto"/>
              <w:kern w:val="0"/>
              <w:sz w:val="32"/>
              <w:szCs w:val="32"/>
              <w:lang w:val="en-US" w:eastAsia="zh-CN" w:bidi="ar-SA"/>
            </w:rPr>
            <w:fldChar w:fldCharType="separate"/>
          </w: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_Toc7662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_Toc7662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_Toc15897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_Toc15897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_Toc13427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_Toc13427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_Toc22916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_Toc22916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_Toc27624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_Toc27624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_Toc8744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_Toc8744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_Toc8340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（一）</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_Toc8340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_Toc17783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_Toc17783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_Toc11078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_Toc11078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_Toc7591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_Toc7591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_Toc14222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_Toc14222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_Toc16742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_Toc16742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_Toc10147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_Toc10147 \h </w:instrText>
          </w:r>
          <w:r>
            <w:rPr>
              <w:rFonts w:hint="eastAsia" w:ascii="楷体" w:hAnsi="楷体" w:eastAsia="楷体" w:cs="楷体"/>
              <w:sz w:val="32"/>
              <w:szCs w:val="32"/>
            </w:rPr>
            <w:fldChar w:fldCharType="separate"/>
          </w:r>
          <w:r>
            <w:rPr>
              <w:rFonts w:hint="eastAsia" w:ascii="楷体" w:hAnsi="楷体" w:eastAsia="楷体" w:cs="楷体"/>
              <w:sz w:val="32"/>
              <w:szCs w:val="32"/>
            </w:rPr>
            <w:t>52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_Toc30677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_Toc30677 \h </w:instrText>
          </w:r>
          <w:r>
            <w:rPr>
              <w:rFonts w:hint="eastAsia" w:ascii="楷体" w:hAnsi="楷体" w:eastAsia="楷体" w:cs="楷体"/>
              <w:sz w:val="32"/>
              <w:szCs w:val="32"/>
            </w:rPr>
            <w:fldChar w:fldCharType="separate"/>
          </w:r>
          <w:r>
            <w:rPr>
              <w:rFonts w:hint="eastAsia" w:ascii="楷体" w:hAnsi="楷体" w:eastAsia="楷体" w:cs="楷体"/>
              <w:sz w:val="32"/>
              <w:szCs w:val="32"/>
            </w:rPr>
            <w:t>54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_Toc17323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_Toc17323 \h </w:instrText>
          </w:r>
          <w:r>
            <w:rPr>
              <w:rFonts w:hint="eastAsia" w:ascii="楷体" w:hAnsi="楷体" w:eastAsia="楷体" w:cs="楷体"/>
              <w:sz w:val="32"/>
              <w:szCs w:val="32"/>
            </w:rPr>
            <w:fldChar w:fldCharType="separate"/>
          </w:r>
          <w:r>
            <w:rPr>
              <w:rFonts w:hint="eastAsia" w:ascii="楷体" w:hAnsi="楷体" w:eastAsia="楷体" w:cs="楷体"/>
              <w:sz w:val="32"/>
              <w:szCs w:val="32"/>
            </w:rPr>
            <w:t>54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_Toc13209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_Toc13209 \h </w:instrText>
          </w:r>
          <w:r>
            <w:rPr>
              <w:rFonts w:hint="eastAsia" w:ascii="楷体" w:hAnsi="楷体" w:eastAsia="楷体" w:cs="楷体"/>
              <w:sz w:val="32"/>
              <w:szCs w:val="32"/>
            </w:rPr>
            <w:fldChar w:fldCharType="separate"/>
          </w:r>
          <w:r>
            <w:rPr>
              <w:rFonts w:hint="eastAsia" w:ascii="楷体" w:hAnsi="楷体" w:eastAsia="楷体" w:cs="楷体"/>
              <w:sz w:val="32"/>
              <w:szCs w:val="32"/>
            </w:rPr>
            <w:t>54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_Toc3949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_Toc3949 \h </w:instrText>
          </w:r>
          <w:r>
            <w:rPr>
              <w:rFonts w:hint="eastAsia" w:ascii="楷体" w:hAnsi="楷体" w:eastAsia="楷体" w:cs="楷体"/>
              <w:sz w:val="32"/>
              <w:szCs w:val="32"/>
            </w:rPr>
            <w:fldChar w:fldCharType="separate"/>
          </w:r>
          <w:r>
            <w:rPr>
              <w:rFonts w:hint="eastAsia" w:ascii="楷体" w:hAnsi="楷体" w:eastAsia="楷体" w:cs="楷体"/>
              <w:sz w:val="32"/>
              <w:szCs w:val="32"/>
            </w:rPr>
            <w:t>55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_Toc18247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_Toc18247 \h </w:instrText>
          </w:r>
          <w:r>
            <w:rPr>
              <w:rFonts w:hint="eastAsia" w:ascii="楷体" w:hAnsi="楷体" w:eastAsia="楷体" w:cs="楷体"/>
              <w:sz w:val="32"/>
              <w:szCs w:val="32"/>
            </w:rPr>
            <w:fldChar w:fldCharType="separate"/>
          </w:r>
          <w:r>
            <w:rPr>
              <w:rFonts w:hint="eastAsia" w:ascii="楷体" w:hAnsi="楷体" w:eastAsia="楷体" w:cs="楷体"/>
              <w:sz w:val="32"/>
              <w:szCs w:val="32"/>
            </w:rPr>
            <w:t>58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_Toc4902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sz w:val="32"/>
              <w:szCs w:val="32"/>
              <w:highlight w:val="none"/>
              <w:lang w:val="en-US" w:eastAsia="zh-CN"/>
            </w:rPr>
            <w:t>（一）队伍结构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_Toc4902 \h </w:instrText>
          </w:r>
          <w:r>
            <w:rPr>
              <w:rFonts w:hint="eastAsia" w:ascii="楷体" w:hAnsi="楷体" w:eastAsia="楷体" w:cs="楷体"/>
              <w:sz w:val="32"/>
              <w:szCs w:val="32"/>
            </w:rPr>
            <w:fldChar w:fldCharType="separate"/>
          </w:r>
          <w:r>
            <w:rPr>
              <w:rFonts w:hint="eastAsia" w:ascii="楷体" w:hAnsi="楷体" w:eastAsia="楷体" w:cs="楷体"/>
              <w:sz w:val="32"/>
              <w:szCs w:val="32"/>
            </w:rPr>
            <w:t>58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_Toc5364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sz w:val="32"/>
              <w:szCs w:val="32"/>
              <w:highlight w:val="none"/>
              <w:lang w:val="en-US" w:eastAsia="zh-CN"/>
            </w:rPr>
            <w:t>（二）专业带头人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_Toc5364 \h </w:instrText>
          </w:r>
          <w:r>
            <w:rPr>
              <w:rFonts w:hint="eastAsia" w:ascii="楷体" w:hAnsi="楷体" w:eastAsia="楷体" w:cs="楷体"/>
              <w:sz w:val="32"/>
              <w:szCs w:val="32"/>
            </w:rPr>
            <w:fldChar w:fldCharType="separate"/>
          </w:r>
          <w:r>
            <w:rPr>
              <w:rFonts w:hint="eastAsia" w:ascii="楷体" w:hAnsi="楷体" w:eastAsia="楷体" w:cs="楷体"/>
              <w:sz w:val="32"/>
              <w:szCs w:val="32"/>
            </w:rPr>
            <w:t>58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_Toc24631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_Toc24631 \h </w:instrText>
          </w:r>
          <w:r>
            <w:rPr>
              <w:rFonts w:hint="eastAsia" w:ascii="楷体" w:hAnsi="楷体" w:eastAsia="楷体" w:cs="楷体"/>
              <w:sz w:val="32"/>
              <w:szCs w:val="32"/>
            </w:rPr>
            <w:fldChar w:fldCharType="separate"/>
          </w:r>
          <w:r>
            <w:rPr>
              <w:rFonts w:hint="eastAsia" w:ascii="楷体" w:hAnsi="楷体" w:eastAsia="楷体" w:cs="楷体"/>
              <w:sz w:val="32"/>
              <w:szCs w:val="32"/>
            </w:rPr>
            <w:t>59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_Toc18839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_Toc18839 \h </w:instrText>
          </w:r>
          <w:r>
            <w:rPr>
              <w:rFonts w:hint="eastAsia" w:ascii="楷体" w:hAnsi="楷体" w:eastAsia="楷体" w:cs="楷体"/>
              <w:sz w:val="32"/>
              <w:szCs w:val="32"/>
            </w:rPr>
            <w:fldChar w:fldCharType="separate"/>
          </w:r>
          <w:r>
            <w:rPr>
              <w:rFonts w:hint="eastAsia" w:ascii="楷体" w:hAnsi="楷体" w:eastAsia="楷体" w:cs="楷体"/>
              <w:sz w:val="32"/>
              <w:szCs w:val="32"/>
            </w:rPr>
            <w:t>59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_Toc13425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_Toc13425 \h </w:instrText>
          </w:r>
          <w:r>
            <w:rPr>
              <w:rFonts w:hint="eastAsia" w:ascii="楷体" w:hAnsi="楷体" w:eastAsia="楷体" w:cs="楷体"/>
              <w:sz w:val="32"/>
              <w:szCs w:val="32"/>
            </w:rPr>
            <w:fldChar w:fldCharType="separate"/>
          </w:r>
          <w:r>
            <w:rPr>
              <w:rFonts w:hint="eastAsia" w:ascii="楷体" w:hAnsi="楷体" w:eastAsia="楷体" w:cs="楷体"/>
              <w:sz w:val="32"/>
              <w:szCs w:val="32"/>
            </w:rPr>
            <w:t>59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_Toc9635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_Toc9635 \h </w:instrText>
          </w:r>
          <w:r>
            <w:rPr>
              <w:rFonts w:hint="eastAsia" w:ascii="楷体" w:hAnsi="楷体" w:eastAsia="楷体" w:cs="楷体"/>
              <w:sz w:val="32"/>
              <w:szCs w:val="32"/>
            </w:rPr>
            <w:fldChar w:fldCharType="separate"/>
          </w:r>
          <w:r>
            <w:rPr>
              <w:rFonts w:hint="eastAsia" w:ascii="楷体" w:hAnsi="楷体" w:eastAsia="楷体" w:cs="楷体"/>
              <w:sz w:val="32"/>
              <w:szCs w:val="32"/>
            </w:rPr>
            <w:t>59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_Toc32035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_Toc32035 \h </w:instrText>
          </w:r>
          <w:r>
            <w:rPr>
              <w:rFonts w:hint="eastAsia" w:ascii="楷体" w:hAnsi="楷体" w:eastAsia="楷体" w:cs="楷体"/>
              <w:sz w:val="32"/>
              <w:szCs w:val="32"/>
            </w:rPr>
            <w:fldChar w:fldCharType="separate"/>
          </w:r>
          <w:r>
            <w:rPr>
              <w:rFonts w:hint="eastAsia" w:ascii="楷体" w:hAnsi="楷体" w:eastAsia="楷体" w:cs="楷体"/>
              <w:sz w:val="32"/>
              <w:szCs w:val="32"/>
            </w:rPr>
            <w:t>63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_Toc23780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_Toc23780 \h </w:instrText>
          </w:r>
          <w:r>
            <w:rPr>
              <w:rFonts w:hint="eastAsia" w:ascii="楷体" w:hAnsi="楷体" w:eastAsia="楷体" w:cs="楷体"/>
              <w:sz w:val="32"/>
              <w:szCs w:val="32"/>
            </w:rPr>
            <w:fldChar w:fldCharType="separate"/>
          </w:r>
          <w:r>
            <w:rPr>
              <w:rFonts w:hint="eastAsia" w:ascii="楷体" w:hAnsi="楷体" w:eastAsia="楷体" w:cs="楷体"/>
              <w:sz w:val="32"/>
              <w:szCs w:val="32"/>
            </w:rPr>
            <w:t>64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_Toc11984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_Toc11984 \h </w:instrText>
          </w:r>
          <w:r>
            <w:rPr>
              <w:rFonts w:hint="eastAsia" w:ascii="楷体" w:hAnsi="楷体" w:eastAsia="楷体" w:cs="楷体"/>
              <w:sz w:val="32"/>
              <w:szCs w:val="32"/>
            </w:rPr>
            <w:fldChar w:fldCharType="separate"/>
          </w:r>
          <w:r>
            <w:rPr>
              <w:rFonts w:hint="eastAsia" w:ascii="楷体" w:hAnsi="楷体" w:eastAsia="楷体" w:cs="楷体"/>
              <w:sz w:val="32"/>
              <w:szCs w:val="32"/>
            </w:rPr>
            <w:t>64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_Toc4487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_Toc4487 \h </w:instrText>
          </w:r>
          <w:r>
            <w:rPr>
              <w:rFonts w:hint="eastAsia" w:ascii="楷体" w:hAnsi="楷体" w:eastAsia="楷体" w:cs="楷体"/>
              <w:sz w:val="32"/>
              <w:szCs w:val="32"/>
            </w:rPr>
            <w:fldChar w:fldCharType="separate"/>
          </w:r>
          <w:r>
            <w:rPr>
              <w:rFonts w:hint="eastAsia" w:ascii="楷体" w:hAnsi="楷体" w:eastAsia="楷体" w:cs="楷体"/>
              <w:sz w:val="32"/>
              <w:szCs w:val="32"/>
            </w:rPr>
            <w:t>65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_Toc27945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bCs w:val="0"/>
              <w:sz w:val="32"/>
              <w:szCs w:val="32"/>
              <w:highlight w:val="none"/>
              <w:lang w:val="en-US" w:eastAsia="zh-CN"/>
            </w:rPr>
            <w:t>十二、</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_Toc27945 \h </w:instrText>
          </w:r>
          <w:r>
            <w:rPr>
              <w:rFonts w:hint="eastAsia" w:ascii="楷体" w:hAnsi="楷体" w:eastAsia="楷体" w:cs="楷体"/>
              <w:sz w:val="32"/>
              <w:szCs w:val="32"/>
            </w:rPr>
            <w:fldChar w:fldCharType="separate"/>
          </w:r>
          <w:r>
            <w:rPr>
              <w:rFonts w:hint="eastAsia" w:ascii="楷体" w:hAnsi="楷体" w:eastAsia="楷体" w:cs="楷体"/>
              <w:sz w:val="32"/>
              <w:szCs w:val="32"/>
            </w:rPr>
            <w:t>65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_Toc3701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（一） 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_Toc3701 \h </w:instrText>
          </w:r>
          <w:r>
            <w:rPr>
              <w:rFonts w:hint="eastAsia" w:ascii="楷体" w:hAnsi="楷体" w:eastAsia="楷体" w:cs="楷体"/>
              <w:sz w:val="32"/>
              <w:szCs w:val="32"/>
            </w:rPr>
            <w:fldChar w:fldCharType="separate"/>
          </w:r>
          <w:r>
            <w:rPr>
              <w:rFonts w:hint="eastAsia" w:ascii="楷体" w:hAnsi="楷体" w:eastAsia="楷体" w:cs="楷体"/>
              <w:sz w:val="32"/>
              <w:szCs w:val="32"/>
            </w:rPr>
            <w:t>65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_Toc1961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（二） 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_Toc1961 \h </w:instrText>
          </w:r>
          <w:r>
            <w:rPr>
              <w:rFonts w:hint="eastAsia" w:ascii="楷体" w:hAnsi="楷体" w:eastAsia="楷体" w:cs="楷体"/>
              <w:sz w:val="32"/>
              <w:szCs w:val="32"/>
            </w:rPr>
            <w:fldChar w:fldCharType="separate"/>
          </w:r>
          <w:r>
            <w:rPr>
              <w:rFonts w:hint="eastAsia" w:ascii="楷体" w:hAnsi="楷体" w:eastAsia="楷体" w:cs="楷体"/>
              <w:sz w:val="32"/>
              <w:szCs w:val="32"/>
            </w:rPr>
            <w:t>66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lang w:val="en-US" w:eastAsia="zh-CN" w:bidi="ar-SA"/>
            </w:rPr>
            <w:fldChar w:fldCharType="begin"/>
          </w:r>
          <w:r>
            <w:rPr>
              <w:rFonts w:hint="eastAsia" w:ascii="楷体" w:hAnsi="楷体" w:eastAsia="楷体" w:cs="楷体"/>
              <w:bCs/>
              <w:kern w:val="0"/>
              <w:sz w:val="32"/>
              <w:szCs w:val="32"/>
              <w:lang w:val="en-US" w:eastAsia="zh-CN" w:bidi="ar-SA"/>
            </w:rPr>
            <w:instrText xml:space="preserve"> HYPERLINK \l _Toc22453 </w:instrText>
          </w:r>
          <w:r>
            <w:rPr>
              <w:rFonts w:hint="eastAsia" w:ascii="楷体" w:hAnsi="楷体" w:eastAsia="楷体" w:cs="楷体"/>
              <w:bCs/>
              <w:kern w:val="0"/>
              <w:sz w:val="32"/>
              <w:szCs w:val="32"/>
              <w:lang w:val="en-US" w:eastAsia="zh-CN" w:bidi="ar-SA"/>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_Toc22453 \h </w:instrText>
          </w:r>
          <w:r>
            <w:rPr>
              <w:rFonts w:hint="eastAsia" w:ascii="楷体" w:hAnsi="楷体" w:eastAsia="楷体" w:cs="楷体"/>
              <w:sz w:val="32"/>
              <w:szCs w:val="32"/>
            </w:rPr>
            <w:fldChar w:fldCharType="separate"/>
          </w:r>
          <w:r>
            <w:rPr>
              <w:rFonts w:hint="eastAsia" w:ascii="楷体" w:hAnsi="楷体" w:eastAsia="楷体" w:cs="楷体"/>
              <w:sz w:val="32"/>
              <w:szCs w:val="32"/>
            </w:rPr>
            <w:t>66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lang w:val="en-US" w:eastAsia="zh-CN" w:bidi="ar-SA"/>
            </w:rPr>
            <w:fldChar w:fldCharType="end"/>
          </w:r>
        </w:p>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r>
            <w:rPr>
              <w:rFonts w:hint="eastAsia" w:ascii="楷体" w:hAnsi="楷体" w:eastAsia="楷体" w:cs="楷体"/>
              <w:bCs/>
              <w:color w:val="auto"/>
              <w:kern w:val="0"/>
              <w:sz w:val="32"/>
              <w:szCs w:val="32"/>
              <w:lang w:val="en-US" w:eastAsia="zh-CN" w:bidi="ar-SA"/>
            </w:rPr>
            <w:fldChar w:fldCharType="end"/>
          </w:r>
        </w:p>
      </w:sdtContent>
    </w:sdt>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工程造价</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7662"/>
      <w:r>
        <w:rPr>
          <w:rFonts w:hint="eastAsia" w:ascii="黑体" w:hAnsi="黑体" w:eastAsia="黑体" w:cs="黑体"/>
          <w:color w:val="auto"/>
          <w:sz w:val="32"/>
          <w:szCs w:val="32"/>
        </w:rPr>
        <w:t>一、专业名称及代码</w:t>
      </w:r>
      <w:bookmarkEnd w:id="0"/>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工程造价</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color w:val="auto"/>
          <w:sz w:val="32"/>
          <w:szCs w:val="32"/>
          <w:lang w:val="en-US" w:eastAsia="zh-CN"/>
        </w:rPr>
        <w:t>440501</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15897"/>
      <w:r>
        <w:rPr>
          <w:rFonts w:hint="eastAsia" w:ascii="黑体" w:hAnsi="黑体" w:eastAsia="黑体" w:cs="黑体"/>
          <w:color w:val="auto"/>
          <w:sz w:val="32"/>
          <w:szCs w:val="32"/>
        </w:rPr>
        <w:t>二、入学要求</w:t>
      </w:r>
      <w:bookmarkEnd w:id="1"/>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13427"/>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22916"/>
      <w:r>
        <w:rPr>
          <w:rFonts w:hint="eastAsia" w:ascii="黑体" w:hAnsi="黑体" w:eastAsia="黑体" w:cs="黑体"/>
          <w:color w:val="auto"/>
          <w:sz w:val="32"/>
          <w:szCs w:val="32"/>
        </w:rPr>
        <w:t>四、职业面向</w:t>
      </w:r>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2"/>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937"/>
        <w:gridCol w:w="1975"/>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93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19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bookmarkStart w:id="4" w:name="OLE_LINK1" w:colFirst="0" w:colLast="5"/>
            <w:r>
              <w:rPr>
                <w:rFonts w:hint="eastAsia" w:ascii="仿宋_GB2312" w:hAnsi="仿宋_GB2312" w:eastAsia="仿宋_GB2312" w:cs="仿宋_GB2312"/>
                <w:color w:val="auto"/>
                <w:sz w:val="24"/>
              </w:rPr>
              <w:t>土木建筑大类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44</w:t>
            </w:r>
            <w:r>
              <w:rPr>
                <w:rFonts w:hint="eastAsia" w:ascii="仿宋_GB2312" w:hAnsi="仿宋_GB2312" w:eastAsia="仿宋_GB2312" w:cs="仿宋_GB2312"/>
                <w:color w:val="auto"/>
                <w:sz w:val="24"/>
                <w:lang w:eastAsia="zh-CN"/>
              </w:rPr>
              <w:t>)</w:t>
            </w:r>
          </w:p>
        </w:tc>
        <w:tc>
          <w:tcPr>
            <w:tcW w:w="1523"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建设工程</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管理类</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4405</w:t>
            </w:r>
            <w:r>
              <w:rPr>
                <w:rFonts w:hint="eastAsia" w:ascii="仿宋_GB2312" w:hAnsi="仿宋_GB2312" w:eastAsia="仿宋_GB2312" w:cs="仿宋_GB2312"/>
                <w:color w:val="auto"/>
                <w:sz w:val="24"/>
                <w:lang w:eastAsia="zh-CN"/>
              </w:rPr>
              <w:t>)</w:t>
            </w:r>
          </w:p>
        </w:tc>
        <w:tc>
          <w:tcPr>
            <w:tcW w:w="1284"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工程技术与设计服务（748）</w:t>
            </w:r>
          </w:p>
        </w:tc>
        <w:tc>
          <w:tcPr>
            <w:tcW w:w="1937"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工程造价工程</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技术人员</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2-02-30-10</w:t>
            </w:r>
            <w:r>
              <w:rPr>
                <w:rFonts w:hint="eastAsia" w:ascii="仿宋_GB2312" w:hAnsi="仿宋_GB2312" w:eastAsia="仿宋_GB2312" w:cs="仿宋_GB2312"/>
                <w:color w:val="auto"/>
                <w:sz w:val="24"/>
                <w:lang w:eastAsia="zh-CN"/>
              </w:rPr>
              <w:t>)</w:t>
            </w:r>
          </w:p>
        </w:tc>
        <w:tc>
          <w:tcPr>
            <w:tcW w:w="1975"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建设工程造价</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确定、建设工程</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造价控制</w:t>
            </w:r>
          </w:p>
        </w:tc>
        <w:tc>
          <w:tcPr>
            <w:tcW w:w="1866"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造价工程师、</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工程造价数字化应用、建筑信息模型（BIM）、建筑工程识图 </w:t>
            </w:r>
          </w:p>
        </w:tc>
      </w:tr>
      <w:bookmarkEnd w:id="4"/>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27624"/>
      <w:r>
        <w:rPr>
          <w:rFonts w:hint="eastAsia" w:ascii="黑体" w:hAnsi="黑体" w:eastAsia="黑体" w:cs="黑体"/>
          <w:color w:val="auto"/>
          <w:sz w:val="32"/>
          <w:szCs w:val="32"/>
        </w:rPr>
        <w:t>五、培养目标</w:t>
      </w:r>
      <w:bookmarkEnd w:id="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本专业培养</w:t>
      </w:r>
      <w:r>
        <w:rPr>
          <w:rFonts w:hint="eastAsia" w:ascii="仿宋_GB2312" w:hAnsi="仿宋_GB2312" w:eastAsia="仿宋_GB2312" w:cs="仿宋_GB2312"/>
          <w:color w:val="auto"/>
          <w:sz w:val="32"/>
          <w:szCs w:val="32"/>
          <w:lang w:val="en-US" w:eastAsia="zh-CN"/>
        </w:rPr>
        <w:t>能够践行社会主义核心价值观，传承技能文明，德智体美劳全面发展，具有一定的科学文化水平、良好的人文素养、科学素养、数字素养、职业道德和创新意识，爱岗敬业的职业精神和精益求精的工匠精神的人才。聚焦壮美广西建设，服务西部陆海新通道、</w:t>
      </w:r>
      <w:r>
        <w:rPr>
          <w:rFonts w:hint="eastAsia" w:ascii="仿宋_GB2312" w:hAnsi="仿宋_GB2312" w:eastAsia="仿宋_GB2312" w:cs="仿宋_GB2312"/>
          <w:color w:val="auto"/>
          <w:sz w:val="32"/>
          <w:szCs w:val="32"/>
          <w:highlight w:val="none"/>
          <w:lang w:val="en-US" w:eastAsia="zh-CN"/>
        </w:rPr>
        <w:t>乡村振兴等战略</w:t>
      </w:r>
      <w:r>
        <w:rPr>
          <w:rFonts w:hint="eastAsia" w:ascii="仿宋_GB2312" w:hAnsi="仿宋_GB2312" w:eastAsia="仿宋_GB2312" w:cs="仿宋_GB2312"/>
          <w:color w:val="auto"/>
          <w:sz w:val="32"/>
          <w:szCs w:val="32"/>
          <w:lang w:val="en-US" w:eastAsia="zh-CN"/>
        </w:rPr>
        <w:t>，提升水利枢纽、边境口岸、民族村寨等特色工程的造价管控能力。融合BIM技术、装配式建筑等现代手段，培养具备绿色施工成本优化、智慧工地数据管理的创新能力。毕业生既能胜任中小型工程项目全生命周期造价工作，又可参与东盟基建项目咨询，成为具有国际视野、壮乡情怀、数字素养的高素质技术技能人才。</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8744"/>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w:t>
      </w:r>
      <w:r>
        <w:rPr>
          <w:rFonts w:hint="eastAsia" w:ascii="仿宋_GB2312" w:hAnsi="仿宋_GB2312" w:eastAsia="仿宋_GB2312" w:cs="仿宋_GB2312"/>
          <w:color w:val="auto"/>
          <w:sz w:val="32"/>
          <w:szCs w:val="32"/>
          <w:lang w:val="en-US" w:eastAsia="zh-CN"/>
        </w:rPr>
        <w:t>学</w:t>
      </w:r>
      <w:r>
        <w:rPr>
          <w:rFonts w:hint="eastAsia" w:ascii="仿宋_GB2312" w:hAnsi="仿宋_GB2312" w:eastAsia="仿宋_GB2312" w:cs="仿宋_GB2312"/>
          <w:color w:val="auto"/>
          <w:sz w:val="32"/>
          <w:szCs w:val="32"/>
          <w:lang w:eastAsia="zh-CN"/>
        </w:rPr>
        <w:t>生</w:t>
      </w:r>
      <w:r>
        <w:rPr>
          <w:rFonts w:hint="eastAsia" w:ascii="仿宋_GB2312" w:hAnsi="仿宋_GB2312" w:eastAsia="仿宋_GB2312" w:cs="仿宋_GB2312"/>
          <w:color w:val="auto"/>
          <w:sz w:val="32"/>
          <w:szCs w:val="32"/>
          <w:lang w:val="en-US" w:eastAsia="zh-CN"/>
        </w:rPr>
        <w:t>应在知识、能力和素质等方面，</w:t>
      </w:r>
      <w:r>
        <w:rPr>
          <w:rFonts w:hint="eastAsia" w:ascii="仿宋_GB2312" w:hAnsi="仿宋_GB2312" w:eastAsia="仿宋_GB2312" w:cs="仿宋_GB2312"/>
          <w:color w:val="auto"/>
          <w:sz w:val="32"/>
          <w:szCs w:val="32"/>
          <w:lang w:eastAsia="zh-CN"/>
        </w:rPr>
        <w:t>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楷体" w:hAnsi="楷体" w:eastAsia="楷体" w:cs="楷体"/>
          <w:color w:val="auto"/>
          <w:sz w:val="32"/>
          <w:szCs w:val="32"/>
          <w:lang w:val="en-US" w:eastAsia="zh-CN"/>
        </w:rPr>
      </w:pPr>
      <w:bookmarkStart w:id="7" w:name="_Toc8340"/>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（1）掌握必备的思想政治理论、科学文化基础知识和中华优秀传统文化知识。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（2）熟悉与本专业相关的法律法规以及环境保护、安全消防、文明生产等知识。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（3）熟悉常用建筑材料的名称、规格性能、检验方法、储备保管、使用等方面知识。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（4）了解投影原理，熟悉制图标准和施工图绘制知识；熟悉房屋构造知识。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（5）熟悉建筑工程施工工艺知识。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（6）掌握BIM建模知识。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（7）熟悉项目管理原理，掌握建筑工程项目管理知识。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（8）熟悉工程施工组织设计知识。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（9）熟悉工程资料的收集、整理、归档、使用知识。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（10）掌握工程造价原理和工程造价计价知识。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（11）掌握工程造价控制基本知识。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（12）熟悉基于BIM确定工程造价知识。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（13）熟悉编制计价定额的知识。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（14）掌握建筑工程概预算、工程量清单、工程量清单计价、工程结算编制方法知识。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（15）了解统计学的一般原理，熟悉建筑统计知识。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（16）了解经济法基础知识，熟悉与建筑市场相关的建设合同与建设法规知识。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（17）掌握工程招投标与合同管理的基本知识。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（18）熟悉壮乡建筑文化、边疆地区工程规范及RCEP国际合作规则。</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rPr>
      </w:pPr>
      <w:bookmarkStart w:id="8" w:name="_Toc17783"/>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（1）具有探究学习、终身学习、分析问题和解决问题的能力。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（2）具有良好的语言、文字表达能力和沟通能力。</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（3）具有施工图绘制和识读能力。</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（4）具有建筑信息模型建模能力。</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（5）能够完成建筑统计指标的计算和分析。</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（6）能够编制建筑工程预算、工程量清单、工程量清单报价。</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（7）能够与团队合作完成工程投标报价的各项工作。</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26" w:firstLineChars="200"/>
        <w:textAlignment w:val="auto"/>
        <w:outlineLvl w:val="9"/>
        <w:rPr>
          <w:rFonts w:hint="eastAsia" w:ascii="仿宋_GB2312" w:hAnsi="仿宋_GB2312" w:eastAsia="仿宋_GB2312" w:cs="仿宋_GB2312"/>
          <w:color w:val="auto"/>
          <w:w w:val="98"/>
          <w:sz w:val="32"/>
          <w:szCs w:val="32"/>
          <w:lang w:val="en-US" w:eastAsia="zh-CN"/>
        </w:rPr>
      </w:pPr>
      <w:r>
        <w:rPr>
          <w:rFonts w:hint="eastAsia" w:ascii="仿宋_GB2312" w:hAnsi="仿宋_GB2312" w:eastAsia="仿宋_GB2312" w:cs="仿宋_GB2312"/>
          <w:color w:val="auto"/>
          <w:w w:val="98"/>
          <w:sz w:val="32"/>
          <w:szCs w:val="32"/>
          <w:lang w:val="en-US" w:eastAsia="zh-CN"/>
        </w:rPr>
        <w:t>（8）能够处理工程变更、价格调整等引起的工程造价变化工作。</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（9）能够编制工程结算。</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（10）能够参与企业基层组织经营管理和施工项目管理工作。</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（11）能够运用BIM软件进行工程造价管理。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（12）强化跨境工程成本核算、民族地区项目全流程造价管理能力，掌握喀斯特地貌施工成本优化技术。</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9" w:name="_Toc11078"/>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（1）坚定拥护中国共产党领导和我国社会主义制度，在习近平新时代中国特色社会主义思想指引下，践行社会主义核心价值观，具有深厚的爱国情感和中华民族自豪感。</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（2）崇尚宪法、遵法守纪、崇德向善、诚实守信、尊重生命、热爱劳动，履行道德准则和行为规范，具有社会责任感和社会参与意识。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（3）具有质量意识、环保意识、安全意识、信息素养、工匠精神、创新思维。</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（4）勇于奋斗、乐观向上，具有自我管理能力、职业生涯规划的意识，有较强的集体意识和团队合作精神。</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（5）具有健康的体魄、心理和健全的人格，掌握基本运动知识和1—2项运动技能，养成良好的健身与卫生习惯，以及良好的行为习惯。</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（6）具有一定的审美和人文素养，能够形成1—2项艺术特长或爱好。</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（7）注重铸牢中华民族共同体意识，培育“担当八桂建设，服务东盟发展”的家国情怀，兼具壮乡工匠精神与国际工程视野，能在边疆基建、东盟项目及民族地区乡村振兴中践行绿色低碳造价理念。</w:t>
      </w:r>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0" w:name="_Toc7591"/>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1" w:name="_Toc14222"/>
      <w:r>
        <w:rPr>
          <w:rFonts w:hint="eastAsia" w:ascii="楷体" w:hAnsi="楷体" w:eastAsia="楷体" w:cs="楷体"/>
          <w:color w:val="auto"/>
          <w:sz w:val="32"/>
          <w:szCs w:val="32"/>
        </w:rPr>
        <w:t>（一）公共基础课程</w:t>
      </w:r>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w:t>
      </w:r>
      <w:r>
        <w:rPr>
          <w:rFonts w:hint="eastAsia" w:ascii="仿宋_GB2312" w:hAnsi="仿宋_GB2312" w:eastAsia="仿宋_GB2312" w:cs="仿宋_GB2312"/>
          <w:b w:val="0"/>
          <w:bCs w:val="0"/>
          <w:color w:val="auto"/>
          <w:sz w:val="32"/>
          <w:szCs w:val="32"/>
          <w:highlight w:val="none"/>
          <w:lang w:eastAsia="zh-CN"/>
        </w:rPr>
        <w:t>。</w:t>
      </w:r>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rPr>
      </w:pPr>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line="360" w:lineRule="exact"/>
              <w:jc w:val="center"/>
              <w:rPr>
                <w:rFonts w:hint="eastAsia" w:ascii="仿宋_GB2312" w:hAnsi="仿宋_GB2312" w:eastAsia="仿宋_GB2312" w:cs="仿宋_GB2312"/>
                <w:color w:val="auto"/>
                <w:sz w:val="24"/>
                <w:szCs w:val="24"/>
                <w:highlight w:val="none"/>
              </w:rPr>
            </w:pPr>
            <w:bookmarkStart w:id="13" w:name="_Toc2022"/>
            <w:bookmarkStart w:id="14" w:name="_Toc90734979"/>
            <w:r>
              <w:rPr>
                <w:rFonts w:hint="eastAsia" w:ascii="仿宋_GB2312" w:hAnsi="仿宋_GB2312" w:eastAsia="仿宋_GB2312" w:cs="仿宋_GB2312"/>
                <w:color w:val="auto"/>
                <w:sz w:val="24"/>
                <w:szCs w:val="24"/>
                <w:highlight w:val="none"/>
              </w:rPr>
              <w:t>序号</w:t>
            </w:r>
          </w:p>
        </w:tc>
        <w:tc>
          <w:tcPr>
            <w:tcW w:w="752" w:type="dxa"/>
            <w:vAlign w:val="center"/>
          </w:tcPr>
          <w:p>
            <w:pPr>
              <w:spacing w:line="360" w:lineRule="exact"/>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课程名称</w:t>
            </w:r>
          </w:p>
        </w:tc>
        <w:tc>
          <w:tcPr>
            <w:tcW w:w="3928" w:type="dxa"/>
            <w:vAlign w:val="center"/>
          </w:tcPr>
          <w:p>
            <w:pPr>
              <w:spacing w:line="360" w:lineRule="exact"/>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960" w:type="dxa"/>
            <w:vAlign w:val="center"/>
          </w:tcPr>
          <w:p>
            <w:pPr>
              <w:spacing w:line="360" w:lineRule="exact"/>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626" w:type="dxa"/>
            <w:vAlign w:val="center"/>
          </w:tcPr>
          <w:p>
            <w:pPr>
              <w:spacing w:line="360" w:lineRule="exact"/>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军训</w:t>
            </w:r>
          </w:p>
        </w:tc>
        <w:tc>
          <w:tcPr>
            <w:tcW w:w="3928"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2"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职业素养</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系统</w:t>
            </w:r>
            <w:r>
              <w:rPr>
                <w:rFonts w:hint="eastAsia" w:ascii="仿宋_GB2312" w:hAnsi="仿宋_GB2312" w:eastAsia="仿宋_GB2312" w:cs="仿宋_GB2312"/>
                <w:color w:val="auto"/>
                <w:sz w:val="24"/>
                <w:szCs w:val="24"/>
                <w:lang w:val="en-US" w:eastAsia="zh-CN"/>
              </w:rPr>
              <w:t>的</w:t>
            </w:r>
            <w:r>
              <w:rPr>
                <w:rFonts w:hint="default" w:ascii="仿宋_GB2312" w:hAnsi="仿宋_GB2312" w:eastAsia="仿宋_GB2312" w:cs="仿宋_GB2312"/>
                <w:color w:val="auto"/>
                <w:sz w:val="24"/>
                <w:szCs w:val="24"/>
                <w:lang w:val="en-US" w:eastAsia="zh-CN"/>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培育社会主义核心价值观，强化劳动精神、劳模精神和工匠精神教育，树立正确的职业观、事业观和成才观。</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lang w:val="en-US" w:eastAsia="zh-CN"/>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kinsoku/>
              <w:wordWrap/>
              <w:overflowPunct/>
              <w:topLinePunct w:val="0"/>
              <w:autoSpaceDE/>
              <w:autoSpaceDN/>
              <w:bidi w:val="0"/>
              <w:adjustRightInd/>
              <w:snapToGrid/>
              <w:spacing w:after="0" w:afterAutospacing="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bookmarkEnd w:id="13"/>
            <w:bookmarkEnd w:id="14"/>
          </w:p>
        </w:tc>
        <w:tc>
          <w:tcPr>
            <w:tcW w:w="752" w:type="dxa"/>
            <w:vAlign w:val="center"/>
          </w:tcPr>
          <w:p>
            <w:pPr>
              <w:keepNext w:val="0"/>
              <w:keepLines w:val="0"/>
              <w:pageBreakBefore w:val="0"/>
              <w:kinsoku/>
              <w:wordWrap/>
              <w:overflowPunct/>
              <w:topLinePunct w:val="0"/>
              <w:autoSpaceDE/>
              <w:autoSpaceDN/>
              <w:bidi w:val="0"/>
              <w:adjustRightInd/>
              <w:snapToGrid/>
              <w:spacing w:after="0" w:afterAutospacing="0" w:line="360" w:lineRule="exact"/>
              <w:jc w:val="center"/>
              <w:textAlignment w:val="auto"/>
              <w:rPr>
                <w:rFonts w:hint="eastAsia" w:ascii="仿宋_GB2312" w:hAnsi="仿宋_GB2312" w:eastAsia="仿宋_GB2312" w:cs="仿宋_GB2312"/>
                <w:color w:val="auto"/>
                <w:sz w:val="24"/>
                <w:szCs w:val="24"/>
              </w:rPr>
            </w:pPr>
            <w:bookmarkStart w:id="15" w:name="_Toc90734980"/>
            <w:bookmarkStart w:id="16" w:name="_Toc2635"/>
            <w:r>
              <w:rPr>
                <w:rFonts w:hint="eastAsia" w:ascii="仿宋_GB2312" w:hAnsi="仿宋_GB2312" w:eastAsia="仿宋_GB2312" w:cs="仿宋_GB2312"/>
                <w:color w:val="auto"/>
                <w:sz w:val="24"/>
                <w:szCs w:val="24"/>
              </w:rPr>
              <w:t>课程名称</w:t>
            </w:r>
            <w:bookmarkEnd w:id="15"/>
            <w:bookmarkEnd w:id="16"/>
          </w:p>
        </w:tc>
        <w:tc>
          <w:tcPr>
            <w:tcW w:w="3928" w:type="dxa"/>
            <w:vAlign w:val="center"/>
          </w:tcPr>
          <w:p>
            <w:pPr>
              <w:keepNext w:val="0"/>
              <w:keepLines w:val="0"/>
              <w:pageBreakBefore w:val="0"/>
              <w:kinsoku/>
              <w:wordWrap/>
              <w:overflowPunct/>
              <w:topLinePunct w:val="0"/>
              <w:autoSpaceDE/>
              <w:autoSpaceDN/>
              <w:bidi w:val="0"/>
              <w:adjustRightInd/>
              <w:snapToGrid/>
              <w:spacing w:after="0" w:afterAutospacing="0" w:line="360" w:lineRule="exact"/>
              <w:jc w:val="center"/>
              <w:textAlignment w:val="auto"/>
              <w:rPr>
                <w:rFonts w:hint="eastAsia" w:ascii="仿宋_GB2312" w:hAnsi="仿宋_GB2312" w:eastAsia="仿宋_GB2312" w:cs="仿宋_GB2312"/>
                <w:color w:val="auto"/>
                <w:sz w:val="24"/>
                <w:szCs w:val="24"/>
              </w:rPr>
            </w:pPr>
            <w:bookmarkStart w:id="17" w:name="_Toc24608"/>
            <w:bookmarkStart w:id="18"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17"/>
            <w:bookmarkEnd w:id="18"/>
          </w:p>
        </w:tc>
        <w:tc>
          <w:tcPr>
            <w:tcW w:w="2960" w:type="dxa"/>
            <w:vAlign w:val="center"/>
          </w:tcPr>
          <w:p>
            <w:pPr>
              <w:keepNext w:val="0"/>
              <w:keepLines w:val="0"/>
              <w:pageBreakBefore w:val="0"/>
              <w:kinsoku/>
              <w:wordWrap/>
              <w:overflowPunct/>
              <w:topLinePunct w:val="0"/>
              <w:autoSpaceDE/>
              <w:autoSpaceDN/>
              <w:bidi w:val="0"/>
              <w:adjustRightInd/>
              <w:snapToGrid/>
              <w:spacing w:after="0" w:afterAutospacing="0" w:line="360" w:lineRule="exact"/>
              <w:jc w:val="center"/>
              <w:textAlignment w:val="auto"/>
              <w:rPr>
                <w:rFonts w:hint="eastAsia" w:ascii="仿宋_GB2312" w:hAnsi="仿宋_GB2312" w:eastAsia="仿宋_GB2312" w:cs="仿宋_GB2312"/>
                <w:color w:val="auto"/>
                <w:sz w:val="24"/>
                <w:szCs w:val="24"/>
              </w:rPr>
            </w:pPr>
            <w:bookmarkStart w:id="19" w:name="_Toc23051"/>
            <w:bookmarkStart w:id="20" w:name="_Toc90734982"/>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19"/>
            <w:bookmarkEnd w:id="20"/>
          </w:p>
        </w:tc>
        <w:tc>
          <w:tcPr>
            <w:tcW w:w="2626" w:type="dxa"/>
            <w:vAlign w:val="center"/>
          </w:tcPr>
          <w:p>
            <w:pPr>
              <w:keepNext w:val="0"/>
              <w:keepLines w:val="0"/>
              <w:pageBreakBefore w:val="0"/>
              <w:kinsoku/>
              <w:wordWrap/>
              <w:overflowPunct/>
              <w:topLinePunct w:val="0"/>
              <w:autoSpaceDE/>
              <w:autoSpaceDN/>
              <w:bidi w:val="0"/>
              <w:adjustRightInd/>
              <w:snapToGrid/>
              <w:spacing w:after="0" w:afterAutospacing="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9"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626"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afterAutospacing="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3928"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2626" w:type="dxa"/>
            <w:shd w:val="clear" w:color="auto" w:fill="auto"/>
            <w:vAlign w:val="top"/>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afterAutospacing="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afterAutospacing="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21" w:name="_Toc16742"/>
      <w:r>
        <w:rPr>
          <w:rFonts w:hint="eastAsia" w:ascii="楷体" w:hAnsi="楷体" w:eastAsia="楷体" w:cs="楷体"/>
          <w:color w:val="auto"/>
          <w:sz w:val="32"/>
          <w:szCs w:val="32"/>
        </w:rPr>
        <w:t>（二）专业课程</w:t>
      </w:r>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2"/>
        <w:rPr>
          <w:rFonts w:hint="eastAsia" w:ascii="仿宋_GB2312" w:hAnsi="仿宋_GB2312" w:eastAsia="仿宋_GB2312" w:cs="仿宋_GB2312"/>
          <w:b w:val="0"/>
          <w:bCs w:val="0"/>
          <w:color w:val="auto"/>
          <w:sz w:val="32"/>
          <w:szCs w:val="32"/>
        </w:rPr>
      </w:pPr>
      <w:bookmarkStart w:id="22" w:name="_Toc23841"/>
      <w:bookmarkStart w:id="23" w:name="_Toc90734975"/>
      <w:r>
        <w:rPr>
          <w:rFonts w:hint="eastAsia" w:ascii="仿宋_GB2312" w:hAnsi="仿宋_GB2312" w:eastAsia="仿宋_GB2312" w:cs="仿宋_GB2312"/>
          <w:b w:val="0"/>
          <w:bCs w:val="0"/>
          <w:color w:val="auto"/>
          <w:sz w:val="32"/>
          <w:szCs w:val="32"/>
        </w:rPr>
        <w:t>1.专业基础课程</w:t>
      </w:r>
      <w:bookmarkEnd w:id="22"/>
      <w:bookmarkEnd w:id="23"/>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专业基础课程</w:t>
      </w:r>
      <w:r>
        <w:rPr>
          <w:rFonts w:hint="eastAsia" w:ascii="仿宋_GB2312" w:hAnsi="仿宋_GB2312" w:eastAsia="仿宋_GB2312" w:cs="仿宋_GB2312"/>
          <w:color w:val="auto"/>
          <w:sz w:val="32"/>
          <w:szCs w:val="32"/>
          <w:lang w:val="en-US" w:eastAsia="zh-CN"/>
        </w:rPr>
        <w:t>是为学习者构建特定专业领域知识框架、奠定核心理论基础和基本技能的关键课程体系。</w:t>
      </w:r>
      <w:r>
        <w:rPr>
          <w:rFonts w:hint="eastAsia" w:ascii="仿宋_GB2312" w:hAnsi="仿宋_GB2312" w:eastAsia="仿宋_GB2312" w:cs="仿宋_GB2312"/>
          <w:color w:val="auto"/>
          <w:sz w:val="32"/>
          <w:szCs w:val="32"/>
        </w:rPr>
        <w:t>包括：</w:t>
      </w:r>
      <w:r>
        <w:rPr>
          <w:rFonts w:hint="eastAsia" w:ascii="仿宋_GB2312" w:hAnsi="仿宋_GB2312" w:eastAsia="仿宋_GB2312" w:cs="仿宋_GB2312"/>
          <w:color w:val="auto"/>
          <w:sz w:val="32"/>
          <w:szCs w:val="32"/>
          <w:lang w:val="en-US" w:eastAsia="zh-CN"/>
        </w:rPr>
        <w:t>建筑材料、建筑构造与识图、建筑CAD、建筑力学与结构、建筑工程经济、BIM概论与三维建模、建筑工程施工工艺</w:t>
      </w:r>
      <w:r>
        <w:rPr>
          <w:rFonts w:hint="eastAsia" w:ascii="仿宋_GB2312" w:hAnsi="仿宋_GB2312" w:eastAsia="仿宋_GB2312" w:cs="仿宋_GB2312"/>
          <w:color w:val="auto"/>
          <w:sz w:val="32"/>
          <w:szCs w:val="32"/>
        </w:rPr>
        <w:t>等课程。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表3专业基础课课程目标、主要教学内容与要求</w:t>
      </w:r>
    </w:p>
    <w:tbl>
      <w:tblPr>
        <w:tblStyle w:val="12"/>
        <w:tblW w:w="11119"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815"/>
        <w:gridCol w:w="4543"/>
        <w:gridCol w:w="2057"/>
        <w:gridCol w:w="2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0" w:type="dxa"/>
            <w:vAlign w:val="center"/>
          </w:tcPr>
          <w:p>
            <w:pPr>
              <w:keepNext w:val="0"/>
              <w:keepLines w:val="0"/>
              <w:pageBreakBefore w:val="0"/>
              <w:widowControl w:val="0"/>
              <w:kinsoku/>
              <w:wordWrap/>
              <w:topLinePunct w:val="0"/>
              <w:autoSpaceDE/>
              <w:autoSpaceDN/>
              <w:bidi w:val="0"/>
              <w:snapToGrid/>
              <w:spacing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815" w:type="dxa"/>
            <w:vAlign w:val="center"/>
          </w:tcPr>
          <w:p>
            <w:pPr>
              <w:keepNext w:val="0"/>
              <w:keepLines w:val="0"/>
              <w:pageBreakBefore w:val="0"/>
              <w:widowControl w:val="0"/>
              <w:kinsoku/>
              <w:wordWrap/>
              <w:topLinePunct w:val="0"/>
              <w:autoSpaceDE/>
              <w:autoSpaceDN/>
              <w:bidi w:val="0"/>
              <w:snapToGrid/>
              <w:spacing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543" w:type="dxa"/>
            <w:vAlign w:val="center"/>
          </w:tcPr>
          <w:p>
            <w:pPr>
              <w:keepNext w:val="0"/>
              <w:keepLines w:val="0"/>
              <w:pageBreakBefore w:val="0"/>
              <w:widowControl w:val="0"/>
              <w:kinsoku/>
              <w:wordWrap/>
              <w:topLinePunct w:val="0"/>
              <w:autoSpaceDE/>
              <w:autoSpaceDN/>
              <w:bidi w:val="0"/>
              <w:snapToGrid/>
              <w:spacing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057" w:type="dxa"/>
            <w:vAlign w:val="center"/>
          </w:tcPr>
          <w:p>
            <w:pPr>
              <w:keepNext w:val="0"/>
              <w:keepLines w:val="0"/>
              <w:pageBreakBefore w:val="0"/>
              <w:widowControl w:val="0"/>
              <w:kinsoku/>
              <w:wordWrap/>
              <w:topLinePunct w:val="0"/>
              <w:autoSpaceDE/>
              <w:autoSpaceDN/>
              <w:bidi w:val="0"/>
              <w:snapToGrid/>
              <w:spacing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954" w:type="dxa"/>
            <w:vAlign w:val="center"/>
          </w:tcPr>
          <w:p>
            <w:pPr>
              <w:keepNext w:val="0"/>
              <w:keepLines w:val="0"/>
              <w:pageBreakBefore w:val="0"/>
              <w:widowControl w:val="0"/>
              <w:kinsoku/>
              <w:wordWrap/>
              <w:topLinePunct w:val="0"/>
              <w:autoSpaceDE/>
              <w:autoSpaceDN/>
              <w:bidi w:val="0"/>
              <w:snapToGrid/>
              <w:spacing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15"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建筑材料</w:t>
            </w:r>
          </w:p>
        </w:tc>
        <w:tc>
          <w:tcPr>
            <w:tcW w:w="454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掌握无机非金属材料、金属材料、有机高分子材料及复合材料等各类建筑材料的物理力学性能、生产工艺和质量检验标准；理解不同建筑材料的环境影响及可持续发展相关知识。​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能通过实验分析建筑材料的性能指标并判断其适用性；具备根据工程需求合理选择建筑材料的能力；通过案例分析和参观实践，掌握绿色建筑材料的应用方法。​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培养严谨的实验态度和对材料质量的责任意识；树立绿色环保理念，增强对可持续建筑材料的认知和应用意愿。</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：结合绿色建筑材料的应用，渗透生态文明理念，培养学生节约资源、保护环境的责任担当，树立可持续发展的行业价值观。</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涵盖广泛，包括无机非金属材料（如水泥、混凝土、玻璃等）、金属材料（如钢材、铝合金等）、有机高分子材料（如塑料、涂料、防水材料等）以及复合材料等各类建筑材料的物理力学性能、生产工艺、质量检验、环境影响及可持续发展等方面的知识。</w:t>
            </w:r>
          </w:p>
        </w:tc>
        <w:tc>
          <w:tcPr>
            <w:tcW w:w="295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强调理论与实践相结合，通过实验、参观、案例分析等多种教学手段，加深学生对建筑材料性能和应用的理解，培养其分析问题和解决问题的能力，同时注重培养学生的环保意识，倡导使用绿色建筑材料，推动建筑行业的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eastAsia" w:ascii="仿宋_GB2312" w:hAnsi="仿宋_GB2312" w:eastAsia="仿宋_GB2312" w:cs="仿宋_GB2312"/>
                <w:color w:val="auto"/>
                <w:sz w:val="24"/>
                <w:szCs w:val="24"/>
                <w:lang w:val="en-US" w:eastAsia="zh-CN"/>
              </w:rPr>
            </w:pPr>
            <w:bookmarkStart w:id="24" w:name="_Hlk194587108"/>
            <w:r>
              <w:rPr>
                <w:rFonts w:hint="eastAsia" w:ascii="仿宋_GB2312" w:hAnsi="仿宋_GB2312" w:eastAsia="仿宋_GB2312" w:cs="仿宋_GB2312"/>
                <w:color w:val="auto"/>
                <w:sz w:val="24"/>
                <w:szCs w:val="24"/>
                <w:lang w:val="en-US" w:eastAsia="zh-CN"/>
              </w:rPr>
              <w:t>2</w:t>
            </w:r>
          </w:p>
        </w:tc>
        <w:tc>
          <w:tcPr>
            <w:tcW w:w="81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建筑构造与识图</w:t>
            </w:r>
          </w:p>
        </w:tc>
        <w:tc>
          <w:tcPr>
            <w:tcW w:w="4543"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掌握制图标准中关于图线、字体、比例、符号的基本要求；熟悉建筑、结构、水电安装等各类施工图的识读方法及图纸中材料图例、标注符号、尺寸标注的解读规则；了解施工图会审的流程、要点和注意事项。​</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能熟练识读和理解各类工程施工图，准确解读图纸中的关键信息；具备参与施工图会审的基本能力，能发现图纸中的常见问题并提出初步建议；通过大量练习提升制图和读图技能。​</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培养细致严谨的识图习惯和空间想象能力；在团队协作中增强沟通表达能力，激发对工程技术的学习兴趣和创新思维。​</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通过施工图识读的准确性要求，强调工程图纸的严肃性和责任性，培养学生的诚信意识和敬业精神，树立对工程质量的敬畏之心。</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制图标准的规定，包括图线、字体、比例、符号等基本要求。建筑施工图、结构施工图、水电安装施工图等的识读方法和技巧。图纸中的常用材料图例、标注符号、尺寸标注等内容的解读。施工图会审的流程、要点和注意事项。</w:t>
            </w:r>
          </w:p>
        </w:tc>
        <w:tc>
          <w:tcPr>
            <w:tcW w:w="295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理论与实践相结合：课程内容应紧密结合实际工程案例，注重培养学生的实践操作能力。通过实验、实训、案例分析等教学环节，加深学生对理论知识的理解，并提高其应用能力。注重技能培养：加强对学生识图、读图、制图和会审技能的培训，通过大量的练习和实践，使学生熟练掌握各类型施工图的识读方法和会审技巧。激发学习兴趣：通过引入最新的工程技术和案例，激发学生的学习兴趣和求知欲。同时，鼓励学生参与科研项目和实践活动，培养其创新能力和团队协作精神。注重教学质量：教师应密切关注学生的学习状况，及时解答学生的疑问，并根据学生的反馈调整教学方法和手段。同时，加强对学生的考核和评价，采用多元化的评价方式全面评估学生的学习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default" w:ascii="仿宋_GB2312" w:hAnsi="仿宋_GB2312" w:eastAsia="仿宋_GB2312" w:cs="仿宋_GB2312"/>
                <w:color w:val="auto"/>
                <w:sz w:val="24"/>
                <w:szCs w:val="24"/>
                <w:lang w:val="en-US" w:eastAsia="zh-CN"/>
              </w:rPr>
            </w:pPr>
            <w:bookmarkStart w:id="25" w:name="_Toc90734977"/>
            <w:r>
              <w:rPr>
                <w:rFonts w:hint="eastAsia" w:ascii="仿宋_GB2312" w:hAnsi="仿宋_GB2312" w:eastAsia="仿宋_GB2312" w:cs="仿宋_GB2312"/>
                <w:color w:val="auto"/>
                <w:sz w:val="24"/>
                <w:szCs w:val="24"/>
                <w:lang w:val="en-US" w:eastAsia="zh-CN"/>
              </w:rPr>
              <w:t>3</w:t>
            </w:r>
          </w:p>
        </w:tc>
        <w:tc>
          <w:tcPr>
            <w:tcW w:w="81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建筑CAD</w:t>
            </w:r>
          </w:p>
        </w:tc>
        <w:tc>
          <w:tcPr>
            <w:tcW w:w="4543"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 CAD 操作基础、辅助工具使用、绘图环境设置、二维基本绘图命令、文字与表格及尺寸标注等核心知识；熟悉建筑平面图、立面图、剖面图和详图的 CAD 绘制规范及相关行业标准与法律法规。​</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能熟练运用 CAD 软件完成建筑专业图纸的绘制与编辑；具备根据行业标准规范进行绘图的能力，确保图纸的合规性和准确性；能将 CAD 技术应用于实际工程设计场景。​</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培养高效精准的绘图习惯和技术创新意识；树立遵守行业规范和法律准则的职业素养，提升数字化设计能力。​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课程思政育人目标：结合 CAD 绘图的规范性要求，强调技术应用中的诚信与责任，培养学生的法治意识和精益求精的工匠精神，树立合规设计的职业价值观。</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教学内容主要包括CAD操作基础、辅助工具的使用、绘图环境的设置、二维基本绘图命令、文字与表格、尺寸标注六大部分。专业的实践教学内容主要以绘制建筑图为主，包括平面图、立面图、剖面图和详图等。</w:t>
            </w:r>
          </w:p>
        </w:tc>
        <w:tc>
          <w:tcPr>
            <w:tcW w:w="295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在深度融合技术创新与法律法规意识，确保学生在精通CAD软件操作与高级设计技巧的同时，也深刻理解并遵循相关的行业标准和法律法规。具体而言，本课程不仅要求学生熟练掌握CAD软件的基本操作、三维建模、装配设计、工程图绘制等核心技能，还需深入理解CAD技术在工程设计、制造、建筑等行业中的广泛应用及其在法律框架下的合规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81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建筑力学与结构</w:t>
            </w:r>
          </w:p>
        </w:tc>
        <w:tc>
          <w:tcPr>
            <w:tcW w:w="4543"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静力学基本公理、平面力系简化与平衡条件，建立结构受力分析的理论框架。理解建筑结构的分类、计算简图简化原则，掌握几何不变体系的组成规则及判别方法。熟练静定结构（梁、刚架、桁架）的内力计算与内力图绘制，掌握杆件拉压、扭转、弯曲的应力应变分析及强度刚度验算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rPr>
              <w:t>能将实际建筑工程问题简化为力学模型，绘制结构受力图，确定支座约束与荷载传递路径。熟练运用截面法、图乘法、影响线等工具，完成静定 / 超静定结构的内力、位移计算，校核构件强度、刚度与稳定性。</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rPr>
              <w:t>树立工程伦理与安全意识强化 “安全第一” 的设计理念，培养严谨负责的职业态度。践行理论联系实际，理解结构选型与建筑功能的协同关系，提升综合分析能力。</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rPr>
              <w:t>感悟中华传统工程文化，增强民族自豪感。结合港珠澳大桥、火神山医院等现代工程案例，诠释力学原理对国家建设的支撑作用，激发行业使命感。：以“结构失效 - 改进”的迭代思维，培养精益求精、实事求是的科研态度。</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力学基础：力的受力分析、平面力系平衡方程（会画受力图、求支座反力）；结构几何组成：自由度计算、几何不变 / 可变体系判别（懂瞬变体系危害）；静定结构分析：梁 / 刚架 / 桁架的内力计算与内力图绘制、组合变形强度验算；变形与稳定：杆件挠度计算（图乘法）、压杆临界力（欧拉公式）、刚度 / 稳等</w:t>
            </w:r>
          </w:p>
        </w:tc>
        <w:tc>
          <w:tcPr>
            <w:tcW w:w="295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理论：掌握核心公式与方法，能独立完成内力计算、内力图绘制、稳定校核；实践：会操作实验设备、处理实验数据，能结合简单工程场景（如楼梯梁、悬挑板）做力学分析；思政：理解工程伦理，树立 “安全第一” 理念，能关联案例理解力学的工程意义。</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81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建筑工程经济</w:t>
            </w:r>
          </w:p>
        </w:tc>
        <w:tc>
          <w:tcPr>
            <w:tcW w:w="4543"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掌握资金时间价值与等值计算、投资项目经济效果评价方法、不确定性分析等核心理论；熟悉设备磨损补偿、价值工程及生产成本控制的原理；了解生产系统技术经济评价的方法。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能运用经济评价方法对工程项目方案进行比选和不确定性分析；具备运用价值工程优化产品成本的能力；能结合数学基础和逻辑思维进行经济指标计算与项目决策分析。​</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培养经济思维和成本效益意识；提升数据分析能力和理性决策能力，树立严谨的经济评价态度。​</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通过工程经济分析中的效益与责任平衡，强调诚信核算和资源优化配置，培养学生的廉洁意识和社会责任感，树立可持续发展的经济价值观。</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主要讲授资金的时间价值与等值计算、投资项目方案经济效果的评价方法（各种方案的比选）不确定性分析、设备磨损的补偿、价值工程和生产的成本控制等内容。掌握一般工程实践活动其经济效果的评价基础上，还应该对生产制造环节的经济性给予着重关注，即生产系统的技术经济评价，如︰价值工程中对于各种产品其成本。</w:t>
            </w:r>
          </w:p>
        </w:tc>
        <w:tc>
          <w:tcPr>
            <w:tcW w:w="295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该课程旨在培养学生掌握工程经济分析的基本原理与方法。学生需深入理解资金时间价值、成本效益分析、风险评估等核心概念，并能灵活运用于工程项目决策中。课程强调理论与实践相结合，通过案例分析、项目评估等教学活动，提升学生解决实际问题的能力。同时，要求学生具备扎实的数学基础与逻辑思维能力，能够准确进行经济指标计算与方案比选，为工程项目的经济合理性提供有力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81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BIM概论与三维建模</w:t>
            </w:r>
          </w:p>
        </w:tc>
        <w:tc>
          <w:tcPr>
            <w:tcW w:w="4543"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 BIM 技术的核心概念、软件操作基础及建筑模型创建与编辑方法；熟悉 BIM 在设计、施工阶段的应用流程及协同工作与信息共享机制；了解 BIM 项目管理的基本原理。​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能熟练操作主流 BIM 软件完成简单建筑模型构建；具备参与 BIM 协同工作的能力，通过信息共享提升项目效率；能运用 BIM 技术分析项目成本优化和设计方案改进的可能性。​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培养数字化技术应用能力和创新思维；在团队项目中增强协作沟通能力，树立技术驱动工程进步的理念。​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 BIM 技术的协同性和高效性，强调团队合作与诚信共享，培养学生的创新精神和责任意识，推动建筑行业数字化转型的使命感。</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全面覆盖BIM技术概述、BIM软件操作基础、建筑模型创建与编辑、协同工作与信息共享、BIM在设计与施工阶段的应用，以及BIM项目管理等内容。通过案例分析、软件实操和项目模拟，使学生深入了解BIM技术在提升项目效率、降低成本、优化设计方案等方面的优势。</w:t>
            </w:r>
          </w:p>
        </w:tc>
        <w:tc>
          <w:tcPr>
            <w:tcW w:w="2954" w:type="dxa"/>
            <w:vAlign w:val="top"/>
          </w:tcPr>
          <w:p>
            <w:pPr>
              <w:spacing w:line="36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需积极参与课堂互动，深入理解BIM技术的核心价值和实施策略；熟练掌握至少一种主流BIM软件的基本操作，能够独立完成简单建筑模型的构建；参与团队项目，体验BIM协同工作的过程，培养团队协作精神；完成课程作业与项目实践，将所学知识应用于解决实际问题，提升个人BIM技术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81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建筑工程施工工艺</w:t>
            </w:r>
          </w:p>
        </w:tc>
        <w:tc>
          <w:tcPr>
            <w:tcW w:w="4543"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掌握基础工程、主体结构（混凝土、砌体、钢结构）、装饰装修及屋面与防水工程的施工工艺、标准及质量控制方法；熟悉施工现场管理知识，如施工组织设计编制和资源调配。</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能根据工程特点选择合适的施工工艺，制定基础施工方案；具备分析施工过程</w:t>
            </w:r>
            <w:r>
              <w:rPr>
                <w:rFonts w:hint="eastAsia" w:ascii="仿宋_GB2312" w:hAnsi="仿宋_GB2312" w:eastAsia="仿宋_GB2312" w:cs="仿宋_GB2312"/>
                <w:color w:val="auto"/>
                <w:sz w:val="24"/>
                <w:szCs w:val="24"/>
                <w:highlight w:val="none"/>
                <w:lang w:val="en-US" w:eastAsia="zh-CN"/>
              </w:rPr>
              <w:t>中质量</w:t>
            </w:r>
            <w:r>
              <w:rPr>
                <w:rFonts w:hint="eastAsia" w:ascii="仿宋_GB2312" w:hAnsi="仿宋_GB2312" w:eastAsia="仿宋_GB2312" w:cs="仿宋_GB2312"/>
                <w:color w:val="auto"/>
                <w:sz w:val="24"/>
                <w:szCs w:val="24"/>
                <w:lang w:val="en-US" w:eastAsia="zh-CN"/>
              </w:rPr>
              <w:t>问题的能力；通过现场观摩和实践操作，掌握砌筑、混凝土浇筑等基本施工技能。​</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培养严谨的施工质量意识和安全操作规范意识；提升实践动手能力和解决现场问题的能力，树立精益求精的工匠精神。​</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通过施工工艺的质量标准和安全要求，强调生命至上和质量第一的理念，培养学生的责任担当和敬业精神，树立以质量为核心的工程价值观。</w:t>
            </w:r>
          </w:p>
        </w:tc>
        <w:tc>
          <w:tcPr>
            <w:tcW w:w="205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内容紧密围绕建筑工程施工全过程展开。从基础工程施工工艺入手，详细讲解土方开挖、基础浇筑、地基处理等关键环节的施工技术与要点。主体结构施工部分，深入剖析混凝土结构、砌体结构、钢结构等不同结构形式的施工流程、工艺标准与质量控制方法。装饰装修工程板块，涵盖内外墙面装修、楼地面施工、门窗安装等内容，介绍各类装修材料的特性与施工工艺选择。屋面与防水工程则着重阐述屋面防水构造、防水施工方法及卫生间等部位的防水处理技术。同时，课程还涉及施工现场管理知识，如施工组织设计编制、资源调配等，让学生对建筑工程施工形成全面且系统的认知。</w:t>
            </w:r>
          </w:p>
        </w:tc>
        <w:tc>
          <w:tcPr>
            <w:tcW w:w="295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时，教师需采用理论与实践相结合的方式。理论讲授要清晰有条理，结合实际工程案例，运用多媒体资源展示施工工艺过程，助力学生理解抽象知识。实践教学环节至关重要，安排学生到施工现场观摩学习，参与施工操作实践，如砌筑、混凝土浇筑等，增强其动手能力。课堂上积极组织小组讨论、案例分析等互动活动，培养学生分析与解决问题的能力。作业布置应紧密联系实际工程，设置从基础工艺描述到综合施工方案设计等不同难度层次的任务。考核采用多元化方式，融合平时表现、实践操作成绩、理论考试成绩，全面准确评估学生学习成果，确保学生扎实掌握课程知识与技能。</w:t>
            </w:r>
          </w:p>
        </w:tc>
      </w:tr>
      <w:bookmarkEnd w:id="24"/>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26" w:name="_Toc24155"/>
      <w:r>
        <w:rPr>
          <w:rFonts w:hint="eastAsia" w:ascii="仿宋_GB2312" w:hAnsi="仿宋_GB2312" w:eastAsia="仿宋_GB2312" w:cs="仿宋_GB2312"/>
          <w:b w:val="0"/>
          <w:bCs w:val="0"/>
          <w:color w:val="auto"/>
          <w:sz w:val="32"/>
          <w:szCs w:val="32"/>
        </w:rPr>
        <w:t>2.专业核心课程</w:t>
      </w:r>
      <w:bookmarkEnd w:id="25"/>
      <w:bookmarkEnd w:id="26"/>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pacing w:val="-4"/>
          <w:sz w:val="32"/>
          <w:szCs w:val="32"/>
        </w:rPr>
      </w:pPr>
      <w:bookmarkStart w:id="27" w:name="OLE_LINK7"/>
      <w:r>
        <w:rPr>
          <w:rFonts w:hint="eastAsia" w:ascii="仿宋_GB2312" w:hAnsi="仿宋_GB2312" w:eastAsia="仿宋_GB2312" w:cs="仿宋_GB2312"/>
          <w:color w:val="auto"/>
          <w:sz w:val="32"/>
          <w:szCs w:val="32"/>
        </w:rPr>
        <w:t>专业核心课是</w:t>
      </w:r>
      <w:bookmarkEnd w:id="27"/>
      <w:r>
        <w:rPr>
          <w:rFonts w:hint="eastAsia" w:ascii="仿宋_GB2312" w:hAnsi="仿宋_GB2312" w:eastAsia="仿宋_GB2312" w:cs="仿宋_GB2312"/>
          <w:color w:val="auto"/>
          <w:sz w:val="32"/>
          <w:szCs w:val="32"/>
          <w:lang w:val="en-US" w:eastAsia="zh-CN"/>
        </w:rPr>
        <w:t>聚焦专业核心能力培养，承载该专业领域关键知识、核心技术与核心素养的课程集群</w:t>
      </w:r>
      <w:r>
        <w:rPr>
          <w:rFonts w:hint="eastAsia" w:ascii="仿宋_GB2312" w:hAnsi="仿宋_GB2312" w:eastAsia="仿宋_GB2312" w:cs="仿宋_GB2312"/>
          <w:color w:val="auto"/>
          <w:sz w:val="32"/>
          <w:szCs w:val="32"/>
        </w:rPr>
        <w:t>。包括</w:t>
      </w:r>
      <w:r>
        <w:rPr>
          <w:rFonts w:hint="eastAsia" w:ascii="仿宋_GB2312" w:hAnsi="仿宋_GB2312" w:eastAsia="仿宋_GB2312" w:cs="仿宋_GB2312"/>
          <w:color w:val="auto"/>
          <w:sz w:val="32"/>
          <w:szCs w:val="32"/>
          <w:lang w:val="en-US" w:eastAsia="zh-CN"/>
        </w:rPr>
        <w:t>工程测量、建筑工程计量与计价、工程造价管理与控制、建设工程定额原理与实务、建筑施工组织与管理、数字造价技术应用、招投标与合同管理、建设工程项目管理</w:t>
      </w:r>
      <w:r>
        <w:rPr>
          <w:rFonts w:hint="eastAsia" w:ascii="仿宋_GB2312" w:hAnsi="仿宋_GB2312" w:eastAsia="仿宋_GB2312" w:cs="仿宋_GB2312"/>
          <w:color w:val="auto"/>
          <w:spacing w:val="-4"/>
          <w:sz w:val="32"/>
          <w:szCs w:val="32"/>
        </w:rPr>
        <w:t>等课程。</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322"/>
        <w:gridCol w:w="2443"/>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322"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443"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434"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工程测量</w:t>
            </w:r>
          </w:p>
        </w:tc>
        <w:tc>
          <w:tcPr>
            <w:tcW w:w="432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掌握工程测量的基本概念、误差理论与数据处理方法；熟悉水准测量、角度测量、距离测量、控制测量的原理及操作规范；了解地形图测绘与应用、各类工程测量任务的实施流程。​</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能熟练操作常用测量仪器并进行维护，独立完成测量实验、实训项目及实地测量任务；具备运用误差理论处理测量数据的能力，确保测量结果的准确性；能绘制和判读地形图，解决实际测量问题。​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培养严谨细致的测量态度和精益求精的工作作风；在实地测量中增强团队协作能力和问题解决能力，树立安全操作意识。​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通过测量数据的准确性要求，强调诚信执业和责任担当，培养学生对工程质量的敬畏之心，树立实事求是的科学精神。</w:t>
            </w:r>
          </w:p>
        </w:tc>
        <w:tc>
          <w:tcPr>
            <w:tcW w:w="24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本课程系统介绍工程测量的基本概念、误差理论与数据处理、水准测量、角度测量、距离测量、控制测量、地形图测绘与应用</w:t>
            </w:r>
            <w:r>
              <w:rPr>
                <w:rFonts w:hint="eastAsia" w:ascii="仿宋_GB2312" w:hAnsi="仿宋_GB2312" w:eastAsia="仿宋_GB2312" w:cs="仿宋_GB2312"/>
                <w:color w:val="auto"/>
                <w:sz w:val="24"/>
                <w:szCs w:val="24"/>
                <w:highlight w:val="none"/>
                <w:lang w:val="en-US" w:eastAsia="zh-CN"/>
              </w:rPr>
              <w:t>，以及</w:t>
            </w:r>
            <w:r>
              <w:rPr>
                <w:rFonts w:hint="eastAsia" w:ascii="仿宋_GB2312" w:hAnsi="仿宋_GB2312" w:eastAsia="仿宋_GB2312" w:cs="仿宋_GB2312"/>
                <w:color w:val="auto"/>
                <w:sz w:val="24"/>
                <w:szCs w:val="24"/>
                <w:lang w:val="en-US" w:eastAsia="zh-CN"/>
              </w:rPr>
              <w:t>工程测量等内容。通过理论讲授、实验实训和实地测量，使学生掌握测量仪器的操作技能，学会地形图的绘制与判读，理解并能实施各类工程测量任务。</w:t>
            </w:r>
          </w:p>
        </w:tc>
        <w:tc>
          <w:tcPr>
            <w:tcW w:w="243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需认真听讲，积极参与课堂讨论，深入理解工程测量的基本原理和方法；熟练掌握常用测量仪器的操作与维护，能够独立完成测量实验和实训项目；注重实践经验的积累，积极参与实地测量任务，提升解决实际测量问题的能力；完成课程作业和项目报告，展示个人学习成果，并准备通过课程考核，检验对工程测量知识的掌握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建筑工程计量与计价</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计量基础（工程量计算规则、计量单位规范）及各分部分项工程（地基与基础、主体结构等）的计量方法；熟悉定额计价原理、工程量清单计价流程（清单编制、综合单价确定、费用汇总）及工程价款结算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能依据工程图纸准确计算各分部分项工程量，运用广联达等计价软件完成模拟工程计价；具备编制工程量清单、确定综合单价及处理工程价款结算的能力；通过案例研讨提升解决实际计价问题的能力。​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培养对工程成本的敏感度和严谨的造价核算意识；在实操和团队讨论中提升逻辑思维能力和创新应用能力。​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结合造价工作的经济性与合规性要求，强调诚信计价和廉洁从业，培养学生的责任意识和法治观念，树立公平公正的造价价值观。</w:t>
            </w:r>
          </w:p>
        </w:tc>
        <w:tc>
          <w:tcPr>
            <w:tcW w:w="244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内容系统且全面，紧密贴合建筑工程计量与计价实际流程。开篇详述工程计量基础，包括工程量计算规则的解读、计量单位的规范使用等。随后深入各分部分项工程计量，如地基与基础、主体结构、屋面及防水等工程，细致讲解每个部分工程量的计算方法与注意要点。计价部分，涵盖定额计价原理与应用，详细剖析定额的组成与套用规则；同时深入讲解工程量清单计价，从清单编制到综合单价确定，再到费用汇总。此外，课程还涉及工程价款结算知识，如预付款、进度款支付以及竣工结算流程等，帮助学生构建完整的建筑工程计量与计价知识体系，明晰工程成本核算的全过程。</w:t>
            </w:r>
          </w:p>
        </w:tc>
        <w:tc>
          <w:tcPr>
            <w:tcW w:w="243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过程中，教师需融合多种教学手段。理论教学要逻辑清晰，借助大量实际工程图纸，详细解读计量规则与计价原理，让学生理解抽象概念。实践环节不可或缺，安排学生进行工程量计算实操、计价软件应用等训练，利用广联达等专业软件模拟真实工程计价场景，提升学生动手能力。课堂上多组织案例研讨，选取典型工程计价案例，引导学生分组讨论、分析问题并提出解决方案，培养其解决实际问题的思维。作业布置要注重梯度，从简单分部分项计量到复杂工程全费用计价练习逐步提升。考核方式采用多元化模式，综合平时作业、实践操作成果、理论考试成绩，精准评估学生学习成效，确保学生切实掌握课程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bookmarkStart w:id="28" w:name="_Toc90734991"/>
            <w:r>
              <w:rPr>
                <w:rFonts w:hint="eastAsia" w:ascii="仿宋_GB2312" w:hAnsi="仿宋_GB2312" w:eastAsia="仿宋_GB2312" w:cs="仿宋_GB2312"/>
                <w:color w:val="auto"/>
                <w:sz w:val="24"/>
                <w:szCs w:val="24"/>
                <w:lang w:val="en-US" w:eastAsia="zh-CN"/>
              </w:rPr>
              <w:t>3</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工程造价管理与控制</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掌握工程造价的概念、计价特征、管理基本内涵、主要内容及原则；熟悉工程造价管理组织系统、造价工程师管理制度、工程造价咨询企业资质管理及造价咨询管理流程。​</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能运用工程造价基本理论和方法进行成本估算、预算编制及成本控制；具备开展经济分析和解决实际工程造价管理问题的能力；能借助工具应用提升造价管理效率。​</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培养全局化的造价管控思维和风险防范意识；树立严谨的职业操守和团队合作精神，提升综合管理能力。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通过工程造价管理的全流程责任链条，强调各环节的诚信履职，培养学生的责任担当和廉洁自律精神，树立以效益和责任为核心的管理理念。</w:t>
            </w:r>
          </w:p>
        </w:tc>
        <w:tc>
          <w:tcPr>
            <w:tcW w:w="24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工程造价的概念、工程造价管理的基本内涵、工程造价管理的工程主要内容及原则造价的计价特征、工程造价管理的组织系统、工程造价师管理制度工程造价咨询企业资质管理、造价咨询管理</w:t>
            </w:r>
          </w:p>
        </w:tc>
        <w:tc>
          <w:tcPr>
            <w:tcW w:w="243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培养学生掌握工程造价的基本理论、方法及工具应用，通过系统学习成本估算、预算编制、成本控制与经济分析，结合实践操作与案例分析，提升解决实际问题的能力，同时注重培养职业道德与团队合作精神，为从事工程造价管理工作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建设工程定额原理与实务</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掌握建筑工程概预算基本概念、土建工程定额计价工程量基本知识及建筑物建筑面积、土建工程量计算</w:t>
            </w:r>
            <w:r>
              <w:rPr>
                <w:rFonts w:hint="eastAsia" w:ascii="仿宋_GB2312" w:hAnsi="仿宋_GB2312" w:eastAsia="仿宋_GB2312" w:cs="仿宋_GB2312"/>
                <w:color w:val="auto"/>
                <w:spacing w:val="-6"/>
                <w:sz w:val="24"/>
                <w:szCs w:val="24"/>
                <w:lang w:val="en-US" w:eastAsia="zh-CN"/>
              </w:rPr>
              <w:t>规则；熟悉建筑工程概预算编制方法、施工图预算定额计价知识及定额套用规则。</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能运用定额原理编制建筑工程概预算，准确计算土建工程定额计价工程量；具备分析和解决定额与预算实际问题的能力，熟练掌握预算编制的步骤和技巧。​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培养对定额标准的敬畏之心和严谨的预算编制态度；提升对工程定额的理解与应用能力，树立规范计价的职业素养。​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结合定额的权威性和规范性，强调遵守计价标准的重要性，培养学生的诚信意识和敬业精神，树立按规则办事的职业价值观。</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p>
        </w:tc>
        <w:tc>
          <w:tcPr>
            <w:tcW w:w="24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建筑工程概预算相关的基本概念；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建筑工程概预算编制方法；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土建工程定额计价工程量的基本知识；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建筑物建筑面积及土建工程量计算；</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土建工程施工图预算定额计价的基本知识；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施工图预算定额计价；</w:t>
            </w:r>
          </w:p>
        </w:tc>
        <w:tc>
          <w:tcPr>
            <w:tcW w:w="243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学生要掌握建筑工程定额与预算的基本概念、分类、作用和意义，了解建筑工程定额的制定方法和应用。</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熟悉建筑工程预算编制的原则、步骤和技巧，有分析和解决建筑工程定额与预算实际问题的能力。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建筑施工组织与管理</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掌握建筑施工组织与管理的基本概念、流水施工原理、网络计划技术；熟悉施工准备工作内容（施工现场、技术资料、物资准备等）及单位工程施工组织设计、施工组织总设计的步骤和内容。​</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能运用流水施工原理和网络计划技术绘制横道图、网络图并计算相应参数；具备独立完成单位工程施工组织设计的能力，能合理组织施工准备工作。​</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培养系统的施工组织思维和高效的管理能力；在实践中增强团队协作和问题解决能力，树立科学组织、高效施工的理念。​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通过施工组织的科学性和安全性要求，强调生命至上和效率优先的理念，培养学生的责任意识和统筹协调能力，树立精益求精的管理精神。</w:t>
            </w:r>
          </w:p>
        </w:tc>
        <w:tc>
          <w:tcPr>
            <w:tcW w:w="24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本课程教学内容主要包括建筑施工组织与管理的基本概念、流水施工原理、网络计划技术、施工准备工作、单位工程施工组织设计、施工组织总设计等方面的内容。</w:t>
            </w:r>
          </w:p>
        </w:tc>
        <w:tc>
          <w:tcPr>
            <w:tcW w:w="243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应深入理解和掌握流水施工原理和掌握网络计划技术，懂得绘制横道图和网络图并能够完成相应参数的计算。熟悉施工准备工作的内容，包括施工现场的准备、技术资料的准备、物资的准备工作等。熟悉和掌握单位工程施工组织设计的步骤和内容，能够独立完成单位工程施工组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数字造价技术应用</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掌握数字造价技术基础（造价管理软件操作、数据格式与交换标准）及 BIM 技术在造价中的应用流程（工程量自动计算、成本优化等）；熟悉大数据与云计算在造价中的应用（材料价格预测、成本风险评估等）及电子招投标与数字化合同管理要点。​</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能熟练操作广联达 BIM 等专业软件完成工程模型搭建与造价计算；具备运用大数据和云计算技术进行造价分析与风险评估的能力；能参与数字造价团队项目，完成数字化环境下的招投标与合同管理任务。​</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培养数字化技术应用能力和创新思维；在团队协作中提升沟通协调能力，树立技术驱动造价升级的理念。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结合数字技术的协同性和高效性，强调数据诚信和技术伦理，培养学生的创新精神和责任意识，推动造价行业数字化转型的使命感。</w:t>
            </w:r>
          </w:p>
        </w:tc>
        <w:tc>
          <w:tcPr>
            <w:tcW w:w="244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课程内容紧密围绕数字技术在造价领域的应用展开。开篇介绍数字造价技术基础，涵盖造价管理软件的基本操作、数据格式与交换标准等内容，为后续深入学习筑牢根基。接着深入讲解 BIM 技术在造价中的应用，包括利用 BIM 模型进行工程量自动计算、碰撞检查以优化成本，以及基于 BIM 的全过程造价管理流程。大数据与云计算在造价中的应用也是重点内容，如借助大数据分析进行材料价格预测、成本风险评估，运用云计算实现造价数据的高效存储与共享。此外，课程还涉及电子招投标与数字化合同管理知识，让学生熟悉数字化环境下的招投标流程与合同管理要点，全面构建学生的数字造价知识体系。</w:t>
            </w:r>
          </w:p>
        </w:tc>
        <w:tc>
          <w:tcPr>
            <w:tcW w:w="243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过程中，教师需采用理实一体化教学模式。理论讲授环节，要条理清晰地阐释数字造价技术原理，结合实际案例，让学生理解抽象概念，如通过具体项目分析大数据如何影响造价决策。实践操作至关重要，安排充足时间让学生进行软件实操，如利用广联达 BIM 安装计量软件完成实际工程模型搭建与造价计算，提升动手能力。课堂上积极组织小组项目实践，以真实项目为背景，让学生分组协作完成数字造价任务，培养团队协作与问题解决能力。作业布置要具有针对性与递进性，从软件基础操作练习到复杂项目的数字造价分析逐步提升难度。考核采用多元化方式，综合平时实践表现、小组项目成果、理论考试成绩，精准衡量学生学习效果，确保学生切实掌握数字造价技术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招投标与合同管理</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掌握工程招投标的基本概念、程序、法律法规、招标文件编制、投标策略与技巧及评标与定标规则；熟悉合同管理的基本原则、合同类型、条款分析、变更与索赔及争议解决方式。​</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能参与编制招标文件、制定投标策略，具备合同起草、审查及处理合同变更与索赔的能力；通过案例分析和模拟实践，提升解决招投标与合同管理实际问题的能力。​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培养法治思维和公平竞争意识；在模拟实践中增强谈判沟通能力和风险防范意识，树立诚信履约的职业素养。​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通过招投标的公平性和合同的契约精神，强调法治意识和诚信原则，培养学生的廉洁自律精神和责任担当，树立公平公正的职业价值观。</w:t>
            </w:r>
          </w:p>
        </w:tc>
        <w:tc>
          <w:tcPr>
            <w:tcW w:w="24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包括工程招投标的基本概念、程序、法律法规、招标文件编制、投标策略与技巧、评标与定标、合同管理的基本原则、合同类型、合同条款分析、合同变更与索赔、合同争议解决等内容。同时，结合实际案例，分析招投标和合同管理中的常见问题及解决方法。</w:t>
            </w:r>
          </w:p>
        </w:tc>
        <w:tc>
          <w:tcPr>
            <w:tcW w:w="243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注重理论联系实际，通过讲授、案例分析、模拟招投标、合同起草与审查等教学方式，使学生掌握招投标和合同管理的基本知识和技能。同时，强调法律法规的重要性，培养学生的法律意识和合规意识。注重学生实践操作能力的培养，通过模拟招投标和合同管理实践，提高学生的实际操作能力和应对复杂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建设工程项目管理</w:t>
            </w:r>
          </w:p>
        </w:tc>
        <w:tc>
          <w:tcPr>
            <w:tcW w:w="432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掌握工程项目计量、流水施工组织、进度计划编制的基本原理；熟悉工程项目质量目标分解与控制方法、成本构成与控制方法。​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能完成工程项目的计量工作，运用流水施工组织和进度计划技术管理项目进度；具备制定质量控制措施和成本控制方案的能力，能分析和解决项目各阶段管理问题。​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培养全过程项目管理的系统思维和综合协调能力；树立质量第一、成本可控的管理理念，提升职业道德和终身学习能力。​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结合项目管理的全生命周期责任，强调各环节的质量与安全责任，培养学生的社会责任感和国际视野，树立以人民为中心的项目管理价值观。</w:t>
            </w:r>
          </w:p>
        </w:tc>
        <w:tc>
          <w:tcPr>
            <w:tcW w:w="24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工程项目的计量及流水施工的组织；编制施工项目的进度计划；工程项目质量目标的分解及控制方法；工程项目成本的构成及控制方法。</w:t>
            </w:r>
          </w:p>
        </w:tc>
        <w:tc>
          <w:tcPr>
            <w:tcW w:w="243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要求强调学生需全面掌握从项目计量、流水施工组织到进度计划编制、质量目标与成本控制等全过程科学管理与协调技能，通过融合理论讲授、案例分析、小组讨论及实践模拟等多元化教学手段，旨在培养学生扎实的项目管理知识体系、实际操作能力及解决复杂工程问题的能力，为其毕业后在工程建设管理领域奠定坚实的专业基础，并注重培养其职业道德、国际视野及终身学习的能力。</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outlineLvl w:val="2"/>
        <w:rPr>
          <w:rFonts w:hint="default" w:ascii="仿宋_GB2312" w:hAnsi="仿宋_GB2312" w:eastAsia="仿宋_GB2312" w:cs="仿宋_GB2312"/>
          <w:color w:val="auto"/>
          <w:sz w:val="32"/>
          <w:szCs w:val="32"/>
          <w:lang w:val="en-US" w:eastAsia="zh-CN"/>
        </w:rPr>
      </w:pPr>
      <w:bookmarkStart w:id="29" w:name="_Toc7394"/>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8"/>
      <w:bookmarkEnd w:id="2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w:t>
      </w:r>
      <w:r>
        <w:rPr>
          <w:rFonts w:hint="eastAsia" w:ascii="仿宋_GB2312" w:hAnsi="仿宋_GB2312" w:eastAsia="仿宋_GB2312" w:cs="仿宋_GB2312"/>
          <w:color w:val="auto"/>
          <w:sz w:val="32"/>
          <w:szCs w:val="32"/>
          <w:lang w:val="en-US" w:eastAsia="zh-CN"/>
        </w:rPr>
        <w:t>为拓宽学生专业知识视野、增强行业适应能力和职业发展潜力而设置的课程体系，由安装工程计量与计价、市政工程计量与计价、园林工程计量与计价、精装修工程计量与计价、装配式工程计量与计价、全过程工程造价概论、建设工程法律法规、合同管理实务、工程结算和审计、钢筋工程计量、施工项目成本管理、工程制图、土木工程概论、房屋建筑学、建设工程监理概论</w:t>
      </w:r>
      <w:r>
        <w:rPr>
          <w:rFonts w:hint="eastAsia" w:ascii="仿宋_GB2312" w:hAnsi="仿宋_GB2312" w:eastAsia="仿宋_GB2312" w:cs="仿宋_GB2312"/>
          <w:b w:val="0"/>
          <w:bCs w:val="0"/>
          <w:color w:val="auto"/>
          <w:sz w:val="32"/>
          <w:szCs w:val="32"/>
          <w:highlight w:val="none"/>
        </w:rPr>
        <w:t>课程构成专业拓展课。</w:t>
      </w:r>
    </w:p>
    <w:p>
      <w:pPr>
        <w:overflowPunct w:val="0"/>
        <w:adjustRightInd w:val="0"/>
        <w:spacing w:line="520" w:lineRule="exact"/>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765"/>
        <w:gridCol w:w="3214"/>
        <w:gridCol w:w="3043"/>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65"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214"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043"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830"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765"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安装工程计量与计价</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掌握安装工程各专业计量规则、定额套用及清单组价等完整知识体系。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能力目标：能借助软件完成安装工程量计算、清单编制及变更索赔计价处理。​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培养严谨细致的工作态度和团队协作解决问题的职业素养。​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渗透诚信计价理念，强化对工程质量和安全的责任担当。</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课程紧扣安装工程计量计价流程。先讲解计量基础，明确各专业计量范围与方法，如电气管线、给排水管道的计量规则。随后分专业阐述，像电气安装中配电箱、灯具等计量要点，给排水、通风空调工程各自的计量技巧。计价部分，深入剖析定额套用、清单编制与组价。此外，涵盖工程变更、索赔计价知识，帮学生构建完整知识体系，全面掌握安装工程计量计价内容。</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时，教师要理论与实践并重。理论讲授结合工程图纸，清晰阐释计量计价原理。安排大量实操，让学生借助广联达等软件进行图纸识读与工程量计算。课堂组织案例研讨、小组项目，培养学生团队协作与解决问题的能力。作业布置遵循从易到难原则，逐步提升难度。考核采用多元模式，综合平时作业、实践操作及理论考试成绩，精准评估学生学习效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765"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市政工程计量与计价</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掌握市政工程各板块计量规范、定额应用及清单组价与变更索赔知识。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能力目标：能运用软件对市政工程图纸算量计价并分析复杂造价问题。​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增强服务城市建设的责任感和理论联系实际的应用能力。​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培养社会责任感和工程报国情怀，强调遵守工程法规的必要性。</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涵盖市政工程计量基础，详细讲解各类计量规范。分板块阐述道路工程中路面、路基计量，桥梁工程中桩基、上部结构计量，排水工程的管道铺设、检查井计量等。计价方面，深入解读市政工程定额组成与应用，清单编制与组价流程，还涉及工程变更、索赔计价处理，全面构建市政工程计量计价知识架构。</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师需理论结合实际，理论讲授借助真实市政工程图纸，清晰解析计量规则与计价原理。组织实地参观市政施工现场，增强学生感性认识。安排大量软件实操，运用市政计量计价软件完成项目算量计价。课堂开展案例讨论，引导学生分析复杂市政项目造价问题，作业分层设置</w:t>
            </w:r>
            <w:r>
              <w:rPr>
                <w:rFonts w:hint="eastAsia" w:ascii="仿宋_GB2312" w:hAnsi="仿宋_GB2312" w:eastAsia="仿宋_GB2312" w:cs="仿宋_GB2312"/>
                <w:color w:val="auto"/>
                <w:spacing w:val="-6"/>
                <w:sz w:val="24"/>
                <w:szCs w:val="24"/>
                <w:lang w:val="en-US" w:eastAsia="zh-CN"/>
              </w:rPr>
              <w:t>，考核综合平时表现、实践成果与理论成绩。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园林工程计量与计价</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掌握园林各分项工程计量方法、定额套用及清单计价与地域季节影响知识。​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能运用软件完成园林项目造价编制并分析造价影响因素。​</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提升生态环保意识和团队协作中的沟通协调与创新思维。​</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渗透绿色发展理念，培养尊重自然、保护生态的责任意识。</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先介绍园林工程计量计价基础知识，包括术语、计量规范。详细讲解土方工程的挖填量计算，绿化工程中苗木栽植、养护计量，园路工程路面铺设、路沿石安装计量，园林小品的制作安装计量等。计价部分涵盖园林工程定额套用、费用组成计算，清单计价编制流程，以及不同季节、地域对造价的影响分析。</w:t>
            </w:r>
          </w:p>
        </w:tc>
        <w:tc>
          <w:tcPr>
            <w:tcW w:w="283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采用理论与实践融合方式。理论课通过展示丰富园林设计案例，阐述计量计价要点。组织学生到园林施工现场，实地认知工程构造与施工工艺。安排园林计量计价软件操作实践，提升计算效率。课堂组织小组项目，模拟园林项目造价编制，培养团队协作能力。作业布置结合实际园林项目，考核综合考量学生实践操作与理论知识掌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精装修工程计量与计价</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掌握精装修各分项计量规则、定额应用及清单综合单价确定与变更计价知识。​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能结合图纸和现场观摩用软件精准计算精装修造价并分析风格差异。</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素质目标：培养对装修工艺与美学的感知及注重细节品质的职业素养。​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强调诚信执业和精益求精的工匠精神，强化工程质量责任。</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包含精装修工程计量基础，明确装修工程计量范围与规则。分项讲解墙面装饰工程中壁纸铺贴、墙面石材干挂计量，地面工程木地板、地砖铺设计量，顶棚吊顶工程计量等。计价方面，深入剖析精装修定额组成与应用，清单编制与综合单价确定，还涉及软装部分计价，以及装修变更、洽商的计价处理。</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师教学时，理论结合大量精装修实景图片、图纸，详细讲解计量计价原理。安排学生到精装修施工现场观摩学习，了解施工工艺对造价影响。运用精装修计量计价软件进行实操训练，提升学生计算准确性与效率。课堂组织案例分析，讨论不同风格精装修造价差异，作业布置贴合实际项目，考核兼顾实践与理论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装配式工程计量与计价</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掌握装配式构件计量方法、定额应用及全生命周期成本核算知识。​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能力目标：能运用软件模拟装配式项目造价计算并分析成本优化策略。​</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树立绿色低碳理念和对新型建筑技术的学习热情与创新思维。​</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渗透可持续发展理念，培养推动建筑行业转型的责任与创新精神。</w:t>
            </w:r>
          </w:p>
        </w:tc>
        <w:tc>
          <w:tcPr>
            <w:tcW w:w="304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介绍装配式工程计量计价基础知识，包括装配式建筑特点、相关标准规范。详细讲解预制混凝土构件、预制钢结构构件的制作、运输、安装计量方法，以及连接节点计量。计价部分涵盖装配式工程定额编制原理与应用，清单项目设置与组价，还涉及预制构件与现浇部分造价对比分析，装配式建筑全生命周期成本核算。</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过程中，理论讲授结合装配式建筑项目案例，阐述计量计价要点。组织学生参观装配式建筑生产基地与施工现场，了解生产、施工流程。安排装配式工程计量计价软件实操，模拟项目造价计算。课堂开展小组讨论，探讨装配式建筑成本优化策略，作业布置以实际装配式项目为背景，考核综合平时实践与理论知识掌握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全过程工程造价概论</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掌握项目各阶段造价管理目标、任务及造价文件编制与信息化应用知识。​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能参与模拟项目全流程造价管理并解决各阶段实际造价问题。​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培养全局观念、系统思维和严谨规范的工作态度与学习素养。​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强调各阶段诚信履职，培养责任意识、大局观念和廉洁价值观。</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系统阐述全过程工程造价管理理论框架，包括各阶段造价管理目标、任务。详细讲解项目决策阶段投资估算编制，设计阶段概算、预算编制与造价控制，招投标阶段工程量清单与招标控制价编制，施工阶段工程计量与价款支付，竣工阶段结算与决算编制等内容，还涉及全过程造价管理信息化应用。</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师通过案例教学，串联各阶段造价管理知识，清晰讲解理论与实践要点。组织学生参与模拟项目全过程造价管理实践，从项目策划到竣工结算全流程操作。课堂引导学生分析实际项目各阶段造价问题，培养解决问题能力。作业布置涵盖各阶段造价文件编制，考核综合平时实践、小组项目成果与理论考试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建设工程法律法规</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掌握建设工程基本法律及工程建设程序、质量安全等领域法规知识。​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能运用法律法规分析工程案例中的法律问题并进行责任认定。​</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培养法治思维、规则意识和依法执业的职业操守与责任担当。​</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强化法治教育，培养法律意识、契约精神和社会责任感。</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涵盖建设工程基本法律知识，如民法、</w:t>
            </w:r>
            <w:r>
              <w:rPr>
                <w:rFonts w:hint="eastAsia" w:ascii="仿宋_GB2312" w:hAnsi="仿宋_GB2312" w:eastAsia="仿宋_GB2312" w:cs="仿宋_GB2312"/>
                <w:color w:val="auto"/>
                <w:sz w:val="24"/>
                <w:szCs w:val="24"/>
                <w:highlight w:val="none"/>
                <w:lang w:val="en-US" w:eastAsia="zh-CN"/>
              </w:rPr>
              <w:t>合同法</w:t>
            </w:r>
            <w:r>
              <w:rPr>
                <w:rFonts w:hint="eastAsia" w:ascii="仿宋_GB2312" w:hAnsi="仿宋_GB2312" w:eastAsia="仿宋_GB2312" w:cs="仿宋_GB2312"/>
                <w:color w:val="auto"/>
                <w:sz w:val="24"/>
                <w:szCs w:val="24"/>
                <w:lang w:val="en-US" w:eastAsia="zh-CN"/>
              </w:rPr>
              <w:t>在工程领域应用。详细讲解工程建设程序法规，包括项目审批、招投标法规，施工许可、安全生产法规，工程质量管理法规，以及工程纠纷解决法律途径，如诉讼、仲裁流程等，全面构建建设工程法律知识体系。</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采用理论讲解与案例分析相结合的方式。理论课系统梳理法律法规条文，结合实际工程案例解读法律应用场景。组织法律案例研讨活动，引导学生分析案例中法律问题与责任认定。邀请法律专家举办讲座，分享工程法律实务经验。作业布置围绕实际工程法律问题分析，考核通过案例分析、理论问答等方式综合评估学生法律知识掌握与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合同管理实务</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掌握工程合同类型、起草要点、履行管理及争议解决方式等知识。​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能起草审核合同、处理变更索赔并防范合同漏洞与风险。​</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培养严谨的合同管理意识、诚信履约素养及风险防范思维。​</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以契约精神为核心，培养诚信意识、责任担当和公平价值观。</w:t>
            </w:r>
          </w:p>
        </w:tc>
        <w:tc>
          <w:tcPr>
            <w:tcW w:w="304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介绍工程合同管理基础，包括合同类型、订立原则。详细讲解合同起草要点，如明确双方权利义务、工期质量条款。合同履行管理涵盖进度、质量、支付等方面监控，合同变更与索赔管理涉及变更程序、索赔证据收集与计算。还讲解合同争议解决方式，如协商、调解、仲裁与诉讼流程在工程合同中的应用。</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师教学时，结合实际工程合同范本，详细讲解合同管理要点。组织合同模拟签订与履行实践活动，让学生在实操中掌握技巧。课堂开展合同案例分析讨论，引导学生分析合同漏洞与风险防范。邀请企业法务人员分享合同管理实战经验。作业布置围绕工程合同起草、审核、变更处理等任务，考核综合平时实践与理论知识掌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工程结算和审计</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掌握工程结算编制、审计流程、方法及审计报告编制与风险防范知识。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能编制结算文件并分组审核结算文件解决审计疑难问题。​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培养客观公正的审计态度、严谨负责作风及问题分析处理能力。​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强调结算审计廉洁公正性，培养诚信执业意识和工程秩序使命感。</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涵盖工程结算基础，明确结算依据与流程。详细讲解结算编制方法，如工程量计算、单价套用，变更、签证费用计算。结算审计部分包括审计内容、方法与程序，从结算文件完整性审核到工程量、单价合理性审查，还涉及审计风险防范与审计报告编制，全面构建工程结算与审计知识体系。</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采用理论与实践结合模式。理论课结合实际工程案例，讲解结算与审计原理。安排学生进行工程结算编制实操，运用造价软件完成结算文件。组织结算审计模拟项目，让学生分组审核结算文件。课堂开展案例分析，讨论结算审计中的疑难问题。作业布置以实际工程结算资料为基础，考核综合平时实践操作与理论知识掌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钢筋工程计量</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掌握钢筋种类、平法标注及各构件钢筋计量与软件操作知识。​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能通过图纸完成钢筋手工算量和软件计量并解决复杂节点计算问题。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培养精准细致的工作态度和对工程结构安全的责任意识。​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结合结构安全重要性，强调工匠精神和对工程质量的敬畏之心。</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介绍钢筋工程计量基础，包括钢筋种类、符号表示。详细讲解平法标注规则，通过解读结构施工图明确钢筋布置。分构件讲解基础钢筋、柱钢筋、梁钢筋、板钢筋等的计量方法，包括钢筋长度计算、弯钩增加长度、锚固长度计算等。还涉及钢筋工程量计算软件操作，如鲁班钢筋算量软件应用，以及钢筋损耗计算。</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师教学时，理论结合大量结构图纸，详细讲解钢筋计量规则。安排学生进行钢筋手工算量练习，巩固计算原理。组织软件实操课程，让学生运用钢筋算量软件完成实际工程模型钢筋计量。课堂开展钢筋计量案例分析，讨论复杂节点钢筋计算。作业布置结合实际结构工程图纸，考核综合平时手工算量与软件操作成绩及理论知识掌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施工项目成本管理</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掌握成本分类、预测、计划编制、控制、核算及分析考核等知识。​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能编制成本计划、分析成本失控案例并进行施工项目成本管控。​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培养成本控制意识、经济思维和团队协作与资源节约理念。​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强调诚信核算和资源节约，培养责任意识、效益观念和廉洁价值观。</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涵盖施工项目成本管理理论基础，包括成本分类、成本管理原则。详细讲解成本预测方法，如类比预测法、定量预测法。成本计划编制涉及确定成本目标、分解成本指标。成本控制从施工过程各环节阐述，如材料采购、人工使用、机械租赁成本控制。成本核算介绍核算对象、方法与流程，还涉及成本分析与考核内容。</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教学过程中，教师结合实际施工项目案例，讲解成本管理要点。组织学生参与施工项目成本模拟管理实践，从项目策划到竣工结算进行成本管控模拟操作。课堂引导学生分析施工项目成本失控案例，培养问题解决能力。作业布置围绕施工项目成本计划编制、成本控制分析等任务，考核综合平时实践、小组项目成果与理论考试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工程制图</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掌握制图基础、工程形体表达及专业工程图绘制与相关标准规范知识。​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能熟练运用制图软件规范绘制工程图纸并理解图纸法律合规性。​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培养空间想象能力、严谨绘图习惯和遵守行业标准的职业素养。​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通过图纸规范性要求，强调诚信绘图和精益求精的工匠精神。</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工程制图》课程内容主要包括：制图基础知识、投影与视图、工程形体的表达方法、组合体的绘制与识读、轴测图与透视图、工程图样的绘制与标注、专业工程图的绘制等。此外，课程还将涉及计算机绘图技术、工程制图标准与规范等内容。通过这些内容的学习，学生将能够全面掌握工程制图的核心知识和技能，为未来的职业生涯奠定坚实的基础。</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全面融合技术实践与法律规范，确保学生在掌握工程制图专业技能的同时，也深刻理解并遵循相关的行业标准和法律法规。具体而言，本课程不仅要求学生熟练掌握制图软件的操作、图纸的规范绘制与表达技巧，还需深入理解工程制图在工程项目全生命周期中的应用及其法律合规性。课程将结合实例分析，让学生认识到工程图纸作为工程语言的重要性，以及其在项目设计、施工、验收及后期维护等阶段所承担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13</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土木工程概论</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掌握土木工程概念、分支特点、材料技术及前沿创新理念等知识。​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能分析土木工程实际问题并结合案例提出合理解决方案。​</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激发专业兴趣、培养创新思维、实践能力和团队协作与终身学习理念。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结合行业贡献，培养工程报国情怀、社会责任感和创新精神。</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涵盖了丰富的土木工程领域知识。首先，会介绍土木工程的基本概念、发展历程以及其在社会中的重要地位。其次，深入讲解建筑工程、道路与桥梁工程、岩土工程、水利工程等主要分支的特点和应用。同时，对土木工程中常用的材料，如钢材、混凝土等，以及相关的结构设计和施工技术进行阐述。还会探讨土木工程面临的挑战，如可持续发展、智能化建造等，并介绍前沿的创新技术与理念。此外，通过实际案例分析，让学生更好地理解理论知识在实践中的应用。最后，组织实地参观，让学生亲身体验土木工程的实际运作，增强对专业的认知和兴趣。通过这些教学内容，为学生开启土木工程的精彩之门。</w:t>
            </w:r>
          </w:p>
        </w:tc>
        <w:tc>
          <w:tcPr>
            <w:tcW w:w="283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要深入理解土木工程的基本概念、理论体系和发展历程，掌握其在社会建设中的重要地位和作用。通过学习，能够分析土木工程领域的实际问题，并运用所学知识提出合理的解决方案。注重培养学生的实践能力，通过实验、案例分析等环节，让学生亲身体验土木工程的实际操作，提高解决实际问题的能力。激发学生对土木工程专业的兴趣和热情，引导其积极主动地探索和学习，培养其创新思维和创新能力。同时，要让学生了解土木工程领域的前沿动态和最新技术，拓宽学生的专业视野，使其具备与时俱进的专业素养。此外，还要培养学生的团队协作精神和沟通能力，让他们在团队中能够相互配合、共同进步。引导学生树立正确的工程伦理观念和职业道德意识，为今后成为优秀的土木工程专业人才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14</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房屋建筑学</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掌握房屋建筑构成、设计原理、构造技术及绿色建筑等相关知识。​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能运用理论知识参与建筑设计实践并解决实际构造与设计问题。​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培养空间感知、设计思维及创新实践能力与可持续发展理念。​</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强调人文关怀和安全责任，培养社会责任感和以人为本的设计理念。</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课程涵盖房屋建筑的基本构成要素、设计原理、构造技术、建筑空间组织、建筑美学、建筑环境与节能等方面。具体内容包括建筑制图与识图、建筑构造详图、建筑结构与材料、建筑设计原理、建筑空间规划、建筑环境与设备、绿色建筑与可持续发展等。</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强调理论与实践相结合，通过课堂讲授、案例分析、实地调研、设计作业等多种形式，使学生掌握房屋建筑学的基本概念和原理，熟悉建筑构造技术和设计方法，培养空间感知和设计思维能力。同时，注重学生创新思维和实践能力的培养，鼓励学生积极参与建筑设计实践，提高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0" w:hRule="atLeast"/>
        </w:trPr>
        <w:tc>
          <w:tcPr>
            <w:tcW w:w="772"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15</w:t>
            </w:r>
          </w:p>
        </w:tc>
        <w:tc>
          <w:tcPr>
            <w:tcW w:w="76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建设工程监理概论</w:t>
            </w:r>
          </w:p>
        </w:tc>
        <w:tc>
          <w:tcPr>
            <w:tcW w:w="321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掌握监理概念、职责、工作程序及投资、质量等控制与法规知识。​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能运用监理理论方法捕捉工程问题并提出解决方案开展监理工作。​</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培养严谨态度、洞察力、团队协作及职业道德与责任意识。​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以监督责任为核心，培养诚信监理、廉洁自律精神和质量安全担当。</w:t>
            </w:r>
          </w:p>
        </w:tc>
        <w:tc>
          <w:tcPr>
            <w:tcW w:w="304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从基础理论入手，深入讲解建设工程监理的概念、性质、作用等，使学生对监理工作有清晰而全面地认知。接着，详细阐述监理单位的设立、组织形式，以及监理工程师的职责、权利和义务等，让学生了解监理行业的运作机制。然后，聚焦建设工程监理的工作程序和方法，包括投资控制、进度控制、质量控制、合同管理、信息管理等，培养学生的实际操作能力。同时，还会介绍建设工程监理的法律法规和标准规范，让学生在工作中能够依法依规行事。此外，探讨建设工程监理的风险管理与安全控制，提升学生应对各种风险挑战的能力。最后，关注建设工程监理的发展趋势和前沿动态，拓宽学生的专业视野，使他们更好地适应行业发展的需求。</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要深刻领悟建设工程监理的核心要义，灵活运用各种理论和方法。要培养学生敏锐的洞察力和分析判断能力，能在复杂的工程环境中迅速捕捉关键问题，并提出切实可行的解决方案。学生须具备扎实的实践操作技能，能够熟练运用监理工具和技术，有效地开展监理工作。同时，要注重培养学生的团队协作精神和沟通能力，使他们能与各方紧密配合，共同推进工程建设还要引导学生关注行业发展动态，及时掌握最新的监理理念和技术，不断提升自身专业素养。此外，强调学生的职业道德和责任意识，使其以严谨、认真的态度对待每一项监理任务。通过这些要求的落实，努力培养出适应行业需求的高素质建设工程监理人才。</w:t>
            </w:r>
          </w:p>
        </w:tc>
      </w:tr>
    </w:tbl>
    <w:p>
      <w:pPr>
        <w:keepNext w:val="0"/>
        <w:keepLines w:val="0"/>
        <w:pageBreakBefore w:val="0"/>
        <w:widowControl w:val="0"/>
        <w:kinsoku/>
        <w:wordWrap/>
        <w:topLinePunct w:val="0"/>
        <w:autoSpaceDE/>
        <w:autoSpaceDN/>
        <w:bidi w:val="0"/>
        <w:adjustRightInd w:val="0"/>
        <w:snapToGrid w:val="0"/>
        <w:spacing w:after="0" w:line="52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30" w:name="_Toc7262"/>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w:t>
      </w:r>
      <w:r>
        <w:rPr>
          <w:rFonts w:hint="eastAsia" w:ascii="仿宋_GB2312" w:hAnsi="仿宋_GB2312" w:eastAsia="仿宋_GB2312" w:cs="仿宋_GB2312"/>
          <w:color w:val="auto"/>
          <w:sz w:val="32"/>
          <w:szCs w:val="32"/>
          <w:lang w:val="en-US" w:eastAsia="zh-CN"/>
        </w:rPr>
        <w:t>土木实训、毕业设计、岗位实习。</w:t>
      </w:r>
      <w:bookmarkEnd w:id="30"/>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818"/>
        <w:gridCol w:w="3676"/>
        <w:gridCol w:w="2340"/>
        <w:gridCol w:w="2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5" w:type="dxa"/>
            <w:vAlign w:val="center"/>
          </w:tcPr>
          <w:p>
            <w:pPr>
              <w:spacing w:line="360" w:lineRule="exact"/>
              <w:jc w:val="center"/>
              <w:rPr>
                <w:rFonts w:hint="eastAsia" w:ascii="仿宋_GB2312" w:hAnsi="仿宋_GB2312" w:eastAsia="仿宋_GB2312" w:cs="仿宋_GB2312"/>
                <w:color w:val="auto"/>
                <w:sz w:val="24"/>
                <w:szCs w:val="24"/>
              </w:rPr>
            </w:pPr>
            <w:bookmarkStart w:id="31" w:name="OLE_LINK21"/>
            <w:r>
              <w:rPr>
                <w:rFonts w:hint="eastAsia" w:ascii="仿宋_GB2312" w:hAnsi="仿宋_GB2312" w:eastAsia="仿宋_GB2312" w:cs="仿宋_GB2312"/>
                <w:color w:val="auto"/>
                <w:sz w:val="24"/>
                <w:szCs w:val="24"/>
              </w:rPr>
              <w:t>序号</w:t>
            </w:r>
          </w:p>
        </w:tc>
        <w:tc>
          <w:tcPr>
            <w:tcW w:w="818"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676"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340"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367"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45"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18"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土木实训</w:t>
            </w:r>
          </w:p>
        </w:tc>
        <w:tc>
          <w:tcPr>
            <w:tcW w:w="36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掌握水泥、混凝土、钢筋等主要建筑材料的性能指标、检测标准及实验原理与操作规范。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能熟练操作实训仪器设备，独立完成材料性能检测实验，准确记录分析数据并撰写实训报告。​</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养成严谨规范的实验操作习惯和实事求是的科学态度，增强团队协作与问题解决能力。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树立 “材料质量即工程生命” 的责任意识，坚守实验数据真实底线与工程伦理准则。</w:t>
            </w:r>
          </w:p>
        </w:tc>
        <w:tc>
          <w:tcPr>
            <w:tcW w:w="234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水泥强度、凝结时间、安定性、细度测定；混凝土和易性、强度、凝结时间、含气量、抗渗性检测；钢筋拉伸性能、冷弯性能检测。</w:t>
            </w:r>
          </w:p>
          <w:p>
            <w:pPr>
              <w:spacing w:line="360" w:lineRule="exact"/>
              <w:jc w:val="both"/>
              <w:rPr>
                <w:rFonts w:hint="eastAsia" w:ascii="仿宋_GB2312" w:hAnsi="仿宋_GB2312" w:eastAsia="仿宋_GB2312" w:cs="仿宋_GB2312"/>
                <w:color w:val="auto"/>
                <w:sz w:val="24"/>
                <w:szCs w:val="24"/>
              </w:rPr>
            </w:pPr>
          </w:p>
        </w:tc>
        <w:tc>
          <w:tcPr>
            <w:tcW w:w="236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需积极参与各项实训活动，掌握并熟练运用土木工程相关仪器设备，准确记录实验数据，分析实验结果；能够独立或团队合作完成实训项目，撰写实训报告，展现良好的实验设计、数据处理和问题解决能力；同时，注重安全规范操作，培养良好的职业素养和工程伦理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818"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毕业设计</w:t>
            </w:r>
          </w:p>
        </w:tc>
        <w:tc>
          <w:tcPr>
            <w:tcW w:w="36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掌握企业实地调研方法、案例分析逻辑及专业理论知识在实际项目中的综合应用要点。</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能独立完成选题调研、资料分析、方案设计及论文撰写，清晰阐述研究成果与创新点。​</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培养自主研究能力和严谨治学态度，提升综合运用知识解决实际问题的创新素养。​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树立 “理论联系实际” 的务实精神，强化科研诚信与精益求精的学术操守。</w:t>
            </w:r>
          </w:p>
        </w:tc>
        <w:tc>
          <w:tcPr>
            <w:tcW w:w="2340" w:type="dxa"/>
            <w:vAlign w:val="top"/>
          </w:tcPr>
          <w:p>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2"/>
                <w:sz w:val="24"/>
                <w:szCs w:val="24"/>
                <w:lang w:val="en-US" w:eastAsia="zh-CN" w:bidi="ar"/>
              </w:rPr>
              <w:t>解读土木专业方向与行业热点，讲解选题原则，确定论文题目；指导学生用专业数据库检索文献并撰写综述；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236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要求学生在导师指导下，综合运用所学专业知识与技能，完成具有创新性和实用性的设计项目或研究课题。通过毕业设计，培养学生独立分析问题、解决问题的能力，提升研究能力、创新能力及团队协作精神，为职业生涯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818"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岗位实习</w:t>
            </w:r>
          </w:p>
        </w:tc>
        <w:tc>
          <w:tcPr>
            <w:tcW w:w="36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掌握造价、招标代理、成本合约等岗位的工作流程、行业规范及实际操作中的核心知识。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能胜任岗位基础工作，将理论知识转化为实操能力，有效融入团队并解决实习中的具体问题。​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培养职业责任感和沟通协作能力，增强职场适应力与职业发展规划意识。​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树立 “爱岗敬业、求真务实” 的职业理念，强化行业服务意识与廉洁从业的职业底线。</w:t>
            </w:r>
          </w:p>
        </w:tc>
        <w:tc>
          <w:tcPr>
            <w:tcW w:w="234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造价员岗位实习、招标代理员岗位实习、成本合约员岗位实习</w:t>
            </w:r>
          </w:p>
        </w:tc>
        <w:tc>
          <w:tcPr>
            <w:tcW w:w="236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安排学生到相关企事业单位进行岗位实习，亲身体验测绘工程、地理信息系统等领域的工作环境，了解行业规范与工作流程。通过实习，学生能够将所学理论知识与实际工作相结合，增强职业素养与就业竞争力，为毕业后顺利进入职场做好准备。</w:t>
            </w:r>
          </w:p>
        </w:tc>
      </w:tr>
      <w:bookmarkEnd w:id="31"/>
    </w:tbl>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2" w:name="_Toc10147"/>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3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2"/>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33" w:name="_Toc30677"/>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3"/>
    </w:p>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4" w:name="_Toc17323"/>
      <w:r>
        <w:rPr>
          <w:rFonts w:hint="eastAsia" w:ascii="楷体" w:hAnsi="楷体" w:eastAsia="楷体" w:cs="楷体"/>
          <w:color w:val="auto"/>
          <w:sz w:val="32"/>
          <w:szCs w:val="32"/>
        </w:rPr>
        <w:t>（一）教学环节分配表</w:t>
      </w:r>
      <w:bookmarkEnd w:id="34"/>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35" w:name="_Toc1320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5"/>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2722</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1238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43.86</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1524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56.14</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35.05</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color w:val="auto"/>
          <w:spacing w:val="-2"/>
          <w:sz w:val="32"/>
          <w:szCs w:val="32"/>
          <w:lang w:val="en-US" w:eastAsia="zh-CN"/>
        </w:rPr>
        <w:t>308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11.31</w:t>
      </w:r>
      <w:r>
        <w:rPr>
          <w:rFonts w:hint="eastAsia" w:ascii="仿宋_GB2312" w:hAnsi="仿宋_GB2312" w:eastAsia="仿宋_GB2312" w:cs="仿宋_GB2312"/>
          <w:bCs/>
          <w:color w:val="auto"/>
          <w:sz w:val="32"/>
          <w:szCs w:val="32"/>
        </w:rPr>
        <w:t>%。</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1"/>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932"/>
        <w:gridCol w:w="908"/>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color w:val="auto"/>
                <w:kern w:val="0"/>
                <w:sz w:val="24"/>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9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29.53%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16.39%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5.37%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2.94%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34.90%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20.13%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7.94%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21.48%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342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12.56%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6.71%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3.31%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9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16.78%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0.73%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65.10%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668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24.54%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1100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2722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1238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43.86%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56.14%</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6" w:name="_Toc394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36"/>
    </w:p>
    <w:p>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仿宋_GB2312" w:hAnsi="仿宋_GB2312" w:eastAsia="仿宋_GB2312" w:cs="仿宋_GB2312"/>
          <w:color w:val="auto"/>
          <w:sz w:val="32"/>
          <w:szCs w:val="32"/>
          <w:shd w:val="clear" w:color="auto" w:fill="FFFFFF"/>
          <w:lang w:bidi="ar"/>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1"/>
        <w:tblW w:w="10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3"/>
        <w:gridCol w:w="361"/>
        <w:gridCol w:w="480"/>
        <w:gridCol w:w="467"/>
        <w:gridCol w:w="1293"/>
        <w:gridCol w:w="1714"/>
        <w:gridCol w:w="1198"/>
        <w:gridCol w:w="688"/>
        <w:gridCol w:w="688"/>
        <w:gridCol w:w="688"/>
        <w:gridCol w:w="354"/>
        <w:gridCol w:w="354"/>
        <w:gridCol w:w="354"/>
        <w:gridCol w:w="354"/>
        <w:gridCol w:w="355"/>
        <w:gridCol w:w="356"/>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3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auto"/>
                <w:sz w:val="20"/>
                <w:szCs w:val="20"/>
                <w:u w:val="none"/>
              </w:rPr>
            </w:pPr>
            <w:bookmarkStart w:id="37"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4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0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12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1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left"/>
              <w:rPr>
                <w:rFonts w:hint="eastAsia" w:ascii="仿宋_GB2312" w:hAnsi="仿宋_GB2312" w:eastAsia="仿宋_GB2312" w:cs="仿宋_GB2312"/>
                <w:i w:val="0"/>
                <w:iCs w:val="0"/>
                <w:color w:val="auto"/>
                <w:sz w:val="20"/>
                <w:szCs w:val="20"/>
                <w:u w:val="none"/>
              </w:rPr>
            </w:pPr>
          </w:p>
        </w:tc>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20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113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left"/>
              <w:rPr>
                <w:rFonts w:hint="eastAsia" w:ascii="仿宋_GB2312" w:hAnsi="仿宋_GB2312" w:eastAsia="仿宋_GB2312" w:cs="仿宋_GB2312"/>
                <w:i w:val="0"/>
                <w:iCs w:val="0"/>
                <w:color w:val="auto"/>
                <w:sz w:val="20"/>
                <w:szCs w:val="20"/>
                <w:u w:val="none"/>
              </w:rPr>
            </w:pPr>
          </w:p>
        </w:tc>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思想道德与法治</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1A410101102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形势与政策</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1A410101103</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国家安全教育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1A410101104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军事理论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lang w:val="en-US" w:eastAsia="zh-CN"/>
              </w:rPr>
              <w:t>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1C410101105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军训</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2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1B410101106</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计算机基础</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1B410101107</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高等数学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1B410101108</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大学英语</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1C410101109</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大学体育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1B410101110</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大学生职业发展与就业指导</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大学生心理健康教育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1C410101112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劳动教育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1B410101113</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毛泽东思想和中国特色社会主义理论体系概论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创新创业教育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习近平新时代中国特色社会主义思想概论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中国民俗剪纸技法</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7" w:type="dxa"/>
            <w:gridSpan w:val="6"/>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公共选修课最低学分要求为 8学分，其中要求2个学分为思政选修课学分。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影视与鉴赏</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1A410101203</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中华优秀传统文化</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中国共产党简史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改革开放简史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1A410101206</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中华人民共和国简史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1A410101207</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社会主义发展简史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1A410101208</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中华民族共同体概论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1A410101210</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语文</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1A410101211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物理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1A410101212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化学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119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44</w:t>
            </w:r>
          </w:p>
        </w:tc>
        <w:tc>
          <w:tcPr>
            <w:tcW w:w="6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826</w:t>
            </w:r>
          </w:p>
        </w:tc>
        <w:tc>
          <w:tcPr>
            <w:tcW w:w="6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446</w:t>
            </w:r>
          </w:p>
        </w:tc>
        <w:tc>
          <w:tcPr>
            <w:tcW w:w="6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29.53%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28"/>
                <w:kern w:val="0"/>
                <w:sz w:val="20"/>
                <w:szCs w:val="20"/>
                <w:u w:val="none"/>
                <w:lang w:val="en-US" w:eastAsia="zh-CN" w:bidi="ar"/>
              </w:rPr>
            </w:pPr>
            <w:r>
              <w:rPr>
                <w:rFonts w:hint="eastAsia" w:ascii="仿宋_GB2312" w:hAnsi="仿宋_GB2312" w:eastAsia="仿宋_GB2312" w:cs="仿宋_GB2312"/>
                <w:i w:val="0"/>
                <w:color w:val="auto"/>
                <w:spacing w:val="-28"/>
                <w:kern w:val="0"/>
                <w:sz w:val="20"/>
                <w:szCs w:val="20"/>
                <w:u w:val="none"/>
                <w:lang w:val="en-US" w:eastAsia="zh-CN" w:bidi="ar"/>
              </w:rPr>
              <w:t>30.35%</w:t>
            </w:r>
          </w:p>
        </w:tc>
        <w:tc>
          <w:tcPr>
            <w:tcW w:w="6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spacing w:val="-28"/>
                <w:kern w:val="0"/>
                <w:sz w:val="20"/>
                <w:szCs w:val="20"/>
                <w:u w:val="none"/>
                <w:lang w:val="en-US" w:eastAsia="zh-CN" w:bidi="ar"/>
              </w:rPr>
            </w:pPr>
            <w:r>
              <w:rPr>
                <w:rFonts w:hint="eastAsia" w:ascii="仿宋_GB2312" w:hAnsi="仿宋_GB2312" w:eastAsia="仿宋_GB2312" w:cs="仿宋_GB2312"/>
                <w:i w:val="0"/>
                <w:color w:val="auto"/>
                <w:spacing w:val="-28"/>
                <w:kern w:val="0"/>
                <w:sz w:val="20"/>
                <w:szCs w:val="20"/>
                <w:u w:val="none"/>
                <w:lang w:val="en-US" w:eastAsia="zh-CN" w:bidi="ar"/>
              </w:rPr>
              <w:t>37.35%</w:t>
            </w:r>
          </w:p>
        </w:tc>
        <w:tc>
          <w:tcPr>
            <w:tcW w:w="6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spacing w:val="-28"/>
                <w:kern w:val="0"/>
                <w:sz w:val="20"/>
                <w:szCs w:val="20"/>
                <w:u w:val="none"/>
                <w:lang w:val="en-US" w:eastAsia="zh-CN" w:bidi="ar"/>
              </w:rPr>
            </w:pPr>
            <w:r>
              <w:rPr>
                <w:rFonts w:hint="eastAsia" w:ascii="仿宋_GB2312" w:hAnsi="仿宋_GB2312" w:eastAsia="仿宋_GB2312" w:cs="仿宋_GB2312"/>
                <w:i w:val="0"/>
                <w:color w:val="auto"/>
                <w:spacing w:val="-28"/>
                <w:kern w:val="0"/>
                <w:sz w:val="20"/>
                <w:szCs w:val="20"/>
                <w:u w:val="none"/>
                <w:lang w:val="en-US" w:eastAsia="zh-CN" w:bidi="ar"/>
              </w:rPr>
              <w:t>24.87%</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仿宋_GB2312" w:eastAsia="仿宋_GB2312" w:cs="仿宋_GB2312"/>
                <w:i w:val="0"/>
                <w:color w:val="auto"/>
                <w:spacing w:val="-11"/>
                <w:kern w:val="0"/>
                <w:sz w:val="20"/>
                <w:szCs w:val="20"/>
                <w:u w:val="none"/>
                <w:lang w:val="en-US" w:eastAsia="zh-CN" w:bidi="ar"/>
              </w:rPr>
              <w:t>4.63%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仿宋_GB2312" w:eastAsia="仿宋_GB2312" w:cs="仿宋_GB2312"/>
                <w:i w:val="0"/>
                <w:color w:val="auto"/>
                <w:spacing w:val="-11"/>
                <w:kern w:val="0"/>
                <w:sz w:val="20"/>
                <w:szCs w:val="20"/>
                <w:u w:val="none"/>
                <w:lang w:val="en-US" w:eastAsia="zh-CN" w:bidi="ar"/>
              </w:rPr>
              <w:t>6.46%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仿宋_GB2312" w:eastAsia="仿宋_GB2312" w:cs="仿宋_GB2312"/>
                <w:i w:val="0"/>
                <w:color w:val="auto"/>
                <w:spacing w:val="-11"/>
                <w:kern w:val="0"/>
                <w:sz w:val="20"/>
                <w:szCs w:val="20"/>
                <w:u w:val="none"/>
                <w:lang w:val="en-US" w:eastAsia="zh-CN" w:bidi="ar"/>
              </w:rPr>
              <w:t>3.15%</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9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专业课</w:t>
            </w:r>
          </w:p>
        </w:tc>
        <w:tc>
          <w:tcPr>
            <w:tcW w:w="361"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专业基础课</w:t>
            </w:r>
          </w:p>
        </w:tc>
        <w:tc>
          <w:tcPr>
            <w:tcW w:w="480"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2B440501301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建筑材料</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2B440501302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建筑构造与识图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2C440501303</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建筑CAD</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2B440501304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建筑力学与结构</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2B440501305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建筑工程经济</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2B440501306</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BIM概论与三维建模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2B440501307</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建筑工程施工工艺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工程测量</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2B440501403</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工程造价管理与控制</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建设工程定额原理与实务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5</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建筑施工组织与管理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2B440501406</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数字造价技术应用</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2B440501407</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招投标与合同管理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2A440501408</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建设工程项目管理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auto"/>
                <w:kern w:val="0"/>
                <w:sz w:val="20"/>
                <w:szCs w:val="20"/>
                <w:u w:val="none"/>
                <w:lang w:val="en-US" w:eastAsia="zh-CN" w:bidi="ar"/>
              </w:rPr>
              <w:t>专业拓展课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安装工程计量与计价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专业拓展课最低学分要求为10学分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市政工程计量与计价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2B440501503</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园林工程计量与计价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4</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精装修工程计量与计价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5</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2B440501505</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装配式工程计量与计价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6</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2A440501506</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全过程工程造价概论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7</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2A440501507</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建设工程法律法规</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2B440501508</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合同管理实务</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9</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2B440501509</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工程结算和审计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2B440501510</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钢筋工程计量</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2B440501511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施工项目成本管理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12</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2B440501512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工程制图</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2A420301509</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土木工程概论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14</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2B440501514</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房屋建筑学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7" w:type="dxa"/>
            <w:gridSpan w:val="6"/>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15</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2A420301512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建设工程监理概论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7" w:type="dxa"/>
            <w:gridSpan w:val="6"/>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rPr>
            </w:pPr>
          </w:p>
        </w:tc>
        <w:tc>
          <w:tcPr>
            <w:tcW w:w="361"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46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29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2C440501601</w:t>
            </w:r>
          </w:p>
        </w:tc>
        <w:tc>
          <w:tcPr>
            <w:tcW w:w="171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土木实训</w:t>
            </w:r>
          </w:p>
        </w:tc>
        <w:tc>
          <w:tcPr>
            <w:tcW w:w="119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1B410101601</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毕业设计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9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6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spacing w:val="-6"/>
                <w:kern w:val="0"/>
                <w:sz w:val="20"/>
                <w:szCs w:val="20"/>
                <w:u w:val="none"/>
                <w:lang w:val="en-US" w:eastAsia="zh-CN" w:bidi="ar"/>
              </w:rPr>
            </w:pPr>
            <w:r>
              <w:rPr>
                <w:rFonts w:hint="eastAsia" w:ascii="仿宋_GB2312" w:hAnsi="仿宋_GB2312" w:eastAsia="仿宋_GB2312" w:cs="仿宋_GB2312"/>
                <w:i w:val="0"/>
                <w:color w:val="auto"/>
                <w:spacing w:val="-6"/>
                <w:kern w:val="0"/>
                <w:sz w:val="20"/>
                <w:szCs w:val="20"/>
                <w:u w:val="none"/>
                <w:lang w:val="en-US" w:eastAsia="zh-CN" w:bidi="ar"/>
              </w:rPr>
              <w:t>1C410101602</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岗位实习</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4608"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专业必修课程学分、学时小计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87</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1588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578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1010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46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58.39%</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58.34%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48.41%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66.10%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6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专业拓展课程学分、学时小计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6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6.71%</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6.61%</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7.54%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pacing w:val="-28"/>
                <w:kern w:val="0"/>
                <w:sz w:val="20"/>
                <w:szCs w:val="20"/>
                <w:u w:val="none"/>
                <w:lang w:val="en-US" w:eastAsia="zh-CN" w:bidi="ar"/>
              </w:rPr>
            </w:pPr>
            <w:r>
              <w:rPr>
                <w:rFonts w:hint="eastAsia" w:ascii="仿宋_GB2312" w:hAnsi="仿宋_GB2312" w:eastAsia="仿宋_GB2312" w:cs="仿宋_GB2312"/>
                <w:i w:val="0"/>
                <w:iCs w:val="0"/>
                <w:color w:val="auto"/>
                <w:spacing w:val="-28"/>
                <w:kern w:val="0"/>
                <w:sz w:val="20"/>
                <w:szCs w:val="20"/>
                <w:u w:val="none"/>
                <w:lang w:val="en-US" w:eastAsia="zh-CN" w:bidi="ar"/>
              </w:rPr>
              <w:t>5.89%</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6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总学分、学时合计</w:t>
            </w:r>
          </w:p>
        </w:tc>
        <w:tc>
          <w:tcPr>
            <w:tcW w:w="11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149</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2722</w:t>
            </w:r>
          </w:p>
        </w:tc>
        <w:tc>
          <w:tcPr>
            <w:tcW w:w="68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1194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1528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auto"/>
                <w:sz w:val="20"/>
                <w:szCs w:val="20"/>
                <w:u w:val="none"/>
              </w:rPr>
            </w:pPr>
          </w:p>
        </w:tc>
      </w:tr>
      <w:bookmarkEnd w:id="37"/>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38" w:name="_Toc18247"/>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39" w:name="_Toc4902"/>
      <w:r>
        <w:rPr>
          <w:rFonts w:hint="eastAsia" w:ascii="楷体" w:hAnsi="楷体" w:eastAsia="楷体" w:cs="楷体"/>
          <w:b w:val="0"/>
          <w:bCs w:val="0"/>
          <w:color w:val="auto"/>
          <w:sz w:val="32"/>
          <w:szCs w:val="32"/>
          <w:highlight w:val="none"/>
          <w:lang w:val="en-US" w:eastAsia="zh-CN"/>
        </w:rPr>
        <w:t>（一）队伍结构</w:t>
      </w:r>
      <w:bookmarkEnd w:id="3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能够整合校内外优质人才资源，选聘企业高级技术人员担任行业导师，组建校企合作、专兼结合的教师团队，建立定期开展专业（学科）教研机制。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0" w:name="_Toc5364"/>
      <w:r>
        <w:rPr>
          <w:rFonts w:hint="eastAsia" w:ascii="楷体" w:hAnsi="楷体" w:eastAsia="楷体" w:cs="楷体"/>
          <w:b w:val="0"/>
          <w:bCs w:val="0"/>
          <w:color w:val="auto"/>
          <w:sz w:val="32"/>
          <w:szCs w:val="32"/>
          <w:highlight w:val="none"/>
          <w:lang w:val="en-US" w:eastAsia="zh-CN"/>
        </w:rPr>
        <w:t>（二）专业带头人</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仿宋_GB2312" w:hAnsi="仿宋_GB2312" w:eastAsia="仿宋_GB2312" w:cs="仿宋_GB2312"/>
          <w:b w:val="0"/>
          <w:bCs w:val="0"/>
          <w:color w:val="auto"/>
          <w:sz w:val="32"/>
          <w:szCs w:val="32"/>
          <w:highlight w:val="none"/>
          <w:lang w:val="en-US" w:eastAsia="zh-CN"/>
        </w:rPr>
        <w:t xml:space="preserve"> 专业带头人原则上应具有本专业及相关专业副高及以上职称和较强的实践能力，能够较好地把握国内外工程造价管理与建筑工程技术及其他专业技术服务行业、专业发展，能广泛联系行业企业，了解行业企业对本专业人才的需求实际，主持专业建设、开展教育教学改革、教科研工作和社会服务能力强，在本专业改革发展中起引领作用。</w:t>
      </w:r>
      <w:bookmarkEnd w:id="4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1" w:name="_Toc2463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仿宋_GB2312" w:hAnsi="仿宋_GB2312" w:eastAsia="仿宋_GB2312" w:cs="仿宋_GB2312"/>
          <w:b w:val="0"/>
          <w:bCs w:val="0"/>
          <w:color w:val="auto"/>
          <w:sz w:val="32"/>
          <w:szCs w:val="32"/>
          <w:highlight w:val="none"/>
          <w:lang w:val="en-US" w:eastAsia="zh-CN"/>
        </w:rPr>
        <w:t xml:space="preserve">   专任教师应具有高校教师资格；原则上具有建设工程管理类、管理科学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 5 年累计不少于 6 个月的企业实践经历。</w:t>
      </w:r>
      <w:bookmarkEnd w:id="4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2" w:name="_Toc1883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4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43" w:name="_Toc13425"/>
      <w:r>
        <w:rPr>
          <w:rFonts w:hint="eastAsia" w:ascii="黑体" w:hAnsi="黑体" w:eastAsia="黑体" w:cs="黑体"/>
          <w:color w:val="auto"/>
          <w:sz w:val="32"/>
          <w:szCs w:val="32"/>
          <w:lang w:val="en-US" w:eastAsia="zh-CN"/>
        </w:rPr>
        <w:t>十、教学条件</w:t>
      </w:r>
      <w:bookmarkEnd w:id="4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4" w:name="_Toc9635"/>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4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5" w:name="_Toc2230"/>
      <w:bookmarkStart w:id="46" w:name="_Toc4950"/>
      <w:r>
        <w:rPr>
          <w:rFonts w:hint="eastAsia" w:ascii="仿宋_GB2312" w:hAnsi="仿宋_GB2312" w:eastAsia="仿宋_GB2312" w:cs="仿宋_GB2312"/>
          <w:color w:val="auto"/>
          <w:sz w:val="32"/>
          <w:szCs w:val="32"/>
        </w:rPr>
        <w:t>1.专业教室要求</w:t>
      </w:r>
      <w:bookmarkEnd w:id="45"/>
      <w:bookmarkEnd w:id="4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7" w:name="_Toc14026"/>
      <w:bookmarkStart w:id="48" w:name="_Toc6066"/>
      <w:r>
        <w:rPr>
          <w:rFonts w:hint="eastAsia" w:ascii="仿宋_GB2312" w:hAnsi="仿宋_GB2312" w:eastAsia="仿宋_GB2312" w:cs="仿宋_GB2312"/>
          <w:color w:val="auto"/>
          <w:sz w:val="32"/>
          <w:szCs w:val="32"/>
        </w:rPr>
        <w:t>校内实训资源</w:t>
      </w:r>
      <w:bookmarkEnd w:id="47"/>
      <w:bookmarkEnd w:id="48"/>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2"/>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268"/>
        <w:gridCol w:w="937"/>
        <w:gridCol w:w="1804"/>
        <w:gridCol w:w="4402"/>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实训适用课程</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项目</w:t>
            </w:r>
          </w:p>
        </w:tc>
        <w:tc>
          <w:tcPr>
            <w:tcW w:w="4402"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47"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建筑材料检测实训中心</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建筑材料、土木实训</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水泥凝结时间、安定性、标准稠度用水量、水泥细度、胶砂强度、沙子</w:t>
            </w:r>
            <w:r>
              <w:rPr>
                <w:rFonts w:hint="eastAsia" w:ascii="仿宋_GB2312" w:hAnsi="仿宋_GB2312" w:eastAsia="仿宋_GB2312" w:cs="仿宋_GB2312"/>
                <w:color w:val="auto"/>
                <w:sz w:val="24"/>
                <w:highlight w:val="none"/>
                <w:lang w:val="en-US" w:eastAsia="zh-CN"/>
              </w:rPr>
              <w:t>筛分实验</w:t>
            </w:r>
          </w:p>
        </w:tc>
        <w:tc>
          <w:tcPr>
            <w:tcW w:w="44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仿宋_GB2312" w:hAnsi="仿宋_GB2312" w:eastAsia="仿宋_GB2312" w:cs="仿宋_GB2312"/>
                <w:color w:val="auto"/>
                <w:sz w:val="24"/>
                <w:highlight w:val="none"/>
                <w:lang w:val="en-US" w:eastAsia="zh-CN"/>
              </w:rPr>
              <w:t>塌落度</w:t>
            </w:r>
            <w:r>
              <w:rPr>
                <w:rFonts w:hint="eastAsia" w:ascii="仿宋_GB2312" w:hAnsi="仿宋_GB2312" w:eastAsia="仿宋_GB2312" w:cs="仿宋_GB2312"/>
                <w:color w:val="auto"/>
                <w:sz w:val="24"/>
                <w:lang w:val="en-US" w:eastAsia="zh-CN"/>
              </w:rPr>
              <w:t>筒12台、新标准方孔砂子筛12套</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沥青实验室</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土木实训</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沥青软化点测定实验、沥青针入度测定实验、沥青延伸度测定实验、沥青温度测定实验</w:t>
            </w:r>
          </w:p>
        </w:tc>
        <w:tc>
          <w:tcPr>
            <w:tcW w:w="440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针入度仪3台、延度仪1台、自动软化点仪1台、旋转薄膜烘箱1台、自动击实仪1台、试验室用沥青混合料拌和机1台、脱模器1台、沥青混合料马歇尔试验仪1台、轮碾成型机1台、车辙试验机1台、燃烧炉1台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建筑材料力学实验室</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土木实训</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钢筋抗拉强度、抗弯强度、混凝土强度试验、胶砂强度检测</w:t>
            </w:r>
          </w:p>
        </w:tc>
        <w:tc>
          <w:tcPr>
            <w:tcW w:w="440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万能材料试验机20台、电液伺服万能试验机18台、电脑全自动恒应力压力试验机8台、全自动恒应力一体机5台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工程招投标实训室</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工程招投标与合同管理</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招标模拟、投标模拟、开标模拟、评标模拟</w:t>
            </w:r>
          </w:p>
        </w:tc>
        <w:tc>
          <w:tcPr>
            <w:tcW w:w="44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微型计算机1台、会议椅1套、教学投影仪1台、BLPU多功能扩音机1台、招投标桌1张</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计算机实训室</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工程造价软件</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建筑CAD、博奥、广联达、软件教学</w:t>
            </w:r>
          </w:p>
        </w:tc>
        <w:tc>
          <w:tcPr>
            <w:tcW w:w="44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服务器1台、交换机1台以及可运行AutoCAD、博奥、广联达教学软件的计算机80台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建筑材料检测实训中心</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建筑材料、土木实训</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水泥凝结时间、安定性、标准稠度用水量、水泥细度、胶砂强度、沙子</w:t>
            </w:r>
            <w:r>
              <w:rPr>
                <w:rFonts w:hint="eastAsia" w:ascii="仿宋_GB2312" w:hAnsi="仿宋_GB2312" w:eastAsia="仿宋_GB2312" w:cs="仿宋_GB2312"/>
                <w:color w:val="auto"/>
                <w:sz w:val="24"/>
                <w:highlight w:val="none"/>
                <w:lang w:val="en-US" w:eastAsia="zh-CN"/>
              </w:rPr>
              <w:t>筛分实验</w:t>
            </w:r>
          </w:p>
        </w:tc>
        <w:tc>
          <w:tcPr>
            <w:tcW w:w="44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仿宋_GB2312" w:hAnsi="仿宋_GB2312" w:eastAsia="仿宋_GB2312" w:cs="仿宋_GB2312"/>
                <w:color w:val="auto"/>
                <w:sz w:val="24"/>
                <w:highlight w:val="none"/>
                <w:lang w:val="en-US" w:eastAsia="zh-CN"/>
              </w:rPr>
              <w:t>塌落度</w:t>
            </w:r>
            <w:r>
              <w:rPr>
                <w:rFonts w:hint="eastAsia" w:ascii="仿宋_GB2312" w:hAnsi="仿宋_GB2312" w:eastAsia="仿宋_GB2312" w:cs="仿宋_GB2312"/>
                <w:color w:val="auto"/>
                <w:sz w:val="24"/>
                <w:lang w:val="en-US" w:eastAsia="zh-CN"/>
              </w:rPr>
              <w:t>筒12台、新标准方孔砂子筛12套</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p>
        </w:tc>
        <w:tc>
          <w:tcPr>
            <w:tcW w:w="126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沥青实验室</w:t>
            </w:r>
          </w:p>
        </w:tc>
        <w:tc>
          <w:tcPr>
            <w:tcW w:w="93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土木实训</w:t>
            </w:r>
          </w:p>
        </w:tc>
        <w:tc>
          <w:tcPr>
            <w:tcW w:w="180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沥青软化点测定实验、沥青针入度测定实验、沥青延伸度测定实验、沥青温度测定实验</w:t>
            </w:r>
          </w:p>
        </w:tc>
        <w:tc>
          <w:tcPr>
            <w:tcW w:w="440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针入度仪3台、延度仪1台、自动软化点仪1台、旋转薄膜烘箱1台、自动击实仪1台、试验室用沥青混合料拌和机1台、脱模器1台、沥青混合料马歇尔试验仪1台、轮碾成型机1台、车辙试验机1台、燃烧炉1台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10</w:t>
            </w:r>
          </w:p>
        </w:tc>
      </w:tr>
    </w:tbl>
    <w:p>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bookmarkStart w:id="49" w:name="_Toc4438"/>
      <w:bookmarkStart w:id="50" w:name="_Toc28051"/>
      <w:r>
        <w:rPr>
          <w:rFonts w:hint="eastAsia" w:ascii="仿宋_GB2312" w:hAnsi="仿宋_GB2312" w:eastAsia="仿宋_GB2312" w:cs="仿宋_GB2312"/>
          <w:color w:val="auto"/>
          <w:sz w:val="32"/>
          <w:szCs w:val="32"/>
        </w:rPr>
        <w:t>3.校外实训资源</w:t>
      </w:r>
      <w:bookmarkEnd w:id="49"/>
      <w:bookmarkEnd w:id="50"/>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51" w:name="_Toc14568"/>
      <w:bookmarkStart w:id="52" w:name="_Toc8484"/>
      <w:r>
        <w:rPr>
          <w:rFonts w:hint="eastAsia" w:ascii="仿宋_GB2312" w:hAnsi="仿宋_GB2312" w:eastAsia="仿宋_GB2312" w:cs="仿宋_GB2312"/>
          <w:color w:val="auto"/>
          <w:sz w:val="32"/>
          <w:szCs w:val="32"/>
        </w:rPr>
        <w:t>（1）校外实训基地基本要求</w:t>
      </w:r>
      <w:bookmarkEnd w:id="51"/>
      <w:bookmarkEnd w:id="52"/>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具有稳定的校外实训基地2个以上；能够开展工程招标、造价控制等实训活动；实训设施齐备，实训岗位、实训指导教师确定，实训管理及实施规章制度齐全。</w:t>
      </w:r>
    </w:p>
    <w:p>
      <w:pPr>
        <w:pageBreakBefore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bookmarkStart w:id="53" w:name="_Toc28099"/>
      <w:bookmarkStart w:id="54" w:name="_Toc19136"/>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rPr>
        <w:t>学生实习基地基本要求</w:t>
      </w:r>
      <w:bookmarkEnd w:id="53"/>
      <w:bookmarkEnd w:id="5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14" w:firstLineChars="200"/>
        <w:textAlignment w:val="auto"/>
        <w:rPr>
          <w:rFonts w:hint="eastAsia" w:ascii="仿宋_GB2312" w:hAnsi="仿宋_GB2312" w:eastAsia="仿宋_GB2312" w:cs="仿宋_GB2312"/>
          <w:color w:val="auto"/>
          <w:w w:val="96"/>
          <w:sz w:val="32"/>
          <w:szCs w:val="32"/>
        </w:rPr>
      </w:pPr>
      <w:r>
        <w:rPr>
          <w:rFonts w:hint="eastAsia" w:ascii="仿宋_GB2312" w:hAnsi="仿宋_GB2312" w:eastAsia="仿宋_GB2312" w:cs="仿宋_GB2312"/>
          <w:color w:val="auto"/>
          <w:w w:val="96"/>
          <w:sz w:val="32"/>
          <w:szCs w:val="32"/>
        </w:rPr>
        <w:t>具有稳定的校外实习基地2个以上；能提供工程造价等相关实习岗位，能涵盖当前相关产业的主流技术，可接纳一定规模的学生实习；能够配备相应数量的指导教师对学生实习进行指导和管理；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2"/>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1949"/>
        <w:gridCol w:w="2325"/>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广西工程职业学院工程造价专业校外实习基地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广西联润建设工程有限公司</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firstLine="0" w:firstLineChars="0"/>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参与建筑施工项目的施工图预算编制、现场签证造价核算、进度款支付审核；为学生提供真实施工图纸、变更签证单等实训素材，配套 “施工造价实训包”</w:t>
            </w:r>
            <w:r>
              <w:rPr>
                <w:rFonts w:hint="eastAsia" w:ascii="仿宋_GB2312" w:hAnsi="仿宋_GB2312" w:eastAsia="仿宋_GB2312" w:cs="仿宋_GB2312"/>
                <w:color w:val="auto"/>
                <w:sz w:val="24"/>
                <w:lang w:eastAsia="zh-CN"/>
              </w:rPr>
              <w:t>。</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广西工程职业学院工程造价专业校外实习基地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广西春天房地产开发有限责任公司</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both"/>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安排学生认知实习，了解房地产项目投资估算、前期成本测算、拿地阶段造价分析全流程；接纳顶岗学生参与楼盘项目的目标成本编制、动态成本监控</w:t>
            </w:r>
            <w:r>
              <w:rPr>
                <w:rFonts w:hint="eastAsia" w:ascii="仿宋_GB2312" w:hAnsi="仿宋_GB2312" w:eastAsia="仿宋_GB2312" w:cs="仿宋_GB2312"/>
                <w:color w:val="auto"/>
                <w:sz w:val="24"/>
                <w:lang w:eastAsia="zh-CN"/>
              </w:rPr>
              <w:t>。</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3</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广西工程职业学院工程造价专业校外实习基地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恒企工程技术集团有限公司</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接纳学生学习BIM 技术在造价中的应用、招投标文件编制、工程量清单组价；提供企业真实 BIM 项目案例。</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广西工程职业学院工程造价专业校外实习基地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广西联荣建设工程有限公司</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安排学生参与县域乡村振兴项目的造价编制、结算审核、村级工程成本优化</w:t>
            </w:r>
            <w:r>
              <w:rPr>
                <w:rFonts w:hint="eastAsia" w:ascii="仿宋_GB2312" w:hAnsi="仿宋_GB2312" w:eastAsia="仿宋_GB2312" w:cs="仿宋_GB2312"/>
                <w:color w:val="auto"/>
                <w:sz w:val="24"/>
                <w:lang w:eastAsia="zh-CN"/>
              </w:rPr>
              <w:t>。</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5</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广西工程职业学院工程造价专业校外实习基地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平果鑫泰建设工程有限公司</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提供工业、市政项目图纸与造价数据，配套 “工业市政造价实训模块”。</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广西工程职业学院工程造价专业校外实习基地</w:t>
            </w:r>
          </w:p>
        </w:tc>
        <w:tc>
          <w:tcPr>
            <w:tcW w:w="194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广西翔超建设工程咨询有限公司</w:t>
            </w:r>
          </w:p>
        </w:tc>
        <w:tc>
          <w:tcPr>
            <w:tcW w:w="23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接纳学生参与造价审计、工程结算审核、第三方造价复核实习；为学生提供审计工作底稿、结算报告等实训资料，掌握造价咨询行业规范。</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5" w:name="_Toc32035"/>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5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6" w:name="_Toc11709"/>
      <w:bookmarkStart w:id="57" w:name="_Toc19115"/>
      <w:r>
        <w:rPr>
          <w:rFonts w:hint="eastAsia" w:ascii="仿宋_GB2312" w:hAnsi="仿宋_GB2312" w:eastAsia="仿宋_GB2312" w:cs="仿宋_GB2312"/>
          <w:color w:val="auto"/>
          <w:sz w:val="32"/>
          <w:szCs w:val="32"/>
        </w:rPr>
        <w:t>1.教材选用基本要求</w:t>
      </w:r>
      <w:bookmarkEnd w:id="56"/>
      <w:bookmarkEnd w:id="57"/>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kern w:val="2"/>
          <w:sz w:val="32"/>
          <w:szCs w:val="32"/>
          <w:lang w:val="en-US" w:eastAsia="zh-CN" w:bidi="ar-SA"/>
        </w:rPr>
      </w:pPr>
      <w:bookmarkStart w:id="58" w:name="_Toc31078"/>
      <w:r>
        <w:rPr>
          <w:rFonts w:hint="eastAsia" w:ascii="仿宋_GB2312" w:hAnsi="仿宋_GB2312" w:eastAsia="仿宋_GB2312" w:cs="仿宋_GB2312"/>
          <w:color w:val="auto"/>
          <w:kern w:val="2"/>
          <w:sz w:val="32"/>
          <w:szCs w:val="32"/>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9" w:name="_Toc1137"/>
      <w:r>
        <w:rPr>
          <w:rFonts w:hint="eastAsia" w:ascii="仿宋_GB2312" w:hAnsi="仿宋_GB2312" w:eastAsia="仿宋_GB2312" w:cs="仿宋_GB2312"/>
          <w:color w:val="auto"/>
          <w:sz w:val="32"/>
          <w:szCs w:val="32"/>
        </w:rPr>
        <w:t>2.图书文献配备基本要求</w:t>
      </w:r>
      <w:bookmarkEnd w:id="58"/>
      <w:bookmarkEnd w:id="5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能满足人才培养、专业建设、教科研等工作的需要，方便师生查询、借阅。专业类文献主要包括：土建相关行业政策法规、行业标准、技术规范以及工程造价软件操作指南、工程造价案例分析、工程经济与管理理论、建筑材料与造价估算等与服务相关专业类图书和实务案例类图书。专业图书资料（含电子图书）不低于500册，5种以上工程造价类专业学术期刊，并能保持每年更新。</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60" w:name="_Toc30905"/>
      <w:bookmarkStart w:id="61" w:name="_Toc5908"/>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sz w:val="32"/>
          <w:szCs w:val="32"/>
        </w:rPr>
        <w:t>数字教学资源配置基本要求</w:t>
      </w:r>
      <w:bookmarkEnd w:id="60"/>
      <w:bookmarkEnd w:id="6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2" w:name="_Toc23780"/>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bookmarkEnd w:id="6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3" w:name="_Toc11984"/>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6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4" w:name="_Toc14714"/>
      <w:bookmarkStart w:id="65" w:name="_Toc24647"/>
      <w:r>
        <w:rPr>
          <w:rFonts w:hint="eastAsia" w:ascii="仿宋_GB2312" w:hAnsi="仿宋_GB2312" w:eastAsia="仿宋_GB2312" w:cs="仿宋_GB2312"/>
          <w:color w:val="auto"/>
          <w:sz w:val="32"/>
          <w:szCs w:val="32"/>
        </w:rPr>
        <w:t>1.课程考核方法</w:t>
      </w:r>
      <w:bookmarkEnd w:id="64"/>
      <w:bookmarkEnd w:id="6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66" w:name="_Toc7465"/>
      <w:bookmarkStart w:id="67" w:name="_Toc25887"/>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bookmarkEnd w:id="66"/>
      <w:bookmarkEnd w:id="6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68" w:name="_Toc24752"/>
      <w:bookmarkStart w:id="69" w:name="_Toc22643"/>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bookmarkEnd w:id="68"/>
      <w:bookmarkEnd w:id="6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70" w:name="_Toc20510"/>
      <w:bookmarkStart w:id="71" w:name="_Toc17735"/>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bookmarkEnd w:id="70"/>
      <w:bookmarkEnd w:id="7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2" w:name="_Toc28909"/>
      <w:bookmarkStart w:id="73" w:name="_Toc5842"/>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rPr>
        <w:t>教学评价方式</w:t>
      </w:r>
      <w:bookmarkEnd w:id="72"/>
      <w:bookmarkEnd w:id="73"/>
    </w:p>
    <w:p>
      <w:pPr>
        <w:keepNext w:val="0"/>
        <w:keepLines w:val="0"/>
        <w:pageBreakBefore w:val="0"/>
        <w:widowControl w:val="0"/>
        <w:kinsoku/>
        <w:wordWrap/>
        <w:overflowPunct w:val="0"/>
        <w:topLinePunct w:val="0"/>
        <w:bidi w:val="0"/>
        <w:adjustRightInd w:val="0"/>
        <w:spacing w:beforeLines="0" w:after="0" w:afterLines="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74" w:name="_Toc4487"/>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74"/>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75" w:name="_Toc27945"/>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75"/>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76" w:name="_Toc3701"/>
      <w:r>
        <w:rPr>
          <w:rFonts w:hint="eastAsia" w:ascii="楷体" w:hAnsi="楷体" w:eastAsia="楷体" w:cs="楷体"/>
          <w:color w:val="auto"/>
          <w:kern w:val="2"/>
          <w:sz w:val="32"/>
          <w:szCs w:val="32"/>
          <w:lang w:val="en-US" w:eastAsia="zh-CN" w:bidi="ar-SA"/>
        </w:rPr>
        <w:t>学分要求</w:t>
      </w:r>
      <w:bookmarkEnd w:id="7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 147学分。其中，必修课131学分，选修课18学分。公共必修课44学分，公共选修课8学分。专业必修课87学分，专业选修课10学分。</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77" w:name="_Toc1961"/>
      <w:r>
        <w:rPr>
          <w:rFonts w:hint="eastAsia" w:ascii="楷体" w:hAnsi="楷体" w:eastAsia="楷体" w:cs="楷体"/>
          <w:color w:val="auto"/>
          <w:kern w:val="2"/>
          <w:sz w:val="32"/>
          <w:szCs w:val="32"/>
          <w:lang w:val="en-US" w:eastAsia="zh-CN" w:bidi="ar-SA"/>
        </w:rPr>
        <w:t>职业类证书要求</w:t>
      </w:r>
      <w:bookmarkEnd w:id="77"/>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工程造价专业职业证书一览表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rPr>
          <w:color w:val="auto"/>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78" w:name="_Toc22453"/>
      <w:r>
        <w:rPr>
          <w:rFonts w:hint="eastAsia" w:ascii="楷体" w:hAnsi="楷体" w:eastAsia="楷体" w:cs="楷体"/>
          <w:color w:val="auto"/>
          <w:kern w:val="2"/>
          <w:sz w:val="32"/>
          <w:szCs w:val="32"/>
          <w:lang w:val="en-US" w:eastAsia="zh-CN" w:bidi="ar-SA"/>
        </w:rPr>
        <w:t>（三）综合素质要求</w:t>
      </w:r>
      <w:bookmarkEnd w:id="7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思想品德达标：树立正确的世界观、人生观、价值观，遵守国家法律法规及校规校纪，具有良好的道德品质和职业操守。认同工程造价行业诚信执业、廉洁从业的职业准则，在学习和实践中展现责任担当与社会责任感，经思想品德鉴定合格。​​</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2.专业能力扎实：系统掌握工程造价专业核心知识，包括各领域工程计量规则、定额与清单计价原理、全过程造价管理流程等；熟练运用广联达、BIM 等专业软件完成工程量计算、造价文件编制等任务；具备对工程图纸的识读能力、造价数据的分析能力及专业问题的解决能力。​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3.社会实践积极：主动参与工程造价相关社会实践活动，如企业实习、行业调研、招投标模拟实践、工程现场</w:t>
      </w:r>
      <w:r>
        <w:rPr>
          <w:rFonts w:hint="eastAsia" w:ascii="仿宋_GB2312" w:hAnsi="仿宋_GB2312" w:eastAsia="仿宋_GB2312" w:cs="仿宋_GB2312"/>
          <w:color w:val="auto"/>
          <w:sz w:val="32"/>
          <w:szCs w:val="32"/>
          <w:highlight w:val="none"/>
          <w:lang w:val="en-US" w:eastAsia="zh-CN"/>
        </w:rPr>
        <w:t>观摩等。在</w:t>
      </w:r>
      <w:r>
        <w:rPr>
          <w:rFonts w:hint="eastAsia" w:ascii="仿宋_GB2312" w:hAnsi="仿宋_GB2312" w:eastAsia="仿宋_GB2312" w:cs="仿宋_GB2312"/>
          <w:color w:val="auto"/>
          <w:sz w:val="32"/>
          <w:szCs w:val="32"/>
          <w:lang w:val="en-US" w:eastAsia="zh-CN"/>
        </w:rPr>
        <w:t>实践中了解行业运作模式，积累岗位实操经验，提升理论与实践结合的应用能力。​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职业素养全面：具备严谨细致的工作作风，确保造价数据的准确性与合规性；拥有良好的团队协作能力，能在项目组中有效沟通配合完成造价任务；具有持续学习意识，能主动关注行业新技术（如装配式造价、数字造价）与新规范的更新；具备一定的创新思维，能针对造价优化、成本控制等问题提出合理建议，形成符合岗位需求的职业综合素质与行动能力。</w:t>
      </w:r>
    </w:p>
    <w:p>
      <w:pPr>
        <w:rPr>
          <w:color w:val="auto"/>
        </w:rPr>
      </w:pP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7C52B0-544C-4E7A-9DAE-0633311046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23907BDE-A04B-4614-9198-E3089D28FEFC}"/>
  </w:font>
  <w:font w:name="华文新魏">
    <w:panose1 w:val="02010800040101010101"/>
    <w:charset w:val="86"/>
    <w:family w:val="auto"/>
    <w:pitch w:val="default"/>
    <w:sig w:usb0="00000000" w:usb1="00000000" w:usb2="00000000" w:usb3="00000000" w:csb0="00000000" w:csb1="00000000"/>
    <w:embedRegular r:id="rId3" w:fontKey="{D5E0DCD8-1140-47D1-894A-E4305A0C96E1}"/>
  </w:font>
  <w:font w:name="方正小标宋简体">
    <w:panose1 w:val="03000509000000000000"/>
    <w:charset w:val="86"/>
    <w:family w:val="script"/>
    <w:pitch w:val="default"/>
    <w:sig w:usb0="00000001" w:usb1="080E0000" w:usb2="00000000" w:usb3="00000000" w:csb0="00040000" w:csb1="00000000"/>
    <w:embedRegular r:id="rId4" w:fontKey="{32D1510C-243B-43D3-BA09-9C03796ADDE5}"/>
  </w:font>
  <w:font w:name="仿宋_GB2312">
    <w:panose1 w:val="02010609030101010101"/>
    <w:charset w:val="86"/>
    <w:family w:val="modern"/>
    <w:pitch w:val="default"/>
    <w:sig w:usb0="00000001" w:usb1="080E0000" w:usb2="00000000" w:usb3="00000000" w:csb0="00040000" w:csb1="00000000"/>
    <w:embedRegular r:id="rId5" w:fontKey="{C77E06D4-FB5B-4397-B380-0E4C3EF72CC8}"/>
  </w:font>
  <w:font w:name="楷体">
    <w:panose1 w:val="02010609060101010101"/>
    <w:charset w:val="86"/>
    <w:family w:val="modern"/>
    <w:pitch w:val="default"/>
    <w:sig w:usb0="800002BF" w:usb1="38CF7CFA" w:usb2="00000016" w:usb3="00000000" w:csb0="00040001" w:csb1="00000000"/>
    <w:embedRegular r:id="rId6" w:fontKey="{2EC6B90C-7021-4465-B35E-34D2DBFFFE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5274C"/>
    <w:multiLevelType w:val="singleLevel"/>
    <w:tmpl w:val="4005274C"/>
    <w:lvl w:ilvl="0" w:tentative="0">
      <w:start w:val="1"/>
      <w:numFmt w:val="chineseCounting"/>
      <w:suff w:val="nothing"/>
      <w:lvlText w:val="（%1）"/>
      <w:lvlJc w:val="left"/>
      <w:pPr>
        <w:ind w:left="640" w:firstLine="0"/>
      </w:pPr>
      <w:rPr>
        <w:rFonts w:hint="eastAsia"/>
      </w:rPr>
    </w:lvl>
  </w:abstractNum>
  <w:abstractNum w:abstractNumId="1">
    <w:nsid w:val="4A2A20A6"/>
    <w:multiLevelType w:val="singleLevel"/>
    <w:tmpl w:val="4A2A20A6"/>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B92181"/>
    <w:rsid w:val="00BE0BD8"/>
    <w:rsid w:val="00C3446C"/>
    <w:rsid w:val="00C4271B"/>
    <w:rsid w:val="00D03D56"/>
    <w:rsid w:val="00E2700A"/>
    <w:rsid w:val="00ED3BD8"/>
    <w:rsid w:val="00F52A8D"/>
    <w:rsid w:val="00F63617"/>
    <w:rsid w:val="00F82685"/>
    <w:rsid w:val="00FA77F6"/>
    <w:rsid w:val="00FB052B"/>
    <w:rsid w:val="0103164E"/>
    <w:rsid w:val="01211AD4"/>
    <w:rsid w:val="014527E0"/>
    <w:rsid w:val="01514167"/>
    <w:rsid w:val="01786F4B"/>
    <w:rsid w:val="01967DCC"/>
    <w:rsid w:val="01973B44"/>
    <w:rsid w:val="01AA3877"/>
    <w:rsid w:val="01B30C63"/>
    <w:rsid w:val="01CE4688"/>
    <w:rsid w:val="01E90844"/>
    <w:rsid w:val="02070CCA"/>
    <w:rsid w:val="02661E94"/>
    <w:rsid w:val="0270686F"/>
    <w:rsid w:val="028B02E2"/>
    <w:rsid w:val="029C58B6"/>
    <w:rsid w:val="02CD5374"/>
    <w:rsid w:val="02D54924"/>
    <w:rsid w:val="03304250"/>
    <w:rsid w:val="033C2667"/>
    <w:rsid w:val="036B4659"/>
    <w:rsid w:val="037412B6"/>
    <w:rsid w:val="03764359"/>
    <w:rsid w:val="03A07894"/>
    <w:rsid w:val="045D49A6"/>
    <w:rsid w:val="047F2D99"/>
    <w:rsid w:val="04824374"/>
    <w:rsid w:val="048C3708"/>
    <w:rsid w:val="04956A61"/>
    <w:rsid w:val="04BC3FEE"/>
    <w:rsid w:val="04C461B6"/>
    <w:rsid w:val="04FA68C4"/>
    <w:rsid w:val="05017C52"/>
    <w:rsid w:val="051223C4"/>
    <w:rsid w:val="055100D4"/>
    <w:rsid w:val="055C30DB"/>
    <w:rsid w:val="05A131E3"/>
    <w:rsid w:val="05A45750"/>
    <w:rsid w:val="05B114FD"/>
    <w:rsid w:val="05B9052D"/>
    <w:rsid w:val="05F31C91"/>
    <w:rsid w:val="061F255D"/>
    <w:rsid w:val="062E0F1B"/>
    <w:rsid w:val="06471FDD"/>
    <w:rsid w:val="06734B80"/>
    <w:rsid w:val="06B62CBE"/>
    <w:rsid w:val="06C90C44"/>
    <w:rsid w:val="070954E4"/>
    <w:rsid w:val="070B300A"/>
    <w:rsid w:val="070E48A8"/>
    <w:rsid w:val="07106873"/>
    <w:rsid w:val="0728596A"/>
    <w:rsid w:val="07322345"/>
    <w:rsid w:val="076D5A73"/>
    <w:rsid w:val="07830DF3"/>
    <w:rsid w:val="078F7797"/>
    <w:rsid w:val="079C6989"/>
    <w:rsid w:val="07D16002"/>
    <w:rsid w:val="07F65A68"/>
    <w:rsid w:val="081163FE"/>
    <w:rsid w:val="082F2519"/>
    <w:rsid w:val="084C7436"/>
    <w:rsid w:val="084D31AF"/>
    <w:rsid w:val="088B4690"/>
    <w:rsid w:val="08BF40AC"/>
    <w:rsid w:val="08D13DE0"/>
    <w:rsid w:val="08DA7138"/>
    <w:rsid w:val="08DB07BA"/>
    <w:rsid w:val="08F70DAF"/>
    <w:rsid w:val="08FA6E92"/>
    <w:rsid w:val="09075A53"/>
    <w:rsid w:val="09375263"/>
    <w:rsid w:val="094B1DE4"/>
    <w:rsid w:val="094D790A"/>
    <w:rsid w:val="095347F5"/>
    <w:rsid w:val="09B47989"/>
    <w:rsid w:val="09C86F91"/>
    <w:rsid w:val="09CB082F"/>
    <w:rsid w:val="09D45935"/>
    <w:rsid w:val="0A026946"/>
    <w:rsid w:val="0A0501E5"/>
    <w:rsid w:val="0A1E4E03"/>
    <w:rsid w:val="0A2368BD"/>
    <w:rsid w:val="0A634F0B"/>
    <w:rsid w:val="0A782765"/>
    <w:rsid w:val="0A7A4EA4"/>
    <w:rsid w:val="0AA479FE"/>
    <w:rsid w:val="0AC41E4E"/>
    <w:rsid w:val="0AC91212"/>
    <w:rsid w:val="0AE43276"/>
    <w:rsid w:val="0AFF69E2"/>
    <w:rsid w:val="0B01399E"/>
    <w:rsid w:val="0B0B182B"/>
    <w:rsid w:val="0B0F299D"/>
    <w:rsid w:val="0B4B7E79"/>
    <w:rsid w:val="0B64718D"/>
    <w:rsid w:val="0B9A2BAF"/>
    <w:rsid w:val="0B9E269F"/>
    <w:rsid w:val="0BB93035"/>
    <w:rsid w:val="0BC8771C"/>
    <w:rsid w:val="0BCC2AEE"/>
    <w:rsid w:val="0BDB0865"/>
    <w:rsid w:val="0BE71E93"/>
    <w:rsid w:val="0C012C2E"/>
    <w:rsid w:val="0C0369A6"/>
    <w:rsid w:val="0C0A3BA0"/>
    <w:rsid w:val="0C2D757F"/>
    <w:rsid w:val="0C537AC8"/>
    <w:rsid w:val="0C563668"/>
    <w:rsid w:val="0C7E427E"/>
    <w:rsid w:val="0C800FD6"/>
    <w:rsid w:val="0CB33364"/>
    <w:rsid w:val="0CBD6B55"/>
    <w:rsid w:val="0CCC6D98"/>
    <w:rsid w:val="0CCF6888"/>
    <w:rsid w:val="0CE642FD"/>
    <w:rsid w:val="0CF4009D"/>
    <w:rsid w:val="0D1823D5"/>
    <w:rsid w:val="0D1E5F16"/>
    <w:rsid w:val="0D215336"/>
    <w:rsid w:val="0D2E1801"/>
    <w:rsid w:val="0D3000CB"/>
    <w:rsid w:val="0D38267F"/>
    <w:rsid w:val="0DB77A48"/>
    <w:rsid w:val="0DBE4B1B"/>
    <w:rsid w:val="0DE924A0"/>
    <w:rsid w:val="0DF742E8"/>
    <w:rsid w:val="0E2350DD"/>
    <w:rsid w:val="0E5E6115"/>
    <w:rsid w:val="0E625C06"/>
    <w:rsid w:val="0E6476EC"/>
    <w:rsid w:val="0EB606B1"/>
    <w:rsid w:val="0ED4462A"/>
    <w:rsid w:val="0ED63EFE"/>
    <w:rsid w:val="0EE56B3B"/>
    <w:rsid w:val="0F032819"/>
    <w:rsid w:val="0F313977"/>
    <w:rsid w:val="0F386966"/>
    <w:rsid w:val="0F3F1AA3"/>
    <w:rsid w:val="0FA47B58"/>
    <w:rsid w:val="0FA67D74"/>
    <w:rsid w:val="0FA97864"/>
    <w:rsid w:val="0FB0474F"/>
    <w:rsid w:val="0FD20B69"/>
    <w:rsid w:val="0FD3569A"/>
    <w:rsid w:val="0FE4089C"/>
    <w:rsid w:val="0FF26B15"/>
    <w:rsid w:val="10093E5F"/>
    <w:rsid w:val="10152804"/>
    <w:rsid w:val="10234F21"/>
    <w:rsid w:val="10560F5C"/>
    <w:rsid w:val="105769DE"/>
    <w:rsid w:val="105C0433"/>
    <w:rsid w:val="10914580"/>
    <w:rsid w:val="10B244F7"/>
    <w:rsid w:val="10BC5375"/>
    <w:rsid w:val="10EA5A3E"/>
    <w:rsid w:val="10EE36A0"/>
    <w:rsid w:val="11274EE5"/>
    <w:rsid w:val="114A472F"/>
    <w:rsid w:val="116752E1"/>
    <w:rsid w:val="117D68B3"/>
    <w:rsid w:val="118934A9"/>
    <w:rsid w:val="118F714F"/>
    <w:rsid w:val="11FA6155"/>
    <w:rsid w:val="12063219"/>
    <w:rsid w:val="12174F59"/>
    <w:rsid w:val="12485112"/>
    <w:rsid w:val="127F665A"/>
    <w:rsid w:val="128B14A3"/>
    <w:rsid w:val="128D0E5D"/>
    <w:rsid w:val="12941C67"/>
    <w:rsid w:val="12A165D1"/>
    <w:rsid w:val="12DC3AAD"/>
    <w:rsid w:val="12F708E7"/>
    <w:rsid w:val="12F9640D"/>
    <w:rsid w:val="130D1EB8"/>
    <w:rsid w:val="13203999"/>
    <w:rsid w:val="135C5E82"/>
    <w:rsid w:val="136817E4"/>
    <w:rsid w:val="13877EBC"/>
    <w:rsid w:val="139B5716"/>
    <w:rsid w:val="13A7230D"/>
    <w:rsid w:val="13B862C8"/>
    <w:rsid w:val="13C77F07"/>
    <w:rsid w:val="13D83EAC"/>
    <w:rsid w:val="13F454F6"/>
    <w:rsid w:val="14171240"/>
    <w:rsid w:val="14215C1B"/>
    <w:rsid w:val="14430E35"/>
    <w:rsid w:val="1497412F"/>
    <w:rsid w:val="14A800EA"/>
    <w:rsid w:val="14CD6D61"/>
    <w:rsid w:val="14F213B5"/>
    <w:rsid w:val="15001CD4"/>
    <w:rsid w:val="150317C5"/>
    <w:rsid w:val="151A3F56"/>
    <w:rsid w:val="15202377"/>
    <w:rsid w:val="154C1DA6"/>
    <w:rsid w:val="15542020"/>
    <w:rsid w:val="156758B0"/>
    <w:rsid w:val="15721F5D"/>
    <w:rsid w:val="15DE5533"/>
    <w:rsid w:val="15EC04AB"/>
    <w:rsid w:val="160768B3"/>
    <w:rsid w:val="16096967"/>
    <w:rsid w:val="160C28FB"/>
    <w:rsid w:val="16290DB7"/>
    <w:rsid w:val="16377978"/>
    <w:rsid w:val="164200CB"/>
    <w:rsid w:val="165F0C7D"/>
    <w:rsid w:val="16604EB9"/>
    <w:rsid w:val="1699418F"/>
    <w:rsid w:val="16995FBA"/>
    <w:rsid w:val="16A20B69"/>
    <w:rsid w:val="16A42B33"/>
    <w:rsid w:val="16DC051F"/>
    <w:rsid w:val="16E86EC4"/>
    <w:rsid w:val="16F849B5"/>
    <w:rsid w:val="16FC64CC"/>
    <w:rsid w:val="17006E4C"/>
    <w:rsid w:val="170B4961"/>
    <w:rsid w:val="17103D25"/>
    <w:rsid w:val="1740285C"/>
    <w:rsid w:val="1749510D"/>
    <w:rsid w:val="17832749"/>
    <w:rsid w:val="1796247C"/>
    <w:rsid w:val="17CC10E5"/>
    <w:rsid w:val="17F3167D"/>
    <w:rsid w:val="182F3090"/>
    <w:rsid w:val="1883416B"/>
    <w:rsid w:val="18CB084B"/>
    <w:rsid w:val="191775ED"/>
    <w:rsid w:val="192501A9"/>
    <w:rsid w:val="19406B43"/>
    <w:rsid w:val="19481E9C"/>
    <w:rsid w:val="19755131"/>
    <w:rsid w:val="198D3D53"/>
    <w:rsid w:val="19AF3CC9"/>
    <w:rsid w:val="19B4484B"/>
    <w:rsid w:val="1A13555C"/>
    <w:rsid w:val="1A262FB5"/>
    <w:rsid w:val="1A3A7A37"/>
    <w:rsid w:val="1A5F56EF"/>
    <w:rsid w:val="1A6D7E59"/>
    <w:rsid w:val="1A736AA5"/>
    <w:rsid w:val="1A9F789A"/>
    <w:rsid w:val="1AB33C6D"/>
    <w:rsid w:val="1AE45BF4"/>
    <w:rsid w:val="1B041DF3"/>
    <w:rsid w:val="1B23671D"/>
    <w:rsid w:val="1B3A75C2"/>
    <w:rsid w:val="1B461F5D"/>
    <w:rsid w:val="1B7B22DA"/>
    <w:rsid w:val="1BA15893"/>
    <w:rsid w:val="1BAE7956"/>
    <w:rsid w:val="1BCC19A4"/>
    <w:rsid w:val="1BD9327F"/>
    <w:rsid w:val="1BF76EC7"/>
    <w:rsid w:val="1BF93A5C"/>
    <w:rsid w:val="1C0F4EF3"/>
    <w:rsid w:val="1C1C5AD8"/>
    <w:rsid w:val="1C27223D"/>
    <w:rsid w:val="1C5B3C94"/>
    <w:rsid w:val="1C6F14EE"/>
    <w:rsid w:val="1CAE4A99"/>
    <w:rsid w:val="1CB25FAA"/>
    <w:rsid w:val="1D0377EB"/>
    <w:rsid w:val="1D24677C"/>
    <w:rsid w:val="1D3D2228"/>
    <w:rsid w:val="1D736947"/>
    <w:rsid w:val="1D9A259A"/>
    <w:rsid w:val="1D9D70F9"/>
    <w:rsid w:val="1DA50519"/>
    <w:rsid w:val="1DAD5595"/>
    <w:rsid w:val="1DD51824"/>
    <w:rsid w:val="1DEC729A"/>
    <w:rsid w:val="1DF95513"/>
    <w:rsid w:val="1E14059F"/>
    <w:rsid w:val="1E3D18A3"/>
    <w:rsid w:val="1E4B3DFE"/>
    <w:rsid w:val="1E591EFE"/>
    <w:rsid w:val="1E6D7CAF"/>
    <w:rsid w:val="1E74103D"/>
    <w:rsid w:val="1E780B2E"/>
    <w:rsid w:val="1E7D7EF2"/>
    <w:rsid w:val="1E91399D"/>
    <w:rsid w:val="1EA77665"/>
    <w:rsid w:val="1EB3600A"/>
    <w:rsid w:val="1ECC6B87"/>
    <w:rsid w:val="1F0E3240"/>
    <w:rsid w:val="1F3A7811"/>
    <w:rsid w:val="1F5350F7"/>
    <w:rsid w:val="1F6E1F30"/>
    <w:rsid w:val="1F7312F5"/>
    <w:rsid w:val="1F833C2E"/>
    <w:rsid w:val="1F83778A"/>
    <w:rsid w:val="1F8654CC"/>
    <w:rsid w:val="1F9757E1"/>
    <w:rsid w:val="1FA215F4"/>
    <w:rsid w:val="1FB17C46"/>
    <w:rsid w:val="1FB21E1D"/>
    <w:rsid w:val="1FBC2C9C"/>
    <w:rsid w:val="1FBC4A4A"/>
    <w:rsid w:val="1FBD34A2"/>
    <w:rsid w:val="1FC456FC"/>
    <w:rsid w:val="1FD06747"/>
    <w:rsid w:val="1FD224BF"/>
    <w:rsid w:val="1FDE05CD"/>
    <w:rsid w:val="1FF561AE"/>
    <w:rsid w:val="20315544"/>
    <w:rsid w:val="205630F0"/>
    <w:rsid w:val="207417C9"/>
    <w:rsid w:val="20AA343C"/>
    <w:rsid w:val="20AB6C01"/>
    <w:rsid w:val="20AD7038"/>
    <w:rsid w:val="20BE4D41"/>
    <w:rsid w:val="20E56222"/>
    <w:rsid w:val="20FB77F4"/>
    <w:rsid w:val="210324B5"/>
    <w:rsid w:val="210E0F0E"/>
    <w:rsid w:val="213452F0"/>
    <w:rsid w:val="213827F6"/>
    <w:rsid w:val="2170143C"/>
    <w:rsid w:val="217C0935"/>
    <w:rsid w:val="21AB746C"/>
    <w:rsid w:val="21B04A82"/>
    <w:rsid w:val="21C1129B"/>
    <w:rsid w:val="21EB3D26"/>
    <w:rsid w:val="21F05E39"/>
    <w:rsid w:val="22097CEF"/>
    <w:rsid w:val="22123047"/>
    <w:rsid w:val="221B1D44"/>
    <w:rsid w:val="221F7512"/>
    <w:rsid w:val="223461B5"/>
    <w:rsid w:val="22540CA0"/>
    <w:rsid w:val="22804455"/>
    <w:rsid w:val="2293798E"/>
    <w:rsid w:val="22967FAA"/>
    <w:rsid w:val="22A00653"/>
    <w:rsid w:val="22D16A5E"/>
    <w:rsid w:val="230B30E1"/>
    <w:rsid w:val="2338088B"/>
    <w:rsid w:val="234A44CD"/>
    <w:rsid w:val="236773C3"/>
    <w:rsid w:val="237D0994"/>
    <w:rsid w:val="238E2BA1"/>
    <w:rsid w:val="23954DD6"/>
    <w:rsid w:val="23AB3753"/>
    <w:rsid w:val="23D42CAA"/>
    <w:rsid w:val="241E5CD3"/>
    <w:rsid w:val="244B45EE"/>
    <w:rsid w:val="246031BB"/>
    <w:rsid w:val="2491720E"/>
    <w:rsid w:val="249D12EE"/>
    <w:rsid w:val="24AA57B9"/>
    <w:rsid w:val="24B16B47"/>
    <w:rsid w:val="24E133B0"/>
    <w:rsid w:val="24E76143"/>
    <w:rsid w:val="24F353B2"/>
    <w:rsid w:val="25297C0A"/>
    <w:rsid w:val="255B4D05"/>
    <w:rsid w:val="255C2755"/>
    <w:rsid w:val="259124D5"/>
    <w:rsid w:val="25E858AF"/>
    <w:rsid w:val="263E265D"/>
    <w:rsid w:val="26461511"/>
    <w:rsid w:val="264C22B3"/>
    <w:rsid w:val="266A16A4"/>
    <w:rsid w:val="267A11BB"/>
    <w:rsid w:val="26D62895"/>
    <w:rsid w:val="26E9486B"/>
    <w:rsid w:val="27075144"/>
    <w:rsid w:val="270A05F4"/>
    <w:rsid w:val="2734580E"/>
    <w:rsid w:val="27441EF5"/>
    <w:rsid w:val="27491E54"/>
    <w:rsid w:val="2749750B"/>
    <w:rsid w:val="27614E14"/>
    <w:rsid w:val="277F117F"/>
    <w:rsid w:val="27A40D9A"/>
    <w:rsid w:val="27AE3812"/>
    <w:rsid w:val="27AE736E"/>
    <w:rsid w:val="27E4018D"/>
    <w:rsid w:val="27F5401D"/>
    <w:rsid w:val="282C66F4"/>
    <w:rsid w:val="28557849"/>
    <w:rsid w:val="285A12A4"/>
    <w:rsid w:val="288A7DDB"/>
    <w:rsid w:val="289A5B44"/>
    <w:rsid w:val="28BD30CD"/>
    <w:rsid w:val="28DC615D"/>
    <w:rsid w:val="28E03E9F"/>
    <w:rsid w:val="29332221"/>
    <w:rsid w:val="29345F99"/>
    <w:rsid w:val="2939710B"/>
    <w:rsid w:val="29453D02"/>
    <w:rsid w:val="296E1A2F"/>
    <w:rsid w:val="29B449E4"/>
    <w:rsid w:val="29C53046"/>
    <w:rsid w:val="29C72B81"/>
    <w:rsid w:val="29F55728"/>
    <w:rsid w:val="29FF0355"/>
    <w:rsid w:val="2A110088"/>
    <w:rsid w:val="2A38575D"/>
    <w:rsid w:val="2A4558BD"/>
    <w:rsid w:val="2A63541A"/>
    <w:rsid w:val="2A725E24"/>
    <w:rsid w:val="2A992557"/>
    <w:rsid w:val="2AE92F98"/>
    <w:rsid w:val="2AF14141"/>
    <w:rsid w:val="2B0F281A"/>
    <w:rsid w:val="2B2B6F28"/>
    <w:rsid w:val="2B567EA6"/>
    <w:rsid w:val="2B621401"/>
    <w:rsid w:val="2B68600A"/>
    <w:rsid w:val="2B762899"/>
    <w:rsid w:val="2B8D373E"/>
    <w:rsid w:val="2BF11F1F"/>
    <w:rsid w:val="2C545886"/>
    <w:rsid w:val="2C586672"/>
    <w:rsid w:val="2C741102"/>
    <w:rsid w:val="2C802418"/>
    <w:rsid w:val="2CB341C7"/>
    <w:rsid w:val="2CC51C8E"/>
    <w:rsid w:val="2CC66F08"/>
    <w:rsid w:val="2CEB2E12"/>
    <w:rsid w:val="2D0F1419"/>
    <w:rsid w:val="2D5704A8"/>
    <w:rsid w:val="2D8165B1"/>
    <w:rsid w:val="2D964B2C"/>
    <w:rsid w:val="2DAC4350"/>
    <w:rsid w:val="2DB46201"/>
    <w:rsid w:val="2DBB57B7"/>
    <w:rsid w:val="2DBD655D"/>
    <w:rsid w:val="2DC97DD5"/>
    <w:rsid w:val="2DCC2C44"/>
    <w:rsid w:val="2DE47F8D"/>
    <w:rsid w:val="2DED6716"/>
    <w:rsid w:val="2DF53F49"/>
    <w:rsid w:val="2E61338C"/>
    <w:rsid w:val="2E6B020F"/>
    <w:rsid w:val="2E7035CF"/>
    <w:rsid w:val="2E7F1A64"/>
    <w:rsid w:val="2EBF00B3"/>
    <w:rsid w:val="2ED12B31"/>
    <w:rsid w:val="2EE63891"/>
    <w:rsid w:val="2F083808"/>
    <w:rsid w:val="2F0F103A"/>
    <w:rsid w:val="2F0F2DE8"/>
    <w:rsid w:val="2F34284F"/>
    <w:rsid w:val="2F3565C7"/>
    <w:rsid w:val="2F436F36"/>
    <w:rsid w:val="2F4F58DB"/>
    <w:rsid w:val="2F7A2E0A"/>
    <w:rsid w:val="2F8D1F5F"/>
    <w:rsid w:val="2FA07EE4"/>
    <w:rsid w:val="2FA96B3D"/>
    <w:rsid w:val="2FC367EB"/>
    <w:rsid w:val="2FC955B9"/>
    <w:rsid w:val="2FD933F6"/>
    <w:rsid w:val="302F1268"/>
    <w:rsid w:val="307333B8"/>
    <w:rsid w:val="309E5534"/>
    <w:rsid w:val="309F63EE"/>
    <w:rsid w:val="30A6152A"/>
    <w:rsid w:val="30A77050"/>
    <w:rsid w:val="30DC27D6"/>
    <w:rsid w:val="30F12135"/>
    <w:rsid w:val="3115220C"/>
    <w:rsid w:val="31342FDA"/>
    <w:rsid w:val="317B1459"/>
    <w:rsid w:val="318A49A8"/>
    <w:rsid w:val="31A83FF1"/>
    <w:rsid w:val="31AA329C"/>
    <w:rsid w:val="31CB6D6E"/>
    <w:rsid w:val="31D2634F"/>
    <w:rsid w:val="32052280"/>
    <w:rsid w:val="32167F39"/>
    <w:rsid w:val="321D581C"/>
    <w:rsid w:val="32244DFC"/>
    <w:rsid w:val="32892EB1"/>
    <w:rsid w:val="32A720E7"/>
    <w:rsid w:val="32AC094E"/>
    <w:rsid w:val="32AC4289"/>
    <w:rsid w:val="32C043F9"/>
    <w:rsid w:val="32DF2AD1"/>
    <w:rsid w:val="32F32A21"/>
    <w:rsid w:val="32F92E4C"/>
    <w:rsid w:val="32FA3DAF"/>
    <w:rsid w:val="32FD676A"/>
    <w:rsid w:val="33260700"/>
    <w:rsid w:val="33266952"/>
    <w:rsid w:val="333D0283"/>
    <w:rsid w:val="334600B3"/>
    <w:rsid w:val="335C4122"/>
    <w:rsid w:val="338045D1"/>
    <w:rsid w:val="33995376"/>
    <w:rsid w:val="339E0BDF"/>
    <w:rsid w:val="33A8380B"/>
    <w:rsid w:val="33A930DF"/>
    <w:rsid w:val="33AE06F6"/>
    <w:rsid w:val="33B93C14"/>
    <w:rsid w:val="33C65A3F"/>
    <w:rsid w:val="34125129"/>
    <w:rsid w:val="34180991"/>
    <w:rsid w:val="342F5CDB"/>
    <w:rsid w:val="343A3C06"/>
    <w:rsid w:val="348B3F97"/>
    <w:rsid w:val="34AC73D1"/>
    <w:rsid w:val="34B65AB4"/>
    <w:rsid w:val="34C46423"/>
    <w:rsid w:val="34D16D92"/>
    <w:rsid w:val="34EA50C0"/>
    <w:rsid w:val="34FA0097"/>
    <w:rsid w:val="35303AB8"/>
    <w:rsid w:val="357449D1"/>
    <w:rsid w:val="357B2551"/>
    <w:rsid w:val="35900570"/>
    <w:rsid w:val="359A3628"/>
    <w:rsid w:val="35E93C67"/>
    <w:rsid w:val="35F0119F"/>
    <w:rsid w:val="361231BE"/>
    <w:rsid w:val="36343134"/>
    <w:rsid w:val="364315C9"/>
    <w:rsid w:val="36586B29"/>
    <w:rsid w:val="36657792"/>
    <w:rsid w:val="36877708"/>
    <w:rsid w:val="369B7657"/>
    <w:rsid w:val="36B77ECB"/>
    <w:rsid w:val="370E7E29"/>
    <w:rsid w:val="3720190B"/>
    <w:rsid w:val="37321D6A"/>
    <w:rsid w:val="37634645"/>
    <w:rsid w:val="376B0DD8"/>
    <w:rsid w:val="3770165B"/>
    <w:rsid w:val="377D0D37"/>
    <w:rsid w:val="37960DB8"/>
    <w:rsid w:val="37AD2573"/>
    <w:rsid w:val="37DC3A83"/>
    <w:rsid w:val="37F012DD"/>
    <w:rsid w:val="381153F4"/>
    <w:rsid w:val="383E029A"/>
    <w:rsid w:val="38481119"/>
    <w:rsid w:val="386D1820"/>
    <w:rsid w:val="387D5266"/>
    <w:rsid w:val="38877EE4"/>
    <w:rsid w:val="38C22C79"/>
    <w:rsid w:val="38CE09C2"/>
    <w:rsid w:val="38EE7D4F"/>
    <w:rsid w:val="38F8669B"/>
    <w:rsid w:val="39131727"/>
    <w:rsid w:val="39217148"/>
    <w:rsid w:val="39372651"/>
    <w:rsid w:val="394F0285"/>
    <w:rsid w:val="39813A36"/>
    <w:rsid w:val="39A700C1"/>
    <w:rsid w:val="39FA4695"/>
    <w:rsid w:val="3A4164A5"/>
    <w:rsid w:val="3A451367"/>
    <w:rsid w:val="3A5E69D2"/>
    <w:rsid w:val="3A60099C"/>
    <w:rsid w:val="3A7A7584"/>
    <w:rsid w:val="3A8C2DCA"/>
    <w:rsid w:val="3AD60C5E"/>
    <w:rsid w:val="3AE97710"/>
    <w:rsid w:val="3AEA4709"/>
    <w:rsid w:val="3AF45588"/>
    <w:rsid w:val="3AF630AE"/>
    <w:rsid w:val="3B130468"/>
    <w:rsid w:val="3B381919"/>
    <w:rsid w:val="3B4007CD"/>
    <w:rsid w:val="3B602C1D"/>
    <w:rsid w:val="3B732951"/>
    <w:rsid w:val="3BB23479"/>
    <w:rsid w:val="3BD10529"/>
    <w:rsid w:val="3BF2407B"/>
    <w:rsid w:val="3BFA097C"/>
    <w:rsid w:val="3C0572CE"/>
    <w:rsid w:val="3C17152E"/>
    <w:rsid w:val="3C274005"/>
    <w:rsid w:val="3C3814A4"/>
    <w:rsid w:val="3C4E0CC8"/>
    <w:rsid w:val="3C7F6D44"/>
    <w:rsid w:val="3C8D17F0"/>
    <w:rsid w:val="3CF96E86"/>
    <w:rsid w:val="3D0047E4"/>
    <w:rsid w:val="3D141F11"/>
    <w:rsid w:val="3D201BD6"/>
    <w:rsid w:val="3D204412"/>
    <w:rsid w:val="3D424389"/>
    <w:rsid w:val="3D4445A5"/>
    <w:rsid w:val="3D581FDD"/>
    <w:rsid w:val="3D74475E"/>
    <w:rsid w:val="3D766728"/>
    <w:rsid w:val="3D7F729C"/>
    <w:rsid w:val="3D9F7A2D"/>
    <w:rsid w:val="3DC92CFC"/>
    <w:rsid w:val="3DDA2813"/>
    <w:rsid w:val="3DE81BA1"/>
    <w:rsid w:val="3E185EB9"/>
    <w:rsid w:val="3E4D7489"/>
    <w:rsid w:val="3E522CF1"/>
    <w:rsid w:val="3E5A3954"/>
    <w:rsid w:val="3E691DE9"/>
    <w:rsid w:val="3E725142"/>
    <w:rsid w:val="3EB92D70"/>
    <w:rsid w:val="3ED43706"/>
    <w:rsid w:val="3EE33949"/>
    <w:rsid w:val="3EEA117C"/>
    <w:rsid w:val="3F012022"/>
    <w:rsid w:val="3F281CA4"/>
    <w:rsid w:val="3F4A4ECD"/>
    <w:rsid w:val="3F6A4DBB"/>
    <w:rsid w:val="3F785DC7"/>
    <w:rsid w:val="3F8D08E7"/>
    <w:rsid w:val="3F9A222F"/>
    <w:rsid w:val="3FA516AD"/>
    <w:rsid w:val="3FF51B86"/>
    <w:rsid w:val="3FF86C17"/>
    <w:rsid w:val="3FFC1167"/>
    <w:rsid w:val="40077B0C"/>
    <w:rsid w:val="4010076E"/>
    <w:rsid w:val="402F10E0"/>
    <w:rsid w:val="403F4FF6"/>
    <w:rsid w:val="40416B7A"/>
    <w:rsid w:val="404B5C4A"/>
    <w:rsid w:val="40664832"/>
    <w:rsid w:val="408178BE"/>
    <w:rsid w:val="4084115C"/>
    <w:rsid w:val="4099592E"/>
    <w:rsid w:val="40AA693E"/>
    <w:rsid w:val="40B53BBC"/>
    <w:rsid w:val="40B557B9"/>
    <w:rsid w:val="40BC26A4"/>
    <w:rsid w:val="40C8470D"/>
    <w:rsid w:val="40E35E83"/>
    <w:rsid w:val="40E8793D"/>
    <w:rsid w:val="41126768"/>
    <w:rsid w:val="413D6362"/>
    <w:rsid w:val="413F6022"/>
    <w:rsid w:val="41540B2E"/>
    <w:rsid w:val="415648A7"/>
    <w:rsid w:val="41727207"/>
    <w:rsid w:val="41A42FA1"/>
    <w:rsid w:val="41BB6E00"/>
    <w:rsid w:val="41CF62FB"/>
    <w:rsid w:val="41DE5079"/>
    <w:rsid w:val="422A57D8"/>
    <w:rsid w:val="424E37D0"/>
    <w:rsid w:val="42815953"/>
    <w:rsid w:val="42817701"/>
    <w:rsid w:val="428611BC"/>
    <w:rsid w:val="42B86E9B"/>
    <w:rsid w:val="42BA2C13"/>
    <w:rsid w:val="42D75573"/>
    <w:rsid w:val="43050C76"/>
    <w:rsid w:val="43105F3B"/>
    <w:rsid w:val="43120CA1"/>
    <w:rsid w:val="432B359D"/>
    <w:rsid w:val="43413334"/>
    <w:rsid w:val="436463B1"/>
    <w:rsid w:val="43713C1A"/>
    <w:rsid w:val="43792ACE"/>
    <w:rsid w:val="43880A10"/>
    <w:rsid w:val="43A538C3"/>
    <w:rsid w:val="43C755E8"/>
    <w:rsid w:val="43CC2BFE"/>
    <w:rsid w:val="43DE069F"/>
    <w:rsid w:val="44380293"/>
    <w:rsid w:val="447D65EE"/>
    <w:rsid w:val="44A43B7B"/>
    <w:rsid w:val="44B71B00"/>
    <w:rsid w:val="44B862E9"/>
    <w:rsid w:val="44CD3298"/>
    <w:rsid w:val="44DA134B"/>
    <w:rsid w:val="44EC561F"/>
    <w:rsid w:val="453207BB"/>
    <w:rsid w:val="455530C7"/>
    <w:rsid w:val="45B222C8"/>
    <w:rsid w:val="45EB4189"/>
    <w:rsid w:val="4602706C"/>
    <w:rsid w:val="460A2104"/>
    <w:rsid w:val="461E62FF"/>
    <w:rsid w:val="462162FF"/>
    <w:rsid w:val="462D2E20"/>
    <w:rsid w:val="465D2233"/>
    <w:rsid w:val="466E2692"/>
    <w:rsid w:val="46733805"/>
    <w:rsid w:val="46AE6F33"/>
    <w:rsid w:val="46B856BC"/>
    <w:rsid w:val="46BD0F24"/>
    <w:rsid w:val="46EE10DD"/>
    <w:rsid w:val="46F661E4"/>
    <w:rsid w:val="47103740"/>
    <w:rsid w:val="471C3E9C"/>
    <w:rsid w:val="473C64D1"/>
    <w:rsid w:val="477D2836"/>
    <w:rsid w:val="47E250E6"/>
    <w:rsid w:val="47FD3CCE"/>
    <w:rsid w:val="4803505C"/>
    <w:rsid w:val="480A0199"/>
    <w:rsid w:val="48205161"/>
    <w:rsid w:val="4839608B"/>
    <w:rsid w:val="48482A6F"/>
    <w:rsid w:val="4884619D"/>
    <w:rsid w:val="489C26F2"/>
    <w:rsid w:val="48A028AB"/>
    <w:rsid w:val="48A57EC2"/>
    <w:rsid w:val="48AE4FC8"/>
    <w:rsid w:val="48BA396D"/>
    <w:rsid w:val="48BD16AF"/>
    <w:rsid w:val="48DF1625"/>
    <w:rsid w:val="48E56510"/>
    <w:rsid w:val="48F362C2"/>
    <w:rsid w:val="49064E04"/>
    <w:rsid w:val="49395702"/>
    <w:rsid w:val="493A685C"/>
    <w:rsid w:val="497C50C6"/>
    <w:rsid w:val="49843F7B"/>
    <w:rsid w:val="49A63EF1"/>
    <w:rsid w:val="49DD3905"/>
    <w:rsid w:val="49F27137"/>
    <w:rsid w:val="4A1A5033"/>
    <w:rsid w:val="4A1D0657"/>
    <w:rsid w:val="4A315EB1"/>
    <w:rsid w:val="4A3C6604"/>
    <w:rsid w:val="4A5C5CE8"/>
    <w:rsid w:val="4AA20B5D"/>
    <w:rsid w:val="4AD510E7"/>
    <w:rsid w:val="4AD8632C"/>
    <w:rsid w:val="4AF15640"/>
    <w:rsid w:val="4AFA62A3"/>
    <w:rsid w:val="4B101F6A"/>
    <w:rsid w:val="4B337A07"/>
    <w:rsid w:val="4B726781"/>
    <w:rsid w:val="4B7778F3"/>
    <w:rsid w:val="4B992976"/>
    <w:rsid w:val="4BC92119"/>
    <w:rsid w:val="4BCD39B7"/>
    <w:rsid w:val="4C0272E2"/>
    <w:rsid w:val="4C0C0983"/>
    <w:rsid w:val="4C1149B8"/>
    <w:rsid w:val="4C215AB1"/>
    <w:rsid w:val="4C4C6FD2"/>
    <w:rsid w:val="4C5B516C"/>
    <w:rsid w:val="4C675BBA"/>
    <w:rsid w:val="4C92075D"/>
    <w:rsid w:val="4CAB1FB1"/>
    <w:rsid w:val="4CBF67BB"/>
    <w:rsid w:val="4CE0596C"/>
    <w:rsid w:val="4CE6181F"/>
    <w:rsid w:val="4D135D42"/>
    <w:rsid w:val="4D1473C4"/>
    <w:rsid w:val="4D154C85"/>
    <w:rsid w:val="4D357A66"/>
    <w:rsid w:val="4D46134F"/>
    <w:rsid w:val="4D5C1497"/>
    <w:rsid w:val="4D6C0FAE"/>
    <w:rsid w:val="4DC52D87"/>
    <w:rsid w:val="4E514358"/>
    <w:rsid w:val="4E5C7274"/>
    <w:rsid w:val="4EAF3848"/>
    <w:rsid w:val="4EE259CC"/>
    <w:rsid w:val="4EEB143B"/>
    <w:rsid w:val="4F0E24B7"/>
    <w:rsid w:val="4F166C4D"/>
    <w:rsid w:val="4F1F277C"/>
    <w:rsid w:val="4F585C8E"/>
    <w:rsid w:val="4F6B3C13"/>
    <w:rsid w:val="4F7D56F4"/>
    <w:rsid w:val="4FE47521"/>
    <w:rsid w:val="4FFB4B83"/>
    <w:rsid w:val="501F0559"/>
    <w:rsid w:val="50265D8C"/>
    <w:rsid w:val="50566671"/>
    <w:rsid w:val="506348EA"/>
    <w:rsid w:val="509C4C8B"/>
    <w:rsid w:val="50AA2519"/>
    <w:rsid w:val="50DD28EE"/>
    <w:rsid w:val="50E13A61"/>
    <w:rsid w:val="5135219E"/>
    <w:rsid w:val="51455CE4"/>
    <w:rsid w:val="516052CE"/>
    <w:rsid w:val="516B614C"/>
    <w:rsid w:val="5176064D"/>
    <w:rsid w:val="51804844"/>
    <w:rsid w:val="51C30881"/>
    <w:rsid w:val="51D535C6"/>
    <w:rsid w:val="51DD691E"/>
    <w:rsid w:val="51FE1E87"/>
    <w:rsid w:val="522105B9"/>
    <w:rsid w:val="522916A8"/>
    <w:rsid w:val="523E560F"/>
    <w:rsid w:val="525210BA"/>
    <w:rsid w:val="5259656B"/>
    <w:rsid w:val="525F7333"/>
    <w:rsid w:val="52943481"/>
    <w:rsid w:val="52B458D1"/>
    <w:rsid w:val="52BB22D8"/>
    <w:rsid w:val="52D7336D"/>
    <w:rsid w:val="52D7511B"/>
    <w:rsid w:val="52F01A02"/>
    <w:rsid w:val="52FE08FA"/>
    <w:rsid w:val="5325057D"/>
    <w:rsid w:val="535B634F"/>
    <w:rsid w:val="53807561"/>
    <w:rsid w:val="5394125E"/>
    <w:rsid w:val="53C71634"/>
    <w:rsid w:val="53E05A9F"/>
    <w:rsid w:val="53FE2BF7"/>
    <w:rsid w:val="54171F46"/>
    <w:rsid w:val="542919A7"/>
    <w:rsid w:val="542E16B3"/>
    <w:rsid w:val="54534C76"/>
    <w:rsid w:val="548E098B"/>
    <w:rsid w:val="54B5148C"/>
    <w:rsid w:val="54DC4246"/>
    <w:rsid w:val="54EF2BF0"/>
    <w:rsid w:val="55C0633B"/>
    <w:rsid w:val="55D87B28"/>
    <w:rsid w:val="55E738C7"/>
    <w:rsid w:val="55EE10FA"/>
    <w:rsid w:val="55FF30A4"/>
    <w:rsid w:val="56004989"/>
    <w:rsid w:val="56397652"/>
    <w:rsid w:val="565C2507"/>
    <w:rsid w:val="56602B8B"/>
    <w:rsid w:val="566118CC"/>
    <w:rsid w:val="56A23A63"/>
    <w:rsid w:val="56E0016A"/>
    <w:rsid w:val="56F95FA8"/>
    <w:rsid w:val="57034731"/>
    <w:rsid w:val="572B12F6"/>
    <w:rsid w:val="572D5C52"/>
    <w:rsid w:val="5794265E"/>
    <w:rsid w:val="57B63E99"/>
    <w:rsid w:val="57B91294"/>
    <w:rsid w:val="57E207EA"/>
    <w:rsid w:val="58216C5D"/>
    <w:rsid w:val="58337298"/>
    <w:rsid w:val="58680DC2"/>
    <w:rsid w:val="588673C8"/>
    <w:rsid w:val="589046EA"/>
    <w:rsid w:val="589A626B"/>
    <w:rsid w:val="58BC54DF"/>
    <w:rsid w:val="58BE233C"/>
    <w:rsid w:val="58E02A3F"/>
    <w:rsid w:val="58EB1921"/>
    <w:rsid w:val="5900361E"/>
    <w:rsid w:val="591250FF"/>
    <w:rsid w:val="592D018B"/>
    <w:rsid w:val="592F7A5F"/>
    <w:rsid w:val="59345076"/>
    <w:rsid w:val="59575208"/>
    <w:rsid w:val="595C12A3"/>
    <w:rsid w:val="5996188C"/>
    <w:rsid w:val="59C77C98"/>
    <w:rsid w:val="59DE1485"/>
    <w:rsid w:val="59F760A3"/>
    <w:rsid w:val="5A1208AE"/>
    <w:rsid w:val="5A201A9E"/>
    <w:rsid w:val="5A4412E8"/>
    <w:rsid w:val="5A753B98"/>
    <w:rsid w:val="5A871B1D"/>
    <w:rsid w:val="5A8C2C8F"/>
    <w:rsid w:val="5A9F0C15"/>
    <w:rsid w:val="5AA60473"/>
    <w:rsid w:val="5AAE5CD6"/>
    <w:rsid w:val="5AD36B10"/>
    <w:rsid w:val="5AE64A95"/>
    <w:rsid w:val="5AFA708A"/>
    <w:rsid w:val="5B007C05"/>
    <w:rsid w:val="5B137EF8"/>
    <w:rsid w:val="5B1F1DFE"/>
    <w:rsid w:val="5B231846"/>
    <w:rsid w:val="5B322D65"/>
    <w:rsid w:val="5B3475AF"/>
    <w:rsid w:val="5B3A710D"/>
    <w:rsid w:val="5B490B80"/>
    <w:rsid w:val="5BA00D7C"/>
    <w:rsid w:val="5BAA0022"/>
    <w:rsid w:val="5BBC75A4"/>
    <w:rsid w:val="5BCC4E68"/>
    <w:rsid w:val="5C0C4088"/>
    <w:rsid w:val="5C0E6052"/>
    <w:rsid w:val="5C1473E0"/>
    <w:rsid w:val="5C38700F"/>
    <w:rsid w:val="5C403D31"/>
    <w:rsid w:val="5C4E644E"/>
    <w:rsid w:val="5C593262"/>
    <w:rsid w:val="5C606182"/>
    <w:rsid w:val="5C8C341B"/>
    <w:rsid w:val="5C9B365E"/>
    <w:rsid w:val="5CD1707F"/>
    <w:rsid w:val="5CF35248"/>
    <w:rsid w:val="5D01298C"/>
    <w:rsid w:val="5D1C1431"/>
    <w:rsid w:val="5D1F2257"/>
    <w:rsid w:val="5D206DB4"/>
    <w:rsid w:val="5D292A17"/>
    <w:rsid w:val="5D417A9F"/>
    <w:rsid w:val="5D9C58DF"/>
    <w:rsid w:val="5DBA7B13"/>
    <w:rsid w:val="5DD961EC"/>
    <w:rsid w:val="5DE51034"/>
    <w:rsid w:val="5DFB69DA"/>
    <w:rsid w:val="5E043D85"/>
    <w:rsid w:val="5E3478C6"/>
    <w:rsid w:val="5E442121"/>
    <w:rsid w:val="5E4775F9"/>
    <w:rsid w:val="5E510503"/>
    <w:rsid w:val="5E7540E3"/>
    <w:rsid w:val="5E767EDE"/>
    <w:rsid w:val="5E8B1BDC"/>
    <w:rsid w:val="5E93321A"/>
    <w:rsid w:val="5E9B7945"/>
    <w:rsid w:val="5EA25AE6"/>
    <w:rsid w:val="5EBD5B0D"/>
    <w:rsid w:val="5F061F99"/>
    <w:rsid w:val="5F07293D"/>
    <w:rsid w:val="5F092B01"/>
    <w:rsid w:val="5F1B4F3C"/>
    <w:rsid w:val="5F2B6F1B"/>
    <w:rsid w:val="5F335DCF"/>
    <w:rsid w:val="5F3F6522"/>
    <w:rsid w:val="5F475456"/>
    <w:rsid w:val="5F4C0C3F"/>
    <w:rsid w:val="5FC058B5"/>
    <w:rsid w:val="5FD03D3F"/>
    <w:rsid w:val="5FE1582B"/>
    <w:rsid w:val="5FE252DE"/>
    <w:rsid w:val="5FF23595"/>
    <w:rsid w:val="5FF437B1"/>
    <w:rsid w:val="6009741B"/>
    <w:rsid w:val="601C4AB5"/>
    <w:rsid w:val="602D6CC3"/>
    <w:rsid w:val="603513CF"/>
    <w:rsid w:val="603E4A2C"/>
    <w:rsid w:val="60433DF0"/>
    <w:rsid w:val="604A1623"/>
    <w:rsid w:val="604C7149"/>
    <w:rsid w:val="60591866"/>
    <w:rsid w:val="608A7C71"/>
    <w:rsid w:val="608D150F"/>
    <w:rsid w:val="60996106"/>
    <w:rsid w:val="60AA0313"/>
    <w:rsid w:val="611D2893"/>
    <w:rsid w:val="61377DF9"/>
    <w:rsid w:val="613D1187"/>
    <w:rsid w:val="614442C4"/>
    <w:rsid w:val="61581B1D"/>
    <w:rsid w:val="61750921"/>
    <w:rsid w:val="617A5F38"/>
    <w:rsid w:val="6192502F"/>
    <w:rsid w:val="61926DDD"/>
    <w:rsid w:val="61E1663D"/>
    <w:rsid w:val="61E3588B"/>
    <w:rsid w:val="62013F63"/>
    <w:rsid w:val="62071616"/>
    <w:rsid w:val="62165C60"/>
    <w:rsid w:val="62386256"/>
    <w:rsid w:val="62835CBE"/>
    <w:rsid w:val="629628FD"/>
    <w:rsid w:val="62A50D92"/>
    <w:rsid w:val="62D11B87"/>
    <w:rsid w:val="62DB47B4"/>
    <w:rsid w:val="62E80EC0"/>
    <w:rsid w:val="6300421A"/>
    <w:rsid w:val="63041970"/>
    <w:rsid w:val="631D301E"/>
    <w:rsid w:val="631F49AF"/>
    <w:rsid w:val="632717A7"/>
    <w:rsid w:val="63822E81"/>
    <w:rsid w:val="6384309D"/>
    <w:rsid w:val="638D0589"/>
    <w:rsid w:val="639332E1"/>
    <w:rsid w:val="63CE39A4"/>
    <w:rsid w:val="63D27965"/>
    <w:rsid w:val="63E63410"/>
    <w:rsid w:val="64025D70"/>
    <w:rsid w:val="643017E4"/>
    <w:rsid w:val="644840CB"/>
    <w:rsid w:val="644D7705"/>
    <w:rsid w:val="647B624F"/>
    <w:rsid w:val="64963088"/>
    <w:rsid w:val="64966BE4"/>
    <w:rsid w:val="64B25D57"/>
    <w:rsid w:val="65031DA0"/>
    <w:rsid w:val="65165F77"/>
    <w:rsid w:val="65206DF6"/>
    <w:rsid w:val="65493C57"/>
    <w:rsid w:val="654E74BF"/>
    <w:rsid w:val="655B398A"/>
    <w:rsid w:val="655E14F4"/>
    <w:rsid w:val="65626DAD"/>
    <w:rsid w:val="658B1A8D"/>
    <w:rsid w:val="659904DC"/>
    <w:rsid w:val="65F71656"/>
    <w:rsid w:val="65FE0EE5"/>
    <w:rsid w:val="660D37F9"/>
    <w:rsid w:val="660E4EA0"/>
    <w:rsid w:val="663F14FE"/>
    <w:rsid w:val="664F4EF8"/>
    <w:rsid w:val="664F7993"/>
    <w:rsid w:val="667016B7"/>
    <w:rsid w:val="66707909"/>
    <w:rsid w:val="66860EDB"/>
    <w:rsid w:val="66AD3908"/>
    <w:rsid w:val="66B141AA"/>
    <w:rsid w:val="66EC3434"/>
    <w:rsid w:val="66FB5425"/>
    <w:rsid w:val="67470A9D"/>
    <w:rsid w:val="6773145F"/>
    <w:rsid w:val="67863E0E"/>
    <w:rsid w:val="67896ED4"/>
    <w:rsid w:val="67B6759E"/>
    <w:rsid w:val="67B90B06"/>
    <w:rsid w:val="67CE2B39"/>
    <w:rsid w:val="67CF779E"/>
    <w:rsid w:val="67FA56DC"/>
    <w:rsid w:val="681A3FD0"/>
    <w:rsid w:val="68231114"/>
    <w:rsid w:val="682B3AE8"/>
    <w:rsid w:val="68330BEE"/>
    <w:rsid w:val="684F4C61"/>
    <w:rsid w:val="68580655"/>
    <w:rsid w:val="688431F8"/>
    <w:rsid w:val="6888718C"/>
    <w:rsid w:val="689F52C7"/>
    <w:rsid w:val="68B25FB7"/>
    <w:rsid w:val="69076303"/>
    <w:rsid w:val="691357B2"/>
    <w:rsid w:val="69164798"/>
    <w:rsid w:val="6938470E"/>
    <w:rsid w:val="69594684"/>
    <w:rsid w:val="69A00505"/>
    <w:rsid w:val="69D837FB"/>
    <w:rsid w:val="6A10568B"/>
    <w:rsid w:val="6A246A40"/>
    <w:rsid w:val="6A676AE8"/>
    <w:rsid w:val="6A8E65B0"/>
    <w:rsid w:val="6A9C6F1F"/>
    <w:rsid w:val="6AAA163C"/>
    <w:rsid w:val="6ABA1153"/>
    <w:rsid w:val="6AC64CF0"/>
    <w:rsid w:val="6AD9782B"/>
    <w:rsid w:val="6AF44665"/>
    <w:rsid w:val="6B2B3DFF"/>
    <w:rsid w:val="6B8579B3"/>
    <w:rsid w:val="6BD808EE"/>
    <w:rsid w:val="6BDB75D3"/>
    <w:rsid w:val="6BF80185"/>
    <w:rsid w:val="6C021003"/>
    <w:rsid w:val="6C07661A"/>
    <w:rsid w:val="6C2B055A"/>
    <w:rsid w:val="6C2C6080"/>
    <w:rsid w:val="6C423AF6"/>
    <w:rsid w:val="6C59460C"/>
    <w:rsid w:val="6C8A72E3"/>
    <w:rsid w:val="6C923EBF"/>
    <w:rsid w:val="6CA67BE1"/>
    <w:rsid w:val="6CC10EBE"/>
    <w:rsid w:val="6CC77CEA"/>
    <w:rsid w:val="6D0B3EE8"/>
    <w:rsid w:val="6D1D49F8"/>
    <w:rsid w:val="6D2605AD"/>
    <w:rsid w:val="6D4541FD"/>
    <w:rsid w:val="6D604233"/>
    <w:rsid w:val="6D6A50B2"/>
    <w:rsid w:val="6D765805"/>
    <w:rsid w:val="6D837F22"/>
    <w:rsid w:val="6D8F2D6B"/>
    <w:rsid w:val="6DB30F6B"/>
    <w:rsid w:val="6DCD73EF"/>
    <w:rsid w:val="6DCF4F15"/>
    <w:rsid w:val="6DD662A4"/>
    <w:rsid w:val="6DE36C13"/>
    <w:rsid w:val="6DF52EB2"/>
    <w:rsid w:val="6DFF1C9E"/>
    <w:rsid w:val="6E0C43BB"/>
    <w:rsid w:val="6E5024FA"/>
    <w:rsid w:val="6E5C781B"/>
    <w:rsid w:val="6EB45CAC"/>
    <w:rsid w:val="6EC24A7A"/>
    <w:rsid w:val="6EF07839"/>
    <w:rsid w:val="6EF47329"/>
    <w:rsid w:val="6F2F65B3"/>
    <w:rsid w:val="6F356F51"/>
    <w:rsid w:val="6F820821"/>
    <w:rsid w:val="6FAA79E8"/>
    <w:rsid w:val="6FC4358D"/>
    <w:rsid w:val="6FF128C8"/>
    <w:rsid w:val="6FF60E7F"/>
    <w:rsid w:val="6FFB46E7"/>
    <w:rsid w:val="702C48A1"/>
    <w:rsid w:val="705838E8"/>
    <w:rsid w:val="705A531C"/>
    <w:rsid w:val="70785D38"/>
    <w:rsid w:val="70B256C9"/>
    <w:rsid w:val="70C77C95"/>
    <w:rsid w:val="70CB230C"/>
    <w:rsid w:val="70E00014"/>
    <w:rsid w:val="71067E05"/>
    <w:rsid w:val="710870BC"/>
    <w:rsid w:val="711627AF"/>
    <w:rsid w:val="713C6D66"/>
    <w:rsid w:val="715F2A54"/>
    <w:rsid w:val="71754026"/>
    <w:rsid w:val="718801FD"/>
    <w:rsid w:val="718C1A9B"/>
    <w:rsid w:val="71BE5593"/>
    <w:rsid w:val="71DD2CB4"/>
    <w:rsid w:val="72011973"/>
    <w:rsid w:val="72374DAB"/>
    <w:rsid w:val="724A29CA"/>
    <w:rsid w:val="72563E57"/>
    <w:rsid w:val="725A3947"/>
    <w:rsid w:val="7298621E"/>
    <w:rsid w:val="72DA6836"/>
    <w:rsid w:val="72ED77C6"/>
    <w:rsid w:val="72F21DD2"/>
    <w:rsid w:val="72FF629D"/>
    <w:rsid w:val="730022F6"/>
    <w:rsid w:val="730438B3"/>
    <w:rsid w:val="731D6B1E"/>
    <w:rsid w:val="732301DD"/>
    <w:rsid w:val="732950C8"/>
    <w:rsid w:val="733E1E13"/>
    <w:rsid w:val="735E76C4"/>
    <w:rsid w:val="736D1458"/>
    <w:rsid w:val="73C60B68"/>
    <w:rsid w:val="73D03795"/>
    <w:rsid w:val="73FD2CDB"/>
    <w:rsid w:val="74024296"/>
    <w:rsid w:val="74185868"/>
    <w:rsid w:val="742510D0"/>
    <w:rsid w:val="74257F85"/>
    <w:rsid w:val="74434D7D"/>
    <w:rsid w:val="744F0B5E"/>
    <w:rsid w:val="74744A68"/>
    <w:rsid w:val="749A44CF"/>
    <w:rsid w:val="74A215D5"/>
    <w:rsid w:val="74C96B62"/>
    <w:rsid w:val="74E92D60"/>
    <w:rsid w:val="74F55BA9"/>
    <w:rsid w:val="74F6722B"/>
    <w:rsid w:val="7501454E"/>
    <w:rsid w:val="751929AB"/>
    <w:rsid w:val="751A53DD"/>
    <w:rsid w:val="75504B8E"/>
    <w:rsid w:val="75526B58"/>
    <w:rsid w:val="757E794D"/>
    <w:rsid w:val="75852A82"/>
    <w:rsid w:val="75AF3FAA"/>
    <w:rsid w:val="75B23A83"/>
    <w:rsid w:val="76191423"/>
    <w:rsid w:val="76326989"/>
    <w:rsid w:val="76393874"/>
    <w:rsid w:val="76562678"/>
    <w:rsid w:val="766A7551"/>
    <w:rsid w:val="76AE4262"/>
    <w:rsid w:val="76CF41D8"/>
    <w:rsid w:val="76DD4305"/>
    <w:rsid w:val="77071BC4"/>
    <w:rsid w:val="7718792D"/>
    <w:rsid w:val="77255706"/>
    <w:rsid w:val="77440722"/>
    <w:rsid w:val="77644920"/>
    <w:rsid w:val="777161C3"/>
    <w:rsid w:val="77950F7E"/>
    <w:rsid w:val="77D965A0"/>
    <w:rsid w:val="77EF68E0"/>
    <w:rsid w:val="77FC484A"/>
    <w:rsid w:val="77FC724F"/>
    <w:rsid w:val="782C5979"/>
    <w:rsid w:val="7847671C"/>
    <w:rsid w:val="78484242"/>
    <w:rsid w:val="786C7F30"/>
    <w:rsid w:val="78730464"/>
    <w:rsid w:val="787521CA"/>
    <w:rsid w:val="788A03B6"/>
    <w:rsid w:val="789254BD"/>
    <w:rsid w:val="78CF4963"/>
    <w:rsid w:val="79002D6F"/>
    <w:rsid w:val="791660EE"/>
    <w:rsid w:val="794744F9"/>
    <w:rsid w:val="79751DE3"/>
    <w:rsid w:val="7993773F"/>
    <w:rsid w:val="79A11E5C"/>
    <w:rsid w:val="79B24069"/>
    <w:rsid w:val="79E26AAF"/>
    <w:rsid w:val="79F20909"/>
    <w:rsid w:val="7A1E674C"/>
    <w:rsid w:val="7A604E8D"/>
    <w:rsid w:val="7A613399"/>
    <w:rsid w:val="7A6F1F5A"/>
    <w:rsid w:val="7A756E44"/>
    <w:rsid w:val="7AB4173E"/>
    <w:rsid w:val="7ABD4ED2"/>
    <w:rsid w:val="7AE85868"/>
    <w:rsid w:val="7B05641A"/>
    <w:rsid w:val="7B615418"/>
    <w:rsid w:val="7B66335D"/>
    <w:rsid w:val="7B821819"/>
    <w:rsid w:val="7BAC4AE8"/>
    <w:rsid w:val="7BC2430B"/>
    <w:rsid w:val="7C43369E"/>
    <w:rsid w:val="7C725D31"/>
    <w:rsid w:val="7C99506C"/>
    <w:rsid w:val="7C9C690A"/>
    <w:rsid w:val="7CC15048"/>
    <w:rsid w:val="7D1172F8"/>
    <w:rsid w:val="7D1F193A"/>
    <w:rsid w:val="7D284642"/>
    <w:rsid w:val="7D4C20DE"/>
    <w:rsid w:val="7D5C7626"/>
    <w:rsid w:val="7D6020BB"/>
    <w:rsid w:val="7D662A8B"/>
    <w:rsid w:val="7D7B6E68"/>
    <w:rsid w:val="7D845D1C"/>
    <w:rsid w:val="7D9121E7"/>
    <w:rsid w:val="7D9639C7"/>
    <w:rsid w:val="7DAC0DCF"/>
    <w:rsid w:val="7DAC7021"/>
    <w:rsid w:val="7DDE41CA"/>
    <w:rsid w:val="7E372159"/>
    <w:rsid w:val="7E3C574F"/>
    <w:rsid w:val="7E61605D"/>
    <w:rsid w:val="7E7044F2"/>
    <w:rsid w:val="7E8D6E52"/>
    <w:rsid w:val="7EAF501B"/>
    <w:rsid w:val="7ED56104"/>
    <w:rsid w:val="7ED95BF4"/>
    <w:rsid w:val="7EDC7492"/>
    <w:rsid w:val="7EEA6053"/>
    <w:rsid w:val="7EF46ED2"/>
    <w:rsid w:val="7EFA7386"/>
    <w:rsid w:val="7F080287"/>
    <w:rsid w:val="7F0F7867"/>
    <w:rsid w:val="7F1255AA"/>
    <w:rsid w:val="7F491DA9"/>
    <w:rsid w:val="7F8903C9"/>
    <w:rsid w:val="7FA501CC"/>
    <w:rsid w:val="7FB623D9"/>
    <w:rsid w:val="7FC51826"/>
    <w:rsid w:val="7FD8778E"/>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4"/>
    <w:basedOn w:val="1"/>
    <w:next w:val="1"/>
    <w:qFormat/>
    <w:uiPriority w:val="0"/>
    <w:pPr>
      <w:ind w:left="1260" w:leftChars="600"/>
    </w:p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character" w:customStyle="1" w:styleId="17">
    <w:name w:val="font71"/>
    <w:basedOn w:val="13"/>
    <w:qFormat/>
    <w:uiPriority w:val="0"/>
    <w:rPr>
      <w:rFonts w:hint="default" w:ascii="Times New Roman" w:hAnsi="Times New Roman" w:cs="Times New Roman"/>
      <w:color w:val="000000"/>
      <w:sz w:val="21"/>
      <w:szCs w:val="21"/>
      <w:u w:val="none"/>
    </w:rPr>
  </w:style>
  <w:style w:type="character" w:customStyle="1" w:styleId="18">
    <w:name w:val="font61"/>
    <w:basedOn w:val="13"/>
    <w:qFormat/>
    <w:uiPriority w:val="0"/>
    <w:rPr>
      <w:rFonts w:hint="eastAsia" w:ascii="仿宋" w:hAnsi="仿宋" w:eastAsia="仿宋" w:cs="仿宋"/>
      <w:color w:val="000000"/>
      <w:sz w:val="21"/>
      <w:szCs w:val="21"/>
      <w:u w:val="none"/>
    </w:rPr>
  </w:style>
  <w:style w:type="character" w:customStyle="1" w:styleId="19">
    <w:name w:val="font31"/>
    <w:basedOn w:val="13"/>
    <w:qFormat/>
    <w:uiPriority w:val="0"/>
    <w:rPr>
      <w:rFonts w:hint="default" w:ascii="Times New Roman" w:hAnsi="Times New Roman" w:cs="Times New Roman"/>
      <w:color w:val="000000"/>
      <w:sz w:val="21"/>
      <w:szCs w:val="21"/>
      <w:u w:val="none"/>
    </w:rPr>
  </w:style>
  <w:style w:type="character" w:customStyle="1" w:styleId="20">
    <w:name w:val="font21"/>
    <w:basedOn w:val="13"/>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73</Pages>
  <Words>39210</Words>
  <Characters>39412</Characters>
  <Lines>1850</Lines>
  <Paragraphs>1270</Paragraphs>
  <TotalTime>0</TotalTime>
  <ScaleCrop>false</ScaleCrop>
  <LinksUpToDate>false</LinksUpToDate>
  <CharactersWithSpaces>39760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ll</cp:lastModifiedBy>
  <cp:lastPrinted>2025-09-18T10:59:00Z</cp:lastPrinted>
  <dcterms:modified xsi:type="dcterms:W3CDTF">2026-03-24T13:54:59Z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44AF65D2DAE14B9B8CAF72C60A683DD4_13</vt:lpwstr>
  </property>
  <property fmtid="{D5CDD505-2E9C-101B-9397-08002B2CF9AE}" pid="4" name="KSOTemplateDocerSaveRecord">
    <vt:lpwstr>eyJoZGlkIjoiNDU2N2I3ZWNjZDY1ZDVhNjNiNjIxMDdlZjMyNjcxOWEiLCJ1c2VySWQiOiI4MTAzODczOTgifQ==</vt:lpwstr>
  </property>
</Properties>
</file>