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7"/>
                    <a:stretch>
                      <a:fillRect/>
                    </a:stretch>
                  </pic:blipFill>
                  <pic:spPr>
                    <a:xfrm>
                      <a:off x="0" y="0"/>
                      <a:ext cx="5114925" cy="11309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bCs/>
          <w:color w:val="auto"/>
          <w:sz w:val="32"/>
          <w:szCs w:val="32"/>
          <w:u w:val="single"/>
          <w:lang w:val="en-US" w:eastAsia="zh-CN"/>
        </w:rPr>
        <w:t xml:space="preserve">建设工程管理                </w:t>
      </w:r>
      <w:r>
        <w:rPr>
          <w:rFonts w:hint="eastAsia" w:ascii="仿宋_GB2312" w:hAnsi="仿宋_GB2312" w:eastAsia="仿宋_GB2312" w:cs="仿宋_GB2312"/>
          <w:color w:val="auto"/>
          <w:kern w:val="0"/>
          <w:sz w:val="32"/>
          <w:szCs w:val="32"/>
        </w:rPr>
        <w:t xml:space="preserve">       </w:t>
      </w:r>
    </w:p>
    <w:p>
      <w:pPr>
        <w:keepNext w:val="0"/>
        <w:keepLines w:val="0"/>
        <w:pageBreakBefore w:val="0"/>
        <w:widowControl w:val="0"/>
        <w:kinsoku/>
        <w:wordWrap/>
        <w:overflowPunct w:val="0"/>
        <w:topLinePunct w:val="0"/>
        <w:autoSpaceDE/>
        <w:autoSpaceDN/>
        <w:bidi w:val="0"/>
        <w:adjustRightInd w:val="0"/>
        <w:spacing w:after="0" w:line="520" w:lineRule="exact"/>
        <w:ind w:firstLine="960" w:firstLineChars="3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440502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widowControl/>
        <w:overflowPunct w:val="0"/>
        <w:adjustRightInd w:val="0"/>
        <w:snapToGrid w:val="0"/>
        <w:jc w:val="center"/>
        <w:rPr>
          <w:rFonts w:hint="eastAsia" w:ascii="黑体" w:hAnsi="黑体" w:eastAsia="黑体" w:cs="黑体"/>
          <w:b/>
          <w:bCs/>
          <w:color w:val="auto"/>
          <w:kern w:val="0"/>
          <w:sz w:val="52"/>
          <w:szCs w:val="52"/>
        </w:rPr>
        <w:sectPr>
          <w:headerReference r:id="rId3" w:type="default"/>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spacing w:after="160"/>
        <w:jc w:val="center"/>
        <w:rPr>
          <w:rFonts w:hint="eastAsia" w:ascii="黑体" w:hAnsi="黑体" w:eastAsia="黑体" w:cs="黑体"/>
          <w:b/>
          <w:bCs/>
          <w:color w:val="auto"/>
          <w:kern w:val="0"/>
          <w:sz w:val="52"/>
          <w:szCs w:val="52"/>
        </w:rPr>
        <w:sectPr>
          <w:headerReference r:id="rId4" w:type="default"/>
          <w:pgSz w:w="11906" w:h="16838"/>
          <w:pgMar w:top="1417" w:right="1417" w:bottom="1417" w:left="1984" w:header="851" w:footer="992" w:gutter="0"/>
          <w:pgNumType w:start="1"/>
          <w:cols w:space="425" w:num="1"/>
          <w:docGrid w:type="lines" w:linePitch="312" w:charSpace="0"/>
        </w:sect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w:t>
      </w:r>
      <w:r>
        <w:rPr>
          <w:rFonts w:hint="eastAsia" w:ascii="仿宋_GB2312" w:hAnsi="仿宋_GB2312" w:eastAsia="仿宋_GB2312" w:cs="仿宋_GB2312"/>
          <w:color w:val="auto"/>
          <w:sz w:val="32"/>
          <w:szCs w:val="32"/>
          <w:lang w:val="en-US" w:eastAsia="zh-CN"/>
        </w:rPr>
        <w:t>建设工程管理</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广西惠农水电建设有限责任公司等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rPr>
          <w:rFonts w:hint="default" w:ascii="仿宋_GB2312" w:hAnsi="仿宋_GB2312" w:eastAsia="仿宋_GB2312" w:cs="仿宋_GB2312"/>
          <w:b w:val="0"/>
          <w:bCs/>
          <w:color w:val="auto"/>
          <w:sz w:val="32"/>
          <w:szCs w:val="32"/>
          <w:highlight w:val="none"/>
          <w:lang w:val="en-US" w:eastAsia="zh-CN"/>
        </w:rPr>
      </w:pP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1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lang w:val="en-US" w:eastAsia="zh-CN"/>
              </w:rPr>
              <w:fldChar w:fldCharType="begin"/>
            </w:r>
            <w:r>
              <w:rPr>
                <w:rFonts w:hint="eastAsia" w:ascii="仿宋_GB2312" w:hAnsi="仿宋_GB2312" w:eastAsia="仿宋_GB2312" w:cs="仿宋_GB2312"/>
                <w:b w:val="0"/>
                <w:bCs/>
                <w:color w:val="auto"/>
                <w:sz w:val="32"/>
                <w:szCs w:val="32"/>
                <w:highlight w:val="none"/>
                <w:lang w:val="en-US" w:eastAsia="zh-CN"/>
              </w:rPr>
              <w:instrText xml:space="preserve"> HYPERLINK "https://www.qcc.com/pl/pr23b9badcc43d7facaa5fcb4c456d90.html" \t "https://www.qcc.com/web/_blank" </w:instrText>
            </w:r>
            <w:r>
              <w:rPr>
                <w:rFonts w:hint="eastAsia" w:ascii="仿宋_GB2312" w:hAnsi="仿宋_GB2312" w:eastAsia="仿宋_GB2312" w:cs="仿宋_GB2312"/>
                <w:b w:val="0"/>
                <w:bCs/>
                <w:color w:val="auto"/>
                <w:sz w:val="32"/>
                <w:szCs w:val="32"/>
                <w:highlight w:val="none"/>
                <w:lang w:val="en-US" w:eastAsia="zh-CN"/>
              </w:rPr>
              <w:fldChar w:fldCharType="separate"/>
            </w:r>
            <w:r>
              <w:rPr>
                <w:rFonts w:hint="eastAsia" w:ascii="仿宋_GB2312" w:hAnsi="仿宋_GB2312" w:eastAsia="仿宋_GB2312" w:cs="仿宋_GB2312"/>
                <w:b w:val="0"/>
                <w:bCs/>
                <w:color w:val="auto"/>
                <w:sz w:val="32"/>
                <w:szCs w:val="32"/>
                <w:highlight w:val="none"/>
                <w:lang w:val="en-US" w:eastAsia="zh-CN"/>
              </w:rPr>
              <w:t>肖成飞</w:t>
            </w:r>
            <w:r>
              <w:rPr>
                <w:rFonts w:hint="eastAsia" w:ascii="仿宋_GB2312" w:hAnsi="仿宋_GB2312" w:eastAsia="仿宋_GB2312" w:cs="仿宋_GB2312"/>
                <w:b w:val="0"/>
                <w:bCs/>
                <w:color w:val="auto"/>
                <w:sz w:val="32"/>
                <w:szCs w:val="32"/>
                <w:highlight w:val="none"/>
                <w:lang w:val="en-US" w:eastAsia="zh-CN"/>
              </w:rPr>
              <w:fldChar w:fldCharType="end"/>
            </w:r>
          </w:p>
        </w:tc>
        <w:tc>
          <w:tcPr>
            <w:tcW w:w="280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lang w:val="en-US" w:eastAsia="zh-CN"/>
              </w:rPr>
              <w:t>广西惠农水电建设有限责任公司</w:t>
            </w:r>
          </w:p>
        </w:tc>
        <w:tc>
          <w:tcPr>
            <w:tcW w:w="1833"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总经理</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牛壮</w:t>
            </w:r>
          </w:p>
        </w:tc>
        <w:tc>
          <w:tcPr>
            <w:tcW w:w="280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bookmarkStart w:id="71" w:name="_GoBack"/>
            <w:bookmarkEnd w:id="71"/>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覃慧颖</w:t>
            </w:r>
          </w:p>
        </w:tc>
        <w:tc>
          <w:tcPr>
            <w:tcW w:w="280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陈钰晶</w:t>
            </w:r>
          </w:p>
        </w:tc>
        <w:tc>
          <w:tcPr>
            <w:tcW w:w="2800"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shd w:val="clear" w:color="auto" w:fill="auto"/>
            <w:vAlign w:val="center"/>
          </w:tcPr>
          <w:p>
            <w:pPr>
              <w:jc w:val="center"/>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bl>
    <w:p>
      <w:pPr>
        <w:widowControl/>
        <w:overflowPunct w:val="0"/>
        <w:adjustRightInd w:val="0"/>
        <w:snapToGrid w:val="0"/>
        <w:spacing w:after="16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hint="eastAsia" w:ascii="黑体" w:hAnsi="黑体" w:eastAsia="黑体" w:cs="黑体"/>
          <w:b/>
          <w:bCs/>
          <w:color w:val="auto"/>
          <w:kern w:val="2"/>
          <w:sz w:val="32"/>
          <w:szCs w:val="32"/>
          <w:lang w:val="en-US" w:eastAsia="zh-CN" w:bidi="ar-SA"/>
        </w:rPr>
        <w:id w:val="147468310"/>
        <w15:color w:val="DBDBDB"/>
        <w:docPartObj>
          <w:docPartGallery w:val="Table of Contents"/>
          <w:docPartUnique/>
        </w:docPartObj>
      </w:sdtPr>
      <w:sdtEndPr>
        <w:rPr>
          <w:rFonts w:hint="eastAsia" w:ascii="黑体" w:hAnsi="黑体" w:eastAsia="黑体" w:cs="黑体"/>
          <w:b/>
          <w:bCs/>
          <w:color w:val="auto"/>
          <w:kern w:val="0"/>
          <w:sz w:val="21"/>
          <w:szCs w:val="5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目录</w:t>
          </w:r>
        </w:p>
        <w:p>
          <w:pPr>
            <w:pStyle w:val="7"/>
            <w:tabs>
              <w:tab w:val="right" w:leader="dot" w:pos="8505"/>
            </w:tabs>
            <w:rPr>
              <w:rFonts w:hint="eastAsia" w:ascii="楷体" w:hAnsi="楷体" w:eastAsia="楷体" w:cs="楷体"/>
              <w:sz w:val="32"/>
              <w:szCs w:val="32"/>
            </w:rPr>
          </w:pPr>
          <w:r>
            <w:rPr>
              <w:rFonts w:hint="eastAsia" w:ascii="楷体" w:hAnsi="楷体" w:eastAsia="楷体" w:cs="楷体"/>
              <w:b/>
              <w:bCs/>
              <w:color w:val="auto"/>
              <w:kern w:val="0"/>
              <w:sz w:val="32"/>
              <w:szCs w:val="32"/>
            </w:rPr>
            <w:fldChar w:fldCharType="begin"/>
          </w:r>
          <w:r>
            <w:rPr>
              <w:rFonts w:hint="eastAsia" w:ascii="楷体" w:hAnsi="楷体" w:eastAsia="楷体" w:cs="楷体"/>
              <w:b/>
              <w:bCs/>
              <w:color w:val="auto"/>
              <w:kern w:val="0"/>
              <w:sz w:val="32"/>
              <w:szCs w:val="32"/>
            </w:rPr>
            <w:instrText xml:space="preserve">TOC \o "1-3" \h \u </w:instrText>
          </w:r>
          <w:r>
            <w:rPr>
              <w:rFonts w:hint="eastAsia" w:ascii="楷体" w:hAnsi="楷体" w:eastAsia="楷体" w:cs="楷体"/>
              <w:b/>
              <w:bCs/>
              <w:color w:val="auto"/>
              <w:kern w:val="0"/>
              <w:sz w:val="32"/>
              <w:szCs w:val="32"/>
            </w:rPr>
            <w:fldChar w:fldCharType="separate"/>
          </w: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_Toc3732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_Toc3732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_Toc10769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_Toc10769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_Toc26915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_Toc26915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_Toc31422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_Toc31422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_Toc3881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_Toc3881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_Toc5415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_Toc5415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_Toc7326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（一）知识目标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_Toc7326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_Toc20561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（二）能力目标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_Toc20561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_Toc21410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（三）素质目标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_Toc21410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_Toc14433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七</w:t>
          </w:r>
          <w:r>
            <w:rPr>
              <w:rFonts w:hint="eastAsia" w:ascii="楷体" w:hAnsi="楷体" w:eastAsia="楷体" w:cs="楷体"/>
              <w:sz w:val="32"/>
              <w:szCs w:val="32"/>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_Toc14433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_Toc8254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_Toc8254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_Toc16335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_Toc16335 \h </w:instrText>
          </w:r>
          <w:r>
            <w:rPr>
              <w:rFonts w:hint="eastAsia" w:ascii="楷体" w:hAnsi="楷体" w:eastAsia="楷体" w:cs="楷体"/>
              <w:sz w:val="32"/>
              <w:szCs w:val="32"/>
            </w:rPr>
            <w:fldChar w:fldCharType="separate"/>
          </w:r>
          <w:r>
            <w:rPr>
              <w:rFonts w:hint="eastAsia" w:ascii="楷体" w:hAnsi="楷体" w:eastAsia="楷体" w:cs="楷体"/>
              <w:sz w:val="32"/>
              <w:szCs w:val="32"/>
            </w:rPr>
            <w:t>20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_Toc28875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（三）第二课堂素质教育课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_Toc28875 \h </w:instrText>
          </w:r>
          <w:r>
            <w:rPr>
              <w:rFonts w:hint="eastAsia" w:ascii="楷体" w:hAnsi="楷体" w:eastAsia="楷体" w:cs="楷体"/>
              <w:sz w:val="32"/>
              <w:szCs w:val="32"/>
            </w:rPr>
            <w:fldChar w:fldCharType="separate"/>
          </w:r>
          <w:r>
            <w:rPr>
              <w:rFonts w:hint="eastAsia" w:ascii="楷体" w:hAnsi="楷体" w:eastAsia="楷体" w:cs="楷体"/>
              <w:sz w:val="32"/>
              <w:szCs w:val="32"/>
            </w:rPr>
            <w:t>26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_Toc15336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_Toc15336 \h </w:instrText>
          </w:r>
          <w:r>
            <w:rPr>
              <w:rFonts w:hint="eastAsia" w:ascii="楷体" w:hAnsi="楷体" w:eastAsia="楷体" w:cs="楷体"/>
              <w:sz w:val="32"/>
              <w:szCs w:val="32"/>
            </w:rPr>
            <w:fldChar w:fldCharType="separate"/>
          </w:r>
          <w:r>
            <w:rPr>
              <w:rFonts w:hint="eastAsia" w:ascii="楷体" w:hAnsi="楷体" w:eastAsia="楷体" w:cs="楷体"/>
              <w:sz w:val="32"/>
              <w:szCs w:val="32"/>
            </w:rPr>
            <w:t>28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_Toc3879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_Toc3879 \h </w:instrText>
          </w:r>
          <w:r>
            <w:rPr>
              <w:rFonts w:hint="eastAsia" w:ascii="楷体" w:hAnsi="楷体" w:eastAsia="楷体" w:cs="楷体"/>
              <w:sz w:val="32"/>
              <w:szCs w:val="32"/>
            </w:rPr>
            <w:fldChar w:fldCharType="separate"/>
          </w:r>
          <w:r>
            <w:rPr>
              <w:rFonts w:hint="eastAsia" w:ascii="楷体" w:hAnsi="楷体" w:eastAsia="楷体" w:cs="楷体"/>
              <w:sz w:val="32"/>
              <w:szCs w:val="32"/>
            </w:rPr>
            <w:t>28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_Toc26393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（二）课程结构与学时、学分分配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_Toc26393 \h </w:instrText>
          </w:r>
          <w:r>
            <w:rPr>
              <w:rFonts w:hint="eastAsia" w:ascii="楷体" w:hAnsi="楷体" w:eastAsia="楷体" w:cs="楷体"/>
              <w:sz w:val="32"/>
              <w:szCs w:val="32"/>
            </w:rPr>
            <w:fldChar w:fldCharType="separate"/>
          </w:r>
          <w:r>
            <w:rPr>
              <w:rFonts w:hint="eastAsia" w:ascii="楷体" w:hAnsi="楷体" w:eastAsia="楷体" w:cs="楷体"/>
              <w:sz w:val="32"/>
              <w:szCs w:val="32"/>
            </w:rPr>
            <w:t>28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_Toc23521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（三） 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_Toc23521 \h </w:instrText>
          </w:r>
          <w:r>
            <w:rPr>
              <w:rFonts w:hint="eastAsia" w:ascii="楷体" w:hAnsi="楷体" w:eastAsia="楷体" w:cs="楷体"/>
              <w:sz w:val="32"/>
              <w:szCs w:val="32"/>
            </w:rPr>
            <w:fldChar w:fldCharType="separate"/>
          </w:r>
          <w:r>
            <w:rPr>
              <w:rFonts w:hint="eastAsia" w:ascii="楷体" w:hAnsi="楷体" w:eastAsia="楷体" w:cs="楷体"/>
              <w:sz w:val="32"/>
              <w:szCs w:val="32"/>
            </w:rPr>
            <w:t>29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_Toc29345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_Toc29345 \h </w:instrText>
          </w:r>
          <w:r>
            <w:rPr>
              <w:rFonts w:hint="eastAsia" w:ascii="楷体" w:hAnsi="楷体" w:eastAsia="楷体" w:cs="楷体"/>
              <w:sz w:val="32"/>
              <w:szCs w:val="32"/>
            </w:rPr>
            <w:fldChar w:fldCharType="separate"/>
          </w:r>
          <w:r>
            <w:rPr>
              <w:rFonts w:hint="eastAsia" w:ascii="楷体" w:hAnsi="楷体" w:eastAsia="楷体" w:cs="楷体"/>
              <w:sz w:val="32"/>
              <w:szCs w:val="32"/>
            </w:rPr>
            <w:t>32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_Toc20046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（一）队伍结构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_Toc20046 \h </w:instrText>
          </w:r>
          <w:r>
            <w:rPr>
              <w:rFonts w:hint="eastAsia" w:ascii="楷体" w:hAnsi="楷体" w:eastAsia="楷体" w:cs="楷体"/>
              <w:sz w:val="32"/>
              <w:szCs w:val="32"/>
            </w:rPr>
            <w:fldChar w:fldCharType="separate"/>
          </w:r>
          <w:r>
            <w:rPr>
              <w:rFonts w:hint="eastAsia" w:ascii="楷体" w:hAnsi="楷体" w:eastAsia="楷体" w:cs="楷体"/>
              <w:sz w:val="32"/>
              <w:szCs w:val="32"/>
            </w:rPr>
            <w:t>32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_Toc7660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（二）专业带头人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_Toc7660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_Toc15835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（三）专任教师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_Toc15835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_Toc22652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（四）兼职教师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_Toc22652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_Toc8067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_Toc8067 \h </w:instrText>
          </w:r>
          <w:r>
            <w:rPr>
              <w:rFonts w:hint="eastAsia" w:ascii="楷体" w:hAnsi="楷体" w:eastAsia="楷体" w:cs="楷体"/>
              <w:sz w:val="32"/>
              <w:szCs w:val="32"/>
            </w:rPr>
            <w:fldChar w:fldCharType="separate"/>
          </w:r>
          <w:r>
            <w:rPr>
              <w:rFonts w:hint="eastAsia" w:ascii="楷体" w:hAnsi="楷体" w:eastAsia="楷体" w:cs="楷体"/>
              <w:sz w:val="32"/>
              <w:szCs w:val="32"/>
            </w:rPr>
            <w:t>34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_Toc4802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（一）教学设施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_Toc4802 \h </w:instrText>
          </w:r>
          <w:r>
            <w:rPr>
              <w:rFonts w:hint="eastAsia" w:ascii="楷体" w:hAnsi="楷体" w:eastAsia="楷体" w:cs="楷体"/>
              <w:sz w:val="32"/>
              <w:szCs w:val="32"/>
            </w:rPr>
            <w:fldChar w:fldCharType="separate"/>
          </w:r>
          <w:r>
            <w:rPr>
              <w:rFonts w:hint="eastAsia" w:ascii="楷体" w:hAnsi="楷体" w:eastAsia="楷体" w:cs="楷体"/>
              <w:sz w:val="32"/>
              <w:szCs w:val="32"/>
            </w:rPr>
            <w:t>34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_Toc30698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（二）教学资源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_Toc30698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_Toc24997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（三）教学方法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_Toc24997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_Toc21540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（四）学习评价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_Toc21540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_Toc14865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lang w:val="en-US" w:eastAsia="zh-CN"/>
            </w:rPr>
            <w:t xml:space="preserve">十一、 </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_Toc14865 \h </w:instrText>
          </w:r>
          <w:r>
            <w:rPr>
              <w:rFonts w:hint="eastAsia" w:ascii="楷体" w:hAnsi="楷体" w:eastAsia="楷体" w:cs="楷体"/>
              <w:sz w:val="32"/>
              <w:szCs w:val="32"/>
            </w:rPr>
            <w:fldChar w:fldCharType="separate"/>
          </w:r>
          <w:r>
            <w:rPr>
              <w:rFonts w:hint="eastAsia" w:ascii="楷体" w:hAnsi="楷体" w:eastAsia="楷体" w:cs="楷体"/>
              <w:sz w:val="32"/>
              <w:szCs w:val="32"/>
            </w:rPr>
            <w:t>39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_Toc13636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rPr>
            <w:t xml:space="preserve">十二、 </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_Toc13636 \h </w:instrText>
          </w:r>
          <w:r>
            <w:rPr>
              <w:rFonts w:hint="eastAsia" w:ascii="楷体" w:hAnsi="楷体" w:eastAsia="楷体" w:cs="楷体"/>
              <w:sz w:val="32"/>
              <w:szCs w:val="32"/>
            </w:rPr>
            <w:fldChar w:fldCharType="separate"/>
          </w:r>
          <w:r>
            <w:rPr>
              <w:rFonts w:hint="eastAsia" w:ascii="楷体" w:hAnsi="楷体" w:eastAsia="楷体" w:cs="楷体"/>
              <w:sz w:val="32"/>
              <w:szCs w:val="32"/>
            </w:rPr>
            <w:t>39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（一）学分要求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_Toc36 \h </w:instrText>
          </w:r>
          <w:r>
            <w:rPr>
              <w:rFonts w:hint="eastAsia" w:ascii="楷体" w:hAnsi="楷体" w:eastAsia="楷体" w:cs="楷体"/>
              <w:sz w:val="32"/>
              <w:szCs w:val="32"/>
            </w:rPr>
            <w:fldChar w:fldCharType="separate"/>
          </w:r>
          <w:r>
            <w:rPr>
              <w:rFonts w:hint="eastAsia" w:ascii="楷体" w:hAnsi="楷体" w:eastAsia="楷体" w:cs="楷体"/>
              <w:sz w:val="32"/>
              <w:szCs w:val="32"/>
            </w:rPr>
            <w:t>39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_Toc26373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(二）职业类证书要求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_Toc26373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_Toc9489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_Toc9489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r>
            <w:rPr>
              <w:rFonts w:hint="eastAsia" w:ascii="楷体" w:hAnsi="楷体" w:eastAsia="楷体" w:cs="楷体"/>
              <w:bCs/>
              <w:color w:val="auto"/>
              <w:kern w:val="0"/>
              <w:sz w:val="32"/>
              <w:szCs w:val="32"/>
            </w:rPr>
            <w:fldChar w:fldCharType="end"/>
          </w:r>
        </w:p>
      </w:sdtContent>
    </w:sdt>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p>
    <w:p>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建设工程管理</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3732"/>
      <w:r>
        <w:rPr>
          <w:rFonts w:hint="eastAsia" w:ascii="黑体" w:hAnsi="黑体" w:eastAsia="黑体" w:cs="黑体"/>
          <w:color w:val="auto"/>
          <w:sz w:val="32"/>
          <w:szCs w:val="32"/>
        </w:rPr>
        <w:t>一、专业名称及代码</w:t>
      </w:r>
      <w:bookmarkEnd w:id="0"/>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Times New Roman" w:hAnsi="Times New Roman" w:eastAsia="仿宋_GB2312" w:cs="仿宋_GB2312"/>
          <w:b w:val="0"/>
          <w:bCs w:val="0"/>
          <w:color w:val="auto"/>
          <w:sz w:val="32"/>
          <w:szCs w:val="32"/>
          <w:highlight w:val="none"/>
        </w:rPr>
        <w:t>建设工程管理</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Times New Roman" w:hAnsi="Times New Roman" w:eastAsia="仿宋_GB2312" w:cs="仿宋"/>
          <w:b w:val="0"/>
          <w:bCs w:val="0"/>
          <w:color w:val="auto"/>
          <w:sz w:val="32"/>
          <w:szCs w:val="32"/>
          <w:highlight w:val="none"/>
        </w:rPr>
        <w:t>440502</w:t>
      </w:r>
      <w:r>
        <w:rPr>
          <w:rFonts w:hint="eastAsia" w:ascii="仿宋_GB2312" w:hAnsi="仿宋_GB2312" w:eastAsia="仿宋_GB2312" w:cs="仿宋_GB2312"/>
          <w:color w:val="auto"/>
          <w:sz w:val="32"/>
          <w:szCs w:val="32"/>
          <w:lang w:val="en-US" w:eastAsia="zh-CN"/>
        </w:rPr>
        <w:t xml:space="preserve"> </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10769"/>
      <w:r>
        <w:rPr>
          <w:rFonts w:hint="eastAsia" w:ascii="黑体" w:hAnsi="黑体" w:eastAsia="黑体" w:cs="黑体"/>
          <w:color w:val="auto"/>
          <w:sz w:val="32"/>
          <w:szCs w:val="32"/>
        </w:rPr>
        <w:t>二、入学要求</w:t>
      </w:r>
      <w:bookmarkEnd w:id="1"/>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26915"/>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31422"/>
      <w:r>
        <w:rPr>
          <w:rFonts w:hint="eastAsia" w:ascii="黑体" w:hAnsi="黑体" w:eastAsia="黑体" w:cs="黑体"/>
          <w:color w:val="auto"/>
          <w:sz w:val="32"/>
          <w:szCs w:val="32"/>
        </w:rPr>
        <w:t>四、职业面向</w:t>
      </w:r>
      <w:bookmarkEnd w:id="3"/>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1863"/>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7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186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218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 w:cs="仿宋"/>
                <w:color w:val="auto"/>
                <w:sz w:val="24"/>
                <w:szCs w:val="24"/>
                <w:highlight w:val="none"/>
              </w:rPr>
            </w:pPr>
            <w:bookmarkStart w:id="4" w:name="OLE_LINK1" w:colFirst="0" w:colLast="5"/>
            <w:r>
              <w:rPr>
                <w:rFonts w:hint="eastAsia" w:ascii="Times New Roman" w:hAnsi="Times New Roman" w:eastAsia="仿宋" w:cs="仿宋"/>
                <w:color w:val="auto"/>
                <w:sz w:val="24"/>
                <w:szCs w:val="24"/>
                <w:highlight w:val="none"/>
              </w:rPr>
              <w:t>土木建筑大类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eastAsia="仿宋" w:cs="仿宋"/>
                <w:color w:val="auto"/>
                <w:sz w:val="24"/>
                <w:szCs w:val="24"/>
                <w:highlight w:val="none"/>
                <w:lang w:eastAsia="zh-CN"/>
              </w:rPr>
              <w:t>(</w:t>
            </w:r>
            <w:r>
              <w:rPr>
                <w:rFonts w:hint="eastAsia" w:ascii="Times New Roman" w:hAnsi="Times New Roman" w:eastAsia="仿宋" w:cs="仿宋"/>
                <w:color w:val="auto"/>
                <w:sz w:val="24"/>
                <w:szCs w:val="24"/>
                <w:highlight w:val="none"/>
              </w:rPr>
              <w:t>44</w:t>
            </w:r>
            <w:r>
              <w:rPr>
                <w:rFonts w:hint="eastAsia" w:eastAsia="仿宋" w:cs="仿宋"/>
                <w:color w:val="auto"/>
                <w:sz w:val="24"/>
                <w:szCs w:val="24"/>
                <w:highlight w:val="none"/>
                <w:lang w:eastAsia="zh-CN"/>
              </w:rPr>
              <w:t>)</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Times New Roman" w:hAnsi="Times New Roman" w:eastAsia="仿宋" w:cs="仿宋"/>
                <w:color w:val="auto"/>
                <w:sz w:val="24"/>
                <w:szCs w:val="24"/>
                <w:highlight w:val="none"/>
              </w:rPr>
              <w:t>建设工程管理类（4405）</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Times New Roman" w:hAnsi="Times New Roman" w:eastAsia="仿宋" w:cs="仿宋"/>
                <w:color w:val="auto"/>
                <w:sz w:val="24"/>
                <w:szCs w:val="24"/>
                <w:highlight w:val="none"/>
              </w:rPr>
              <w:t>工程技术与设计服务（74</w:t>
            </w:r>
            <w:r>
              <w:rPr>
                <w:rFonts w:hint="eastAsia" w:eastAsia="仿宋" w:cs="仿宋"/>
                <w:color w:val="auto"/>
                <w:sz w:val="24"/>
                <w:szCs w:val="24"/>
                <w:highlight w:val="none"/>
                <w:lang w:val="en-US" w:eastAsia="zh-CN"/>
              </w:rPr>
              <w:t>8</w:t>
            </w:r>
            <w:r>
              <w:rPr>
                <w:rFonts w:hint="eastAsia" w:ascii="Times New Roman" w:hAnsi="Times New Roman" w:eastAsia="仿宋" w:cs="仿宋"/>
                <w:color w:val="auto"/>
                <w:sz w:val="24"/>
                <w:szCs w:val="24"/>
                <w:highlight w:val="none"/>
              </w:rPr>
              <w:t>）</w:t>
            </w:r>
          </w:p>
        </w:tc>
        <w:tc>
          <w:tcPr>
            <w:tcW w:w="17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 w:cs="仿宋"/>
                <w:color w:val="auto"/>
                <w:sz w:val="24"/>
                <w:szCs w:val="24"/>
                <w:highlight w:val="none"/>
              </w:rPr>
            </w:pPr>
            <w:r>
              <w:rPr>
                <w:rFonts w:hint="eastAsia" w:ascii="Times New Roman" w:hAnsi="Times New Roman" w:eastAsia="仿宋" w:cs="仿宋"/>
                <w:color w:val="auto"/>
                <w:sz w:val="24"/>
                <w:szCs w:val="24"/>
                <w:highlight w:val="none"/>
              </w:rPr>
              <w:t>项目管理工程技术人员</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eastAsia="仿宋" w:cs="仿宋"/>
                <w:color w:val="auto"/>
                <w:sz w:val="24"/>
                <w:szCs w:val="24"/>
                <w:highlight w:val="none"/>
                <w:lang w:eastAsia="zh-CN"/>
              </w:rPr>
              <w:t>(</w:t>
            </w:r>
            <w:r>
              <w:rPr>
                <w:rFonts w:hint="eastAsia" w:ascii="Times New Roman" w:hAnsi="Times New Roman" w:eastAsia="仿宋" w:cs="仿宋"/>
                <w:color w:val="auto"/>
                <w:sz w:val="24"/>
                <w:szCs w:val="24"/>
                <w:highlight w:val="none"/>
              </w:rPr>
              <w:t>2-02-30-04</w:t>
            </w:r>
            <w:r>
              <w:rPr>
                <w:rFonts w:hint="eastAsia" w:eastAsia="仿宋" w:cs="仿宋"/>
                <w:color w:val="auto"/>
                <w:sz w:val="24"/>
                <w:szCs w:val="24"/>
                <w:highlight w:val="none"/>
                <w:lang w:eastAsia="zh-CN"/>
              </w:rPr>
              <w:t>)</w:t>
            </w:r>
          </w:p>
        </w:tc>
        <w:tc>
          <w:tcPr>
            <w:tcW w:w="186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Times New Roman" w:hAnsi="Times New Roman" w:eastAsia="仿宋" w:cs="仿宋"/>
                <w:color w:val="auto"/>
                <w:sz w:val="24"/>
                <w:szCs w:val="24"/>
                <w:highlight w:val="none"/>
              </w:rPr>
              <w:t>建设工程项目施工质量管理、安全与环境管理、成本管理、进度管理、资料管理、合同管理</w:t>
            </w:r>
          </w:p>
        </w:tc>
        <w:tc>
          <w:tcPr>
            <w:tcW w:w="218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 w:cs="仿宋"/>
                <w:color w:val="auto"/>
                <w:sz w:val="24"/>
                <w:szCs w:val="24"/>
                <w:highlight w:val="none"/>
              </w:rPr>
            </w:pPr>
            <w:r>
              <w:rPr>
                <w:rFonts w:hint="eastAsia" w:ascii="Times New Roman" w:hAnsi="Times New Roman" w:eastAsia="仿宋" w:cs="仿宋"/>
                <w:color w:val="auto"/>
                <w:sz w:val="24"/>
                <w:szCs w:val="24"/>
                <w:highlight w:val="none"/>
              </w:rPr>
              <w:t>建造师、造价工程师、监理工程师、建筑工程施工工艺实施与管理、</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Times New Roman" w:hAnsi="Times New Roman" w:eastAsia="仿宋" w:cs="仿宋"/>
                <w:color w:val="auto"/>
                <w:sz w:val="24"/>
                <w:szCs w:val="24"/>
                <w:highlight w:val="none"/>
              </w:rPr>
              <w:t>建筑信息模型（BIM）、工程造价数字化应用</w:t>
            </w:r>
          </w:p>
        </w:tc>
      </w:tr>
      <w:bookmarkEnd w:id="4"/>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5" w:name="_Toc3881"/>
      <w:r>
        <w:rPr>
          <w:rFonts w:hint="eastAsia" w:ascii="黑体" w:hAnsi="黑体" w:eastAsia="黑体" w:cs="黑体"/>
          <w:color w:val="auto"/>
          <w:sz w:val="32"/>
          <w:szCs w:val="32"/>
        </w:rPr>
        <w:t>五、培养目标</w:t>
      </w:r>
      <w:bookmarkEnd w:id="5"/>
    </w:p>
    <w:p>
      <w:pPr>
        <w:keepNext w:val="0"/>
        <w:keepLines w:val="0"/>
        <w:pageBreakBefore w:val="0"/>
        <w:widowControl w:val="0"/>
        <w:kinsoku/>
        <w:wordWrap/>
        <w:overflowPunct w:val="0"/>
        <w:topLinePunct w:val="0"/>
        <w:autoSpaceDE/>
        <w:autoSpaceDN/>
        <w:bidi w:val="0"/>
        <w:adjustRightInd w:val="0"/>
        <w:snapToGrid/>
        <w:spacing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rPr>
        <w:t>本专业培养能够践行社会主义核心价值观，传承技能文明，德智体美劳全面发展，具有一定的科学文化水平，良好的人文素养、科学素养、数字素养、职业道德、创新意识，爱岗敬业的职业精神和精益求精的工匠精神。学生需具备扎实的工程管理理论与实践能力，熟悉东盟工程规范及RCEP国际合作规则，能胜任中小型建设项目全流程管理，包括施工质量监督、安全环保管控、招投标与合同管理等工作。注重锤炼“精益求精”的工匠精神与“担当有为”的家国情怀，培养扎根边疆、服务东盟的职业素养，兼具创新意识与数字技术应用能力，为壮美广西建设输送懂技术、善管理、国际化的复合型建设工程管理人才。</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6" w:name="_Toc5415"/>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rPr>
        <w:t>本专业毕业生应在知识</w:t>
      </w:r>
      <w:r>
        <w:rPr>
          <w:rFonts w:hint="eastAsia" w:eastAsia="仿宋_GB2312" w:cs="仿宋"/>
          <w:b w:val="0"/>
          <w:bCs w:val="0"/>
          <w:color w:val="auto"/>
          <w:sz w:val="32"/>
          <w:szCs w:val="32"/>
          <w:highlight w:val="none"/>
          <w:lang w:eastAsia="zh-CN"/>
        </w:rPr>
        <w:t>、</w:t>
      </w:r>
      <w:r>
        <w:rPr>
          <w:rFonts w:hint="eastAsia" w:ascii="Times New Roman" w:hAnsi="Times New Roman" w:eastAsia="仿宋_GB2312" w:cs="仿宋"/>
          <w:b w:val="0"/>
          <w:bCs w:val="0"/>
          <w:color w:val="auto"/>
          <w:sz w:val="32"/>
          <w:szCs w:val="32"/>
          <w:highlight w:val="none"/>
        </w:rPr>
        <w:t>能力</w:t>
      </w:r>
      <w:r>
        <w:rPr>
          <w:rFonts w:hint="eastAsia" w:eastAsia="仿宋_GB2312" w:cs="仿宋"/>
          <w:b w:val="0"/>
          <w:bCs w:val="0"/>
          <w:color w:val="auto"/>
          <w:sz w:val="32"/>
          <w:szCs w:val="32"/>
          <w:highlight w:val="none"/>
          <w:lang w:eastAsia="zh-CN"/>
        </w:rPr>
        <w:t>和素质</w:t>
      </w:r>
      <w:r>
        <w:rPr>
          <w:rFonts w:hint="eastAsia" w:ascii="Times New Roman" w:hAnsi="Times New Roman" w:eastAsia="仿宋_GB2312" w:cs="仿宋"/>
          <w:b w:val="0"/>
          <w:bCs w:val="0"/>
          <w:color w:val="auto"/>
          <w:sz w:val="32"/>
          <w:szCs w:val="32"/>
          <w:highlight w:val="none"/>
        </w:rPr>
        <w:t>等方面达到以下要求：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b w:val="0"/>
          <w:bCs w:val="0"/>
          <w:color w:val="auto"/>
          <w:sz w:val="32"/>
          <w:szCs w:val="32"/>
          <w:highlight w:val="none"/>
          <w:lang w:val="en-US" w:eastAsia="zh-CN"/>
        </w:rPr>
      </w:pPr>
      <w:bookmarkStart w:id="7" w:name="_Toc7326"/>
      <w:r>
        <w:rPr>
          <w:rFonts w:hint="eastAsia" w:ascii="楷体" w:hAnsi="楷体" w:eastAsia="楷体" w:cs="楷体"/>
          <w:b w:val="0"/>
          <w:bCs w:val="0"/>
          <w:color w:val="auto"/>
          <w:sz w:val="32"/>
          <w:szCs w:val="32"/>
          <w:highlight w:val="none"/>
          <w:lang w:val="en-US" w:eastAsia="zh-CN"/>
        </w:rPr>
        <w:t>（一）知识目标</w:t>
      </w:r>
      <w:bookmarkEnd w:id="7"/>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val="en-US"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w:t>
      </w:r>
      <w:r>
        <w:rPr>
          <w:rFonts w:hint="eastAsia" w:ascii="Times New Roman" w:hAnsi="Times New Roman" w:eastAsia="仿宋_GB2312" w:cs="仿宋"/>
          <w:b w:val="0"/>
          <w:bCs w:val="0"/>
          <w:color w:val="auto"/>
          <w:sz w:val="32"/>
          <w:szCs w:val="32"/>
          <w:highlight w:val="none"/>
          <w:lang w:val="en-US" w:eastAsia="zh-CN"/>
        </w:rPr>
        <w:t>）掌握必备的思想政治理论、科学文化基础知识和中华优秀传统文化知识。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val="en-US"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2</w:t>
      </w:r>
      <w:r>
        <w:rPr>
          <w:rFonts w:hint="eastAsia" w:ascii="Times New Roman" w:hAnsi="Times New Roman" w:eastAsia="仿宋_GB2312" w:cs="仿宋"/>
          <w:b w:val="0"/>
          <w:bCs w:val="0"/>
          <w:color w:val="auto"/>
          <w:sz w:val="32"/>
          <w:szCs w:val="32"/>
          <w:highlight w:val="none"/>
          <w:lang w:val="en-US" w:eastAsia="zh-CN"/>
        </w:rPr>
        <w:t>）熟悉与本专业相关的法律法规以及环境保护、安全消防、文明生产等知识。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val="en-US"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3</w:t>
      </w:r>
      <w:r>
        <w:rPr>
          <w:rFonts w:hint="eastAsia" w:ascii="Times New Roman" w:hAnsi="Times New Roman" w:eastAsia="仿宋_GB2312" w:cs="仿宋"/>
          <w:b w:val="0"/>
          <w:bCs w:val="0"/>
          <w:color w:val="auto"/>
          <w:sz w:val="32"/>
          <w:szCs w:val="32"/>
          <w:highlight w:val="none"/>
          <w:lang w:val="en-US" w:eastAsia="zh-CN"/>
        </w:rPr>
        <w:t>）熟悉建设工程构造知识。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val="en-US"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4</w:t>
      </w:r>
      <w:r>
        <w:rPr>
          <w:rFonts w:hint="eastAsia" w:ascii="Times New Roman" w:hAnsi="Times New Roman" w:eastAsia="仿宋_GB2312" w:cs="仿宋"/>
          <w:b w:val="0"/>
          <w:bCs w:val="0"/>
          <w:color w:val="auto"/>
          <w:sz w:val="32"/>
          <w:szCs w:val="32"/>
          <w:highlight w:val="none"/>
          <w:lang w:val="en-US" w:eastAsia="zh-CN"/>
        </w:rPr>
        <w:t>）熟悉工程力学、工程结构知识。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5</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掌握施工图绘制与识读知识。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6</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熟悉建筑材料性能和检测方法。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7</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掌握工程测量知识。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8</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掌握建设工程施工工艺和施工技术要求。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9</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掌握建设工程施工质量与安全知识。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10</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掌握建设工程计量与计价知识。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11</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掌握建设工程招投标与合同管理知识。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12</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掌握建设工程施工组织与进度管理知识。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13</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掌握建设工程信息与资料管理知识。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14</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了解工程经济知识。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w:t>
      </w:r>
      <w:r>
        <w:rPr>
          <w:rFonts w:hint="eastAsia" w:eastAsia="仿宋_GB2312" w:cs="仿宋"/>
          <w:b w:val="0"/>
          <w:bCs w:val="0"/>
          <w:color w:val="auto"/>
          <w:sz w:val="32"/>
          <w:szCs w:val="32"/>
          <w:highlight w:val="none"/>
          <w:lang w:val="en-US" w:eastAsia="zh-CN"/>
        </w:rPr>
        <w:t>5</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掌握工程管理核心理论与技术，熟悉中国—东盟合作框架下工程规范及广西喀斯特地貌施工技术，具备绿色低碳建造、BIM协同管理及民族地区乡村振兴项目策划知识。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b w:val="0"/>
          <w:bCs w:val="0"/>
          <w:color w:val="auto"/>
          <w:sz w:val="32"/>
          <w:szCs w:val="32"/>
          <w:highlight w:val="none"/>
          <w:lang w:val="en-US" w:eastAsia="zh-CN"/>
        </w:rPr>
      </w:pPr>
      <w:bookmarkStart w:id="8" w:name="_Toc20561"/>
      <w:r>
        <w:rPr>
          <w:rFonts w:hint="eastAsia" w:ascii="楷体" w:hAnsi="楷体" w:eastAsia="楷体" w:cs="楷体"/>
          <w:b w:val="0"/>
          <w:bCs w:val="0"/>
          <w:color w:val="auto"/>
          <w:sz w:val="32"/>
          <w:szCs w:val="32"/>
          <w:highlight w:val="none"/>
          <w:lang w:val="en-US" w:eastAsia="zh-CN"/>
        </w:rPr>
        <w:t>（二）能力目标</w:t>
      </w:r>
      <w:bookmarkEnd w:id="8"/>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具有探究学习、终身学习、分析问题和解决问题的能力。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2</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具有良好的语言、文字表达能力和沟通能力。</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Chars="0" w:firstLine="640" w:firstLineChars="200"/>
        <w:textAlignment w:val="auto"/>
        <w:rPr>
          <w:rFonts w:hint="eastAsia" w:ascii="Times New Roman" w:hAnsi="Times New Roman" w:eastAsia="仿宋_GB2312" w:cs="仿宋"/>
          <w:b w:val="0"/>
          <w:bCs w:val="0"/>
          <w:color w:val="auto"/>
          <w:sz w:val="32"/>
          <w:szCs w:val="32"/>
          <w:highlight w:val="none"/>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3</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rPr>
        <w:t>具有施工图绘制和识读的能力。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4</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具有建筑材料识别、选用和现场检测的能力。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5</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具有定位放线、复核等工程测量的能力。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6</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具有参与编制专项施工方案和施工组织设计的能力。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7</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具有参与编制工程量清单及工程商务报价的能力。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8</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具有合同管理与索赔的能力。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9</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具有现场施工组织和协调能力。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10</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具有施工现场安全管理的能力，能够收集、整理及编制施工安全管理资料。</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11</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具有建设工程施工质量管理的能力，能够收集、整理及编制施工质量验收资料。</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12</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具有参与编制招(投)标文件和组织招(投)标的能力。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13</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提倡具有BIM技术应用能力。</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1</w:t>
      </w:r>
      <w:r>
        <w:rPr>
          <w:rFonts w:hint="eastAsia" w:eastAsia="仿宋_GB2312" w:cs="仿宋"/>
          <w:b w:val="0"/>
          <w:bCs w:val="0"/>
          <w:color w:val="auto"/>
          <w:sz w:val="32"/>
          <w:szCs w:val="32"/>
          <w:highlight w:val="none"/>
          <w:lang w:val="en-US" w:eastAsia="zh-CN"/>
        </w:rPr>
        <w:t>4</w:t>
      </w:r>
      <w:r>
        <w:rPr>
          <w:rFonts w:hint="eastAsia" w:ascii="Times New Roman" w:hAnsi="Times New Roman" w:eastAsia="仿宋_GB2312" w:cs="仿宋"/>
          <w:b w:val="0"/>
          <w:bCs w:val="0"/>
          <w:color w:val="auto"/>
          <w:sz w:val="32"/>
          <w:szCs w:val="32"/>
          <w:highlight w:val="none"/>
          <w:lang w:val="en-US" w:eastAsia="zh-CN"/>
        </w:rPr>
        <w:t>）</w:t>
      </w:r>
      <w:r>
        <w:rPr>
          <w:rFonts w:hint="eastAsia" w:ascii="Times New Roman" w:hAnsi="Times New Roman" w:eastAsia="仿宋_GB2312" w:cs="仿宋"/>
          <w:b w:val="0"/>
          <w:bCs w:val="0"/>
          <w:color w:val="auto"/>
          <w:sz w:val="32"/>
          <w:szCs w:val="32"/>
          <w:highlight w:val="none"/>
          <w:lang w:eastAsia="zh-CN"/>
        </w:rPr>
        <w:t>具备复杂工程（跨境、山地等）全流程管理能力，熟练运用数字化工具（如智慧工地系统）进行资源优化，能统筹西部陆海新通道建设项目的质量、安全与成本控制。</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b w:val="0"/>
          <w:bCs w:val="0"/>
          <w:color w:val="auto"/>
          <w:sz w:val="32"/>
          <w:szCs w:val="32"/>
          <w:highlight w:val="none"/>
          <w:lang w:val="en-US" w:eastAsia="zh-CN"/>
        </w:rPr>
      </w:pPr>
      <w:bookmarkStart w:id="9" w:name="_Toc21410"/>
      <w:r>
        <w:rPr>
          <w:rFonts w:hint="eastAsia" w:ascii="楷体" w:hAnsi="楷体" w:eastAsia="楷体" w:cs="楷体"/>
          <w:b w:val="0"/>
          <w:bCs w:val="0"/>
          <w:color w:val="auto"/>
          <w:sz w:val="32"/>
          <w:szCs w:val="32"/>
          <w:highlight w:val="none"/>
          <w:lang w:val="en-US" w:eastAsia="zh-CN"/>
        </w:rPr>
        <w:t>（三）素质目标</w:t>
      </w:r>
      <w:bookmarkEnd w:id="9"/>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eastAsia="zh-CN"/>
        </w:rPr>
        <w:t>（1）坚定拥护中国共产党领导和我国社会主义制度，在习近平新时代中国特色社会主义思想指引下，践行社会主义核心价值观，具有深厚的爱国情感和中华民族自豪感。</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eastAsia="zh-CN"/>
        </w:rPr>
        <w:t>（2）崇尚宪法、遵法守纪、崇德向善、诚实守信、尊重生命、热爱劳动，履行道德准则和行为规范，具有社会责任感和社会参与意识。</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eastAsia="zh-CN"/>
        </w:rPr>
        <w:t>（3）具有质量意识、环保意识、安全意识、信息素养、工匠精神、创新思维。</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eastAsia="zh-CN"/>
        </w:rPr>
        <w:t>（4）勇于奋斗、乐观向上，具有自我管理能力、职业生涯规划的意识，有较强的集体意识和团队合作精神。</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eastAsia="zh-CN"/>
        </w:rPr>
        <w:t>（5）具有健康的体魄、心理和健全的人格，掌握基本运动知识和1—2项运动技能，养成良好的健身与卫生习惯，以及良好的行为习惯。</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
          <w:b w:val="0"/>
          <w:bCs w:val="0"/>
          <w:color w:val="auto"/>
          <w:sz w:val="32"/>
          <w:szCs w:val="32"/>
          <w:highlight w:val="none"/>
          <w:lang w:eastAsia="zh-CN"/>
        </w:rPr>
      </w:pPr>
      <w:r>
        <w:rPr>
          <w:rFonts w:hint="eastAsia" w:ascii="Times New Roman" w:hAnsi="Times New Roman" w:eastAsia="仿宋_GB2312" w:cs="仿宋"/>
          <w:b w:val="0"/>
          <w:bCs w:val="0"/>
          <w:color w:val="auto"/>
          <w:sz w:val="32"/>
          <w:szCs w:val="32"/>
          <w:highlight w:val="none"/>
          <w:lang w:eastAsia="zh-CN"/>
        </w:rPr>
        <w:t>（6）具有一定的审美和人文素养，能够形成1—2项艺术特长或爱好。</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楷体" w:hAnsi="楷体" w:eastAsia="楷体" w:cs="楷体"/>
          <w:color w:val="auto"/>
          <w:sz w:val="32"/>
          <w:szCs w:val="32"/>
        </w:rPr>
      </w:pPr>
      <w:r>
        <w:rPr>
          <w:rFonts w:hint="eastAsia" w:ascii="Times New Roman" w:hAnsi="Times New Roman" w:eastAsia="仿宋_GB2312" w:cs="仿宋"/>
          <w:b w:val="0"/>
          <w:bCs w:val="0"/>
          <w:color w:val="auto"/>
          <w:sz w:val="32"/>
          <w:szCs w:val="32"/>
          <w:highlight w:val="none"/>
          <w:lang w:eastAsia="zh-CN"/>
        </w:rPr>
        <w:t>（</w:t>
      </w:r>
      <w:r>
        <w:rPr>
          <w:rFonts w:hint="eastAsia" w:eastAsia="仿宋_GB2312" w:cs="仿宋"/>
          <w:b w:val="0"/>
          <w:bCs w:val="0"/>
          <w:color w:val="auto"/>
          <w:sz w:val="32"/>
          <w:szCs w:val="32"/>
          <w:highlight w:val="none"/>
          <w:lang w:val="en-US" w:eastAsia="zh-CN"/>
        </w:rPr>
        <w:t>7</w:t>
      </w:r>
      <w:r>
        <w:rPr>
          <w:rFonts w:hint="eastAsia" w:ascii="Times New Roman" w:hAnsi="Times New Roman" w:eastAsia="仿宋_GB2312" w:cs="仿宋"/>
          <w:b w:val="0"/>
          <w:bCs w:val="0"/>
          <w:color w:val="auto"/>
          <w:sz w:val="32"/>
          <w:szCs w:val="32"/>
          <w:highlight w:val="none"/>
          <w:lang w:eastAsia="zh-CN"/>
        </w:rPr>
        <w:t>）践行“山水林田湖草沙”系统治理理念，扎根八桂大地，兼具壮乡工匠精神与国际工程视野，恪守生态文明底线，服务边疆高质量发展。</w:t>
      </w:r>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0" w:name="_Toc14433"/>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11" w:name="_Toc8254"/>
      <w:r>
        <w:rPr>
          <w:rFonts w:hint="eastAsia" w:ascii="楷体" w:hAnsi="楷体" w:eastAsia="楷体" w:cs="楷体"/>
          <w:color w:val="auto"/>
          <w:sz w:val="32"/>
          <w:szCs w:val="32"/>
        </w:rPr>
        <w:t>（一）公共基础课程</w:t>
      </w:r>
      <w:bookmarkEnd w:id="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253"/>
        <w:gridCol w:w="3094"/>
        <w:gridCol w:w="2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spacing w:line="360" w:lineRule="exact"/>
              <w:jc w:val="center"/>
              <w:rPr>
                <w:rFonts w:hint="eastAsia" w:ascii="仿宋_GB2312" w:hAnsi="仿宋_GB2312" w:eastAsia="仿宋_GB2312" w:cs="仿宋_GB2312"/>
                <w:color w:val="auto"/>
                <w:sz w:val="24"/>
                <w:szCs w:val="24"/>
              </w:rPr>
            </w:pPr>
            <w:bookmarkStart w:id="13" w:name="_Toc90734979"/>
            <w:bookmarkStart w:id="14" w:name="_Toc2022"/>
            <w:r>
              <w:rPr>
                <w:rFonts w:hint="eastAsia" w:ascii="仿宋_GB2312" w:hAnsi="仿宋_GB2312" w:eastAsia="仿宋_GB2312" w:cs="仿宋_GB2312"/>
                <w:color w:val="auto"/>
                <w:sz w:val="24"/>
                <w:szCs w:val="24"/>
              </w:rPr>
              <w:t>序号</w:t>
            </w:r>
            <w:bookmarkEnd w:id="13"/>
            <w:bookmarkEnd w:id="14"/>
          </w:p>
        </w:tc>
        <w:tc>
          <w:tcPr>
            <w:tcW w:w="752" w:type="dxa"/>
            <w:vAlign w:val="center"/>
          </w:tcPr>
          <w:p>
            <w:pPr>
              <w:spacing w:line="360" w:lineRule="exact"/>
              <w:jc w:val="center"/>
              <w:rPr>
                <w:rFonts w:hint="eastAsia" w:ascii="仿宋_GB2312" w:hAnsi="仿宋_GB2312" w:eastAsia="仿宋_GB2312" w:cs="仿宋_GB2312"/>
                <w:color w:val="auto"/>
                <w:sz w:val="24"/>
                <w:szCs w:val="24"/>
              </w:rPr>
            </w:pPr>
            <w:bookmarkStart w:id="15" w:name="_Toc90734980"/>
            <w:bookmarkStart w:id="16" w:name="_Toc2635"/>
            <w:r>
              <w:rPr>
                <w:rFonts w:hint="eastAsia" w:ascii="仿宋_GB2312" w:hAnsi="仿宋_GB2312" w:eastAsia="仿宋_GB2312" w:cs="仿宋_GB2312"/>
                <w:color w:val="auto"/>
                <w:sz w:val="24"/>
                <w:szCs w:val="24"/>
              </w:rPr>
              <w:t>课程名称</w:t>
            </w:r>
            <w:bookmarkEnd w:id="15"/>
            <w:bookmarkEnd w:id="16"/>
          </w:p>
        </w:tc>
        <w:tc>
          <w:tcPr>
            <w:tcW w:w="4253" w:type="dxa"/>
            <w:vAlign w:val="center"/>
          </w:tcPr>
          <w:p>
            <w:pPr>
              <w:spacing w:line="360" w:lineRule="exact"/>
              <w:jc w:val="center"/>
              <w:rPr>
                <w:rFonts w:hint="eastAsia" w:ascii="仿宋_GB2312" w:hAnsi="仿宋_GB2312" w:eastAsia="仿宋_GB2312" w:cs="仿宋_GB2312"/>
                <w:color w:val="auto"/>
                <w:sz w:val="24"/>
                <w:szCs w:val="24"/>
              </w:rPr>
            </w:pPr>
            <w:bookmarkStart w:id="17" w:name="_Toc90734981"/>
            <w:bookmarkStart w:id="18" w:name="_Toc24608"/>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bookmarkEnd w:id="17"/>
            <w:bookmarkEnd w:id="18"/>
          </w:p>
        </w:tc>
        <w:tc>
          <w:tcPr>
            <w:tcW w:w="3094" w:type="dxa"/>
            <w:vAlign w:val="center"/>
          </w:tcPr>
          <w:p>
            <w:pPr>
              <w:spacing w:line="360" w:lineRule="exact"/>
              <w:jc w:val="center"/>
              <w:rPr>
                <w:rFonts w:hint="eastAsia" w:ascii="仿宋_GB2312" w:hAnsi="仿宋_GB2312" w:eastAsia="仿宋_GB2312" w:cs="仿宋_GB2312"/>
                <w:color w:val="auto"/>
                <w:sz w:val="24"/>
                <w:szCs w:val="24"/>
              </w:rPr>
            </w:pPr>
            <w:bookmarkStart w:id="19" w:name="_Toc23051"/>
            <w:bookmarkStart w:id="20" w:name="_Toc90734982"/>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19"/>
            <w:bookmarkEnd w:id="20"/>
          </w:p>
        </w:tc>
        <w:tc>
          <w:tcPr>
            <w:tcW w:w="2167" w:type="dxa"/>
            <w:vAlign w:val="center"/>
          </w:tcPr>
          <w:p>
            <w:pPr>
              <w:spacing w:line="36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思想道德与法治</w:t>
            </w:r>
          </w:p>
        </w:tc>
        <w:tc>
          <w:tcPr>
            <w:tcW w:w="425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9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16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425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09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167"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4253"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09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167"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25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25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09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167"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253"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09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167"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p>
        </w:tc>
        <w:tc>
          <w:tcPr>
            <w:tcW w:w="2167" w:type="dxa"/>
            <w:shd w:val="clear" w:color="auto" w:fill="auto"/>
            <w:vAlign w:val="top"/>
          </w:tcPr>
          <w:p>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425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09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16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425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09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167"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物理</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化学</w:t>
            </w:r>
          </w:p>
        </w:tc>
        <w:tc>
          <w:tcPr>
            <w:tcW w:w="425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30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16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1" w:name="_Toc16335"/>
      <w:r>
        <w:rPr>
          <w:rFonts w:hint="eastAsia" w:ascii="楷体" w:hAnsi="楷体" w:eastAsia="楷体" w:cs="楷体"/>
          <w:color w:val="auto"/>
          <w:sz w:val="32"/>
          <w:szCs w:val="32"/>
        </w:rPr>
        <w:t>（二）专业课程</w:t>
      </w:r>
      <w:bookmarkEnd w:id="2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22" w:name="_Toc20305"/>
      <w:bookmarkStart w:id="23" w:name="_Toc90734975"/>
      <w:r>
        <w:rPr>
          <w:rFonts w:hint="eastAsia" w:ascii="仿宋_GB2312" w:hAnsi="仿宋_GB2312" w:eastAsia="仿宋_GB2312" w:cs="仿宋_GB2312"/>
          <w:color w:val="auto"/>
          <w:sz w:val="32"/>
          <w:szCs w:val="32"/>
        </w:rPr>
        <w:t>1.专业基础课程</w:t>
      </w:r>
      <w:bookmarkEnd w:id="22"/>
      <w:bookmarkEnd w:id="2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
          <w:color w:val="auto"/>
          <w:kern w:val="2"/>
          <w:sz w:val="32"/>
          <w:szCs w:val="32"/>
          <w:lang w:val="en-US" w:eastAsia="zh-CN" w:bidi="ar-SA"/>
        </w:rPr>
        <w:t>专业基础课是为后续专业课程学习打基础的课程。包括：</w:t>
      </w:r>
      <w:r>
        <w:rPr>
          <w:rFonts w:hint="eastAsia" w:ascii="Times New Roman" w:hAnsi="Times New Roman" w:eastAsia="仿宋_GB2312" w:cs="仿宋"/>
          <w:color w:val="auto"/>
          <w:kern w:val="2"/>
          <w:sz w:val="32"/>
          <w:szCs w:val="32"/>
          <w:highlight w:val="none"/>
          <w:lang w:val="en-US" w:eastAsia="zh-CN" w:bidi="ar-SA"/>
        </w:rPr>
        <w:t>建筑材料</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建筑构造与识图</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工程测量</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建设工程法律法规</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建筑CAD</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建筑力学与结构1</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管理学基础</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建筑力学与结构2</w:t>
      </w:r>
      <w:r>
        <w:rPr>
          <w:rFonts w:hint="eastAsia" w:eastAsia="仿宋_GB2312" w:cs="仿宋"/>
          <w:color w:val="auto"/>
          <w:kern w:val="2"/>
          <w:sz w:val="32"/>
          <w:szCs w:val="32"/>
          <w:highlight w:val="none"/>
          <w:lang w:val="en-US" w:eastAsia="zh-CN" w:bidi="ar-SA"/>
        </w:rPr>
        <w:t>、</w:t>
      </w:r>
      <w:r>
        <w:rPr>
          <w:rFonts w:hint="eastAsia" w:ascii="Times New Roman" w:hAnsi="Times New Roman" w:eastAsia="仿宋_GB2312" w:cs="仿宋"/>
          <w:color w:val="auto"/>
          <w:kern w:val="2"/>
          <w:sz w:val="32"/>
          <w:szCs w:val="32"/>
          <w:highlight w:val="none"/>
          <w:lang w:val="en-US" w:eastAsia="zh-CN" w:bidi="ar-SA"/>
        </w:rPr>
        <w:t>BIM概论与技术应用等</w:t>
      </w:r>
      <w:r>
        <w:rPr>
          <w:rFonts w:hint="eastAsia" w:ascii="Times New Roman" w:hAnsi="Times New Roman" w:eastAsia="仿宋_GB2312" w:cs="仿宋"/>
          <w:color w:val="auto"/>
          <w:spacing w:val="-4"/>
          <w:sz w:val="32"/>
          <w:szCs w:val="32"/>
        </w:rPr>
        <w:t>课程</w:t>
      </w:r>
      <w:r>
        <w:rPr>
          <w:rFonts w:hint="eastAsia" w:ascii="Times New Roman" w:hAnsi="Times New Roman" w:eastAsia="仿宋_GB2312" w:cs="仿宋"/>
          <w:color w:val="auto"/>
          <w:spacing w:val="-4"/>
          <w:sz w:val="32"/>
          <w:szCs w:val="32"/>
          <w:lang w:eastAsia="zh-CN"/>
        </w:rPr>
        <w:t>。</w:t>
      </w:r>
    </w:p>
    <w:p>
      <w:pPr>
        <w:overflowPunct w:val="0"/>
        <w:adjustRightInd w:val="0"/>
        <w:spacing w:line="520" w:lineRule="exact"/>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4951"/>
        <w:gridCol w:w="1885"/>
        <w:gridCol w:w="2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序号</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课程名称</w:t>
            </w:r>
          </w:p>
        </w:tc>
        <w:tc>
          <w:tcPr>
            <w:tcW w:w="4951"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188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07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建筑材料</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掌握建筑材料的基本性质、分类及应用。</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能够根据工程需求选择合适的建筑材料。</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培养科学、严谨的建筑材料选用态度。</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增强环保意识，理解绿色建材的重要性。</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建筑材料的物理、力学性质；无机胶凝材料、混凝土、砂浆、金属材料、木材等的基本组成、性能及应用。</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学生能够识别常用建筑材料，理解其性能特点，并能在实际工程中合理选用。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bookmarkStart w:id="24" w:name="_Hlk194587108"/>
            <w:r>
              <w:rPr>
                <w:rFonts w:hint="eastAsia" w:ascii="仿宋_GB2312" w:hAnsi="仿宋_GB2312" w:eastAsia="仿宋_GB2312" w:cs="仿宋_GB2312"/>
                <w:color w:val="auto"/>
                <w:sz w:val="24"/>
                <w:szCs w:val="24"/>
                <w:lang w:val="en-US" w:eastAsia="zh-CN"/>
              </w:rPr>
              <w:t>2</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建筑构造与识图</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掌握建筑的基本构造原理和方法，熟悉建筑图纸的识读。</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能够独立识读建筑图纸，理解建筑构造细节。</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培养空间想象能力和细致入微的观察力。</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强化规范意识，理解建筑构造中的安全原则。</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建筑的基本构造组成；墙体、楼地层、楼梯、屋顶、门窗等构造原理；建筑图纸的识读方法。</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学生能够熟练识读建筑图纸，理解建筑构造原理，并具备一定的建筑构造设计能力。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bookmarkStart w:id="25" w:name="_Toc90734977"/>
            <w:r>
              <w:rPr>
                <w:rFonts w:hint="eastAsia" w:ascii="仿宋_GB2312" w:hAnsi="仿宋_GB2312" w:eastAsia="仿宋_GB2312" w:cs="仿宋_GB2312"/>
                <w:color w:val="auto"/>
                <w:sz w:val="24"/>
                <w:szCs w:val="24"/>
                <w:lang w:val="en-US" w:eastAsia="zh-CN"/>
              </w:rPr>
              <w:t>3</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工程测量</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掌握工程测量的基本原理和方法。</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能够运用测量仪器进行工程测量，处理测量数据。</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pacing w:val="-11"/>
                <w:sz w:val="24"/>
                <w:szCs w:val="24"/>
                <w:lang w:val="en-US" w:eastAsia="zh-CN"/>
              </w:rPr>
              <w:t>培养严谨的科学态度和团队协作精神。</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增强实践操作能力，理解测量在工程建设中的重要性。</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测量学的基本知识；水准测量、角度测量、距离测量等基本方法；测量误差的处理。</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学生能够熟练操作测量仪器，准确进行工程测量，并正确处理测量数据。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建设工程法律法规</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掌握建设工程相关的法律法规。</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能够运用法律法规解决工程实际问题。</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培养法律意识和合规意识。</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强化法治观念，理解法律法规在工程建设中的保障作用。</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建设工程法律法规体系；建筑法、招标投标法、</w:t>
            </w:r>
            <w:r>
              <w:rPr>
                <w:rFonts w:hint="eastAsia" w:ascii="仿宋_GB2312" w:hAnsi="仿宋_GB2312" w:eastAsia="仿宋_GB2312" w:cs="仿宋_GB2312"/>
                <w:color w:val="auto"/>
                <w:sz w:val="24"/>
                <w:szCs w:val="24"/>
                <w:highlight w:val="none"/>
                <w:lang w:val="en-US" w:eastAsia="zh-CN"/>
              </w:rPr>
              <w:t>合同法</w:t>
            </w:r>
            <w:r>
              <w:rPr>
                <w:rFonts w:hint="eastAsia" w:ascii="仿宋_GB2312" w:hAnsi="仿宋_GB2312" w:eastAsia="仿宋_GB2312" w:cs="仿宋_GB2312"/>
                <w:color w:val="auto"/>
                <w:sz w:val="24"/>
                <w:szCs w:val="24"/>
                <w:lang w:val="en-US" w:eastAsia="zh-CN"/>
              </w:rPr>
              <w:t>等在工程建设中的应用。</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学生能够熟悉并掌握建设工程相关的法律法规，具备运用法律知识解决工程实际问题的能力。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建筑CAD</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掌握CAD软件的基本操作和建筑绘图技巧。</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能够运用CAD软件绘制建筑图纸。</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培养计算机辅助设计能力和创新思维。</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增强信息化意识，理解CAD技术在建筑领域的应用价值。</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CAD软件的基本操作；建筑平面图、立面图、剖面图的绘制方法。</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学生能够熟练掌握CAD软件的操作技巧，独立绘制建筑图纸，并具备一定的图纸修改和优化能力。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建筑力学与结构</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静力学基本公理、平面力系简化与平衡条件，建立结构受力分析的理论框架。理解建筑结构的分类、计算简图简化原则，掌握几何不变体系的组成规则及判别方法。熟练静定结构（梁、刚架、桁架）的内力计算与内力图绘制，掌握杆件拉压、扭转、弯曲的应力应变分析及强度刚度验算方法。</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rPr>
              <w:t>能将实际建筑工程问题简化为力学模型，绘制结构受力图，确定支座约束与荷载传递路径。熟练运用截面法、图乘法、影响线等工具，完成静定 / 超静定结构的内力、位移计算，校核构件强度、刚度与稳定性。</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rPr>
              <w:t>树立工程伦理与安全意识强化 “安全第一” 的设计理念，培养严谨负责的职业态度。践行理论联系实际，理解结构选型与建筑功能的协同关系，提升综合分析能力。</w:t>
            </w:r>
            <w:r>
              <w:rPr>
                <w:rFonts w:hint="eastAsia" w:ascii="仿宋_GB2312" w:hAnsi="仿宋_GB2312" w:eastAsia="仿宋_GB2312" w:cs="仿宋_GB2312"/>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rPr>
              <w:t>感悟中华传统工程文化，增强民族自豪感。结合港珠澳大桥、火神山医院等现代工程案例，诠释力学原理对国家建设的支撑作用，激发行业使命感。：以“结构失效 - 改进”的迭代思维，培养精益求精、实事求是的科研态度。</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力学基础：力的受力分析、平面力系平衡方程（会画受力图、求支座反力）；结构几何组成：自由度计算、几何不变 / 可变体系判别（懂瞬变体系危害）；静定结构分析：梁 / 刚架 / 桁架的内力计算与内力图绘制、组合变形强度验算；变形与稳定：杆件挠度计算（图乘法）、压杆临界力（欧拉公式）、刚度 / 稳等</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理论：掌握核心公式与方法，能独立完成内力计算、内力图绘制、稳定校核；实践：会操作实验设备、处理实验数据，能结合简单工程场景（如楼梯梁、悬挑板）做力学分析；思政：理解工程伦理，树立 “安全第一” 理念，能关联案例理解力学的工程意义。</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管理学基础</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掌握管理学的基本原理和方法。</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能够运用管理学知识进行工程项目管理。</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培养管理意识和团队协作能力。</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强化责任意识，理解管理学在工程建设管理中的重要性。</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管理学的基本原理；计划、组织、领导、控制等管理职能；工程项目管理的基本方法。</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学生能够熟悉并掌握管理学的基本原理和方法，具备运用管理学知识进行工程项目管理的能力。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BIM概论与技术应用</w:t>
            </w:r>
          </w:p>
        </w:tc>
        <w:tc>
          <w:tcPr>
            <w:tcW w:w="495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掌握BIM技术的基本概念和应用原理。</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能够运用BIM软件进行建筑信息模型的创建和管理。</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培养信息化素养和创新能力。</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：增强信息化时代下的竞争力，理解BIM技术在建筑行业变革中的作用。</w:t>
            </w:r>
          </w:p>
        </w:tc>
        <w:tc>
          <w:tcPr>
            <w:tcW w:w="188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BIM技术的基本概念；BIM软件的操作技巧；建筑信息模型的创建和管理方法。</w:t>
            </w:r>
          </w:p>
        </w:tc>
        <w:tc>
          <w:tcPr>
            <w:tcW w:w="20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学生能够熟练掌握BIM技术的基本概念和应用原理，能够运用BIM软件进行建筑信息模型的创建和管理，并具备一定的BIM技术应用能力。</w:t>
            </w:r>
          </w:p>
        </w:tc>
      </w:tr>
      <w:bookmarkEnd w:id="24"/>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outlineLvl w:val="2"/>
        <w:rPr>
          <w:rFonts w:hint="eastAsia" w:ascii="仿宋_GB2312" w:hAnsi="仿宋_GB2312" w:eastAsia="仿宋_GB2312" w:cs="仿宋_GB2312"/>
          <w:color w:val="auto"/>
          <w:sz w:val="32"/>
          <w:szCs w:val="32"/>
        </w:rPr>
      </w:pPr>
      <w:bookmarkStart w:id="26" w:name="_Toc15132"/>
      <w:r>
        <w:rPr>
          <w:rFonts w:hint="eastAsia" w:ascii="仿宋_GB2312" w:hAnsi="仿宋_GB2312" w:eastAsia="仿宋_GB2312" w:cs="仿宋_GB2312"/>
          <w:color w:val="auto"/>
          <w:sz w:val="32"/>
          <w:szCs w:val="32"/>
        </w:rPr>
        <w:t>2.专业核心课程</w:t>
      </w:r>
      <w:bookmarkEnd w:id="25"/>
      <w:bookmarkEnd w:id="26"/>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pacing w:val="-4"/>
          <w:sz w:val="32"/>
          <w:szCs w:val="32"/>
        </w:rPr>
      </w:pPr>
      <w:r>
        <w:rPr>
          <w:rFonts w:hint="eastAsia" w:ascii="Times New Roman" w:hAnsi="Times New Roman" w:eastAsia="仿宋_GB2312" w:cs="仿宋"/>
          <w:color w:val="auto"/>
          <w:sz w:val="32"/>
          <w:szCs w:val="32"/>
          <w:lang w:val="en-US" w:eastAsia="zh-CN"/>
        </w:rPr>
        <w:t>专业核心课是面向</w:t>
      </w:r>
      <w:r>
        <w:rPr>
          <w:rFonts w:hint="eastAsia" w:ascii="Times New Roman" w:hAnsi="Times New Roman" w:eastAsia="仿宋_GB2312" w:cs="仿宋"/>
          <w:color w:val="auto"/>
          <w:spacing w:val="-2"/>
          <w:sz w:val="32"/>
          <w:szCs w:val="32"/>
        </w:rPr>
        <w:t>项目经理、施工管理、成本控制、质量工程师、安全工程师以及材料管理</w:t>
      </w:r>
      <w:r>
        <w:rPr>
          <w:rFonts w:hint="eastAsia" w:ascii="Times New Roman" w:hAnsi="Times New Roman" w:eastAsia="仿宋_GB2312" w:cs="仿宋"/>
          <w:color w:val="auto"/>
          <w:sz w:val="32"/>
          <w:szCs w:val="32"/>
          <w:lang w:val="en-US" w:eastAsia="zh-CN"/>
        </w:rPr>
        <w:t>等岗位（群），结合</w:t>
      </w:r>
      <w:r>
        <w:rPr>
          <w:rFonts w:hint="eastAsia" w:ascii="Times New Roman" w:hAnsi="Times New Roman" w:eastAsia="仿宋_GB2312" w:cs="仿宋"/>
          <w:color w:val="auto"/>
          <w:spacing w:val="-2"/>
          <w:sz w:val="32"/>
          <w:szCs w:val="32"/>
        </w:rPr>
        <w:t>建筑行业快速发展、项目管理精细化、绿色建筑与可持续发展</w:t>
      </w:r>
      <w:r>
        <w:rPr>
          <w:rFonts w:hint="eastAsia" w:ascii="Times New Roman" w:hAnsi="Times New Roman" w:eastAsia="仿宋_GB2312" w:cs="仿宋"/>
          <w:color w:val="auto"/>
          <w:spacing w:val="-2"/>
          <w:sz w:val="32"/>
          <w:szCs w:val="32"/>
          <w:lang w:val="en-US" w:eastAsia="zh-CN"/>
        </w:rPr>
        <w:t>的</w:t>
      </w:r>
      <w:r>
        <w:rPr>
          <w:rFonts w:hint="eastAsia" w:ascii="Times New Roman" w:hAnsi="Times New Roman" w:eastAsia="仿宋_GB2312" w:cs="仿宋"/>
          <w:color w:val="auto"/>
          <w:sz w:val="32"/>
          <w:szCs w:val="32"/>
          <w:lang w:val="en-US" w:eastAsia="zh-CN"/>
        </w:rPr>
        <w:t>就业岗位，建立建设工程管理专业核心课程，培养学生</w:t>
      </w:r>
      <w:r>
        <w:rPr>
          <w:rFonts w:hint="eastAsia" w:ascii="Times New Roman" w:hAnsi="Times New Roman" w:eastAsia="仿宋_GB2312" w:cs="仿宋"/>
          <w:color w:val="auto"/>
          <w:spacing w:val="-2"/>
          <w:sz w:val="32"/>
          <w:szCs w:val="32"/>
        </w:rPr>
        <w:t>项目管理能力、成本控制与预算管理能力、质量管理能力、安全管理与环境管理能力</w:t>
      </w:r>
      <w:r>
        <w:rPr>
          <w:rFonts w:hint="eastAsia" w:ascii="Times New Roman" w:hAnsi="Times New Roman" w:eastAsia="仿宋_GB2312" w:cs="仿宋"/>
          <w:color w:val="auto"/>
          <w:sz w:val="32"/>
          <w:szCs w:val="32"/>
          <w:lang w:val="en-US" w:eastAsia="zh-CN"/>
        </w:rPr>
        <w:t>等方面的能力。包括工程经济学</w:t>
      </w:r>
      <w:r>
        <w:rPr>
          <w:rFonts w:hint="eastAsia" w:eastAsia="仿宋_GB2312" w:cs="仿宋"/>
          <w:color w:val="auto"/>
          <w:sz w:val="32"/>
          <w:szCs w:val="32"/>
          <w:lang w:val="en-US" w:eastAsia="zh-CN"/>
        </w:rPr>
        <w:t>、</w:t>
      </w:r>
      <w:r>
        <w:rPr>
          <w:rFonts w:hint="eastAsia" w:ascii="Times New Roman" w:hAnsi="Times New Roman" w:eastAsia="仿宋_GB2312" w:cs="仿宋"/>
          <w:color w:val="auto"/>
          <w:sz w:val="32"/>
          <w:szCs w:val="32"/>
          <w:lang w:val="en-US" w:eastAsia="zh-CN"/>
        </w:rPr>
        <w:t>建筑施工技术</w:t>
      </w:r>
      <w:r>
        <w:rPr>
          <w:rFonts w:hint="eastAsia" w:eastAsia="仿宋_GB2312" w:cs="仿宋"/>
          <w:color w:val="auto"/>
          <w:sz w:val="32"/>
          <w:szCs w:val="32"/>
          <w:lang w:val="en-US" w:eastAsia="zh-CN"/>
        </w:rPr>
        <w:t>、</w:t>
      </w:r>
      <w:r>
        <w:rPr>
          <w:rFonts w:hint="eastAsia" w:ascii="Times New Roman" w:hAnsi="Times New Roman" w:eastAsia="仿宋_GB2312" w:cs="仿宋"/>
          <w:color w:val="auto"/>
          <w:sz w:val="32"/>
          <w:szCs w:val="32"/>
          <w:lang w:val="en-US" w:eastAsia="zh-CN"/>
        </w:rPr>
        <w:t>建筑工程计量与计价</w:t>
      </w:r>
      <w:r>
        <w:rPr>
          <w:rFonts w:hint="eastAsia" w:eastAsia="仿宋_GB2312" w:cs="仿宋"/>
          <w:color w:val="auto"/>
          <w:sz w:val="32"/>
          <w:szCs w:val="32"/>
          <w:lang w:val="en-US" w:eastAsia="zh-CN"/>
        </w:rPr>
        <w:t>、</w:t>
      </w:r>
      <w:r>
        <w:rPr>
          <w:rFonts w:hint="eastAsia" w:ascii="Times New Roman" w:hAnsi="Times New Roman" w:eastAsia="仿宋_GB2312" w:cs="仿宋"/>
          <w:color w:val="auto"/>
          <w:sz w:val="32"/>
          <w:szCs w:val="32"/>
          <w:lang w:val="en-US" w:eastAsia="zh-CN"/>
        </w:rPr>
        <w:t>建设工程项目管理</w:t>
      </w:r>
      <w:r>
        <w:rPr>
          <w:rFonts w:hint="eastAsia" w:eastAsia="仿宋_GB2312" w:cs="仿宋"/>
          <w:color w:val="auto"/>
          <w:sz w:val="32"/>
          <w:szCs w:val="32"/>
          <w:lang w:val="en-US" w:eastAsia="zh-CN"/>
        </w:rPr>
        <w:t>、</w:t>
      </w:r>
      <w:r>
        <w:rPr>
          <w:rFonts w:hint="eastAsia" w:ascii="Times New Roman" w:hAnsi="Times New Roman" w:eastAsia="仿宋_GB2312" w:cs="仿宋"/>
          <w:color w:val="auto"/>
          <w:sz w:val="32"/>
          <w:szCs w:val="32"/>
          <w:lang w:val="en-US" w:eastAsia="zh-CN"/>
        </w:rPr>
        <w:t>建筑工程施工质量管理</w:t>
      </w:r>
      <w:r>
        <w:rPr>
          <w:rFonts w:hint="eastAsia" w:eastAsia="仿宋_GB2312" w:cs="仿宋"/>
          <w:color w:val="auto"/>
          <w:sz w:val="32"/>
          <w:szCs w:val="32"/>
          <w:lang w:val="en-US" w:eastAsia="zh-CN"/>
        </w:rPr>
        <w:t>、</w:t>
      </w:r>
      <w:r>
        <w:rPr>
          <w:rFonts w:hint="eastAsia" w:ascii="Times New Roman" w:hAnsi="Times New Roman" w:eastAsia="仿宋_GB2312" w:cs="仿宋"/>
          <w:color w:val="auto"/>
          <w:sz w:val="32"/>
          <w:szCs w:val="32"/>
          <w:lang w:val="en-US" w:eastAsia="zh-CN"/>
        </w:rPr>
        <w:t>建筑工程施工安全与环境管理</w:t>
      </w:r>
      <w:r>
        <w:rPr>
          <w:rFonts w:hint="eastAsia" w:eastAsia="仿宋_GB2312" w:cs="仿宋"/>
          <w:color w:val="auto"/>
          <w:sz w:val="32"/>
          <w:szCs w:val="32"/>
          <w:lang w:val="en-US" w:eastAsia="zh-CN"/>
        </w:rPr>
        <w:t>、</w:t>
      </w:r>
      <w:r>
        <w:rPr>
          <w:rFonts w:hint="eastAsia" w:ascii="Times New Roman" w:hAnsi="Times New Roman" w:eastAsia="仿宋_GB2312" w:cs="仿宋"/>
          <w:color w:val="auto"/>
          <w:sz w:val="32"/>
          <w:szCs w:val="32"/>
          <w:lang w:val="en-US" w:eastAsia="zh-CN"/>
        </w:rPr>
        <w:t>工程招投标与合同管理</w:t>
      </w:r>
      <w:r>
        <w:rPr>
          <w:rFonts w:hint="eastAsia" w:eastAsia="仿宋_GB2312" w:cs="仿宋"/>
          <w:color w:val="auto"/>
          <w:sz w:val="32"/>
          <w:szCs w:val="32"/>
          <w:lang w:val="en-US" w:eastAsia="zh-CN"/>
        </w:rPr>
        <w:t>、</w:t>
      </w:r>
      <w:r>
        <w:rPr>
          <w:rFonts w:hint="eastAsia" w:ascii="Times New Roman" w:hAnsi="Times New Roman" w:eastAsia="仿宋_GB2312" w:cs="仿宋"/>
          <w:color w:val="auto"/>
          <w:sz w:val="32"/>
          <w:szCs w:val="32"/>
          <w:lang w:val="en-US" w:eastAsia="zh-CN"/>
        </w:rPr>
        <w:t>建筑信息模型（BIM）应用等</w:t>
      </w:r>
      <w:r>
        <w:rPr>
          <w:rFonts w:hint="eastAsia" w:ascii="Times New Roman" w:hAnsi="Times New Roman" w:eastAsia="仿宋_GB2312" w:cs="仿宋"/>
          <w:color w:val="auto"/>
          <w:spacing w:val="-4"/>
          <w:sz w:val="32"/>
          <w:szCs w:val="32"/>
        </w:rPr>
        <w:t>课程</w:t>
      </w:r>
      <w:r>
        <w:rPr>
          <w:rFonts w:hint="eastAsia" w:ascii="仿宋_GB2312" w:hAnsi="仿宋_GB2312" w:eastAsia="仿宋_GB2312" w:cs="仿宋_GB2312"/>
          <w:color w:val="auto"/>
          <w:spacing w:val="-4"/>
          <w:sz w:val="32"/>
          <w:szCs w:val="32"/>
        </w:rPr>
        <w:t>。</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856"/>
        <w:gridCol w:w="4804"/>
        <w:gridCol w:w="2160"/>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856"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课程名称</w:t>
            </w:r>
          </w:p>
        </w:tc>
        <w:tc>
          <w:tcPr>
            <w:tcW w:w="4804"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160"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155"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工程经济学</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掌握工程经济学的基本原理和方法，了解工程项目经济评价的指标和计算方法。</w:t>
            </w:r>
            <w:r>
              <w:rPr>
                <w:rFonts w:hint="eastAsia"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能够运用工程经济学知识对工程项目进行经济分析和评价。</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color w:val="auto"/>
                <w:sz w:val="24"/>
                <w:szCs w:val="24"/>
                <w:lang w:val="en-US" w:eastAsia="zh-CN"/>
              </w:rPr>
              <w:t>素质目标：培养经济意识和成本观念，提高决策能力。</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理解经济效益与社会效益的协调原则，增强可持续发展意识。</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工程经济学的基本概念；现金流量与资金时间价值；工程项目经济评价方法；不确定性分析与风险分析。</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学生能够熟练掌握工程经济学的基本原理和方法，能够独立进行工程项目的经济分析和评价。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2</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建筑施工技术</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掌握建筑施工的基本工艺和技术要求。</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能够组织和管理建筑施工过程，解决施工中的技术问题。</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培养实践操作能力和团队协作精神。</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强化质量意识和安全意识，理解施工技术对工程质量的影响。</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土方工程、基础工程、砌体工程、混凝土结构工程、预应力混凝土工程、结构安装工程等施工工艺和技术要求。</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学生能够熟悉并掌握建筑施工的基本工艺和技术要求，具备组织和管理建筑施工过程的能力。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bookmarkStart w:id="27" w:name="_Toc90734991"/>
            <w:r>
              <w:rPr>
                <w:rFonts w:hint="default" w:ascii="仿宋_GB2312" w:hAnsi="仿宋_GB2312" w:eastAsia="仿宋_GB2312" w:cs="仿宋_GB2312"/>
                <w:color w:val="auto"/>
                <w:sz w:val="24"/>
                <w:lang w:val="en-US" w:eastAsia="zh-CN"/>
              </w:rPr>
              <w:t>3</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建筑工程计量与计价</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掌握建筑工程计量与计价的基本原理和方法。</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能够准确计算建筑工程量，合理确定工程造价。</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培养严谨细致的工作态度和成本意识。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理解诚信原则在工程造价中的重要性，增强职业道德观念。</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建筑工程量的计算规则；工程造价的构成和计算方法；工程计价依据和计价方法。</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学生能够熟练掌握建筑工程计量与计价的基本原理和方法，能够准确计算建筑工程量并合理确定工程造价。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4</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建设工程项目管理</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掌握建设工程项目管理的基本理论和方法。</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能够运用项目管理知识对工程项目进行全过程管理。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培养项目管理能力和团队协作能力。</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：强化责任意识和风险意识，理解项目管理在工程建设中的核心地位。</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工程项目管理的组织结构；工程项目进度管理、质量管理、成本管理、安全管理等方法；工程项目风险管理。</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学生能够熟悉并掌握建设工程项目管理的基本理论和方法，具备运用项目管理知识进行工程项目全过程管理的能力。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5</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建筑工程施工质量管理</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掌握建筑工程施工质量管理的基本原理和方法。</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能够制定和执行施工质量计划，确保工程质量符合标准。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培养质量意识和精益求精的工作态度。</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理解质量是工程的生命线，增强质量责任感。</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施工质量管理的原则和方法；施工质量计划的编制和执行；施工质量控制点的设置和控制方法。</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学生能够熟练掌握建筑工程施工质量管理的基本原理和方法，能够制定和执行施工质量计划，确保工程质量。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6</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建筑工程施工安全与环境管理</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掌握建筑工程施工安全与环境管理的基本知识和法规。</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能够制定和执行施工安全与环境管理措施，预防安全事故和环境污染。</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培养安全意识和环保意识。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理解安全与环境是工程建设的底线，增强社会责任感。</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施工安全法规和标准；施工安全技术措施；施工环境管理措施；安全事故的预防和处理。</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学生能够熟悉并掌握建筑工程施工安全与环境管理的基本知识和法规，具备制定和执行施工安全与环境管理措施的能力。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7</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工程招投标与合同管理</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掌握工程招投标与合同管理的基本知识和法规。</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能够组织工程招投标活动，签订和管理工程合同。</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培养合同意识和法律意识。</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理解诚信守法在工程招投标与合同管理中的重要性，增强法治观念。</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工程招投标程序和方法；工程合同的签订和管理；工程索赔的处理。</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学生能够熟练掌握工程招投标与合同管理的基本知识和法规，具备组织工程招投标活动和签订、管理工程合同的能力。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8</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建筑信息模型（BIM）应用</w:t>
            </w:r>
          </w:p>
        </w:tc>
        <w:tc>
          <w:tcPr>
            <w:tcW w:w="48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lang w:val="en-US" w:eastAsia="zh-CN"/>
              </w:rPr>
              <w:t>掌握BIM技术的基本概念和应用方法，了解BIM在工程建设各阶段的应用。</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能力目标：</w:t>
            </w:r>
            <w:r>
              <w:rPr>
                <w:rFonts w:hint="default" w:ascii="仿宋_GB2312" w:hAnsi="仿宋_GB2312" w:eastAsia="仿宋_GB2312" w:cs="仿宋_GB2312"/>
                <w:color w:val="auto"/>
                <w:sz w:val="24"/>
                <w:szCs w:val="24"/>
                <w:lang w:val="en-US" w:eastAsia="zh-CN"/>
              </w:rPr>
              <w:t>能够运用BIM软件进行建筑信息模型的创建、分析和优化。</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素质目标：</w:t>
            </w:r>
            <w:r>
              <w:rPr>
                <w:rFonts w:hint="default" w:ascii="仿宋_GB2312" w:hAnsi="仿宋_GB2312" w:eastAsia="仿宋_GB2312" w:cs="仿宋_GB2312"/>
                <w:color w:val="auto"/>
                <w:sz w:val="24"/>
                <w:szCs w:val="24"/>
                <w:lang w:val="en-US" w:eastAsia="zh-CN"/>
              </w:rPr>
              <w:t>培养信息化素养和创新能力。</w:t>
            </w:r>
            <w:r>
              <w:rPr>
                <w:rFonts w:hint="default" w:ascii="仿宋_GB2312" w:hAnsi="仿宋_GB2312" w:eastAsia="仿宋_GB2312" w:cs="仿宋_GB2312"/>
                <w:color w:val="auto"/>
                <w:sz w:val="24"/>
                <w:szCs w:val="24"/>
                <w:lang w:val="en-US" w:eastAsia="zh-CN"/>
              </w:rPr>
              <w:br w:type="textWrapping"/>
            </w:r>
            <w:r>
              <w:rPr>
                <w:rFonts w:hint="default" w:ascii="仿宋_GB2312" w:hAnsi="仿宋_GB2312" w:eastAsia="仿宋_GB2312" w:cs="仿宋_GB2312"/>
                <w:b/>
                <w:bCs/>
                <w:color w:val="auto"/>
                <w:sz w:val="24"/>
                <w:szCs w:val="24"/>
                <w:lang w:val="en-US" w:eastAsia="zh-CN"/>
              </w:rPr>
              <w:t>课程思政育人目标：</w:t>
            </w:r>
            <w:r>
              <w:rPr>
                <w:rFonts w:hint="default" w:ascii="仿宋_GB2312" w:hAnsi="仿宋_GB2312" w:eastAsia="仿宋_GB2312" w:cs="仿宋_GB2312"/>
                <w:color w:val="auto"/>
                <w:sz w:val="24"/>
                <w:szCs w:val="24"/>
                <w:lang w:val="en-US" w:eastAsia="zh-CN"/>
              </w:rPr>
              <w:t>理解BIM技术对建筑行业变革的推动作用，增强信息化时代下的竞争力。</w:t>
            </w:r>
          </w:p>
        </w:tc>
        <w:tc>
          <w:tcPr>
            <w:tcW w:w="2160"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BIM技术的基本原理和应用流程；BIM软件的操作技巧；BIM在建筑设计、施工、运维等阶段的应用。</w:t>
            </w:r>
          </w:p>
        </w:tc>
        <w:tc>
          <w:tcPr>
            <w:tcW w:w="2155"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学生能够熟练掌握BIM技术的基本概念和应用方法，能够运用BIM软件进行建筑信息模型的创建、分析和优化，并具备一定的BIM技术应用能力。</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default" w:ascii="仿宋_GB2312" w:hAnsi="仿宋_GB2312" w:eastAsia="仿宋_GB2312" w:cs="仿宋_GB2312"/>
          <w:color w:val="auto"/>
          <w:sz w:val="32"/>
          <w:szCs w:val="32"/>
          <w:lang w:val="en-US" w:eastAsia="zh-CN"/>
        </w:rPr>
      </w:pPr>
      <w:bookmarkStart w:id="28" w:name="_Toc14835"/>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7"/>
      <w:bookmarkEnd w:id="28"/>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Chars="0" w:firstLine="640" w:firstLineChars="200"/>
        <w:textAlignment w:val="auto"/>
        <w:rPr>
          <w:rFonts w:hint="eastAsia" w:ascii="Times New Roman" w:hAnsi="Times New Roman" w:eastAsia="仿宋_GB2312" w:cs="仿宋"/>
          <w:color w:val="auto"/>
          <w:sz w:val="32"/>
          <w:szCs w:val="32"/>
          <w:highlight w:val="yellow"/>
        </w:rPr>
      </w:pPr>
      <w:r>
        <w:rPr>
          <w:rFonts w:hint="eastAsia" w:ascii="Times New Roman" w:hAnsi="Times New Roman" w:eastAsia="仿宋_GB2312" w:cs="仿宋"/>
          <w:color w:val="auto"/>
          <w:sz w:val="32"/>
          <w:szCs w:val="32"/>
        </w:rPr>
        <w:t>专业拓展课程是按照岗位迁移，根据</w:t>
      </w:r>
      <w:r>
        <w:rPr>
          <w:rFonts w:hint="eastAsia" w:ascii="Times New Roman" w:hAnsi="Times New Roman" w:eastAsia="仿宋_GB2312" w:cs="仿宋"/>
          <w:color w:val="auto"/>
          <w:spacing w:val="-2"/>
          <w:sz w:val="32"/>
          <w:szCs w:val="32"/>
        </w:rPr>
        <w:t>建筑行业快速发展、项目管理精细化、绿色建筑与可持续发展</w:t>
      </w:r>
      <w:r>
        <w:rPr>
          <w:rFonts w:hint="eastAsia" w:ascii="Times New Roman" w:hAnsi="Times New Roman" w:eastAsia="仿宋_GB2312" w:cs="仿宋"/>
          <w:color w:val="auto"/>
          <w:spacing w:val="-2"/>
          <w:sz w:val="32"/>
          <w:szCs w:val="32"/>
          <w:lang w:eastAsia="zh-CN"/>
        </w:rPr>
        <w:t>行业</w:t>
      </w:r>
      <w:r>
        <w:rPr>
          <w:rFonts w:hint="eastAsia" w:ascii="Times New Roman" w:hAnsi="Times New Roman" w:eastAsia="仿宋_GB2312" w:cs="仿宋"/>
          <w:color w:val="auto"/>
          <w:sz w:val="32"/>
          <w:szCs w:val="32"/>
        </w:rPr>
        <w:t>发展的趋势，依据企业用人需求调研，企业对</w:t>
      </w:r>
      <w:r>
        <w:rPr>
          <w:rFonts w:hint="eastAsia" w:ascii="Times New Roman" w:hAnsi="Times New Roman" w:eastAsia="仿宋_GB2312" w:cs="仿宋"/>
          <w:color w:val="auto"/>
          <w:spacing w:val="-2"/>
          <w:sz w:val="32"/>
          <w:szCs w:val="32"/>
        </w:rPr>
        <w:t>项目管理精细化、</w:t>
      </w:r>
      <w:r>
        <w:rPr>
          <w:rFonts w:hint="eastAsia" w:ascii="Times New Roman" w:hAnsi="Times New Roman" w:eastAsia="仿宋_GB2312" w:cs="仿宋"/>
          <w:color w:val="auto"/>
          <w:spacing w:val="-2"/>
          <w:sz w:val="32"/>
          <w:szCs w:val="32"/>
          <w:highlight w:val="none"/>
        </w:rPr>
        <w:t>绿色建筑与可持续发展</w:t>
      </w:r>
      <w:r>
        <w:rPr>
          <w:rFonts w:hint="eastAsia" w:ascii="Times New Roman" w:hAnsi="Times New Roman" w:eastAsia="仿宋_GB2312" w:cs="仿宋"/>
          <w:color w:val="auto"/>
          <w:spacing w:val="-2"/>
          <w:sz w:val="32"/>
          <w:szCs w:val="32"/>
          <w:highlight w:val="none"/>
          <w:lang w:eastAsia="zh-CN"/>
        </w:rPr>
        <w:t>行业</w:t>
      </w:r>
      <w:r>
        <w:rPr>
          <w:rFonts w:hint="eastAsia" w:ascii="Times New Roman" w:hAnsi="Times New Roman" w:eastAsia="仿宋_GB2312" w:cs="仿宋"/>
          <w:color w:val="auto"/>
          <w:sz w:val="32"/>
          <w:szCs w:val="32"/>
          <w:highlight w:val="none"/>
        </w:rPr>
        <w:t>等方面日益增加的需求，建立了</w:t>
      </w:r>
      <w:r>
        <w:rPr>
          <w:rFonts w:hint="eastAsia" w:ascii="Times New Roman" w:hAnsi="Times New Roman" w:eastAsia="仿宋_GB2312" w:cs="仿宋"/>
          <w:color w:val="auto"/>
          <w:sz w:val="32"/>
          <w:szCs w:val="32"/>
          <w:highlight w:val="none"/>
          <w:lang w:eastAsia="zh-CN"/>
        </w:rPr>
        <w:t>建设工程管理</w:t>
      </w:r>
      <w:r>
        <w:rPr>
          <w:rFonts w:hint="eastAsia" w:ascii="Times New Roman" w:hAnsi="Times New Roman" w:eastAsia="仿宋_GB2312" w:cs="仿宋"/>
          <w:color w:val="auto"/>
          <w:sz w:val="32"/>
          <w:szCs w:val="32"/>
          <w:highlight w:val="none"/>
        </w:rPr>
        <w:t>专业拓展课，并将辅修方向课程纳入其中。由</w:t>
      </w:r>
      <w:r>
        <w:rPr>
          <w:rFonts w:hint="eastAsia" w:ascii="Times New Roman" w:hAnsi="Times New Roman" w:eastAsia="仿宋_GB2312" w:cs="仿宋"/>
          <w:color w:val="auto"/>
          <w:spacing w:val="-2"/>
          <w:sz w:val="32"/>
          <w:szCs w:val="32"/>
          <w:highlight w:val="none"/>
        </w:rPr>
        <w:t>建设工程资料管理</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建筑企业财务</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建筑工程经济</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建筑设备安装与识图</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大数据应用基础</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智能建造技术</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智能工地管理</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现代项目管理</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房地产开发与经营</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监理概论</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工程制图</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土木工程概论</w:t>
      </w:r>
      <w:r>
        <w:rPr>
          <w:rFonts w:hint="eastAsia" w:eastAsia="仿宋_GB2312" w:cs="仿宋"/>
          <w:color w:val="auto"/>
          <w:spacing w:val="-2"/>
          <w:sz w:val="32"/>
          <w:szCs w:val="32"/>
          <w:highlight w:val="none"/>
          <w:lang w:eastAsia="zh-CN"/>
        </w:rPr>
        <w:t>、</w:t>
      </w:r>
      <w:r>
        <w:rPr>
          <w:rFonts w:hint="eastAsia" w:ascii="Times New Roman" w:hAnsi="Times New Roman" w:eastAsia="仿宋_GB2312" w:cs="仿宋"/>
          <w:color w:val="auto"/>
          <w:spacing w:val="-2"/>
          <w:sz w:val="32"/>
          <w:szCs w:val="32"/>
          <w:highlight w:val="none"/>
        </w:rPr>
        <w:t>房屋建筑学</w:t>
      </w:r>
      <w:r>
        <w:rPr>
          <w:rFonts w:hint="eastAsia" w:ascii="Times New Roman" w:hAnsi="Times New Roman" w:eastAsia="仿宋_GB2312" w:cs="仿宋"/>
          <w:color w:val="auto"/>
          <w:sz w:val="32"/>
          <w:szCs w:val="32"/>
          <w:highlight w:val="none"/>
        </w:rPr>
        <w:t>等课程构成专业拓展课。</w:t>
      </w:r>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806"/>
        <w:gridCol w:w="5354"/>
        <w:gridCol w:w="210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806" w:type="dxa"/>
            <w:vAlign w:val="center"/>
          </w:tcPr>
          <w:p>
            <w:pPr>
              <w:keepNext w:val="0"/>
              <w:keepLines w:val="0"/>
              <w:pageBreakBefore w:val="0"/>
              <w:kinsoku/>
              <w:wordWrap/>
              <w:overflowPunct/>
              <w:topLinePunct w:val="0"/>
              <w:autoSpaceDE/>
              <w:autoSpaceDN/>
              <w:bidi w:val="0"/>
              <w:adjustRightInd/>
              <w:snapToGrid/>
              <w:spacing w:beforeAutospacing="0" w:afterAutospacing="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5354" w:type="dxa"/>
            <w:vAlign w:val="center"/>
          </w:tcPr>
          <w:p>
            <w:pPr>
              <w:keepNext w:val="0"/>
              <w:keepLines w:val="0"/>
              <w:pageBreakBefore w:val="0"/>
              <w:kinsoku/>
              <w:wordWrap/>
              <w:overflowPunct/>
              <w:topLinePunct w:val="0"/>
              <w:autoSpaceDE/>
              <w:autoSpaceDN/>
              <w:bidi w:val="0"/>
              <w:adjustRightInd/>
              <w:snapToGrid/>
              <w:spacing w:beforeAutospacing="0" w:afterAutospacing="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100" w:type="dxa"/>
            <w:vAlign w:val="center"/>
          </w:tcPr>
          <w:p>
            <w:pPr>
              <w:keepNext w:val="0"/>
              <w:keepLines w:val="0"/>
              <w:pageBreakBefore w:val="0"/>
              <w:kinsoku/>
              <w:wordWrap/>
              <w:overflowPunct/>
              <w:topLinePunct w:val="0"/>
              <w:autoSpaceDE/>
              <w:autoSpaceDN/>
              <w:bidi w:val="0"/>
              <w:adjustRightInd/>
              <w:snapToGrid/>
              <w:spacing w:beforeAutospacing="0" w:afterAutospacing="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1648" w:type="dxa"/>
            <w:vAlign w:val="center"/>
          </w:tcPr>
          <w:p>
            <w:pPr>
              <w:keepNext w:val="0"/>
              <w:keepLines w:val="0"/>
              <w:pageBreakBefore w:val="0"/>
              <w:kinsoku/>
              <w:wordWrap/>
              <w:overflowPunct/>
              <w:topLinePunct w:val="0"/>
              <w:autoSpaceDE/>
              <w:autoSpaceDN/>
              <w:bidi w:val="0"/>
              <w:adjustRightInd/>
              <w:snapToGrid/>
              <w:spacing w:beforeAutospacing="0" w:afterAutospacing="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建设工程资料管理</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掌握建设工程资料管理的基本原则和方法。</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能够有效地整理、归档和保管建设工程资料。</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培养细致、认真的工作态度。</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color w:val="auto"/>
                <w:kern w:val="2"/>
                <w:sz w:val="24"/>
                <w:szCs w:val="24"/>
                <w:lang w:val="en-US" w:eastAsia="zh-CN" w:bidi="ar-SA"/>
              </w:rPr>
              <w:t>课程思政育人目标：强化资料管理的规范性和法律意识。</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建设工程资料的分类与编码；资料收集、整理与归档流程；资料保管与利用方法。</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学生应能熟练掌握建设工程资料管理的方法，确保资料的完整性、准确性和系统性。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2</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建筑企业财务</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了解建筑企业财务的基本理论和实务操作。</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能够进行建筑企业基本的财务分析和决策。</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培养财务意识和成本控制能力。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理解诚信在财务工作中的重要性。</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建筑企业会计基础；财务报表分析；成本控制与预算管理；税务筹划。</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学生应能运用财务知识进行建筑企业的日常财务管理和决策分析。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3</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建筑工程经济</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掌握建筑工程经济的基本原理和分析方法。</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能够进行建筑工程项目的经济评价和决策。</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培养经济思维和决策能力。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理解经济效益与社会责任的平衡。</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建筑工程经济评价方法；资金时间价值计算；项目风险与不确定性分析。</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学生应能独立进行建筑工程项目的经济评价，提出合理的决策建议。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4</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建筑设备安装与识图</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掌握建筑设备安装的基本知识和识图技巧。</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能够读懂建筑设备安装图纸，参与设备安装工作。</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培养空间想象能力和实践操作能力。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强化安全意识和规范操作的重要性。</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建筑设备类型与功能；安装图纸的识读方法；安装工艺与流程。</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学生应能准确识读建筑设备安装图纸，理解设备安装的基本流程和要求。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5</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大数据应用基础</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了解大数据的基本概念和应用领域。</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能够运用大数据技术进行简单的数据分析和处理。</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培养数据意识和信息化素养。</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理解大数据在推动社会进步中的作用。</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大数据技术概述；数据采集与预处理；数据分析与可视化。</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学生应能掌握大数据应用的基础知识，具备初步的数据分析和处理能力。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6</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智能建造技术</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了解智能建造的基本原理和技术体系。</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能够应用智能建造技术解决实际问题。</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培养创新思维和技术应用能力。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理解智能建造对行业变革的引领作用。</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智能建造技术概述；BIM与智能建造；物联网与智能建造；机器人技术在建造中的应用。</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学生应能了解智能建造的最新技术动态，具备应用智能建造技术解决实际问题的能力。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7</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智能工地管理</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掌握智能工地管理的基本理念和技术手段。</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能够运用智能技术进行工地管理。</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培养管理能力和技术应用能力。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理解智能工地管理对提升工程质量和效率的意义。</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智能工地管理系统；物联网技术在工地管理中的应用；大数据与工地管理决策。</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学生应能掌握智能工地管理的基本方法和技术手段，提升工地管理的智能化水平。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8</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现代项目管理</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掌握现代项目管理的基本理论和方法。</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能够运用现代项目管理知识进行项目规划、执行和监控。</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培养项目管理能力和团队协作能力。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理解项目管理在推动组织发展中的作用。</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现代项目管理理论；项目规划、执行与监控方法；项目风险管理。</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学生应能熟练掌握现代项目管理的方法和技术，具备独立进行项目管理的能力。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9</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房地产开发与经营</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了解房地产开发与经营的基本流程和市场规律。</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能够参与房地产项目的开发、策划和销售工作。</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培养市场意识和营销能力。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理解房地产开发与经营的社会责任。</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房地产开发流程；房地产市场分析；房地产策划与营销。</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学生应能了解房地产开发与经营的基本知识，具备参与房地产项目开发和营销的能力。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10</w:t>
            </w:r>
          </w:p>
        </w:tc>
        <w:tc>
          <w:tcPr>
            <w:tcW w:w="806"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rightChars="0"/>
              <w:jc w:val="center"/>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监理概论</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掌握工程监理的基本原理和职责。</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能够履行工程监理职责，确保工程质量。</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培养责任意识和质量意识。</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理解工程监理在保障工程质量中的重要作用。</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工程监理的基本概念；监理职责与权力；监理工作流程与方法。</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学生应能掌握工程监理的基本知识，具备履行工程监理职责的能力。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11</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工程制图</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default"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掌握工程制图的基本规范和技巧。</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能够绘制和识读工程图纸。</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培养空间想象能力和细致的工作态度。</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理解工程制图在工程建设中的基础作用。</w:t>
            </w:r>
          </w:p>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工程制图的基本规范；投影原理与三视图；工程图纸的绘制与识读。</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学生应能熟练掌握工程制图的基本技巧，准确绘制和识读工程图纸。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12</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jc w:val="left"/>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土木工程概论</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了解土木工程的基本概念和发展历程。</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对土木工程领域有初步的认识和了解。</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培养对土木工程的兴趣和好奇心。</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color w:val="auto"/>
                <w:kern w:val="2"/>
                <w:sz w:val="24"/>
                <w:szCs w:val="24"/>
                <w:lang w:val="en-US" w:eastAsia="zh-CN" w:bidi="ar-SA"/>
              </w:rPr>
              <w:t>课程思政育人目标：理解土木工程对人类社会发展的贡献。</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土木工程的基本概念；土木工程的发展历程；土木工程的主要领域和分支。</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学生应能了解土木工程的基本知识，对土木工程领域有初步的认识和兴趣。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center"/>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13</w:t>
            </w:r>
          </w:p>
        </w:tc>
        <w:tc>
          <w:tcPr>
            <w:tcW w:w="80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jc w:val="left"/>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房屋建筑学</w:t>
            </w:r>
          </w:p>
        </w:tc>
        <w:tc>
          <w:tcPr>
            <w:tcW w:w="5354"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掌握房屋建筑学的基本原理和设计方法。</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能够参与房屋建筑的设计和规划工作。</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培养审美能力和创新意识。</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理解房屋建筑在改善人类居住条件中的作用。</w:t>
            </w:r>
          </w:p>
        </w:tc>
        <w:tc>
          <w:tcPr>
            <w:tcW w:w="210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房屋建筑学的基本原理；建筑设计方法；建筑规划与布局。</w:t>
            </w:r>
          </w:p>
        </w:tc>
        <w:tc>
          <w:tcPr>
            <w:tcW w:w="164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学生应能掌握房屋建筑学的基本知识，具备参与房屋建筑设计和规划的能力。</w:t>
            </w:r>
          </w:p>
        </w:tc>
      </w:tr>
    </w:tbl>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outlineLvl w:val="2"/>
        <w:rPr>
          <w:rFonts w:hint="default" w:ascii="仿宋_GB2312" w:hAnsi="仿宋_GB2312" w:eastAsia="仿宋_GB2312" w:cs="仿宋_GB2312"/>
          <w:color w:val="auto"/>
          <w:sz w:val="32"/>
          <w:szCs w:val="32"/>
          <w:lang w:val="en-US" w:eastAsia="zh-CN"/>
        </w:rPr>
      </w:pPr>
      <w:bookmarkStart w:id="29" w:name="_Toc821"/>
      <w:r>
        <w:rPr>
          <w:rFonts w:hint="eastAsia" w:ascii="仿宋_GB2312" w:hAnsi="仿宋_GB2312" w:eastAsia="仿宋_GB2312" w:cs="仿宋_GB2312"/>
          <w:color w:val="auto"/>
          <w:sz w:val="32"/>
          <w:szCs w:val="32"/>
          <w:lang w:val="en-US" w:eastAsia="zh-CN"/>
        </w:rPr>
        <w:t>4.实践性教学环节</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土木实训、</w:t>
      </w:r>
      <w:r>
        <w:rPr>
          <w:rFonts w:hint="eastAsia" w:ascii="仿宋_GB2312" w:hAnsi="仿宋_GB2312" w:eastAsia="仿宋_GB2312" w:cs="仿宋_GB2312"/>
          <w:color w:val="auto"/>
          <w:sz w:val="32"/>
          <w:szCs w:val="32"/>
        </w:rPr>
        <w:t>毕业设计、</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lang w:val="en-US" w:eastAsia="zh-CN"/>
        </w:rPr>
        <w:t>。</w:t>
      </w:r>
      <w:bookmarkEnd w:id="29"/>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856"/>
        <w:gridCol w:w="4611"/>
        <w:gridCol w:w="1920"/>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bookmarkStart w:id="30" w:name="OLE_LINK21"/>
            <w:r>
              <w:rPr>
                <w:rFonts w:hint="eastAsia" w:ascii="仿宋_GB2312" w:hAnsi="仿宋_GB2312" w:eastAsia="仿宋_GB2312" w:cs="仿宋_GB2312"/>
                <w:color w:val="auto"/>
                <w:sz w:val="24"/>
              </w:rPr>
              <w:t>序号</w:t>
            </w:r>
          </w:p>
        </w:tc>
        <w:tc>
          <w:tcPr>
            <w:tcW w:w="856"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4611"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1920"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1683"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1</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土木实训</w:t>
            </w:r>
          </w:p>
        </w:tc>
        <w:tc>
          <w:tcPr>
            <w:tcW w:w="461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加深对土木工程理论知识的理解，掌握基本实验和检测技能。</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能够独立操作土木工程实验设备，进行材料检测、结构试验等。</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培养严谨的科学态度、实践操作能力和团队协作精神。</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强化质量意识、安全意识和环保意识，理解实践对理论验证的重要性。</w:t>
            </w:r>
          </w:p>
        </w:tc>
        <w:tc>
          <w:tcPr>
            <w:tcW w:w="192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土木工程材料检测；土工试验；结构模型试验；施工工艺模拟等。</w:t>
            </w:r>
          </w:p>
        </w:tc>
        <w:tc>
          <w:tcPr>
            <w:tcW w:w="168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学生应能熟练掌握土木工程实验和检测的基本技能，准确记录和分析实验数据，提出合理的实验结论。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2</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毕业设计</w:t>
            </w:r>
          </w:p>
        </w:tc>
        <w:tc>
          <w:tcPr>
            <w:tcW w:w="461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综合运用所学知识，解决实际工程问题。</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能够独立完成工程设计、计算和分析，撰写设计说明书和图纸。</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培养创新思维、独立工作能力和学术诚信。</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理解工程师的社会责任，培养严谨、务实的工程态度。</w:t>
            </w:r>
          </w:p>
        </w:tc>
        <w:tc>
          <w:tcPr>
            <w:tcW w:w="192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选题与开题报告；设计方案制定与论证；计算与分析；图纸绘制与设计说明书撰写；答辩与评价。</w:t>
            </w:r>
          </w:p>
        </w:tc>
        <w:tc>
          <w:tcPr>
            <w:tcW w:w="168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学生应能独立完成毕业设计任务，设计成果应符合工程规范，体现一定的创新性和实用性。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sz w:val="24"/>
                <w:lang w:val="en-US" w:eastAsia="zh-CN"/>
              </w:rPr>
            </w:pPr>
            <w:r>
              <w:rPr>
                <w:rFonts w:hint="default" w:ascii="仿宋_GB2312" w:hAnsi="仿宋_GB2312" w:eastAsia="仿宋_GB2312" w:cs="仿宋_GB2312"/>
                <w:color w:val="auto"/>
                <w:sz w:val="24"/>
                <w:lang w:val="en-US" w:eastAsia="zh-CN"/>
              </w:rPr>
              <w:t>3</w:t>
            </w:r>
          </w:p>
        </w:tc>
        <w:tc>
          <w:tcPr>
            <w:tcW w:w="85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岗位实习</w:t>
            </w:r>
          </w:p>
        </w:tc>
        <w:tc>
          <w:tcPr>
            <w:tcW w:w="461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b/>
                <w:bCs/>
                <w:color w:val="auto"/>
                <w:kern w:val="2"/>
                <w:sz w:val="24"/>
                <w:szCs w:val="24"/>
                <w:lang w:val="en-US" w:eastAsia="zh-CN" w:bidi="ar-SA"/>
              </w:rPr>
              <w:t>知识目标：</w:t>
            </w:r>
            <w:r>
              <w:rPr>
                <w:rFonts w:hint="default" w:ascii="仿宋_GB2312" w:hAnsi="仿宋_GB2312" w:eastAsia="仿宋_GB2312" w:cs="仿宋_GB2312"/>
                <w:color w:val="auto"/>
                <w:kern w:val="2"/>
                <w:sz w:val="24"/>
                <w:szCs w:val="24"/>
                <w:lang w:val="en-US" w:eastAsia="zh-CN" w:bidi="ar-SA"/>
              </w:rPr>
              <w:t>了解实际工程岗位的工作流程、职责和要求。</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能力目标：</w:t>
            </w:r>
            <w:r>
              <w:rPr>
                <w:rFonts w:hint="default" w:ascii="仿宋_GB2312" w:hAnsi="仿宋_GB2312" w:eastAsia="仿宋_GB2312" w:cs="仿宋_GB2312"/>
                <w:color w:val="auto"/>
                <w:kern w:val="2"/>
                <w:sz w:val="24"/>
                <w:szCs w:val="24"/>
                <w:lang w:val="en-US" w:eastAsia="zh-CN" w:bidi="ar-SA"/>
              </w:rPr>
              <w:t>能够在岗位上运用所学知识解决实际问题，提升职业技能。</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素质目标：</w:t>
            </w:r>
            <w:r>
              <w:rPr>
                <w:rFonts w:hint="default" w:ascii="仿宋_GB2312" w:hAnsi="仿宋_GB2312" w:eastAsia="仿宋_GB2312" w:cs="仿宋_GB2312"/>
                <w:color w:val="auto"/>
                <w:kern w:val="2"/>
                <w:sz w:val="24"/>
                <w:szCs w:val="24"/>
                <w:lang w:val="en-US" w:eastAsia="zh-CN" w:bidi="ar-SA"/>
              </w:rPr>
              <w:t>培养职业素养、沟通能力和适应能力。</w:t>
            </w:r>
            <w:r>
              <w:rPr>
                <w:rFonts w:hint="default" w:ascii="仿宋_GB2312" w:hAnsi="仿宋_GB2312" w:eastAsia="仿宋_GB2312" w:cs="仿宋_GB2312"/>
                <w:color w:val="auto"/>
                <w:kern w:val="2"/>
                <w:sz w:val="24"/>
                <w:szCs w:val="24"/>
                <w:lang w:val="en-US" w:eastAsia="zh-CN" w:bidi="ar-SA"/>
              </w:rPr>
              <w:br w:type="textWrapping"/>
            </w:r>
            <w:r>
              <w:rPr>
                <w:rFonts w:hint="default" w:ascii="仿宋_GB2312" w:hAnsi="仿宋_GB2312" w:eastAsia="仿宋_GB2312" w:cs="仿宋_GB2312"/>
                <w:b/>
                <w:bCs/>
                <w:color w:val="auto"/>
                <w:kern w:val="2"/>
                <w:sz w:val="24"/>
                <w:szCs w:val="24"/>
                <w:lang w:val="en-US" w:eastAsia="zh-CN" w:bidi="ar-SA"/>
              </w:rPr>
              <w:t>课程思政育人目标：</w:t>
            </w:r>
            <w:r>
              <w:rPr>
                <w:rFonts w:hint="default" w:ascii="仿宋_GB2312" w:hAnsi="仿宋_GB2312" w:eastAsia="仿宋_GB2312" w:cs="仿宋_GB2312"/>
                <w:color w:val="auto"/>
                <w:kern w:val="2"/>
                <w:sz w:val="24"/>
                <w:szCs w:val="24"/>
                <w:lang w:val="en-US" w:eastAsia="zh-CN" w:bidi="ar-SA"/>
              </w:rPr>
              <w:t>理解职业道德和职业操守的重要性，培养敬业精神和团队合作意识。</w:t>
            </w:r>
          </w:p>
        </w:tc>
        <w:tc>
          <w:tcPr>
            <w:tcW w:w="192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岗位认知与入职培训；参与实际工程项目，了解施工流程和管理；承担具体工作任务，如施工放线、质量检查等；实习总结与报告撰写。</w:t>
            </w:r>
          </w:p>
        </w:tc>
        <w:tc>
          <w:tcPr>
            <w:tcW w:w="1683"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default" w:ascii="仿宋_GB2312" w:hAnsi="仿宋_GB2312" w:eastAsia="仿宋_GB2312" w:cs="仿宋_GB2312"/>
                <w:color w:val="auto"/>
                <w:kern w:val="2"/>
                <w:sz w:val="24"/>
                <w:szCs w:val="24"/>
                <w:lang w:val="en-US" w:eastAsia="zh-CN" w:bidi="ar-SA"/>
              </w:rPr>
              <w:t>学生应能积极参与岗位实习，遵守实习单位规章制度，按时完成实习任务，撰写详实的实习报告。</w:t>
            </w:r>
          </w:p>
        </w:tc>
      </w:tr>
      <w:bookmarkEnd w:id="30"/>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31" w:name="_Toc28875"/>
      <w:r>
        <w:rPr>
          <w:rFonts w:hint="eastAsia" w:ascii="楷体" w:hAnsi="楷体" w:eastAsia="楷体" w:cs="楷体"/>
          <w:color w:val="auto"/>
          <w:sz w:val="32"/>
          <w:szCs w:val="32"/>
          <w:lang w:val="en-US" w:eastAsia="zh-CN"/>
        </w:rPr>
        <w:t>（三）第二课堂素质教育课</w:t>
      </w:r>
      <w:bookmarkEnd w:id="31"/>
    </w:p>
    <w:p>
      <w:pPr>
        <w:keepNext w:val="0"/>
        <w:keepLines w:val="0"/>
        <w:pageBreakBefore w:val="0"/>
        <w:widowControl w:val="0"/>
        <w:kinsoku/>
        <w:wordWrap/>
        <w:overflowPunct w:val="0"/>
        <w:topLinePunct w:val="0"/>
        <w:autoSpaceDE/>
        <w:autoSpaceDN/>
        <w:bidi w:val="0"/>
        <w:adjustRightInd w:val="0"/>
        <w:snapToGrid/>
        <w:spacing w:after="0" w:line="520" w:lineRule="exact"/>
        <w:ind w:firstLine="614" w:firstLineChars="200"/>
        <w:textAlignment w:val="auto"/>
        <w:outlineLvl w:val="9"/>
        <w:rPr>
          <w:rFonts w:hint="eastAsia" w:ascii="仿宋_GB2312" w:hAnsi="仿宋_GB2312" w:eastAsia="仿宋_GB2312" w:cs="仿宋_GB2312"/>
          <w:color w:val="auto"/>
          <w:w w:val="96"/>
          <w:sz w:val="32"/>
          <w:szCs w:val="32"/>
        </w:rPr>
      </w:pPr>
      <w:r>
        <w:rPr>
          <w:rFonts w:hint="eastAsia" w:ascii="仿宋_GB2312" w:hAnsi="仿宋_GB2312" w:eastAsia="仿宋_GB2312" w:cs="仿宋_GB2312"/>
          <w:color w:val="auto"/>
          <w:w w:val="96"/>
          <w:sz w:val="32"/>
          <w:szCs w:val="32"/>
        </w:rPr>
        <w:t>第二课堂</w:t>
      </w:r>
      <w:r>
        <w:rPr>
          <w:rFonts w:hint="eastAsia" w:ascii="仿宋_GB2312" w:hAnsi="仿宋_GB2312" w:eastAsia="仿宋_GB2312" w:cs="仿宋_GB2312"/>
          <w:color w:val="auto"/>
          <w:w w:val="96"/>
          <w:sz w:val="32"/>
          <w:szCs w:val="32"/>
          <w:lang w:val="en-US" w:eastAsia="zh-CN"/>
        </w:rPr>
        <w:t>素质教育课</w:t>
      </w:r>
      <w:r>
        <w:rPr>
          <w:rFonts w:hint="eastAsia" w:ascii="仿宋_GB2312" w:hAnsi="仿宋_GB2312" w:eastAsia="仿宋_GB2312" w:cs="仿宋_GB2312"/>
          <w:color w:val="auto"/>
          <w:w w:val="96"/>
          <w:sz w:val="32"/>
          <w:szCs w:val="32"/>
        </w:rPr>
        <w:t>包括思想成长、</w:t>
      </w:r>
      <w:r>
        <w:rPr>
          <w:rFonts w:hint="eastAsia" w:ascii="仿宋_GB2312" w:hAnsi="仿宋_GB2312" w:eastAsia="仿宋_GB2312" w:cs="仿宋_GB2312"/>
          <w:color w:val="auto"/>
          <w:w w:val="96"/>
          <w:sz w:val="32"/>
          <w:szCs w:val="32"/>
          <w:lang w:val="en-US" w:eastAsia="zh-CN"/>
        </w:rPr>
        <w:t>实践实习</w:t>
      </w:r>
      <w:r>
        <w:rPr>
          <w:rFonts w:hint="eastAsia" w:ascii="仿宋_GB2312" w:hAnsi="仿宋_GB2312" w:eastAsia="仿宋_GB2312" w:cs="仿宋_GB2312"/>
          <w:color w:val="auto"/>
          <w:w w:val="96"/>
          <w:sz w:val="32"/>
          <w:szCs w:val="32"/>
        </w:rPr>
        <w:t>、创新创业、</w:t>
      </w:r>
      <w:r>
        <w:rPr>
          <w:rFonts w:hint="eastAsia" w:ascii="仿宋_GB2312" w:hAnsi="仿宋_GB2312" w:eastAsia="仿宋_GB2312" w:cs="仿宋_GB2312"/>
          <w:color w:val="auto"/>
          <w:w w:val="96"/>
          <w:sz w:val="32"/>
          <w:szCs w:val="32"/>
          <w:lang w:val="en-US" w:eastAsia="zh-CN"/>
        </w:rPr>
        <w:t>志愿公益、</w:t>
      </w:r>
      <w:r>
        <w:rPr>
          <w:rFonts w:hint="eastAsia" w:ascii="仿宋_GB2312" w:hAnsi="仿宋_GB2312" w:eastAsia="仿宋_GB2312" w:cs="仿宋_GB2312"/>
          <w:color w:val="auto"/>
          <w:w w:val="96"/>
          <w:sz w:val="32"/>
          <w:szCs w:val="32"/>
        </w:rPr>
        <w:t>文体</w:t>
      </w:r>
      <w:r>
        <w:rPr>
          <w:rFonts w:hint="eastAsia" w:ascii="仿宋_GB2312" w:hAnsi="仿宋_GB2312" w:eastAsia="仿宋_GB2312" w:cs="仿宋_GB2312"/>
          <w:color w:val="auto"/>
          <w:w w:val="96"/>
          <w:sz w:val="32"/>
          <w:szCs w:val="32"/>
          <w:lang w:val="en-US" w:eastAsia="zh-CN"/>
        </w:rPr>
        <w:t>活动</w:t>
      </w:r>
      <w:r>
        <w:rPr>
          <w:rFonts w:hint="eastAsia" w:ascii="仿宋_GB2312" w:hAnsi="仿宋_GB2312" w:eastAsia="仿宋_GB2312" w:cs="仿宋_GB2312"/>
          <w:color w:val="auto"/>
          <w:w w:val="96"/>
          <w:sz w:val="32"/>
          <w:szCs w:val="32"/>
        </w:rPr>
        <w:t>、工作履历</w:t>
      </w:r>
      <w:r>
        <w:rPr>
          <w:rFonts w:hint="eastAsia" w:ascii="仿宋_GB2312" w:hAnsi="仿宋_GB2312" w:eastAsia="仿宋_GB2312" w:cs="仿宋_GB2312"/>
          <w:color w:val="auto"/>
          <w:w w:val="96"/>
          <w:sz w:val="32"/>
          <w:szCs w:val="32"/>
          <w:lang w:eastAsia="zh-CN"/>
        </w:rPr>
        <w:t>、</w:t>
      </w:r>
      <w:r>
        <w:rPr>
          <w:rFonts w:hint="eastAsia" w:ascii="仿宋_GB2312" w:hAnsi="仿宋_GB2312" w:eastAsia="仿宋_GB2312" w:cs="仿宋_GB2312"/>
          <w:color w:val="auto"/>
          <w:w w:val="96"/>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858"/>
        <w:gridCol w:w="791"/>
        <w:gridCol w:w="969"/>
        <w:gridCol w:w="1036"/>
        <w:gridCol w:w="141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858"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791"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969"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36"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418"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906"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858"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858"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858"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85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85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5.文体讲座</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85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5.退伍军人</w:t>
            </w: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85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85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69"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90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32" w:name="_Toc15336"/>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32"/>
    </w:p>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3" w:name="_Toc3879"/>
      <w:r>
        <w:rPr>
          <w:rFonts w:hint="eastAsia" w:ascii="楷体" w:hAnsi="楷体" w:eastAsia="楷体" w:cs="楷体"/>
          <w:color w:val="auto"/>
          <w:sz w:val="32"/>
          <w:szCs w:val="32"/>
          <w:lang w:val="en-US" w:eastAsia="zh-CN"/>
        </w:rPr>
        <w:t>（一）教学环节分配表</w:t>
      </w:r>
      <w:bookmarkEnd w:id="33"/>
    </w:p>
    <w:p>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34" w:name="_Toc26393"/>
      <w:r>
        <w:rPr>
          <w:rFonts w:hint="eastAsia" w:ascii="楷体" w:hAnsi="楷体" w:eastAsia="楷体" w:cs="楷体"/>
          <w:color w:val="auto"/>
          <w:sz w:val="32"/>
          <w:szCs w:val="32"/>
          <w:lang w:val="en-US" w:eastAsia="zh-CN"/>
        </w:rPr>
        <w:t>（二）课程结构与学时、学分分配</w:t>
      </w:r>
      <w:bookmarkEnd w:id="34"/>
    </w:p>
    <w:p>
      <w:pPr>
        <w:keepNext w:val="0"/>
        <w:keepLines w:val="0"/>
        <w:pageBreakBefore w:val="0"/>
        <w:widowControl w:val="0"/>
        <w:kinsoku/>
        <w:wordWrap/>
        <w:overflowPunct/>
        <w:topLinePunct w:val="0"/>
        <w:autoSpaceDE/>
        <w:autoSpaceDN/>
        <w:bidi w:val="0"/>
        <w:adjustRightInd/>
        <w:snapToGrid/>
        <w:spacing w:beforeAutospacing="0" w:after="0" w:afterAutospacing="0" w:line="52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本专业教学总学时为2650学时。其中理论教学1194学时，占45.06%；实践教学1456学时，占54.94%，其中岗位实习累计时间6个月。</w:t>
      </w:r>
      <w:r>
        <w:rPr>
          <w:rFonts w:hint="eastAsia" w:ascii="仿宋_GB2312" w:hAnsi="仿宋_GB2312" w:eastAsia="仿宋_GB2312" w:cs="仿宋_GB2312"/>
          <w:bCs/>
          <w:color w:val="auto"/>
          <w:sz w:val="32"/>
          <w:szCs w:val="32"/>
          <w:lang w:eastAsia="zh-CN"/>
        </w:rPr>
        <w:t>公共基础课</w:t>
      </w:r>
      <w:r>
        <w:rPr>
          <w:rFonts w:hint="eastAsia" w:ascii="仿宋_GB2312" w:hAnsi="仿宋_GB2312" w:eastAsia="仿宋_GB2312" w:cs="仿宋_GB2312"/>
          <w:bCs/>
          <w:color w:val="auto"/>
          <w:sz w:val="32"/>
          <w:szCs w:val="32"/>
          <w:lang w:val="en-US" w:eastAsia="zh-CN"/>
        </w:rPr>
        <w:t>954</w:t>
      </w:r>
      <w:r>
        <w:rPr>
          <w:rFonts w:hint="eastAsia" w:ascii="仿宋_GB2312" w:hAnsi="仿宋_GB2312" w:eastAsia="仿宋_GB2312" w:cs="仿宋_GB2312"/>
          <w:bCs/>
          <w:color w:val="auto"/>
          <w:sz w:val="32"/>
          <w:szCs w:val="32"/>
          <w:lang w:eastAsia="zh-CN"/>
        </w:rPr>
        <w:t>学时，占</w:t>
      </w:r>
      <w:r>
        <w:rPr>
          <w:rFonts w:hint="eastAsia" w:ascii="仿宋_GB2312" w:hAnsi="仿宋_GB2312" w:eastAsia="仿宋_GB2312" w:cs="仿宋_GB2312"/>
          <w:bCs/>
          <w:color w:val="auto"/>
          <w:sz w:val="32"/>
          <w:szCs w:val="32"/>
          <w:lang w:val="en-US" w:eastAsia="zh-CN"/>
        </w:rPr>
        <w:t>36.</w:t>
      </w:r>
      <w:r>
        <w:rPr>
          <w:rFonts w:hint="eastAsia" w:ascii="仿宋_GB2312" w:hAnsi="仿宋_GB2312" w:eastAsia="仿宋_GB2312" w:cs="仿宋_GB2312"/>
          <w:bCs/>
          <w:color w:val="auto"/>
          <w:sz w:val="32"/>
          <w:szCs w:val="32"/>
          <w:lang w:eastAsia="zh-CN"/>
        </w:rPr>
        <w:t>%；选修课</w:t>
      </w:r>
      <w:r>
        <w:rPr>
          <w:rFonts w:hint="eastAsia" w:ascii="仿宋_GB2312" w:hAnsi="仿宋_GB2312" w:eastAsia="仿宋_GB2312" w:cs="仿宋_GB2312"/>
          <w:bCs/>
          <w:color w:val="auto"/>
          <w:sz w:val="32"/>
          <w:szCs w:val="32"/>
          <w:lang w:val="en-US" w:eastAsia="zh-CN"/>
        </w:rPr>
        <w:t>272</w:t>
      </w:r>
      <w:r>
        <w:rPr>
          <w:rFonts w:hint="eastAsia" w:ascii="仿宋_GB2312" w:hAnsi="仿宋_GB2312" w:eastAsia="仿宋_GB2312" w:cs="仿宋_GB2312"/>
          <w:bCs/>
          <w:color w:val="auto"/>
          <w:sz w:val="32"/>
          <w:szCs w:val="32"/>
          <w:lang w:eastAsia="zh-CN"/>
        </w:rPr>
        <w:t>学时，占</w:t>
      </w:r>
      <w:r>
        <w:rPr>
          <w:rFonts w:hint="eastAsia" w:ascii="仿宋_GB2312" w:hAnsi="仿宋_GB2312" w:eastAsia="仿宋_GB2312" w:cs="仿宋_GB2312"/>
          <w:bCs/>
          <w:color w:val="auto"/>
          <w:sz w:val="32"/>
          <w:szCs w:val="32"/>
          <w:lang w:val="en-US" w:eastAsia="zh-CN"/>
        </w:rPr>
        <w:t>10.24</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975"/>
        <w:gridCol w:w="865"/>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tLeast"/>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31.21%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16.83%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36.88%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19.85%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17.02%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432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234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8.83%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22.70%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342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12.91%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234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19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w:t>
            </w:r>
            <w:r>
              <w:rPr>
                <w:rFonts w:hint="eastAsia" w:ascii="仿宋_GB2312" w:hAnsi="仿宋_GB2312" w:eastAsia="仿宋_GB2312" w:cs="仿宋_GB2312"/>
                <w:i w:val="0"/>
                <w:iCs w:val="0"/>
                <w:color w:val="auto"/>
                <w:sz w:val="24"/>
                <w:szCs w:val="24"/>
                <w:u w:val="none"/>
                <w:lang w:val="en-US" w:eastAsia="zh-CN"/>
              </w:rPr>
              <w:t>性</w:t>
            </w:r>
            <w:r>
              <w:rPr>
                <w:rFonts w:hint="eastAsia" w:ascii="仿宋_GB2312" w:hAnsi="仿宋_GB2312" w:eastAsia="仿宋_GB2312" w:cs="仿宋_GB2312"/>
                <w:i w:val="0"/>
                <w:iCs w:val="0"/>
                <w:color w:val="auto"/>
                <w:sz w:val="24"/>
                <w:szCs w:val="24"/>
                <w:u w:val="none"/>
              </w:rPr>
              <w:t>教学环节</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17.73%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4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63.12%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1696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668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25.21%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2650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1194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45.06%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1456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54.94%</w:t>
            </w:r>
          </w:p>
        </w:tc>
      </w:tr>
    </w:tbl>
    <w:p>
      <w:pPr>
        <w:keepNext w:val="0"/>
        <w:keepLines w:val="0"/>
        <w:pageBreakBefore w:val="0"/>
        <w:widowControl w:val="0"/>
        <w:numPr>
          <w:ilvl w:val="0"/>
          <w:numId w:val="1"/>
        </w:numPr>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35" w:name="_Toc23521"/>
      <w:r>
        <w:rPr>
          <w:rFonts w:hint="eastAsia" w:ascii="楷体" w:hAnsi="楷体" w:eastAsia="楷体" w:cs="楷体"/>
          <w:color w:val="auto"/>
          <w:sz w:val="32"/>
          <w:szCs w:val="32"/>
          <w:lang w:val="en-US" w:eastAsia="zh-CN"/>
        </w:rPr>
        <w:t>教学计划进程</w:t>
      </w:r>
      <w:bookmarkEnd w:id="35"/>
    </w:p>
    <w:p>
      <w:pPr>
        <w:pStyle w:val="9"/>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pPr w:leftFromText="180" w:rightFromText="180" w:vertAnchor="text" w:horzAnchor="page" w:tblpX="564" w:tblpY="596"/>
        <w:tblOverlap w:val="never"/>
        <w:tblW w:w="591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3"/>
        <w:gridCol w:w="382"/>
        <w:gridCol w:w="480"/>
        <w:gridCol w:w="720"/>
        <w:gridCol w:w="1546"/>
        <w:gridCol w:w="1208"/>
        <w:gridCol w:w="1198"/>
        <w:gridCol w:w="688"/>
        <w:gridCol w:w="688"/>
        <w:gridCol w:w="688"/>
        <w:gridCol w:w="354"/>
        <w:gridCol w:w="354"/>
        <w:gridCol w:w="354"/>
        <w:gridCol w:w="354"/>
        <w:gridCol w:w="354"/>
        <w:gridCol w:w="1"/>
        <w:gridCol w:w="355"/>
        <w:gridCol w:w="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left"/>
              <w:textAlignment w:val="center"/>
              <w:rPr>
                <w:rFonts w:hint="eastAsia" w:ascii="仿宋_GB2312" w:hAnsi="仿宋_GB2312" w:eastAsia="仿宋_GB2312" w:cs="仿宋_GB2312"/>
                <w:i w:val="0"/>
                <w:iCs w:val="0"/>
                <w:color w:val="auto"/>
                <w:sz w:val="20"/>
                <w:szCs w:val="20"/>
                <w:u w:val="none"/>
              </w:rPr>
            </w:pPr>
            <w:bookmarkStart w:id="36" w:name="OLE_LINK3"/>
            <w:r>
              <w:rPr>
                <w:rFonts w:hint="eastAsia" w:ascii="仿宋_GB2312" w:hAnsi="仿宋_GB2312" w:eastAsia="仿宋_GB2312" w:cs="仿宋_GB2312"/>
                <w:i w:val="0"/>
                <w:color w:val="auto"/>
                <w:kern w:val="0"/>
                <w:sz w:val="20"/>
                <w:szCs w:val="20"/>
                <w:u w:val="none"/>
                <w:lang w:val="en-US" w:eastAsia="zh-CN" w:bidi="ar"/>
              </w:rPr>
              <w:t>课程类型</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序号</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12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学分</w:t>
            </w:r>
          </w:p>
        </w:tc>
        <w:tc>
          <w:tcPr>
            <w:tcW w:w="20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12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14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left"/>
              <w:rPr>
                <w:rFonts w:hint="eastAsia" w:ascii="仿宋_GB2312" w:hAnsi="仿宋_GB2312" w:eastAsia="仿宋_GB2312" w:cs="仿宋_GB2312"/>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12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20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21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96" w:hRule="atLeast"/>
        </w:trPr>
        <w:tc>
          <w:tcPr>
            <w:tcW w:w="14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left"/>
              <w:rPr>
                <w:rFonts w:hint="eastAsia" w:ascii="仿宋_GB2312" w:hAnsi="仿宋_GB2312" w:eastAsia="仿宋_GB2312" w:cs="仿宋_GB2312"/>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12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合计</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二</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三</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四</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五</w:t>
            </w: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思想道德与法治</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形势与政策</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1A410101103</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国家安全教育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1A410101104</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军事理论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lang w:val="en-US" w:eastAsia="zh-CN"/>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1C410101105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军训</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1B410101106</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计算机基础</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1B410101107</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高等数学</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1B410101108</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大学英语</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1C410101109</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大学体育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1B410101110</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大学生职业发展与就业指导</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大学生心理健康教育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1C410101112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劳动教育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13</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1B410101113</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毛泽东思想和中国特色社会主义理论体系概论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1B410101114</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创新创业教育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15</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1B410101115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习近平新时代中国特色社会主义思想概论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选修</w:t>
            </w: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中国民俗剪纸技法</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6" w:type="dxa"/>
            <w:gridSpan w:val="7"/>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公共选修课最低学分要求为 8学分，其中要求2个学分为思政选修课学分。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影视与鉴赏</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1A410101203</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中华优秀传统文化</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1A410101204</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中国共产党简史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改革开放简史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1A410101206</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中华人民共和国简史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1A410101207</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社会主义发展简史</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1A410101208</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中华民族共同体概论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sz w:val="20"/>
                <w:szCs w:val="20"/>
                <w:u w:val="none"/>
                <w:lang w:val="en-US" w:eastAsia="zh-CN"/>
              </w:rPr>
              <w:t>9</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1A410101210</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语文</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1A410101211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物理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11</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1A410101212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化学</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公共必修课程学分、学时小计</w:t>
            </w:r>
          </w:p>
        </w:tc>
        <w:tc>
          <w:tcPr>
            <w:tcW w:w="119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44</w:t>
            </w:r>
          </w:p>
        </w:tc>
        <w:tc>
          <w:tcPr>
            <w:tcW w:w="68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830</w:t>
            </w:r>
          </w:p>
        </w:tc>
        <w:tc>
          <w:tcPr>
            <w:tcW w:w="68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454</w:t>
            </w:r>
          </w:p>
        </w:tc>
        <w:tc>
          <w:tcPr>
            <w:tcW w:w="68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376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31%</w:t>
            </w:r>
          </w:p>
        </w:tc>
        <w:tc>
          <w:tcPr>
            <w:tcW w:w="6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38%</w:t>
            </w:r>
          </w:p>
        </w:tc>
        <w:tc>
          <w:tcPr>
            <w:tcW w:w="6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26%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9"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公共选修课程学分、学时小计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5.67%</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4.82%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6.66%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3.31%</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3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专业课</w:t>
            </w:r>
          </w:p>
        </w:tc>
        <w:tc>
          <w:tcPr>
            <w:tcW w:w="382" w:type="dxa"/>
            <w:vMerge w:val="restart"/>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专业基础课</w:t>
            </w:r>
          </w:p>
        </w:tc>
        <w:tc>
          <w:tcPr>
            <w:tcW w:w="480"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2B440301301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建筑材料</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2B440501302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建筑构造与识图</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2B440306305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工程测量</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2A440502304</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建设工程法律法规</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2C440501303</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建筑CAD</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2B440501304</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建筑力学与结构</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2A440502307</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管理学基础</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2B440502308</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BIM概论与技术应用</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2B440502401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工程经济学</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2B440301405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建筑施工技术</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2B440502403</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建筑工程计量与计价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2A440501408</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建设工程项目管理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2B440502405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建筑工程施工质量管理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2B440502406</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建筑工程施工安全与环境管理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2B440502407</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工程招投标与合同管理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2B440502408</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建筑信息模型（BIM）应用</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auto"/>
                <w:kern w:val="0"/>
                <w:sz w:val="20"/>
                <w:szCs w:val="20"/>
                <w:u w:val="none"/>
                <w:lang w:val="en-US" w:eastAsia="zh-CN" w:bidi="ar"/>
              </w:rPr>
              <w:t>专业拓展课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建设工程资料管理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专业拓展课最低学分要求为8学分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建筑企业财务</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2B440502503</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建筑工程经济</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2B440502504</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建筑设备安装与识图</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大数据应用基础</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2B440502506</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智能建造技术</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2B440502507</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智能工地管理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2B440502508</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现代项目管理</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2B440502509</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房地产开发与经营</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2A440502510</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监理概论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2B440501512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工程制图</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2A420301509</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土木工程概论</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 w:hAnsi="仿宋" w:eastAsia="仿宋" w:cs="仿宋"/>
                <w:i w:val="0"/>
                <w:iCs w:val="0"/>
                <w:color w:val="auto"/>
                <w:sz w:val="20"/>
                <w:szCs w:val="20"/>
                <w:u w:val="none"/>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2B440501514</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房屋建筑学</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rPr>
            </w:pPr>
          </w:p>
        </w:tc>
        <w:tc>
          <w:tcPr>
            <w:tcW w:w="382" w:type="dxa"/>
            <w:vMerge w:val="restart"/>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72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54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2C440501601</w:t>
            </w:r>
          </w:p>
        </w:tc>
        <w:tc>
          <w:tcPr>
            <w:tcW w:w="120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土木实训</w:t>
            </w:r>
          </w:p>
        </w:tc>
        <w:tc>
          <w:tcPr>
            <w:tcW w:w="119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1B410101601</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毕业设计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33"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1C410101602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岗位实习</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432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969"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专业必修课程学分、学时小计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1552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596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956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9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专业必修课程学分、学时占比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57.45%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8"/>
                <w:kern w:val="0"/>
                <w:sz w:val="20"/>
                <w:szCs w:val="20"/>
                <w:u w:val="none"/>
                <w:lang w:val="en-US" w:eastAsia="zh-CN" w:bidi="ar"/>
              </w:rPr>
            </w:pPr>
            <w:r>
              <w:rPr>
                <w:rFonts w:hint="eastAsia" w:ascii="仿宋_GB2312" w:hAnsi="仿宋_GB2312" w:eastAsia="仿宋_GB2312" w:cs="仿宋_GB2312"/>
                <w:i w:val="0"/>
                <w:color w:val="auto"/>
                <w:spacing w:val="-28"/>
                <w:kern w:val="0"/>
                <w:sz w:val="20"/>
                <w:szCs w:val="20"/>
                <w:u w:val="none"/>
                <w:lang w:val="en-US" w:eastAsia="zh-CN" w:bidi="ar"/>
              </w:rPr>
              <w:t>58.57%</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8"/>
                <w:kern w:val="0"/>
                <w:sz w:val="20"/>
                <w:szCs w:val="20"/>
                <w:u w:val="none"/>
                <w:lang w:val="en-US" w:eastAsia="zh-CN" w:bidi="ar"/>
              </w:rPr>
            </w:pPr>
            <w:r>
              <w:rPr>
                <w:rFonts w:hint="eastAsia" w:ascii="仿宋_GB2312" w:hAnsi="仿宋_GB2312" w:eastAsia="仿宋_GB2312" w:cs="仿宋_GB2312"/>
                <w:i w:val="0"/>
                <w:color w:val="auto"/>
                <w:spacing w:val="-28"/>
                <w:kern w:val="0"/>
                <w:sz w:val="20"/>
                <w:szCs w:val="20"/>
                <w:u w:val="none"/>
                <w:lang w:val="en-US" w:eastAsia="zh-CN" w:bidi="ar"/>
              </w:rPr>
              <w:t>49.92%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8"/>
                <w:kern w:val="0"/>
                <w:sz w:val="20"/>
                <w:szCs w:val="20"/>
                <w:u w:val="none"/>
                <w:lang w:val="en-US" w:eastAsia="zh-CN" w:bidi="ar"/>
              </w:rPr>
            </w:pPr>
            <w:r>
              <w:rPr>
                <w:rFonts w:hint="eastAsia" w:ascii="仿宋_GB2312" w:hAnsi="仿宋_GB2312" w:eastAsia="仿宋_GB2312" w:cs="仿宋_GB2312"/>
                <w:i w:val="0"/>
                <w:color w:val="auto"/>
                <w:spacing w:val="-28"/>
                <w:kern w:val="0"/>
                <w:sz w:val="20"/>
                <w:szCs w:val="20"/>
                <w:u w:val="none"/>
                <w:lang w:val="en-US" w:eastAsia="zh-CN" w:bidi="ar"/>
              </w:rPr>
              <w:t>65.66%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49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专业拓展课程学分、学时小计</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144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72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72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49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专业拓展课程学分、学时占比</w:t>
            </w:r>
          </w:p>
        </w:tc>
        <w:tc>
          <w:tcPr>
            <w:tcW w:w="1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5.67%</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5.43%</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6.03%</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4.95%</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49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总学分、学时合计</w:t>
            </w:r>
          </w:p>
        </w:tc>
        <w:tc>
          <w:tcPr>
            <w:tcW w:w="119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141</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2650</w:t>
            </w:r>
          </w:p>
        </w:tc>
        <w:tc>
          <w:tcPr>
            <w:tcW w:w="68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1194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1456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auto"/>
                <w:sz w:val="20"/>
                <w:szCs w:val="20"/>
                <w:u w:val="none"/>
              </w:rPr>
            </w:pPr>
          </w:p>
        </w:tc>
      </w:tr>
      <w:bookmarkEnd w:id="36"/>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37" w:name="_Toc29345"/>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3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38" w:name="_Toc20046"/>
      <w:r>
        <w:rPr>
          <w:rFonts w:hint="eastAsia" w:ascii="楷体" w:hAnsi="楷体" w:eastAsia="楷体" w:cs="楷体"/>
          <w:color w:val="auto"/>
          <w:sz w:val="32"/>
          <w:szCs w:val="32"/>
          <w:lang w:val="en-US" w:eastAsia="zh-CN"/>
        </w:rPr>
        <w:t>（一）队伍结构</w:t>
      </w:r>
      <w:bookmarkEnd w:id="3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39" w:name="_Toc7660"/>
      <w:r>
        <w:rPr>
          <w:rFonts w:hint="eastAsia" w:ascii="楷体" w:hAnsi="楷体" w:eastAsia="楷体" w:cs="楷体"/>
          <w:color w:val="auto"/>
          <w:sz w:val="32"/>
          <w:szCs w:val="32"/>
          <w:lang w:val="en-US" w:eastAsia="zh-CN"/>
        </w:rPr>
        <w:t>（二）专业带头人</w:t>
      </w:r>
      <w:bookmarkEnd w:id="3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0" w:name="_Toc32721"/>
      <w:r>
        <w:rPr>
          <w:rFonts w:hint="eastAsia" w:ascii="仿宋_GB2312" w:hAnsi="仿宋_GB2312" w:eastAsia="仿宋_GB2312" w:cs="仿宋_GB2312"/>
          <w:b w:val="0"/>
          <w:bCs w:val="0"/>
          <w:color w:val="auto"/>
          <w:sz w:val="32"/>
          <w:szCs w:val="32"/>
          <w:highlight w:val="none"/>
          <w:lang w:val="en-US" w:eastAsia="zh-CN"/>
        </w:rPr>
        <w:t>专业带头人原则上应具有本专业及相关专业副高及以上职称和较强的实践能力，能够较好地把握国内外建筑业、科学研究和技术服务业的行业、专业发展，能广泛联系行业企业，了解行业企业对本专业人才的需求实际，主持专业建设、开展教育教学改革、教科研工作和社会服务能力强，在本专业改革发展中起引领作用。</w:t>
      </w:r>
      <w:bookmarkEnd w:id="40"/>
    </w:p>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41" w:name="_Toc15835"/>
      <w:r>
        <w:rPr>
          <w:rFonts w:hint="eastAsia" w:ascii="楷体" w:hAnsi="楷体" w:eastAsia="楷体" w:cs="楷体"/>
          <w:color w:val="auto"/>
          <w:sz w:val="32"/>
          <w:szCs w:val="32"/>
          <w:lang w:val="en-US" w:eastAsia="zh-CN"/>
        </w:rPr>
        <w:t>（三）专任教师</w:t>
      </w:r>
      <w:bookmarkEnd w:id="41"/>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2" w:name="_Toc5823"/>
      <w:r>
        <w:rPr>
          <w:rFonts w:hint="eastAsia" w:ascii="仿宋_GB2312" w:hAnsi="仿宋_GB2312" w:eastAsia="仿宋_GB2312" w:cs="仿宋_GB2312"/>
          <w:b w:val="0"/>
          <w:bCs w:val="0"/>
          <w:color w:val="auto"/>
          <w:sz w:val="32"/>
          <w:szCs w:val="32"/>
          <w:highlight w:val="none"/>
          <w:lang w:val="en-US" w:eastAsia="zh-CN"/>
        </w:rPr>
        <w:t>专任教师应具有高校教师资格；原则上具有建设工程管理类、管理科学与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bookmarkEnd w:id="42"/>
    </w:p>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43" w:name="_Toc22652"/>
      <w:r>
        <w:rPr>
          <w:rFonts w:hint="eastAsia" w:ascii="楷体" w:hAnsi="楷体" w:eastAsia="楷体" w:cs="楷体"/>
          <w:color w:val="auto"/>
          <w:sz w:val="32"/>
          <w:szCs w:val="32"/>
          <w:lang w:val="en-US" w:eastAsia="zh-CN"/>
        </w:rPr>
        <w:t>（四）兼职教师</w:t>
      </w:r>
      <w:bookmarkEnd w:id="43"/>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44" w:name="_Toc23997"/>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bookmarkEnd w:id="4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45" w:name="_Toc8067"/>
      <w:r>
        <w:rPr>
          <w:rFonts w:hint="eastAsia" w:ascii="黑体" w:hAnsi="黑体" w:eastAsia="黑体" w:cs="黑体"/>
          <w:color w:val="auto"/>
          <w:sz w:val="32"/>
          <w:szCs w:val="32"/>
          <w:lang w:val="en-US" w:eastAsia="zh-CN"/>
        </w:rPr>
        <w:t>十、教学条件</w:t>
      </w:r>
      <w:bookmarkEnd w:id="45"/>
    </w:p>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46" w:name="_Toc4802"/>
      <w:r>
        <w:rPr>
          <w:rFonts w:hint="eastAsia" w:ascii="楷体" w:hAnsi="楷体" w:eastAsia="楷体" w:cs="楷体"/>
          <w:color w:val="auto"/>
          <w:sz w:val="32"/>
          <w:szCs w:val="32"/>
          <w:lang w:val="en-US" w:eastAsia="zh-CN"/>
        </w:rPr>
        <w:t>（一）教学设施</w:t>
      </w:r>
      <w:bookmarkEnd w:id="4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7" w:name="_Toc18364"/>
      <w:bookmarkStart w:id="48" w:name="_Toc4780"/>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专业教室要求</w:t>
      </w:r>
      <w:bookmarkEnd w:id="47"/>
      <w:bookmarkEnd w:id="4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9" w:name="_Toc3710"/>
      <w:bookmarkStart w:id="50" w:name="_Toc4955"/>
      <w:r>
        <w:rPr>
          <w:rFonts w:hint="eastAsia" w:ascii="仿宋_GB2312" w:hAnsi="仿宋_GB2312" w:eastAsia="仿宋_GB2312" w:cs="仿宋_GB2312"/>
          <w:color w:val="auto"/>
          <w:sz w:val="32"/>
          <w:szCs w:val="32"/>
        </w:rPr>
        <w:t>校内实训资源</w:t>
      </w:r>
      <w:bookmarkEnd w:id="49"/>
      <w:bookmarkEnd w:id="50"/>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1"/>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17"/>
        <w:gridCol w:w="1013"/>
        <w:gridCol w:w="1519"/>
        <w:gridCol w:w="4905"/>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121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实验实训室名称</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实训适用课程</w:t>
            </w:r>
          </w:p>
        </w:tc>
        <w:tc>
          <w:tcPr>
            <w:tcW w:w="151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实训项目</w:t>
            </w:r>
          </w:p>
        </w:tc>
        <w:tc>
          <w:tcPr>
            <w:tcW w:w="4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主要设备名称及配置数量</w:t>
            </w:r>
          </w:p>
        </w:tc>
        <w:tc>
          <w:tcPr>
            <w:tcW w:w="706"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p>
        </w:tc>
        <w:tc>
          <w:tcPr>
            <w:tcW w:w="121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工程招投标实训室</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工程招投标与合同管理</w:t>
            </w:r>
          </w:p>
        </w:tc>
        <w:tc>
          <w:tcPr>
            <w:tcW w:w="151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招标模拟、投标模拟、开标模拟、评标模拟</w:t>
            </w:r>
          </w:p>
        </w:tc>
        <w:tc>
          <w:tcPr>
            <w:tcW w:w="4905"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微型计算机1台、会议椅1套、教学投影仪1台、BLPU多功能扩音机1台、招投标桌1张</w:t>
            </w:r>
          </w:p>
        </w:tc>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default" w:ascii="仿宋_GB2312" w:hAnsi="仿宋_GB2312" w:eastAsia="仿宋_GB2312" w:cs="仿宋_GB2312"/>
                <w:color w:val="auto"/>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p>
        </w:tc>
        <w:tc>
          <w:tcPr>
            <w:tcW w:w="121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建筑材料检测实训中心</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建筑施工技术</w:t>
            </w:r>
          </w:p>
        </w:tc>
        <w:tc>
          <w:tcPr>
            <w:tcW w:w="151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砌筑工程实训、钢筋工程实训、模板工程实训、专业技能考证培训</w:t>
            </w:r>
          </w:p>
        </w:tc>
        <w:tc>
          <w:tcPr>
            <w:tcW w:w="4905"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台、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ascii="仿宋_GB2312" w:hAnsi="仿宋_GB2312" w:eastAsia="仿宋_GB2312" w:cs="仿宋_GB2312"/>
                <w:color w:val="auto"/>
                <w:sz w:val="24"/>
                <w:szCs w:val="24"/>
                <w:highlight w:val="none"/>
                <w:lang w:val="en-US" w:eastAsia="zh-CN"/>
              </w:rPr>
              <w:t>塌落度</w:t>
            </w:r>
            <w:r>
              <w:rPr>
                <w:rFonts w:hint="eastAsia" w:ascii="仿宋_GB2312" w:hAnsi="仿宋_GB2312" w:eastAsia="仿宋_GB2312" w:cs="仿宋_GB2312"/>
                <w:color w:val="auto"/>
                <w:sz w:val="24"/>
                <w:szCs w:val="24"/>
                <w:lang w:val="en-US" w:eastAsia="zh-CN"/>
              </w:rPr>
              <w:t>筒12台、新标准方孔砂子筛12套</w:t>
            </w:r>
          </w:p>
        </w:tc>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121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建筑材料力学实验室</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建筑材料</w:t>
            </w:r>
          </w:p>
        </w:tc>
        <w:tc>
          <w:tcPr>
            <w:tcW w:w="151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钢筋、混凝土、水泥、砂浆等性质的检测</w:t>
            </w:r>
          </w:p>
        </w:tc>
        <w:tc>
          <w:tcPr>
            <w:tcW w:w="4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万能材料试验机20台、电液伺服万能试验机18台、电脑全自动恒应力压力试验机8台、全自动恒应力一体机5台</w:t>
            </w:r>
          </w:p>
        </w:tc>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121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建筑工程制图室</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计算机辅助设计CAD、工程制图、工程招投标与合同管理</w:t>
            </w:r>
          </w:p>
        </w:tc>
        <w:tc>
          <w:tcPr>
            <w:tcW w:w="151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建筑CAD、博奥、广联达、Cass软件教学</w:t>
            </w:r>
          </w:p>
        </w:tc>
        <w:tc>
          <w:tcPr>
            <w:tcW w:w="490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服务器1台、交换机1台以及可运行AutoCAD、博奥、广联达、Cass软件教学软件的计算机80台</w:t>
            </w:r>
          </w:p>
        </w:tc>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80</w:t>
            </w:r>
          </w:p>
        </w:tc>
      </w:tr>
    </w:tbl>
    <w:p>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bookmarkStart w:id="51" w:name="_Toc27844"/>
      <w:bookmarkStart w:id="52" w:name="_Toc18181"/>
      <w:r>
        <w:rPr>
          <w:rFonts w:hint="eastAsia" w:ascii="仿宋_GB2312" w:hAnsi="仿宋_GB2312" w:eastAsia="仿宋_GB2312" w:cs="仿宋_GB2312"/>
          <w:color w:val="auto"/>
          <w:sz w:val="32"/>
          <w:szCs w:val="32"/>
        </w:rPr>
        <w:t>3.校外实训资源</w:t>
      </w:r>
      <w:bookmarkEnd w:id="51"/>
      <w:bookmarkEnd w:id="52"/>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Times New Roman" w:hAnsi="Times New Roman" w:eastAsia="仿宋_GB2312" w:cs="仿宋"/>
          <w:b w:val="0"/>
          <w:bCs w:val="0"/>
          <w:color w:val="auto"/>
          <w:sz w:val="32"/>
          <w:szCs w:val="32"/>
          <w:highlight w:val="none"/>
          <w:lang w:val="en-US" w:eastAsia="zh-CN"/>
        </w:rPr>
      </w:pPr>
      <w:r>
        <w:rPr>
          <w:rFonts w:hint="default" w:ascii="Times New Roman" w:hAnsi="Times New Roman" w:eastAsia="仿宋_GB2312" w:cs="仿宋"/>
          <w:b w:val="0"/>
          <w:bCs w:val="0"/>
          <w:color w:val="auto"/>
          <w:sz w:val="32"/>
          <w:szCs w:val="32"/>
          <w:highlight w:val="none"/>
          <w:lang w:val="en-US" w:eastAsia="zh-CN"/>
        </w:rPr>
        <w:t>（1）校外实训基地基本要求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
          <w:b w:val="0"/>
          <w:bCs w:val="0"/>
          <w:color w:val="auto"/>
          <w:sz w:val="32"/>
          <w:szCs w:val="32"/>
          <w:highlight w:val="none"/>
          <w:lang w:val="en-US" w:eastAsia="zh-CN"/>
        </w:rPr>
      </w:pPr>
      <w:r>
        <w:rPr>
          <w:rFonts w:hint="eastAsia" w:ascii="Times New Roman" w:hAnsi="Times New Roman" w:eastAsia="仿宋_GB2312" w:cs="仿宋"/>
          <w:b w:val="0"/>
          <w:bCs w:val="0"/>
          <w:color w:val="auto"/>
          <w:sz w:val="32"/>
          <w:szCs w:val="32"/>
          <w:highlight w:val="none"/>
          <w:lang w:val="en-US" w:eastAsia="zh-CN"/>
        </w:rPr>
        <w:t>具有稳定的校外实训基地2个以上；能够开展建设工程管理等实训活动；实训设施齐备，实训岗位、实训指导教师确定，实训管理及实施规章制度齐全。</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default" w:ascii="Times New Roman" w:hAnsi="Times New Roman" w:eastAsia="仿宋_GB2312" w:cs="仿宋"/>
          <w:b w:val="0"/>
          <w:bCs w:val="0"/>
          <w:color w:val="auto"/>
          <w:sz w:val="32"/>
          <w:szCs w:val="32"/>
          <w:highlight w:val="none"/>
          <w:lang w:val="en-US" w:eastAsia="zh-CN"/>
        </w:rPr>
      </w:pPr>
      <w:r>
        <w:rPr>
          <w:rFonts w:hint="default" w:ascii="Times New Roman" w:hAnsi="Times New Roman" w:eastAsia="仿宋_GB2312" w:cs="仿宋"/>
          <w:b w:val="0"/>
          <w:bCs w:val="0"/>
          <w:color w:val="auto"/>
          <w:sz w:val="32"/>
          <w:szCs w:val="32"/>
          <w:highlight w:val="none"/>
          <w:lang w:val="en-US" w:eastAsia="zh-CN"/>
        </w:rPr>
        <w:t>（2）</w:t>
      </w:r>
      <w:r>
        <w:rPr>
          <w:rFonts w:hint="eastAsia" w:ascii="Times New Roman" w:hAnsi="Times New Roman" w:eastAsia="仿宋_GB2312" w:cs="仿宋"/>
          <w:b w:val="0"/>
          <w:bCs w:val="0"/>
          <w:color w:val="auto"/>
          <w:sz w:val="32"/>
          <w:szCs w:val="32"/>
          <w:highlight w:val="none"/>
          <w:lang w:val="en-US" w:eastAsia="zh-CN"/>
        </w:rPr>
        <w:t>学生实习基地基本要求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
          <w:b w:val="0"/>
          <w:bCs w:val="0"/>
          <w:color w:val="auto"/>
          <w:sz w:val="32"/>
          <w:szCs w:val="32"/>
          <w:highlight w:val="none"/>
          <w:lang w:val="en-US" w:eastAsia="zh-CN"/>
        </w:rPr>
        <w:t>具有稳定的校外实习基地2个以上；能提供建设工程管理等相关实习岗位，能涵盖当前相关产业的主流技术，可接纳一定规模的学生实习；能够配备相应数量的指导教师对学生实习进行指导和管理；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1"/>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257"/>
        <w:gridCol w:w="2025"/>
        <w:gridCol w:w="2700"/>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257"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270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1</w:t>
            </w:r>
          </w:p>
        </w:tc>
        <w:tc>
          <w:tcPr>
            <w:tcW w:w="2257"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广西第六建筑工程有限公司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eastAsia="zh-CN"/>
              </w:rPr>
              <w:t>提供真实施工图纸、进度计划等实训素材，</w:t>
            </w:r>
            <w:r>
              <w:rPr>
                <w:rFonts w:hint="eastAsia" w:ascii="仿宋_GB2312" w:hAnsi="仿宋_GB2312" w:eastAsia="仿宋_GB2312" w:cs="仿宋_GB2312"/>
                <w:color w:val="auto"/>
                <w:sz w:val="24"/>
                <w:lang w:val="en-US" w:eastAsia="zh-CN"/>
              </w:rPr>
              <w:t>提供</w:t>
            </w:r>
            <w:r>
              <w:rPr>
                <w:rFonts w:hint="eastAsia" w:ascii="仿宋_GB2312" w:hAnsi="仿宋_GB2312" w:eastAsia="仿宋_GB2312" w:cs="仿宋_GB2312"/>
                <w:color w:val="auto"/>
                <w:sz w:val="24"/>
                <w:lang w:eastAsia="zh-CN"/>
              </w:rPr>
              <w:t>施工管理、资料管理岗位。</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2</w:t>
            </w:r>
          </w:p>
        </w:tc>
        <w:tc>
          <w:tcPr>
            <w:tcW w:w="2257"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广西翔超建设工程咨询有限公司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提供</w:t>
            </w:r>
            <w:r>
              <w:rPr>
                <w:rFonts w:hint="eastAsia" w:ascii="仿宋_GB2312" w:hAnsi="仿宋_GB2312" w:eastAsia="仿宋_GB2312" w:cs="仿宋_GB2312"/>
                <w:color w:val="auto"/>
                <w:sz w:val="24"/>
                <w:lang w:eastAsia="zh-CN"/>
              </w:rPr>
              <w:t>项目成本测算、结算审核、监理日志记录，掌握咨询行业的管控标准</w:t>
            </w:r>
            <w:r>
              <w:rPr>
                <w:rFonts w:hint="eastAsia" w:ascii="仿宋_GB2312" w:hAnsi="仿宋_GB2312" w:eastAsia="仿宋_GB2312" w:cs="仿宋_GB2312"/>
                <w:color w:val="auto"/>
                <w:sz w:val="24"/>
                <w:lang w:val="en-US" w:eastAsia="zh-CN"/>
              </w:rPr>
              <w:t>跟岗实习</w:t>
            </w:r>
            <w:r>
              <w:rPr>
                <w:rFonts w:hint="eastAsia" w:ascii="仿宋_GB2312" w:hAnsi="仿宋_GB2312" w:eastAsia="仿宋_GB2312" w:cs="仿宋_GB2312"/>
                <w:color w:val="auto"/>
                <w:sz w:val="24"/>
                <w:lang w:eastAsia="zh-CN"/>
              </w:rPr>
              <w:t>；提供真实造价文件、监理规划等实训资料。</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3</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广西路桥工程集团有限公司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eastAsia="zh-CN"/>
              </w:rPr>
              <w:t>学生参与高速公路、桥梁项目的路基路面施工管理、桩基工程质量管控、施工进度计划编制、征地拆迁协调等</w:t>
            </w:r>
            <w:r>
              <w:rPr>
                <w:rFonts w:hint="eastAsia" w:ascii="仿宋_GB2312" w:hAnsi="仿宋_GB2312" w:eastAsia="仿宋_GB2312" w:cs="仿宋_GB2312"/>
                <w:color w:val="auto"/>
                <w:sz w:val="24"/>
                <w:lang w:val="en-US" w:eastAsia="zh-CN"/>
              </w:rPr>
              <w:t>实习岗位。</w:t>
            </w:r>
            <w:r>
              <w:rPr>
                <w:rFonts w:hint="eastAsia" w:ascii="仿宋_GB2312" w:hAnsi="仿宋_GB2312" w:eastAsia="仿宋_GB2312" w:cs="仿宋_GB2312"/>
                <w:color w:val="auto"/>
                <w:sz w:val="24"/>
                <w:lang w:eastAsia="zh-CN"/>
              </w:rPr>
              <w:t>为学生提供路桥施工管理、协调岗位。</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4</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平果鑫泰建设工程有限公司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为学生提供县域施工管理、基层基建岗位推荐，助力人才下沉县域基建领域。</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5</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广西吉安建设工程有限公司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学生进行认知实习与跟岗实训，参与商业综合体、医院等项目的专业分包工程管理、劳务班组协调、现场安全管控等</w:t>
            </w:r>
            <w:r>
              <w:rPr>
                <w:rFonts w:hint="eastAsia" w:ascii="仿宋_GB2312" w:hAnsi="仿宋_GB2312" w:eastAsia="仿宋_GB2312" w:cs="仿宋_GB2312"/>
                <w:color w:val="auto"/>
                <w:sz w:val="24"/>
                <w:lang w:val="en-US" w:eastAsia="zh-CN"/>
              </w:rPr>
              <w:t>观摩学习</w:t>
            </w:r>
            <w:r>
              <w:rPr>
                <w:rFonts w:hint="eastAsia" w:ascii="仿宋_GB2312" w:hAnsi="仿宋_GB2312" w:eastAsia="仿宋_GB2312" w:cs="仿宋_GB2312"/>
                <w:color w:val="auto"/>
                <w:sz w:val="24"/>
                <w:lang w:eastAsia="zh-CN"/>
              </w:rPr>
              <w:t>。</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6</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广西吉优建筑工程有限公司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开展</w:t>
            </w:r>
            <w:r>
              <w:rPr>
                <w:rFonts w:hint="eastAsia" w:ascii="仿宋_GB2312" w:hAnsi="仿宋_GB2312" w:eastAsia="仿宋_GB2312" w:cs="仿宋_GB2312"/>
                <w:color w:val="auto"/>
                <w:sz w:val="24"/>
                <w:lang w:eastAsia="zh-CN"/>
              </w:rPr>
              <w:t>消防管道安装管控、报警系统调试配合，</w:t>
            </w:r>
            <w:r>
              <w:rPr>
                <w:rFonts w:hint="eastAsia" w:ascii="仿宋_GB2312" w:hAnsi="仿宋_GB2312" w:eastAsia="仿宋_GB2312" w:cs="仿宋_GB2312"/>
                <w:color w:val="auto"/>
                <w:sz w:val="24"/>
                <w:lang w:val="en-US" w:eastAsia="zh-CN"/>
              </w:rPr>
              <w:t>帮助学生</w:t>
            </w:r>
            <w:r>
              <w:rPr>
                <w:rFonts w:hint="eastAsia" w:ascii="仿宋_GB2312" w:hAnsi="仿宋_GB2312" w:eastAsia="仿宋_GB2312" w:cs="仿宋_GB2312"/>
                <w:color w:val="auto"/>
                <w:sz w:val="24"/>
                <w:lang w:eastAsia="zh-CN"/>
              </w:rPr>
              <w:t>掌握 “消防 + 房建” 交叉项目的管理技能。</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7</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广西致冠工程咨询有限公司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学生参与全过程工程咨询、造价跟踪审计、监理规划编制、竣工结算审核等任务；负责项目全周期成本监控、监理资料整理，掌握高端咨询服务的专业能力。</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8</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广西吉优建筑工程有限公司平果分公司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为学生提供县域施工管理、基层基建岗位推荐，助力人才下沉。</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9</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广西吉优建筑工程有限公司博白分公司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为学生提供乡村施工管理、基层基建岗位。</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lang w:val="en-US"/>
              </w:rPr>
            </w:pPr>
            <w:r>
              <w:rPr>
                <w:rFonts w:hint="default" w:ascii="仿宋_GB2312" w:hAnsi="仿宋_GB2312" w:eastAsia="仿宋_GB2312" w:cs="仿宋_GB2312"/>
                <w:color w:val="auto"/>
                <w:sz w:val="24"/>
                <w:lang w:val="en-US"/>
              </w:rPr>
              <w:t>10</w:t>
            </w:r>
          </w:p>
        </w:tc>
        <w:tc>
          <w:tcPr>
            <w:tcW w:w="2257"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广西工程职业学院建设工程管理专业校外实习基地</w:t>
            </w:r>
          </w:p>
        </w:tc>
        <w:tc>
          <w:tcPr>
            <w:tcW w:w="202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广西德优建筑劳务有限公司</w:t>
            </w:r>
          </w:p>
        </w:tc>
        <w:tc>
          <w:tcPr>
            <w:tcW w:w="2700" w:type="dxa"/>
            <w:vAlign w:val="top"/>
          </w:tcPr>
          <w:p>
            <w:pPr>
              <w:keepNext w:val="0"/>
              <w:keepLines w:val="0"/>
              <w:pageBreakBefore w:val="0"/>
              <w:widowControl w:val="0"/>
              <w:kinsoku/>
              <w:wordWrap/>
              <w:overflowPunct w:val="0"/>
              <w:topLinePunct w:val="0"/>
              <w:autoSpaceDE/>
              <w:autoSpaceDN/>
              <w:bidi w:val="0"/>
              <w:adjustRightInd w:val="0"/>
              <w:snapToGrid/>
              <w:spacing w:after="0" w:line="240" w:lineRule="auto"/>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学生参与劳务班组管理、施工安全交底、劳务成本核算、工人考勤与薪资管理等任务；学习劳务分包的现场管控、纠纷协调技能，对接 “劳务管理员” 职业资格证书考核。</w:t>
            </w:r>
          </w:p>
        </w:tc>
        <w:tc>
          <w:tcPr>
            <w:tcW w:w="1181"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40</w:t>
            </w:r>
          </w:p>
        </w:tc>
      </w:tr>
    </w:tbl>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53" w:name="_Toc30698"/>
      <w:r>
        <w:rPr>
          <w:rFonts w:hint="eastAsia" w:ascii="楷体" w:hAnsi="楷体" w:eastAsia="楷体" w:cs="楷体"/>
          <w:color w:val="auto"/>
          <w:sz w:val="32"/>
          <w:szCs w:val="32"/>
          <w:lang w:val="en-US" w:eastAsia="zh-CN"/>
        </w:rPr>
        <w:t>（二）教学资源</w:t>
      </w:r>
      <w:bookmarkEnd w:id="5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4" w:name="_Toc27592"/>
      <w:bookmarkStart w:id="55" w:name="_Toc31883"/>
      <w:r>
        <w:rPr>
          <w:rFonts w:hint="eastAsia" w:ascii="仿宋_GB2312" w:hAnsi="仿宋_GB2312" w:eastAsia="仿宋_GB2312" w:cs="仿宋_GB2312"/>
          <w:color w:val="auto"/>
          <w:sz w:val="32"/>
          <w:szCs w:val="32"/>
        </w:rPr>
        <w:t>1.教材选用基本要求</w:t>
      </w:r>
      <w:bookmarkEnd w:id="54"/>
      <w:bookmarkEnd w:id="55"/>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val="en-US" w:eastAsia="zh-CN" w:bidi="ar-SA"/>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56" w:name="_Toc32239"/>
      <w:bookmarkStart w:id="57" w:name="_Toc6445"/>
      <w:r>
        <w:rPr>
          <w:rFonts w:hint="default" w:ascii="仿宋_GB2312" w:hAnsi="仿宋_GB2312" w:eastAsia="仿宋_GB2312" w:cs="仿宋_GB2312"/>
          <w:color w:val="auto"/>
          <w:sz w:val="32"/>
          <w:szCs w:val="32"/>
          <w:lang w:val="en-US"/>
        </w:rPr>
        <w:t>2.</w:t>
      </w:r>
      <w:r>
        <w:rPr>
          <w:rFonts w:hint="eastAsia" w:ascii="仿宋_GB2312" w:hAnsi="仿宋_GB2312" w:eastAsia="仿宋_GB2312" w:cs="仿宋_GB2312"/>
          <w:color w:val="auto"/>
          <w:sz w:val="32"/>
          <w:szCs w:val="32"/>
        </w:rPr>
        <w:t>图书文献配备基本要求</w:t>
      </w:r>
      <w:bookmarkEnd w:id="56"/>
      <w:bookmarkEnd w:id="5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
          <w:b w:val="0"/>
          <w:bCs w:val="0"/>
          <w:color w:val="auto"/>
          <w:sz w:val="32"/>
          <w:szCs w:val="32"/>
          <w:highlight w:val="none"/>
          <w:lang w:val="en-US" w:eastAsia="zh-CN"/>
        </w:rPr>
        <w:t>图书文献配备能满足人才培养、专业建设、教科研等工作的需要，方便师生查询、借阅。专业类文献主要包括：建设工程管理相关行业政策法规、行业标准、技术规范以及建设工程管理等与服务相关专业类图书和实务案例类图书。专业图书资料（含电子图书）不低于500册，5种以上建设工程管理类专业学术期刊，并能保持每年更新。</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58" w:name="_Toc13608"/>
      <w:bookmarkStart w:id="59" w:name="_Toc12884"/>
      <w:r>
        <w:rPr>
          <w:rFonts w:hint="default" w:ascii="仿宋_GB2312" w:hAnsi="仿宋_GB2312" w:eastAsia="仿宋_GB2312" w:cs="仿宋_GB2312"/>
          <w:color w:val="auto"/>
          <w:sz w:val="32"/>
          <w:szCs w:val="32"/>
          <w:lang w:val="en-US"/>
        </w:rPr>
        <w:t>3.</w:t>
      </w:r>
      <w:r>
        <w:rPr>
          <w:rFonts w:hint="eastAsia" w:ascii="仿宋_GB2312" w:hAnsi="仿宋_GB2312" w:eastAsia="仿宋_GB2312" w:cs="仿宋_GB2312"/>
          <w:color w:val="auto"/>
          <w:sz w:val="32"/>
          <w:szCs w:val="32"/>
        </w:rPr>
        <w:t>数字教学资源配置基本要求</w:t>
      </w:r>
      <w:bookmarkEnd w:id="58"/>
      <w:bookmarkEnd w:id="5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
          <w:b w:val="0"/>
          <w:bCs w:val="0"/>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60" w:name="_Toc24997"/>
      <w:r>
        <w:rPr>
          <w:rFonts w:hint="eastAsia" w:ascii="楷体" w:hAnsi="楷体" w:eastAsia="楷体" w:cs="楷体"/>
          <w:color w:val="auto"/>
          <w:sz w:val="32"/>
          <w:szCs w:val="32"/>
          <w:lang w:val="en-US" w:eastAsia="zh-CN"/>
        </w:rPr>
        <w:t>（三）教学方法</w:t>
      </w:r>
      <w:bookmarkEnd w:id="6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rPr>
      </w:pPr>
      <w:r>
        <w:rPr>
          <w:rFonts w:hint="default" w:ascii="Times New Roman" w:hAnsi="Times New Roman" w:eastAsia="仿宋_GB2312" w:cs="仿宋"/>
          <w:b w:val="0"/>
          <w:bCs w:val="0"/>
          <w:color w:val="auto"/>
          <w:sz w:val="32"/>
          <w:szCs w:val="32"/>
          <w:highlight w:val="none"/>
          <w:lang w:val="en-US" w:eastAsia="zh-CN"/>
        </w:rPr>
        <w:t>根据不同课程的性质</w:t>
      </w:r>
      <w:r>
        <w:rPr>
          <w:rFonts w:hint="eastAsia" w:ascii="Times New Roman" w:hAnsi="Times New Roman" w:eastAsia="仿宋_GB2312" w:cs="仿宋"/>
          <w:b w:val="0"/>
          <w:bCs w:val="0"/>
          <w:color w:val="auto"/>
          <w:sz w:val="32"/>
          <w:szCs w:val="32"/>
          <w:highlight w:val="none"/>
          <w:lang w:val="en-US" w:eastAsia="zh-CN"/>
        </w:rPr>
        <w:t>特点</w:t>
      </w:r>
      <w:r>
        <w:rPr>
          <w:rFonts w:hint="default" w:ascii="Times New Roman" w:hAnsi="Times New Roman" w:eastAsia="仿宋_GB2312" w:cs="仿宋"/>
          <w:b w:val="0"/>
          <w:bCs w:val="0"/>
          <w:color w:val="auto"/>
          <w:sz w:val="32"/>
          <w:szCs w:val="32"/>
          <w:highlight w:val="none"/>
          <w:lang w:val="en-US" w:eastAsia="zh-CN"/>
        </w:rPr>
        <w:t>，在保留传统讲授法、演示法、讨论法、问答法、案例分析法等的基础上</w:t>
      </w:r>
      <w:r>
        <w:rPr>
          <w:rFonts w:hint="eastAsia" w:ascii="Times New Roman" w:hAnsi="Times New Roman" w:eastAsia="仿宋_GB2312" w:cs="仿宋"/>
          <w:b w:val="0"/>
          <w:bCs w:val="0"/>
          <w:color w:val="auto"/>
          <w:sz w:val="32"/>
          <w:szCs w:val="32"/>
          <w:highlight w:val="none"/>
          <w:lang w:val="en-US" w:eastAsia="zh-CN"/>
        </w:rPr>
        <w:t>，</w:t>
      </w:r>
      <w:r>
        <w:rPr>
          <w:rFonts w:hint="default" w:ascii="Times New Roman" w:hAnsi="Times New Roman" w:eastAsia="仿宋_GB2312" w:cs="仿宋"/>
          <w:b w:val="0"/>
          <w:bCs w:val="0"/>
          <w:color w:val="auto"/>
          <w:sz w:val="32"/>
          <w:szCs w:val="32"/>
          <w:highlight w:val="none"/>
          <w:lang w:val="en-US" w:eastAsia="zh-CN"/>
        </w:rPr>
        <w:t>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topLinePunct w:val="0"/>
        <w:autoSpaceDE/>
        <w:autoSpaceDN/>
        <w:bidi w:val="0"/>
        <w:snapToGrid/>
        <w:spacing w:after="0" w:line="520" w:lineRule="exact"/>
        <w:ind w:firstLine="320" w:firstLineChars="100"/>
        <w:textAlignment w:val="auto"/>
        <w:outlineLvl w:val="1"/>
        <w:rPr>
          <w:rFonts w:hint="eastAsia" w:ascii="楷体" w:hAnsi="楷体" w:eastAsia="楷体" w:cs="楷体"/>
          <w:color w:val="auto"/>
          <w:sz w:val="32"/>
          <w:szCs w:val="32"/>
          <w:lang w:val="en-US" w:eastAsia="zh-CN"/>
        </w:rPr>
      </w:pPr>
      <w:bookmarkStart w:id="61" w:name="_Toc21540"/>
      <w:r>
        <w:rPr>
          <w:rFonts w:hint="eastAsia" w:ascii="楷体" w:hAnsi="楷体" w:eastAsia="楷体" w:cs="楷体"/>
          <w:color w:val="auto"/>
          <w:sz w:val="32"/>
          <w:szCs w:val="32"/>
          <w:lang w:val="en-US" w:eastAsia="zh-CN"/>
        </w:rPr>
        <w:t>（四）学习评价</w:t>
      </w:r>
      <w:bookmarkEnd w:id="6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62" w:name="_Toc16210"/>
      <w:bookmarkStart w:id="63" w:name="_Toc2422"/>
      <w:r>
        <w:rPr>
          <w:rFonts w:hint="eastAsia" w:ascii="仿宋_GB2312" w:hAnsi="仿宋_GB2312" w:eastAsia="仿宋_GB2312" w:cs="仿宋_GB2312"/>
          <w:color w:val="auto"/>
          <w:sz w:val="32"/>
          <w:szCs w:val="32"/>
        </w:rPr>
        <w:t>1.课程考核方法</w:t>
      </w:r>
      <w:bookmarkEnd w:id="62"/>
      <w:bookmarkEnd w:id="6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64" w:name="_Toc14578"/>
      <w:bookmarkStart w:id="65" w:name="_Toc9472"/>
      <w:r>
        <w:rPr>
          <w:rFonts w:hint="default" w:ascii="仿宋_GB2312" w:hAnsi="仿宋_GB2312" w:eastAsia="仿宋_GB2312" w:cs="仿宋_GB2312"/>
          <w:color w:val="auto"/>
          <w:sz w:val="32"/>
          <w:szCs w:val="32"/>
          <w:lang w:val="en-US"/>
        </w:rPr>
        <w:t>2.</w:t>
      </w:r>
      <w:r>
        <w:rPr>
          <w:rFonts w:hint="eastAsia" w:ascii="仿宋_GB2312" w:hAnsi="仿宋_GB2312" w:eastAsia="仿宋_GB2312" w:cs="仿宋_GB2312"/>
          <w:color w:val="auto"/>
          <w:sz w:val="32"/>
          <w:szCs w:val="32"/>
        </w:rPr>
        <w:t>教学评价方式</w:t>
      </w:r>
      <w:bookmarkEnd w:id="64"/>
      <w:bookmarkEnd w:id="6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s="仿宋"/>
          <w:b w:val="0"/>
          <w:bCs w:val="0"/>
          <w:color w:val="auto"/>
          <w:sz w:val="32"/>
          <w:szCs w:val="32"/>
          <w:highlight w:val="none"/>
          <w:lang w:val="en-US" w:eastAsia="zh-CN"/>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66" w:name="_Toc14865"/>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66"/>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s="黑体"/>
          <w:b w:val="0"/>
          <w:bCs w:val="0"/>
          <w:color w:val="auto"/>
          <w:sz w:val="32"/>
          <w:szCs w:val="32"/>
          <w:highlight w:val="none"/>
        </w:rPr>
      </w:pPr>
      <w:bookmarkStart w:id="67" w:name="_Toc13636"/>
      <w:r>
        <w:rPr>
          <w:rFonts w:hint="eastAsia" w:ascii="黑体" w:hAnsi="黑体" w:eastAsia="黑体" w:cs="黑体"/>
          <w:b w:val="0"/>
          <w:bCs w:val="0"/>
          <w:color w:val="auto"/>
          <w:sz w:val="32"/>
          <w:szCs w:val="32"/>
          <w:highlight w:val="none"/>
        </w:rPr>
        <w:t>毕业要求</w:t>
      </w:r>
      <w:bookmarkEnd w:id="6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lang w:val="en-US" w:eastAsia="zh-CN"/>
        </w:rPr>
      </w:pPr>
      <w:bookmarkStart w:id="68" w:name="_Toc36"/>
      <w:r>
        <w:rPr>
          <w:rFonts w:hint="eastAsia" w:ascii="楷体" w:hAnsi="楷体" w:eastAsia="楷体" w:cs="楷体"/>
          <w:color w:val="auto"/>
          <w:sz w:val="32"/>
          <w:szCs w:val="32"/>
          <w:lang w:val="en-US" w:eastAsia="zh-CN"/>
        </w:rPr>
        <w:t>（一）学分要求</w:t>
      </w:r>
      <w:bookmarkEnd w:id="6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本专业要求学生根据人才培养方案确定的目标和培养规格，完成规定的实习实训，全部课程考核合格且修满至少141学分。其中，必修课125学分，选修课 16学分。公共必修课</w:t>
      </w:r>
      <w:r>
        <w:rPr>
          <w:rFonts w:hint="default"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t>4学分，公共选修课</w:t>
      </w:r>
      <w:r>
        <w:rPr>
          <w:rFonts w:hint="default"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t>学分。专业必修课</w:t>
      </w:r>
      <w:r>
        <w:rPr>
          <w:rFonts w:hint="default" w:ascii="仿宋_GB2312" w:hAnsi="仿宋_GB2312" w:eastAsia="仿宋_GB2312" w:cs="仿宋_GB2312"/>
          <w:color w:val="auto"/>
          <w:kern w:val="2"/>
          <w:sz w:val="32"/>
          <w:szCs w:val="32"/>
          <w:lang w:val="en-US" w:eastAsia="zh-CN" w:bidi="ar-SA"/>
        </w:rPr>
        <w:t>81</w:t>
      </w:r>
      <w:r>
        <w:rPr>
          <w:rFonts w:hint="eastAsia" w:ascii="仿宋_GB2312" w:hAnsi="仿宋_GB2312" w:eastAsia="仿宋_GB2312" w:cs="仿宋_GB2312"/>
          <w:color w:val="auto"/>
          <w:kern w:val="2"/>
          <w:sz w:val="32"/>
          <w:szCs w:val="32"/>
          <w:lang w:val="en-US" w:eastAsia="zh-CN" w:bidi="ar-SA"/>
        </w:rPr>
        <w:t>学分，专业选修课</w:t>
      </w:r>
      <w:r>
        <w:rPr>
          <w:rFonts w:hint="default"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t>学分。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textAlignment w:val="auto"/>
        <w:outlineLvl w:val="1"/>
        <w:rPr>
          <w:rFonts w:hint="eastAsia" w:ascii="楷体" w:hAnsi="楷体" w:eastAsia="楷体" w:cs="楷体"/>
          <w:color w:val="auto"/>
          <w:kern w:val="2"/>
          <w:sz w:val="32"/>
          <w:szCs w:val="32"/>
          <w:lang w:val="en-US" w:eastAsia="zh-CN" w:bidi="ar-SA"/>
        </w:rPr>
      </w:pPr>
      <w:bookmarkStart w:id="69" w:name="_Toc26373"/>
      <w:r>
        <w:rPr>
          <w:rFonts w:hint="eastAsia" w:ascii="楷体" w:hAnsi="楷体" w:eastAsia="楷体" w:cs="楷体"/>
          <w:color w:val="auto"/>
          <w:kern w:val="2"/>
          <w:sz w:val="32"/>
          <w:szCs w:val="32"/>
          <w:lang w:val="en-US" w:eastAsia="zh-CN" w:bidi="ar-SA"/>
        </w:rPr>
        <w:t>(二）职业类证书要求</w:t>
      </w:r>
      <w:bookmarkEnd w:id="69"/>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建设工程管理专业职业证书一览表</w:t>
      </w:r>
    </w:p>
    <w:tbl>
      <w:tblPr>
        <w:tblStyle w:val="11"/>
        <w:tblpPr w:leftFromText="180" w:rightFromText="180" w:vertAnchor="text" w:horzAnchor="page" w:tblpX="1770" w:tblpY="499"/>
        <w:tblOverlap w:val="never"/>
        <w:tblW w:w="8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885"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70" w:name="_Toc9489"/>
      <w:r>
        <w:rPr>
          <w:rFonts w:hint="eastAsia" w:ascii="楷体" w:hAnsi="楷体" w:eastAsia="楷体" w:cs="楷体"/>
          <w:color w:val="auto"/>
          <w:sz w:val="32"/>
          <w:szCs w:val="32"/>
          <w:lang w:val="en-US" w:eastAsia="zh-CN"/>
        </w:rPr>
        <w:t>（三）综合素质要求</w:t>
      </w:r>
      <w:bookmarkEnd w:id="7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1.经鉴定思想品德符合要求，掌握本专业知识和技术技能，积极参加社会实践活动，具备职业综合素质和行动能力。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系统掌握建设工程管理核心理论与技术，熟悉广西喀斯特地貌施工、民族地区乡村振兴项目策划等特色技术，具备BIM协同管理、智慧工地系统应用及跨境工程（如西部陆海新通道项目）全流程管控能力；能独立完成中小型项目的质量安全监督、绿色施工方案编制及东盟国家工程规范对接。</w:t>
      </w:r>
    </w:p>
    <w:p>
      <w:pPr>
        <w:rPr>
          <w:color w:val="auto"/>
        </w:rPr>
      </w:pPr>
    </w:p>
    <w:sectPr>
      <w:footerReference r:id="rId5"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A8E88B-4006-45C7-B426-FD69E69790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B50E673-FFDA-4A58-95E5-EF5BBA7978FB}"/>
  </w:font>
  <w:font w:name="仿宋">
    <w:panose1 w:val="02010609060101010101"/>
    <w:charset w:val="86"/>
    <w:family w:val="modern"/>
    <w:pitch w:val="default"/>
    <w:sig w:usb0="800002BF" w:usb1="38CF7CFA" w:usb2="00000016" w:usb3="00000000" w:csb0="00040001" w:csb1="00000000"/>
    <w:embedRegular r:id="rId3" w:fontKey="{497AC42E-BFDB-40AF-B6C9-FFE46D5389A7}"/>
  </w:font>
  <w:font w:name="华文新魏">
    <w:panose1 w:val="02010800040101010101"/>
    <w:charset w:val="86"/>
    <w:family w:val="auto"/>
    <w:pitch w:val="default"/>
    <w:sig w:usb0="00000000" w:usb1="00000000" w:usb2="00000000" w:usb3="00000000" w:csb0="00000000" w:csb1="00000000"/>
    <w:embedRegular r:id="rId4" w:fontKey="{B735F516-9BA0-4C12-9EDA-0DAD922F3554}"/>
  </w:font>
  <w:font w:name="方正小标宋简体">
    <w:panose1 w:val="03000509000000000000"/>
    <w:charset w:val="86"/>
    <w:family w:val="script"/>
    <w:pitch w:val="default"/>
    <w:sig w:usb0="00000001" w:usb1="080E0000" w:usb2="00000000" w:usb3="00000000" w:csb0="00040000" w:csb1="00000000"/>
    <w:embedRegular r:id="rId5" w:fontKey="{F56BA482-F9CD-4499-9A8D-95ADBDCB3C03}"/>
  </w:font>
  <w:font w:name="楷体">
    <w:panose1 w:val="02010609060101010101"/>
    <w:charset w:val="86"/>
    <w:family w:val="modern"/>
    <w:pitch w:val="default"/>
    <w:sig w:usb0="800002BF" w:usb1="38CF7CFA" w:usb2="00000016" w:usb3="00000000" w:csb0="00040001" w:csb1="00000000"/>
    <w:embedRegular r:id="rId6" w:fontKey="{60435DB3-1045-4293-9315-B29A5BB69D2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5431A9"/>
    <w:multiLevelType w:val="singleLevel"/>
    <w:tmpl w:val="E05431A9"/>
    <w:lvl w:ilvl="0" w:tentative="0">
      <w:start w:val="11"/>
      <w:numFmt w:val="chineseCounting"/>
      <w:suff w:val="nothing"/>
      <w:lvlText w:val="%1、"/>
      <w:lvlJc w:val="left"/>
      <w:rPr>
        <w:rFonts w:hint="eastAsia"/>
      </w:rPr>
    </w:lvl>
  </w:abstractNum>
  <w:abstractNum w:abstractNumId="1">
    <w:nsid w:val="43AD0BB1"/>
    <w:multiLevelType w:val="singleLevel"/>
    <w:tmpl w:val="43AD0BB1"/>
    <w:lvl w:ilvl="0" w:tentative="0">
      <w:start w:val="2"/>
      <w:numFmt w:val="decimal"/>
      <w:lvlText w:val="%1."/>
      <w:lvlJc w:val="left"/>
      <w:pPr>
        <w:tabs>
          <w:tab w:val="left" w:pos="312"/>
        </w:tabs>
      </w:pPr>
    </w:lvl>
  </w:abstractNum>
  <w:abstractNum w:abstractNumId="2">
    <w:nsid w:val="49DB79CF"/>
    <w:multiLevelType w:val="singleLevel"/>
    <w:tmpl w:val="49DB79CF"/>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54D36"/>
    <w:rsid w:val="00090E00"/>
    <w:rsid w:val="000A7541"/>
    <w:rsid w:val="0015300C"/>
    <w:rsid w:val="001673E5"/>
    <w:rsid w:val="001A4716"/>
    <w:rsid w:val="001A7FBE"/>
    <w:rsid w:val="00270BE1"/>
    <w:rsid w:val="00283E45"/>
    <w:rsid w:val="002A2644"/>
    <w:rsid w:val="002B247F"/>
    <w:rsid w:val="002D15C0"/>
    <w:rsid w:val="00310860"/>
    <w:rsid w:val="003531B3"/>
    <w:rsid w:val="003D3CE4"/>
    <w:rsid w:val="005645D8"/>
    <w:rsid w:val="005A2BBB"/>
    <w:rsid w:val="006360BD"/>
    <w:rsid w:val="006A1AE0"/>
    <w:rsid w:val="0071110E"/>
    <w:rsid w:val="008F127C"/>
    <w:rsid w:val="00A12741"/>
    <w:rsid w:val="00A165B0"/>
    <w:rsid w:val="00A23811"/>
    <w:rsid w:val="00AB71CC"/>
    <w:rsid w:val="00B14C0C"/>
    <w:rsid w:val="00B46AB6"/>
    <w:rsid w:val="00B91791"/>
    <w:rsid w:val="00C3446C"/>
    <w:rsid w:val="00C4271B"/>
    <w:rsid w:val="00C85F20"/>
    <w:rsid w:val="00D03D56"/>
    <w:rsid w:val="00DC7C1D"/>
    <w:rsid w:val="00E2700A"/>
    <w:rsid w:val="00ED3BD8"/>
    <w:rsid w:val="00F52A8D"/>
    <w:rsid w:val="00F63617"/>
    <w:rsid w:val="00F82685"/>
    <w:rsid w:val="00FA77F6"/>
    <w:rsid w:val="00FB052B"/>
    <w:rsid w:val="010F3B4F"/>
    <w:rsid w:val="01121891"/>
    <w:rsid w:val="012375FA"/>
    <w:rsid w:val="013874FA"/>
    <w:rsid w:val="014337F8"/>
    <w:rsid w:val="01487061"/>
    <w:rsid w:val="01514167"/>
    <w:rsid w:val="01747E56"/>
    <w:rsid w:val="01786F4B"/>
    <w:rsid w:val="01AA3877"/>
    <w:rsid w:val="01AA7D1B"/>
    <w:rsid w:val="01CA3F1A"/>
    <w:rsid w:val="023A2E4D"/>
    <w:rsid w:val="025722C7"/>
    <w:rsid w:val="02661E94"/>
    <w:rsid w:val="027579F7"/>
    <w:rsid w:val="027F6AB2"/>
    <w:rsid w:val="028B18FB"/>
    <w:rsid w:val="028D7421"/>
    <w:rsid w:val="02CD5374"/>
    <w:rsid w:val="02D037B2"/>
    <w:rsid w:val="03031491"/>
    <w:rsid w:val="03304250"/>
    <w:rsid w:val="033B50CF"/>
    <w:rsid w:val="033D6E0E"/>
    <w:rsid w:val="03630182"/>
    <w:rsid w:val="036751DA"/>
    <w:rsid w:val="03885E3A"/>
    <w:rsid w:val="03A07894"/>
    <w:rsid w:val="03B94246"/>
    <w:rsid w:val="03D8291E"/>
    <w:rsid w:val="03FB660C"/>
    <w:rsid w:val="040C0819"/>
    <w:rsid w:val="046917C8"/>
    <w:rsid w:val="046E6DDE"/>
    <w:rsid w:val="048C3708"/>
    <w:rsid w:val="04AD3DAA"/>
    <w:rsid w:val="04BC3FEE"/>
    <w:rsid w:val="04E470A0"/>
    <w:rsid w:val="04EA0DF1"/>
    <w:rsid w:val="051223C4"/>
    <w:rsid w:val="05263B5D"/>
    <w:rsid w:val="054A15F9"/>
    <w:rsid w:val="05DD246D"/>
    <w:rsid w:val="06075848"/>
    <w:rsid w:val="062E0F1B"/>
    <w:rsid w:val="06471FDD"/>
    <w:rsid w:val="064E6EC7"/>
    <w:rsid w:val="06BF2BC0"/>
    <w:rsid w:val="06C90C44"/>
    <w:rsid w:val="06F07F7E"/>
    <w:rsid w:val="070954E4"/>
    <w:rsid w:val="07322345"/>
    <w:rsid w:val="080261BB"/>
    <w:rsid w:val="081A109D"/>
    <w:rsid w:val="082F2519"/>
    <w:rsid w:val="084C7436"/>
    <w:rsid w:val="086230FE"/>
    <w:rsid w:val="08716E9D"/>
    <w:rsid w:val="089112ED"/>
    <w:rsid w:val="08B82D1E"/>
    <w:rsid w:val="08BA4CE8"/>
    <w:rsid w:val="08D15416"/>
    <w:rsid w:val="08DA7138"/>
    <w:rsid w:val="08F307DF"/>
    <w:rsid w:val="08F70DAF"/>
    <w:rsid w:val="09075A53"/>
    <w:rsid w:val="090A3A87"/>
    <w:rsid w:val="09212671"/>
    <w:rsid w:val="0932487E"/>
    <w:rsid w:val="094D790A"/>
    <w:rsid w:val="095347F5"/>
    <w:rsid w:val="09762FA7"/>
    <w:rsid w:val="09C74F94"/>
    <w:rsid w:val="09CB082F"/>
    <w:rsid w:val="09D45935"/>
    <w:rsid w:val="09E518F1"/>
    <w:rsid w:val="09F27F5D"/>
    <w:rsid w:val="0A1E4E03"/>
    <w:rsid w:val="0A2F5262"/>
    <w:rsid w:val="0A634F0B"/>
    <w:rsid w:val="0A7E3AF3"/>
    <w:rsid w:val="0A886720"/>
    <w:rsid w:val="0A9142A6"/>
    <w:rsid w:val="0A93759F"/>
    <w:rsid w:val="0AB84C2E"/>
    <w:rsid w:val="0AC91212"/>
    <w:rsid w:val="0AFF69E2"/>
    <w:rsid w:val="0B3262CE"/>
    <w:rsid w:val="0B64718D"/>
    <w:rsid w:val="0B860EB1"/>
    <w:rsid w:val="0B9E269F"/>
    <w:rsid w:val="0BA37CB5"/>
    <w:rsid w:val="0BB93035"/>
    <w:rsid w:val="0C0A3BA0"/>
    <w:rsid w:val="0C216E2C"/>
    <w:rsid w:val="0C5B40EC"/>
    <w:rsid w:val="0C833873"/>
    <w:rsid w:val="0CE642FD"/>
    <w:rsid w:val="0D181FDD"/>
    <w:rsid w:val="0D1D1C55"/>
    <w:rsid w:val="0D3000CB"/>
    <w:rsid w:val="0D301348"/>
    <w:rsid w:val="0D313C33"/>
    <w:rsid w:val="0D444B80"/>
    <w:rsid w:val="0DE14AC5"/>
    <w:rsid w:val="0DE40111"/>
    <w:rsid w:val="0DE924A0"/>
    <w:rsid w:val="0E2350DD"/>
    <w:rsid w:val="0E5E6115"/>
    <w:rsid w:val="0ED20973"/>
    <w:rsid w:val="0ED4462A"/>
    <w:rsid w:val="0EDD5E2D"/>
    <w:rsid w:val="0F01141C"/>
    <w:rsid w:val="0F0D49DC"/>
    <w:rsid w:val="0F386966"/>
    <w:rsid w:val="0F8B118C"/>
    <w:rsid w:val="0FA47B58"/>
    <w:rsid w:val="0FA67D74"/>
    <w:rsid w:val="0FD20B69"/>
    <w:rsid w:val="0FE4089C"/>
    <w:rsid w:val="10093E5F"/>
    <w:rsid w:val="10152804"/>
    <w:rsid w:val="10234F21"/>
    <w:rsid w:val="10703EDE"/>
    <w:rsid w:val="10914580"/>
    <w:rsid w:val="10BE0B5F"/>
    <w:rsid w:val="10EE36A0"/>
    <w:rsid w:val="10F7015B"/>
    <w:rsid w:val="10FB5E9E"/>
    <w:rsid w:val="11205904"/>
    <w:rsid w:val="116752E1"/>
    <w:rsid w:val="11A26319"/>
    <w:rsid w:val="11A71B81"/>
    <w:rsid w:val="1230601B"/>
    <w:rsid w:val="12485112"/>
    <w:rsid w:val="124E024F"/>
    <w:rsid w:val="12577104"/>
    <w:rsid w:val="127A1044"/>
    <w:rsid w:val="127F665A"/>
    <w:rsid w:val="12C460BF"/>
    <w:rsid w:val="12DC3AAD"/>
    <w:rsid w:val="12F708E7"/>
    <w:rsid w:val="131E2317"/>
    <w:rsid w:val="13203999"/>
    <w:rsid w:val="133D09EF"/>
    <w:rsid w:val="135C5E82"/>
    <w:rsid w:val="136441CE"/>
    <w:rsid w:val="13702B73"/>
    <w:rsid w:val="1376760D"/>
    <w:rsid w:val="139B5716"/>
    <w:rsid w:val="13C77F07"/>
    <w:rsid w:val="13D11138"/>
    <w:rsid w:val="13D84061"/>
    <w:rsid w:val="13F454F6"/>
    <w:rsid w:val="142E658A"/>
    <w:rsid w:val="143376FC"/>
    <w:rsid w:val="145C30F7"/>
    <w:rsid w:val="147026FF"/>
    <w:rsid w:val="1479563A"/>
    <w:rsid w:val="14A800EA"/>
    <w:rsid w:val="14AA3E63"/>
    <w:rsid w:val="14D25167"/>
    <w:rsid w:val="14D507B4"/>
    <w:rsid w:val="14DC5FE6"/>
    <w:rsid w:val="14F43330"/>
    <w:rsid w:val="15001CD4"/>
    <w:rsid w:val="150317C5"/>
    <w:rsid w:val="150E261E"/>
    <w:rsid w:val="15170DCC"/>
    <w:rsid w:val="15202377"/>
    <w:rsid w:val="1527592D"/>
    <w:rsid w:val="15542020"/>
    <w:rsid w:val="159B37AB"/>
    <w:rsid w:val="15E6711C"/>
    <w:rsid w:val="160752E5"/>
    <w:rsid w:val="16090A98"/>
    <w:rsid w:val="164812CA"/>
    <w:rsid w:val="165D20B6"/>
    <w:rsid w:val="165F0C7D"/>
    <w:rsid w:val="16620522"/>
    <w:rsid w:val="16864F84"/>
    <w:rsid w:val="1699418F"/>
    <w:rsid w:val="16995FBA"/>
    <w:rsid w:val="16A42B33"/>
    <w:rsid w:val="16DC051F"/>
    <w:rsid w:val="16DC22CD"/>
    <w:rsid w:val="170B4961"/>
    <w:rsid w:val="171952CF"/>
    <w:rsid w:val="17231CAA"/>
    <w:rsid w:val="17242CEB"/>
    <w:rsid w:val="17342109"/>
    <w:rsid w:val="1740285C"/>
    <w:rsid w:val="1749510D"/>
    <w:rsid w:val="1752258F"/>
    <w:rsid w:val="176302F9"/>
    <w:rsid w:val="176D1177"/>
    <w:rsid w:val="17732C32"/>
    <w:rsid w:val="178843F6"/>
    <w:rsid w:val="1796247C"/>
    <w:rsid w:val="17966920"/>
    <w:rsid w:val="17B60D70"/>
    <w:rsid w:val="17C0399D"/>
    <w:rsid w:val="17CD1C16"/>
    <w:rsid w:val="182A4CFD"/>
    <w:rsid w:val="182C2E31"/>
    <w:rsid w:val="183323C1"/>
    <w:rsid w:val="183D2903"/>
    <w:rsid w:val="184E0FA9"/>
    <w:rsid w:val="184E796B"/>
    <w:rsid w:val="185C1918"/>
    <w:rsid w:val="189D42EF"/>
    <w:rsid w:val="18CB084B"/>
    <w:rsid w:val="19063631"/>
    <w:rsid w:val="190A0A6F"/>
    <w:rsid w:val="19173A91"/>
    <w:rsid w:val="19481E9C"/>
    <w:rsid w:val="19575C3B"/>
    <w:rsid w:val="197902A7"/>
    <w:rsid w:val="19A4086C"/>
    <w:rsid w:val="19AE3232"/>
    <w:rsid w:val="19AF3CC9"/>
    <w:rsid w:val="1A09162B"/>
    <w:rsid w:val="1A165AF6"/>
    <w:rsid w:val="1A262FB5"/>
    <w:rsid w:val="1A7D5171"/>
    <w:rsid w:val="1A807414"/>
    <w:rsid w:val="1AC217DA"/>
    <w:rsid w:val="1ACD54DC"/>
    <w:rsid w:val="1AE45BF4"/>
    <w:rsid w:val="1AF92F62"/>
    <w:rsid w:val="1B222279"/>
    <w:rsid w:val="1B304996"/>
    <w:rsid w:val="1B3D494A"/>
    <w:rsid w:val="1B7741CE"/>
    <w:rsid w:val="1B811695"/>
    <w:rsid w:val="1B9B2757"/>
    <w:rsid w:val="1BAE7956"/>
    <w:rsid w:val="1BBE1FA1"/>
    <w:rsid w:val="1BCC19A4"/>
    <w:rsid w:val="1BF93A5C"/>
    <w:rsid w:val="1C27223D"/>
    <w:rsid w:val="1C6F14EE"/>
    <w:rsid w:val="1CA35D6A"/>
    <w:rsid w:val="1CA92C52"/>
    <w:rsid w:val="1CB25FAA"/>
    <w:rsid w:val="1CB6711D"/>
    <w:rsid w:val="1CC47A8B"/>
    <w:rsid w:val="1CC7132A"/>
    <w:rsid w:val="1CC7757C"/>
    <w:rsid w:val="1D0377EB"/>
    <w:rsid w:val="1D181A0A"/>
    <w:rsid w:val="1D24677C"/>
    <w:rsid w:val="1D2624F4"/>
    <w:rsid w:val="1D3F7112"/>
    <w:rsid w:val="1D4209B0"/>
    <w:rsid w:val="1D660B43"/>
    <w:rsid w:val="1D6B7F07"/>
    <w:rsid w:val="1D6D1ED1"/>
    <w:rsid w:val="1D7414B2"/>
    <w:rsid w:val="1DD51824"/>
    <w:rsid w:val="1DE65877"/>
    <w:rsid w:val="1E1660C5"/>
    <w:rsid w:val="1E4B3DFE"/>
    <w:rsid w:val="1E5F5CBE"/>
    <w:rsid w:val="1E7159F1"/>
    <w:rsid w:val="1E91399D"/>
    <w:rsid w:val="1EA77665"/>
    <w:rsid w:val="1EAF12EC"/>
    <w:rsid w:val="1EB12B65"/>
    <w:rsid w:val="1ECC6B87"/>
    <w:rsid w:val="1EEE7042"/>
    <w:rsid w:val="1F3A7811"/>
    <w:rsid w:val="1F5350F7"/>
    <w:rsid w:val="1F9F6B3E"/>
    <w:rsid w:val="1FA63478"/>
    <w:rsid w:val="1FB042F7"/>
    <w:rsid w:val="1FB17C46"/>
    <w:rsid w:val="1FB21E1D"/>
    <w:rsid w:val="1FBC2C9C"/>
    <w:rsid w:val="1FDA75F1"/>
    <w:rsid w:val="203B0065"/>
    <w:rsid w:val="204C04C4"/>
    <w:rsid w:val="20735A50"/>
    <w:rsid w:val="207417C9"/>
    <w:rsid w:val="20AA343C"/>
    <w:rsid w:val="20AD7038"/>
    <w:rsid w:val="20BE4D41"/>
    <w:rsid w:val="20E56222"/>
    <w:rsid w:val="20E73203"/>
    <w:rsid w:val="20F756A2"/>
    <w:rsid w:val="20FF5536"/>
    <w:rsid w:val="210E0F0E"/>
    <w:rsid w:val="211174F6"/>
    <w:rsid w:val="21220EA6"/>
    <w:rsid w:val="212E3260"/>
    <w:rsid w:val="215A276C"/>
    <w:rsid w:val="2170143C"/>
    <w:rsid w:val="21A34113"/>
    <w:rsid w:val="21B207FA"/>
    <w:rsid w:val="21EB3D26"/>
    <w:rsid w:val="22123047"/>
    <w:rsid w:val="22135471"/>
    <w:rsid w:val="22194FD6"/>
    <w:rsid w:val="223461B5"/>
    <w:rsid w:val="22405E06"/>
    <w:rsid w:val="22427185"/>
    <w:rsid w:val="224F429B"/>
    <w:rsid w:val="22967FAA"/>
    <w:rsid w:val="22A00653"/>
    <w:rsid w:val="22BA5BB9"/>
    <w:rsid w:val="22BD7457"/>
    <w:rsid w:val="2338088B"/>
    <w:rsid w:val="2346744C"/>
    <w:rsid w:val="236773C3"/>
    <w:rsid w:val="237D0994"/>
    <w:rsid w:val="23954DD6"/>
    <w:rsid w:val="23B720F8"/>
    <w:rsid w:val="23D20CE0"/>
    <w:rsid w:val="23D42CAA"/>
    <w:rsid w:val="23F650D1"/>
    <w:rsid w:val="23FA1FE5"/>
    <w:rsid w:val="24170DE9"/>
    <w:rsid w:val="242B4894"/>
    <w:rsid w:val="243B4AD7"/>
    <w:rsid w:val="244D480A"/>
    <w:rsid w:val="24857B00"/>
    <w:rsid w:val="249D12EE"/>
    <w:rsid w:val="24E76143"/>
    <w:rsid w:val="24F353B2"/>
    <w:rsid w:val="250A26FB"/>
    <w:rsid w:val="252A06A8"/>
    <w:rsid w:val="252B4B4C"/>
    <w:rsid w:val="253B28B5"/>
    <w:rsid w:val="25407ECB"/>
    <w:rsid w:val="255D673E"/>
    <w:rsid w:val="2564005E"/>
    <w:rsid w:val="2584600A"/>
    <w:rsid w:val="259A75DB"/>
    <w:rsid w:val="25EF28EF"/>
    <w:rsid w:val="260D3D3C"/>
    <w:rsid w:val="26320878"/>
    <w:rsid w:val="267A11BB"/>
    <w:rsid w:val="26C708A4"/>
    <w:rsid w:val="2702368A"/>
    <w:rsid w:val="270513CC"/>
    <w:rsid w:val="27075144"/>
    <w:rsid w:val="27441EF5"/>
    <w:rsid w:val="276C144B"/>
    <w:rsid w:val="27895B59"/>
    <w:rsid w:val="27AE3812"/>
    <w:rsid w:val="27B43ACC"/>
    <w:rsid w:val="27BF3329"/>
    <w:rsid w:val="27D019DA"/>
    <w:rsid w:val="27D23331"/>
    <w:rsid w:val="27DD40F7"/>
    <w:rsid w:val="27ED433A"/>
    <w:rsid w:val="27F5401D"/>
    <w:rsid w:val="280F3993"/>
    <w:rsid w:val="28123DA1"/>
    <w:rsid w:val="28133675"/>
    <w:rsid w:val="28557849"/>
    <w:rsid w:val="285A12A4"/>
    <w:rsid w:val="28642123"/>
    <w:rsid w:val="287D1298"/>
    <w:rsid w:val="28862099"/>
    <w:rsid w:val="289A5B44"/>
    <w:rsid w:val="289B1FE8"/>
    <w:rsid w:val="28BD30CD"/>
    <w:rsid w:val="28D63020"/>
    <w:rsid w:val="28D86D65"/>
    <w:rsid w:val="28FB65E3"/>
    <w:rsid w:val="291E6775"/>
    <w:rsid w:val="29220E0A"/>
    <w:rsid w:val="29491A44"/>
    <w:rsid w:val="29520008"/>
    <w:rsid w:val="296E1A2F"/>
    <w:rsid w:val="298E0E4D"/>
    <w:rsid w:val="298F31CF"/>
    <w:rsid w:val="299F78B6"/>
    <w:rsid w:val="29B449E4"/>
    <w:rsid w:val="29C72B81"/>
    <w:rsid w:val="29D222A8"/>
    <w:rsid w:val="29F55728"/>
    <w:rsid w:val="2A080346"/>
    <w:rsid w:val="2A2C6C70"/>
    <w:rsid w:val="2AA8279A"/>
    <w:rsid w:val="2ADB491E"/>
    <w:rsid w:val="2B0F281A"/>
    <w:rsid w:val="2B14398C"/>
    <w:rsid w:val="2B404781"/>
    <w:rsid w:val="2B512E08"/>
    <w:rsid w:val="2B5B780D"/>
    <w:rsid w:val="2B8D373E"/>
    <w:rsid w:val="2BD650E5"/>
    <w:rsid w:val="2BDB6BA0"/>
    <w:rsid w:val="2BF11F1F"/>
    <w:rsid w:val="2BF37A45"/>
    <w:rsid w:val="2BF437BD"/>
    <w:rsid w:val="2C620A7A"/>
    <w:rsid w:val="2C6C0949"/>
    <w:rsid w:val="2C802418"/>
    <w:rsid w:val="2C8965FC"/>
    <w:rsid w:val="2C8B5ED0"/>
    <w:rsid w:val="2C8C124C"/>
    <w:rsid w:val="2CB341C7"/>
    <w:rsid w:val="2CC66F08"/>
    <w:rsid w:val="2CE51A84"/>
    <w:rsid w:val="2CEB2E12"/>
    <w:rsid w:val="2D0619FA"/>
    <w:rsid w:val="2D3C366E"/>
    <w:rsid w:val="2D5704A8"/>
    <w:rsid w:val="2D8165B1"/>
    <w:rsid w:val="2D940DB4"/>
    <w:rsid w:val="2D964B2C"/>
    <w:rsid w:val="2DA82AB1"/>
    <w:rsid w:val="2DAC4350"/>
    <w:rsid w:val="2DC24A7E"/>
    <w:rsid w:val="2DE47F8D"/>
    <w:rsid w:val="2DEC6E42"/>
    <w:rsid w:val="2E2E1209"/>
    <w:rsid w:val="2E374561"/>
    <w:rsid w:val="2E5A3DAC"/>
    <w:rsid w:val="2E5F5866"/>
    <w:rsid w:val="2E7035CF"/>
    <w:rsid w:val="2E753889"/>
    <w:rsid w:val="2E7F1A64"/>
    <w:rsid w:val="2E953036"/>
    <w:rsid w:val="2E9A4AF0"/>
    <w:rsid w:val="2EC21951"/>
    <w:rsid w:val="2F083808"/>
    <w:rsid w:val="2F087CAC"/>
    <w:rsid w:val="2F0B32F8"/>
    <w:rsid w:val="2F34284F"/>
    <w:rsid w:val="2F436F36"/>
    <w:rsid w:val="2F5042AE"/>
    <w:rsid w:val="2F631386"/>
    <w:rsid w:val="2F7A2E0A"/>
    <w:rsid w:val="2F8B61E7"/>
    <w:rsid w:val="2F8D1F5F"/>
    <w:rsid w:val="2F94153F"/>
    <w:rsid w:val="2FA96B3D"/>
    <w:rsid w:val="2FB36DD8"/>
    <w:rsid w:val="2FD933F6"/>
    <w:rsid w:val="2FFA3A98"/>
    <w:rsid w:val="30183F1E"/>
    <w:rsid w:val="302640DF"/>
    <w:rsid w:val="302846F7"/>
    <w:rsid w:val="303C5296"/>
    <w:rsid w:val="306453B6"/>
    <w:rsid w:val="3082583C"/>
    <w:rsid w:val="309335A5"/>
    <w:rsid w:val="30963095"/>
    <w:rsid w:val="30A12F70"/>
    <w:rsid w:val="30A6152A"/>
    <w:rsid w:val="30A77050"/>
    <w:rsid w:val="30C96FC7"/>
    <w:rsid w:val="30CA6233"/>
    <w:rsid w:val="30DB6086"/>
    <w:rsid w:val="30DC27D6"/>
    <w:rsid w:val="310D77FB"/>
    <w:rsid w:val="3115220C"/>
    <w:rsid w:val="312468F3"/>
    <w:rsid w:val="31342FDA"/>
    <w:rsid w:val="315A2315"/>
    <w:rsid w:val="318A49A8"/>
    <w:rsid w:val="31A17F44"/>
    <w:rsid w:val="31A83FF1"/>
    <w:rsid w:val="31AA02BA"/>
    <w:rsid w:val="31AA329C"/>
    <w:rsid w:val="31D2634F"/>
    <w:rsid w:val="31D3376F"/>
    <w:rsid w:val="3202018D"/>
    <w:rsid w:val="321D581C"/>
    <w:rsid w:val="324C4353"/>
    <w:rsid w:val="327A3CBE"/>
    <w:rsid w:val="32BD0DAD"/>
    <w:rsid w:val="32E7407C"/>
    <w:rsid w:val="32F32A21"/>
    <w:rsid w:val="32F92E4C"/>
    <w:rsid w:val="32FA3DAF"/>
    <w:rsid w:val="33260700"/>
    <w:rsid w:val="33266952"/>
    <w:rsid w:val="332826CA"/>
    <w:rsid w:val="33435756"/>
    <w:rsid w:val="3387564F"/>
    <w:rsid w:val="33AE06F6"/>
    <w:rsid w:val="33AE1D71"/>
    <w:rsid w:val="33B93C14"/>
    <w:rsid w:val="33DE0FDB"/>
    <w:rsid w:val="340E38F7"/>
    <w:rsid w:val="342F1837"/>
    <w:rsid w:val="344A34CE"/>
    <w:rsid w:val="346F54A4"/>
    <w:rsid w:val="348B3F97"/>
    <w:rsid w:val="34B65AB4"/>
    <w:rsid w:val="34C07A59"/>
    <w:rsid w:val="34C46423"/>
    <w:rsid w:val="34D708AF"/>
    <w:rsid w:val="34EA50C0"/>
    <w:rsid w:val="34FB5BBD"/>
    <w:rsid w:val="3512394F"/>
    <w:rsid w:val="351A72AD"/>
    <w:rsid w:val="351C625F"/>
    <w:rsid w:val="352769B2"/>
    <w:rsid w:val="35584DBD"/>
    <w:rsid w:val="357449D1"/>
    <w:rsid w:val="357A4764"/>
    <w:rsid w:val="358D4A67"/>
    <w:rsid w:val="35B20971"/>
    <w:rsid w:val="35E93C67"/>
    <w:rsid w:val="35F72828"/>
    <w:rsid w:val="36415851"/>
    <w:rsid w:val="364315C9"/>
    <w:rsid w:val="3647730B"/>
    <w:rsid w:val="36617CA1"/>
    <w:rsid w:val="36657792"/>
    <w:rsid w:val="366A4DA8"/>
    <w:rsid w:val="36A22D09"/>
    <w:rsid w:val="36C97D20"/>
    <w:rsid w:val="36CC7D30"/>
    <w:rsid w:val="36E033A3"/>
    <w:rsid w:val="370E7E29"/>
    <w:rsid w:val="3715740A"/>
    <w:rsid w:val="371766E7"/>
    <w:rsid w:val="375A7F6A"/>
    <w:rsid w:val="376B0DD8"/>
    <w:rsid w:val="3770165B"/>
    <w:rsid w:val="37865C12"/>
    <w:rsid w:val="37960DB8"/>
    <w:rsid w:val="379F1476"/>
    <w:rsid w:val="37AD2573"/>
    <w:rsid w:val="37D01583"/>
    <w:rsid w:val="37E07842"/>
    <w:rsid w:val="38084878"/>
    <w:rsid w:val="381153F4"/>
    <w:rsid w:val="38334DEB"/>
    <w:rsid w:val="38471845"/>
    <w:rsid w:val="38481119"/>
    <w:rsid w:val="38632B5B"/>
    <w:rsid w:val="386A5533"/>
    <w:rsid w:val="38877EE4"/>
    <w:rsid w:val="38A547BD"/>
    <w:rsid w:val="38C22C79"/>
    <w:rsid w:val="39372651"/>
    <w:rsid w:val="398268AC"/>
    <w:rsid w:val="3991089E"/>
    <w:rsid w:val="39A700C1"/>
    <w:rsid w:val="39D37108"/>
    <w:rsid w:val="3A212AC9"/>
    <w:rsid w:val="3A241712"/>
    <w:rsid w:val="3A3F02FA"/>
    <w:rsid w:val="3A451367"/>
    <w:rsid w:val="3A60099C"/>
    <w:rsid w:val="3A667F7C"/>
    <w:rsid w:val="3A68758F"/>
    <w:rsid w:val="3A7A7584"/>
    <w:rsid w:val="3A9C574C"/>
    <w:rsid w:val="3AB17449"/>
    <w:rsid w:val="3AB807D8"/>
    <w:rsid w:val="3ABB3E24"/>
    <w:rsid w:val="3AE315CD"/>
    <w:rsid w:val="3AEA4709"/>
    <w:rsid w:val="3B1654FE"/>
    <w:rsid w:val="3B4007CD"/>
    <w:rsid w:val="3B4C0F20"/>
    <w:rsid w:val="3BA05DDE"/>
    <w:rsid w:val="3BE21884"/>
    <w:rsid w:val="3BF33A92"/>
    <w:rsid w:val="3C17152E"/>
    <w:rsid w:val="3C300842"/>
    <w:rsid w:val="3C6B7ACC"/>
    <w:rsid w:val="3C7B0073"/>
    <w:rsid w:val="3C834E15"/>
    <w:rsid w:val="3C8C1F1C"/>
    <w:rsid w:val="3C9708C1"/>
    <w:rsid w:val="3CA803D8"/>
    <w:rsid w:val="3CAB7EC8"/>
    <w:rsid w:val="3CC21B20"/>
    <w:rsid w:val="3CC21F02"/>
    <w:rsid w:val="3CE358B4"/>
    <w:rsid w:val="3D0047E4"/>
    <w:rsid w:val="3D2A34E3"/>
    <w:rsid w:val="3D2F28A7"/>
    <w:rsid w:val="3D430101"/>
    <w:rsid w:val="3D512007"/>
    <w:rsid w:val="3D6D517E"/>
    <w:rsid w:val="3D766728"/>
    <w:rsid w:val="3D8E75CE"/>
    <w:rsid w:val="3D9B1755"/>
    <w:rsid w:val="3D9F7A2D"/>
    <w:rsid w:val="3DFC4E7F"/>
    <w:rsid w:val="3E0B50C2"/>
    <w:rsid w:val="3E2F75CB"/>
    <w:rsid w:val="3E4D7489"/>
    <w:rsid w:val="3E725142"/>
    <w:rsid w:val="3EB92D70"/>
    <w:rsid w:val="3F1C4E43"/>
    <w:rsid w:val="3F333FC6"/>
    <w:rsid w:val="3F56236D"/>
    <w:rsid w:val="3F6A4DBB"/>
    <w:rsid w:val="3F785DC7"/>
    <w:rsid w:val="3FA359C8"/>
    <w:rsid w:val="3FF86C17"/>
    <w:rsid w:val="3FFC1167"/>
    <w:rsid w:val="40077B0C"/>
    <w:rsid w:val="400C0C7E"/>
    <w:rsid w:val="40186DD6"/>
    <w:rsid w:val="40247A02"/>
    <w:rsid w:val="402A6942"/>
    <w:rsid w:val="40420B44"/>
    <w:rsid w:val="404B5C4A"/>
    <w:rsid w:val="40664832"/>
    <w:rsid w:val="4084115C"/>
    <w:rsid w:val="408810DD"/>
    <w:rsid w:val="4099592E"/>
    <w:rsid w:val="40B53BBC"/>
    <w:rsid w:val="40B557B9"/>
    <w:rsid w:val="40C8470D"/>
    <w:rsid w:val="413D6362"/>
    <w:rsid w:val="41540B2E"/>
    <w:rsid w:val="415648A7"/>
    <w:rsid w:val="41727207"/>
    <w:rsid w:val="417B430D"/>
    <w:rsid w:val="41886A2A"/>
    <w:rsid w:val="419158DF"/>
    <w:rsid w:val="41A42FA1"/>
    <w:rsid w:val="41BB6E00"/>
    <w:rsid w:val="41CF62FB"/>
    <w:rsid w:val="41DD42A4"/>
    <w:rsid w:val="41DE5079"/>
    <w:rsid w:val="421D3616"/>
    <w:rsid w:val="422A57D8"/>
    <w:rsid w:val="42521C83"/>
    <w:rsid w:val="4269060A"/>
    <w:rsid w:val="42696B0C"/>
    <w:rsid w:val="42817701"/>
    <w:rsid w:val="428611BC"/>
    <w:rsid w:val="42B86E9B"/>
    <w:rsid w:val="42D02437"/>
    <w:rsid w:val="430D6B32"/>
    <w:rsid w:val="43105F3B"/>
    <w:rsid w:val="432F4BAE"/>
    <w:rsid w:val="433E1A96"/>
    <w:rsid w:val="4346094B"/>
    <w:rsid w:val="434846C3"/>
    <w:rsid w:val="436463B1"/>
    <w:rsid w:val="43713C1A"/>
    <w:rsid w:val="43792ACE"/>
    <w:rsid w:val="43A538C3"/>
    <w:rsid w:val="43B21B3C"/>
    <w:rsid w:val="43C755E8"/>
    <w:rsid w:val="43D40857"/>
    <w:rsid w:val="43EC14F2"/>
    <w:rsid w:val="43F511E2"/>
    <w:rsid w:val="43F9776B"/>
    <w:rsid w:val="44380293"/>
    <w:rsid w:val="44427364"/>
    <w:rsid w:val="44613C8E"/>
    <w:rsid w:val="447D65EE"/>
    <w:rsid w:val="448E2872"/>
    <w:rsid w:val="449C0CEB"/>
    <w:rsid w:val="449C4CC6"/>
    <w:rsid w:val="44A43B7B"/>
    <w:rsid w:val="44B71B00"/>
    <w:rsid w:val="44B862E9"/>
    <w:rsid w:val="44FC65AD"/>
    <w:rsid w:val="45181E73"/>
    <w:rsid w:val="455530C7"/>
    <w:rsid w:val="4602706C"/>
    <w:rsid w:val="46115240"/>
    <w:rsid w:val="463A4797"/>
    <w:rsid w:val="466F1F67"/>
    <w:rsid w:val="46733805"/>
    <w:rsid w:val="468E4AE3"/>
    <w:rsid w:val="46965745"/>
    <w:rsid w:val="46A460B4"/>
    <w:rsid w:val="46B856BC"/>
    <w:rsid w:val="46EE10DD"/>
    <w:rsid w:val="46F661E4"/>
    <w:rsid w:val="47103740"/>
    <w:rsid w:val="471C3E9C"/>
    <w:rsid w:val="47317E68"/>
    <w:rsid w:val="473E2065"/>
    <w:rsid w:val="47645658"/>
    <w:rsid w:val="47A10846"/>
    <w:rsid w:val="4803505C"/>
    <w:rsid w:val="480A0199"/>
    <w:rsid w:val="480E5EDB"/>
    <w:rsid w:val="48286871"/>
    <w:rsid w:val="482A25E9"/>
    <w:rsid w:val="48515DC8"/>
    <w:rsid w:val="48627FD5"/>
    <w:rsid w:val="48763A80"/>
    <w:rsid w:val="48A028AB"/>
    <w:rsid w:val="48A57EC2"/>
    <w:rsid w:val="48AE4FC8"/>
    <w:rsid w:val="48BA396D"/>
    <w:rsid w:val="48BD16AF"/>
    <w:rsid w:val="48DA400F"/>
    <w:rsid w:val="48DF1625"/>
    <w:rsid w:val="48E56510"/>
    <w:rsid w:val="49212AC0"/>
    <w:rsid w:val="492C413F"/>
    <w:rsid w:val="49395702"/>
    <w:rsid w:val="49843F7B"/>
    <w:rsid w:val="49A07007"/>
    <w:rsid w:val="49A60395"/>
    <w:rsid w:val="49A63EF1"/>
    <w:rsid w:val="49D61DE5"/>
    <w:rsid w:val="49EF3AEA"/>
    <w:rsid w:val="4A0550BC"/>
    <w:rsid w:val="4A2F2139"/>
    <w:rsid w:val="4A3C6604"/>
    <w:rsid w:val="4A463512"/>
    <w:rsid w:val="4A5B1180"/>
    <w:rsid w:val="4A630034"/>
    <w:rsid w:val="4AA20B5D"/>
    <w:rsid w:val="4AD056CA"/>
    <w:rsid w:val="4AD8632C"/>
    <w:rsid w:val="4ADB7BCB"/>
    <w:rsid w:val="4AF15640"/>
    <w:rsid w:val="4AFA62A3"/>
    <w:rsid w:val="4B3043BA"/>
    <w:rsid w:val="4B410375"/>
    <w:rsid w:val="4B726781"/>
    <w:rsid w:val="4B885FA4"/>
    <w:rsid w:val="4BA803F5"/>
    <w:rsid w:val="4BD827AC"/>
    <w:rsid w:val="4BEB6533"/>
    <w:rsid w:val="4BF90697"/>
    <w:rsid w:val="4C0272E2"/>
    <w:rsid w:val="4C0C0983"/>
    <w:rsid w:val="4C1149B8"/>
    <w:rsid w:val="4C5440D8"/>
    <w:rsid w:val="4C6205A3"/>
    <w:rsid w:val="4C675BBA"/>
    <w:rsid w:val="4C997D3D"/>
    <w:rsid w:val="4CB44B77"/>
    <w:rsid w:val="4CD144BE"/>
    <w:rsid w:val="4CD700C2"/>
    <w:rsid w:val="4D003B9C"/>
    <w:rsid w:val="4D07739D"/>
    <w:rsid w:val="4D135D42"/>
    <w:rsid w:val="4D1473C4"/>
    <w:rsid w:val="4D1B38DC"/>
    <w:rsid w:val="4D3D691B"/>
    <w:rsid w:val="4D41465D"/>
    <w:rsid w:val="4D956757"/>
    <w:rsid w:val="4DCD7C9F"/>
    <w:rsid w:val="4DD454D1"/>
    <w:rsid w:val="4DEB2A76"/>
    <w:rsid w:val="4DFF0074"/>
    <w:rsid w:val="4E201C1D"/>
    <w:rsid w:val="4E3A10AC"/>
    <w:rsid w:val="4E4F2DA9"/>
    <w:rsid w:val="4E514358"/>
    <w:rsid w:val="4E5C7274"/>
    <w:rsid w:val="4E604FB7"/>
    <w:rsid w:val="4E7E71EB"/>
    <w:rsid w:val="4F585C8E"/>
    <w:rsid w:val="4F6B3C13"/>
    <w:rsid w:val="4F716D4F"/>
    <w:rsid w:val="4F7D56F4"/>
    <w:rsid w:val="4F8E345D"/>
    <w:rsid w:val="500E27F0"/>
    <w:rsid w:val="500E459E"/>
    <w:rsid w:val="50100316"/>
    <w:rsid w:val="501A2F43"/>
    <w:rsid w:val="502344EE"/>
    <w:rsid w:val="5039139F"/>
    <w:rsid w:val="5062133C"/>
    <w:rsid w:val="50696F54"/>
    <w:rsid w:val="509C4C8B"/>
    <w:rsid w:val="50A76ECD"/>
    <w:rsid w:val="50EA6DB9"/>
    <w:rsid w:val="50F46AC0"/>
    <w:rsid w:val="512B1415"/>
    <w:rsid w:val="5135219E"/>
    <w:rsid w:val="513D15DF"/>
    <w:rsid w:val="517448D5"/>
    <w:rsid w:val="51A72EFC"/>
    <w:rsid w:val="51B03B5F"/>
    <w:rsid w:val="51B76F1C"/>
    <w:rsid w:val="51C30881"/>
    <w:rsid w:val="51CB3294"/>
    <w:rsid w:val="51D535C6"/>
    <w:rsid w:val="51FA74D0"/>
    <w:rsid w:val="51FD48CA"/>
    <w:rsid w:val="51FE1E87"/>
    <w:rsid w:val="520E6AD8"/>
    <w:rsid w:val="522105B9"/>
    <w:rsid w:val="52285DEB"/>
    <w:rsid w:val="523302EC"/>
    <w:rsid w:val="5259656B"/>
    <w:rsid w:val="526B217C"/>
    <w:rsid w:val="52D7336D"/>
    <w:rsid w:val="52E61B8D"/>
    <w:rsid w:val="533E33EC"/>
    <w:rsid w:val="535B634F"/>
    <w:rsid w:val="53807561"/>
    <w:rsid w:val="53AE0572"/>
    <w:rsid w:val="53C71634"/>
    <w:rsid w:val="53E46438"/>
    <w:rsid w:val="53E47AF0"/>
    <w:rsid w:val="54181E8F"/>
    <w:rsid w:val="542919A7"/>
    <w:rsid w:val="545C1D7C"/>
    <w:rsid w:val="54AB2899"/>
    <w:rsid w:val="54B42188"/>
    <w:rsid w:val="558C48E3"/>
    <w:rsid w:val="55A95724"/>
    <w:rsid w:val="55D87B28"/>
    <w:rsid w:val="561F12B3"/>
    <w:rsid w:val="5624780D"/>
    <w:rsid w:val="56397652"/>
    <w:rsid w:val="563A7414"/>
    <w:rsid w:val="565C2507"/>
    <w:rsid w:val="566118CC"/>
    <w:rsid w:val="566273F2"/>
    <w:rsid w:val="569F3DD3"/>
    <w:rsid w:val="56A23A63"/>
    <w:rsid w:val="56A812A9"/>
    <w:rsid w:val="56E66275"/>
    <w:rsid w:val="56F72230"/>
    <w:rsid w:val="56F95FA8"/>
    <w:rsid w:val="56FC33A3"/>
    <w:rsid w:val="570606C5"/>
    <w:rsid w:val="572A5482"/>
    <w:rsid w:val="572D5C52"/>
    <w:rsid w:val="57364B06"/>
    <w:rsid w:val="576D24F2"/>
    <w:rsid w:val="576D604E"/>
    <w:rsid w:val="57770C7B"/>
    <w:rsid w:val="57CD30C7"/>
    <w:rsid w:val="57D60097"/>
    <w:rsid w:val="57E5652D"/>
    <w:rsid w:val="58337298"/>
    <w:rsid w:val="583D1EC5"/>
    <w:rsid w:val="58615BB3"/>
    <w:rsid w:val="58680DC2"/>
    <w:rsid w:val="587D473C"/>
    <w:rsid w:val="588673C8"/>
    <w:rsid w:val="5896596A"/>
    <w:rsid w:val="58E02A3F"/>
    <w:rsid w:val="5900361E"/>
    <w:rsid w:val="592F7A5F"/>
    <w:rsid w:val="59345076"/>
    <w:rsid w:val="59575208"/>
    <w:rsid w:val="595C12A3"/>
    <w:rsid w:val="597B2CA5"/>
    <w:rsid w:val="5996188C"/>
    <w:rsid w:val="59C77C98"/>
    <w:rsid w:val="59DE1485"/>
    <w:rsid w:val="59E051FD"/>
    <w:rsid w:val="59FA62BF"/>
    <w:rsid w:val="5A0013FC"/>
    <w:rsid w:val="5A1349D1"/>
    <w:rsid w:val="5A1D3C0D"/>
    <w:rsid w:val="5A514821"/>
    <w:rsid w:val="5A9F0C15"/>
    <w:rsid w:val="5AB04DB2"/>
    <w:rsid w:val="5AD36B10"/>
    <w:rsid w:val="5AE119A8"/>
    <w:rsid w:val="5AE64A95"/>
    <w:rsid w:val="5B137EF8"/>
    <w:rsid w:val="5B157129"/>
    <w:rsid w:val="5B1F1DFE"/>
    <w:rsid w:val="5B322D65"/>
    <w:rsid w:val="5BAF4E87"/>
    <w:rsid w:val="5BBC75A4"/>
    <w:rsid w:val="5BCC4E68"/>
    <w:rsid w:val="5BDE39BF"/>
    <w:rsid w:val="5BF40AEC"/>
    <w:rsid w:val="5C0E6052"/>
    <w:rsid w:val="5C207B33"/>
    <w:rsid w:val="5C38700F"/>
    <w:rsid w:val="5C4E644E"/>
    <w:rsid w:val="5C606182"/>
    <w:rsid w:val="5C8C341B"/>
    <w:rsid w:val="5C9B365E"/>
    <w:rsid w:val="5CD1707F"/>
    <w:rsid w:val="5CDC6150"/>
    <w:rsid w:val="5CDF354A"/>
    <w:rsid w:val="5CFD1C22"/>
    <w:rsid w:val="5D01298C"/>
    <w:rsid w:val="5D013405"/>
    <w:rsid w:val="5D0B433F"/>
    <w:rsid w:val="5D206DB4"/>
    <w:rsid w:val="5D292A17"/>
    <w:rsid w:val="5D2B49E2"/>
    <w:rsid w:val="5D30024A"/>
    <w:rsid w:val="5D7719D5"/>
    <w:rsid w:val="5DD5494D"/>
    <w:rsid w:val="5DF179D9"/>
    <w:rsid w:val="5E043D85"/>
    <w:rsid w:val="5E114B41"/>
    <w:rsid w:val="5E282CCF"/>
    <w:rsid w:val="5E343D6A"/>
    <w:rsid w:val="5E510503"/>
    <w:rsid w:val="5E7540E3"/>
    <w:rsid w:val="5E8A5738"/>
    <w:rsid w:val="5E8B1BDC"/>
    <w:rsid w:val="5E93321A"/>
    <w:rsid w:val="5E9B5B97"/>
    <w:rsid w:val="5E9B7945"/>
    <w:rsid w:val="5EBD5B0D"/>
    <w:rsid w:val="5EBE53E1"/>
    <w:rsid w:val="5EC40C4A"/>
    <w:rsid w:val="5EC62C14"/>
    <w:rsid w:val="5ED03A93"/>
    <w:rsid w:val="5EE72B8A"/>
    <w:rsid w:val="5F0059FA"/>
    <w:rsid w:val="5F07293D"/>
    <w:rsid w:val="5F092BBD"/>
    <w:rsid w:val="5F100333"/>
    <w:rsid w:val="5F1B4F3C"/>
    <w:rsid w:val="5F2B6F1B"/>
    <w:rsid w:val="5F335DCF"/>
    <w:rsid w:val="5F475456"/>
    <w:rsid w:val="5F4C0C3F"/>
    <w:rsid w:val="5F6E5059"/>
    <w:rsid w:val="5F916F22"/>
    <w:rsid w:val="5FA016B7"/>
    <w:rsid w:val="5FA8056B"/>
    <w:rsid w:val="5FC058B5"/>
    <w:rsid w:val="5FE1582B"/>
    <w:rsid w:val="5FF23595"/>
    <w:rsid w:val="5FF437B1"/>
    <w:rsid w:val="5FFA069B"/>
    <w:rsid w:val="6014175D"/>
    <w:rsid w:val="601C4AB5"/>
    <w:rsid w:val="601D2D07"/>
    <w:rsid w:val="603F12DC"/>
    <w:rsid w:val="608D150F"/>
    <w:rsid w:val="60C767CF"/>
    <w:rsid w:val="60FE1060"/>
    <w:rsid w:val="611D2893"/>
    <w:rsid w:val="613D1187"/>
    <w:rsid w:val="614442C4"/>
    <w:rsid w:val="6166248C"/>
    <w:rsid w:val="616B1BF6"/>
    <w:rsid w:val="61750921"/>
    <w:rsid w:val="617A5F38"/>
    <w:rsid w:val="61926DDD"/>
    <w:rsid w:val="619B0958"/>
    <w:rsid w:val="61AD3C17"/>
    <w:rsid w:val="61B2122D"/>
    <w:rsid w:val="61DD52D6"/>
    <w:rsid w:val="61F01D56"/>
    <w:rsid w:val="62386256"/>
    <w:rsid w:val="62434325"/>
    <w:rsid w:val="62552DC7"/>
    <w:rsid w:val="627B1F67"/>
    <w:rsid w:val="62D11B87"/>
    <w:rsid w:val="62D33B51"/>
    <w:rsid w:val="62E80EC0"/>
    <w:rsid w:val="631D301E"/>
    <w:rsid w:val="631F49AF"/>
    <w:rsid w:val="632717A7"/>
    <w:rsid w:val="6384309D"/>
    <w:rsid w:val="638D0589"/>
    <w:rsid w:val="63943403"/>
    <w:rsid w:val="63A96660"/>
    <w:rsid w:val="63CE39A4"/>
    <w:rsid w:val="63D27965"/>
    <w:rsid w:val="64025D70"/>
    <w:rsid w:val="64153CF6"/>
    <w:rsid w:val="643017E4"/>
    <w:rsid w:val="64416899"/>
    <w:rsid w:val="644840CB"/>
    <w:rsid w:val="64572560"/>
    <w:rsid w:val="646A5DEF"/>
    <w:rsid w:val="647C3D75"/>
    <w:rsid w:val="648F5856"/>
    <w:rsid w:val="64966BE4"/>
    <w:rsid w:val="64F253BD"/>
    <w:rsid w:val="65006754"/>
    <w:rsid w:val="65052EF2"/>
    <w:rsid w:val="65073528"/>
    <w:rsid w:val="65165F77"/>
    <w:rsid w:val="655F16CC"/>
    <w:rsid w:val="65C21C5B"/>
    <w:rsid w:val="65FE0EE5"/>
    <w:rsid w:val="660404C6"/>
    <w:rsid w:val="66270E43"/>
    <w:rsid w:val="663F14FE"/>
    <w:rsid w:val="66707909"/>
    <w:rsid w:val="66AF21DF"/>
    <w:rsid w:val="66B141AA"/>
    <w:rsid w:val="66CF2882"/>
    <w:rsid w:val="66DB2FD4"/>
    <w:rsid w:val="66EA1469"/>
    <w:rsid w:val="67470A9D"/>
    <w:rsid w:val="67515045"/>
    <w:rsid w:val="6773145F"/>
    <w:rsid w:val="67940927"/>
    <w:rsid w:val="67B90B06"/>
    <w:rsid w:val="67CE48E7"/>
    <w:rsid w:val="67F72090"/>
    <w:rsid w:val="67FA56DC"/>
    <w:rsid w:val="681A3FD0"/>
    <w:rsid w:val="68295FC1"/>
    <w:rsid w:val="684D7F02"/>
    <w:rsid w:val="68863414"/>
    <w:rsid w:val="6888718C"/>
    <w:rsid w:val="689A2A1B"/>
    <w:rsid w:val="68B25FB7"/>
    <w:rsid w:val="68C1269E"/>
    <w:rsid w:val="68CF4A19"/>
    <w:rsid w:val="68E5638C"/>
    <w:rsid w:val="68E855D4"/>
    <w:rsid w:val="69164798"/>
    <w:rsid w:val="69395585"/>
    <w:rsid w:val="699B6A4B"/>
    <w:rsid w:val="69A71894"/>
    <w:rsid w:val="69D1246D"/>
    <w:rsid w:val="69D837FB"/>
    <w:rsid w:val="6A0C7949"/>
    <w:rsid w:val="6A1011E7"/>
    <w:rsid w:val="6A222CC8"/>
    <w:rsid w:val="6A246A40"/>
    <w:rsid w:val="6A2B7DCF"/>
    <w:rsid w:val="6A5E63F6"/>
    <w:rsid w:val="6A5F5CCB"/>
    <w:rsid w:val="6A7C4ACE"/>
    <w:rsid w:val="6A995680"/>
    <w:rsid w:val="6A9C6F1F"/>
    <w:rsid w:val="6ABA1153"/>
    <w:rsid w:val="6ACF61E7"/>
    <w:rsid w:val="6AF44665"/>
    <w:rsid w:val="6B0625EA"/>
    <w:rsid w:val="6B4355EC"/>
    <w:rsid w:val="6B6537B4"/>
    <w:rsid w:val="6B95409A"/>
    <w:rsid w:val="6BCE135A"/>
    <w:rsid w:val="6BDB75D3"/>
    <w:rsid w:val="6BF80185"/>
    <w:rsid w:val="6BFA3EFD"/>
    <w:rsid w:val="6C2B055A"/>
    <w:rsid w:val="6C3311BD"/>
    <w:rsid w:val="6C423AF6"/>
    <w:rsid w:val="6C8A72E3"/>
    <w:rsid w:val="6C923EBF"/>
    <w:rsid w:val="6C9A123C"/>
    <w:rsid w:val="6CC22541"/>
    <w:rsid w:val="6CE7542D"/>
    <w:rsid w:val="6D1D49F8"/>
    <w:rsid w:val="6D25144D"/>
    <w:rsid w:val="6D346605"/>
    <w:rsid w:val="6D504638"/>
    <w:rsid w:val="6D8F2D6B"/>
    <w:rsid w:val="6D943EDD"/>
    <w:rsid w:val="6DBE0F5A"/>
    <w:rsid w:val="6DCD73EF"/>
    <w:rsid w:val="6DE138FF"/>
    <w:rsid w:val="6E0C43BB"/>
    <w:rsid w:val="6E2E60E0"/>
    <w:rsid w:val="6E511B95"/>
    <w:rsid w:val="6E6B1E3C"/>
    <w:rsid w:val="6EE90704"/>
    <w:rsid w:val="6EED1AF7"/>
    <w:rsid w:val="6EF07839"/>
    <w:rsid w:val="6F2F65B3"/>
    <w:rsid w:val="6F457B85"/>
    <w:rsid w:val="6F7044D6"/>
    <w:rsid w:val="6F745D74"/>
    <w:rsid w:val="6F7C2E7B"/>
    <w:rsid w:val="6F7E4E45"/>
    <w:rsid w:val="6FA26D85"/>
    <w:rsid w:val="6FC0468F"/>
    <w:rsid w:val="6FC4358D"/>
    <w:rsid w:val="6FC62348"/>
    <w:rsid w:val="6FC860C0"/>
    <w:rsid w:val="6FCF56A0"/>
    <w:rsid w:val="6FE27182"/>
    <w:rsid w:val="6FF128C8"/>
    <w:rsid w:val="6FF60E7F"/>
    <w:rsid w:val="6FFD4727"/>
    <w:rsid w:val="700D6169"/>
    <w:rsid w:val="70981F36"/>
    <w:rsid w:val="70A26911"/>
    <w:rsid w:val="70B30B1E"/>
    <w:rsid w:val="70FA499F"/>
    <w:rsid w:val="713752AB"/>
    <w:rsid w:val="713C6D66"/>
    <w:rsid w:val="71687ABE"/>
    <w:rsid w:val="718041D3"/>
    <w:rsid w:val="71816E6E"/>
    <w:rsid w:val="718D5813"/>
    <w:rsid w:val="71DD2CB4"/>
    <w:rsid w:val="72011973"/>
    <w:rsid w:val="721148E6"/>
    <w:rsid w:val="721909E8"/>
    <w:rsid w:val="7238752D"/>
    <w:rsid w:val="72395053"/>
    <w:rsid w:val="723C62EB"/>
    <w:rsid w:val="72563E57"/>
    <w:rsid w:val="72710C91"/>
    <w:rsid w:val="727147ED"/>
    <w:rsid w:val="727B38BE"/>
    <w:rsid w:val="72952BD1"/>
    <w:rsid w:val="72B8066E"/>
    <w:rsid w:val="72DA6836"/>
    <w:rsid w:val="72E43211"/>
    <w:rsid w:val="72F21DD2"/>
    <w:rsid w:val="72FF629D"/>
    <w:rsid w:val="730022F6"/>
    <w:rsid w:val="730C516A"/>
    <w:rsid w:val="732301DD"/>
    <w:rsid w:val="73263829"/>
    <w:rsid w:val="732950C8"/>
    <w:rsid w:val="734E2D80"/>
    <w:rsid w:val="734F0FD2"/>
    <w:rsid w:val="73504D4A"/>
    <w:rsid w:val="73506AF8"/>
    <w:rsid w:val="735E76C4"/>
    <w:rsid w:val="73905E9C"/>
    <w:rsid w:val="73A40BF2"/>
    <w:rsid w:val="73C60B68"/>
    <w:rsid w:val="73CC2623"/>
    <w:rsid w:val="73E524A5"/>
    <w:rsid w:val="73EC4A73"/>
    <w:rsid w:val="73FD2CDB"/>
    <w:rsid w:val="74024296"/>
    <w:rsid w:val="74185868"/>
    <w:rsid w:val="742064CB"/>
    <w:rsid w:val="742510D0"/>
    <w:rsid w:val="74257F85"/>
    <w:rsid w:val="74463A57"/>
    <w:rsid w:val="744F0B5E"/>
    <w:rsid w:val="746F2FAE"/>
    <w:rsid w:val="749A44CF"/>
    <w:rsid w:val="74D53759"/>
    <w:rsid w:val="74EA0887"/>
    <w:rsid w:val="74F55BA9"/>
    <w:rsid w:val="74F6722B"/>
    <w:rsid w:val="74FF5D81"/>
    <w:rsid w:val="75047B9A"/>
    <w:rsid w:val="751A00A9"/>
    <w:rsid w:val="751A53DD"/>
    <w:rsid w:val="751D2A0A"/>
    <w:rsid w:val="75324707"/>
    <w:rsid w:val="75504B8E"/>
    <w:rsid w:val="756923C9"/>
    <w:rsid w:val="757A4300"/>
    <w:rsid w:val="75A44ED9"/>
    <w:rsid w:val="75EB09DC"/>
    <w:rsid w:val="7614205F"/>
    <w:rsid w:val="76191423"/>
    <w:rsid w:val="76326989"/>
    <w:rsid w:val="765468FF"/>
    <w:rsid w:val="76562678"/>
    <w:rsid w:val="766C3C49"/>
    <w:rsid w:val="76A35191"/>
    <w:rsid w:val="76BD6253"/>
    <w:rsid w:val="76CA0970"/>
    <w:rsid w:val="770C71DA"/>
    <w:rsid w:val="770E6AAE"/>
    <w:rsid w:val="7718792D"/>
    <w:rsid w:val="773329B9"/>
    <w:rsid w:val="77640DC4"/>
    <w:rsid w:val="7771703D"/>
    <w:rsid w:val="77732DB5"/>
    <w:rsid w:val="77B21B30"/>
    <w:rsid w:val="77B533CE"/>
    <w:rsid w:val="77D965A0"/>
    <w:rsid w:val="77FC484A"/>
    <w:rsid w:val="780954C8"/>
    <w:rsid w:val="780E2ADE"/>
    <w:rsid w:val="782C5979"/>
    <w:rsid w:val="784455A5"/>
    <w:rsid w:val="7847671C"/>
    <w:rsid w:val="789254BD"/>
    <w:rsid w:val="78A64125"/>
    <w:rsid w:val="78B13B95"/>
    <w:rsid w:val="78DE0702"/>
    <w:rsid w:val="78FB7506"/>
    <w:rsid w:val="79002D6F"/>
    <w:rsid w:val="791660EE"/>
    <w:rsid w:val="793B7903"/>
    <w:rsid w:val="79751DE3"/>
    <w:rsid w:val="797A042B"/>
    <w:rsid w:val="79856DD0"/>
    <w:rsid w:val="79D4536F"/>
    <w:rsid w:val="79F04B91"/>
    <w:rsid w:val="7A1E674C"/>
    <w:rsid w:val="7A574C10"/>
    <w:rsid w:val="7A8F7F06"/>
    <w:rsid w:val="7A951BAA"/>
    <w:rsid w:val="7A992B33"/>
    <w:rsid w:val="7AE446F6"/>
    <w:rsid w:val="7AF67F85"/>
    <w:rsid w:val="7B0C1557"/>
    <w:rsid w:val="7B3E6EE5"/>
    <w:rsid w:val="7B452CBB"/>
    <w:rsid w:val="7B580C40"/>
    <w:rsid w:val="7B735A7A"/>
    <w:rsid w:val="7B7A6E08"/>
    <w:rsid w:val="7B821819"/>
    <w:rsid w:val="7B8657AD"/>
    <w:rsid w:val="7BA72697"/>
    <w:rsid w:val="7BAC4AE8"/>
    <w:rsid w:val="7C3C7F29"/>
    <w:rsid w:val="7C4116D4"/>
    <w:rsid w:val="7C464E3A"/>
    <w:rsid w:val="7C5533D1"/>
    <w:rsid w:val="7C8909CB"/>
    <w:rsid w:val="7C9C690A"/>
    <w:rsid w:val="7CD267D0"/>
    <w:rsid w:val="7D1172F8"/>
    <w:rsid w:val="7D1961AD"/>
    <w:rsid w:val="7D5B67C5"/>
    <w:rsid w:val="7D715FE9"/>
    <w:rsid w:val="7D7B6E68"/>
    <w:rsid w:val="7DAC0DCF"/>
    <w:rsid w:val="7DB14637"/>
    <w:rsid w:val="7DBB1012"/>
    <w:rsid w:val="7DD56578"/>
    <w:rsid w:val="7E062BD5"/>
    <w:rsid w:val="7E372159"/>
    <w:rsid w:val="7E81225C"/>
    <w:rsid w:val="7E9755DB"/>
    <w:rsid w:val="7E9F26E2"/>
    <w:rsid w:val="7EAF501B"/>
    <w:rsid w:val="7EFE565A"/>
    <w:rsid w:val="7F080287"/>
    <w:rsid w:val="7F1255AA"/>
    <w:rsid w:val="7F491DA9"/>
    <w:rsid w:val="7F58120E"/>
    <w:rsid w:val="7F6D458E"/>
    <w:rsid w:val="7FB0104A"/>
    <w:rsid w:val="7FB623D9"/>
    <w:rsid w:val="7FBF303C"/>
    <w:rsid w:val="7FC22B2C"/>
    <w:rsid w:val="7FDD5BB8"/>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character" w:customStyle="1" w:styleId="16">
    <w:name w:val="font161"/>
    <w:basedOn w:val="12"/>
    <w:qFormat/>
    <w:uiPriority w:val="0"/>
    <w:rPr>
      <w:rFonts w:hint="default" w:ascii="Times New Roman" w:hAnsi="Times New Roman" w:cs="Times New Roman"/>
      <w:color w:val="000000"/>
      <w:sz w:val="18"/>
      <w:szCs w:val="18"/>
      <w:u w:val="none"/>
    </w:rPr>
  </w:style>
  <w:style w:type="character" w:customStyle="1" w:styleId="17">
    <w:name w:val="font121"/>
    <w:basedOn w:val="12"/>
    <w:qFormat/>
    <w:uiPriority w:val="0"/>
    <w:rPr>
      <w:rFonts w:hint="default" w:ascii="Times New Roman" w:hAnsi="Times New Roman" w:cs="Times New Roman"/>
      <w:color w:val="000000"/>
      <w:sz w:val="18"/>
      <w:szCs w:val="18"/>
      <w:u w:val="none"/>
    </w:rPr>
  </w:style>
  <w:style w:type="character" w:customStyle="1" w:styleId="18">
    <w:name w:val="font171"/>
    <w:basedOn w:val="12"/>
    <w:qFormat/>
    <w:uiPriority w:val="0"/>
    <w:rPr>
      <w:rFonts w:hint="default" w:ascii="Times New Roman" w:hAnsi="Times New Roman" w:cs="Times New Roman"/>
      <w:color w:val="000000"/>
      <w:sz w:val="18"/>
      <w:szCs w:val="18"/>
      <w:u w:val="none"/>
    </w:rPr>
  </w:style>
  <w:style w:type="character" w:customStyle="1" w:styleId="19">
    <w:name w:val="font261"/>
    <w:basedOn w:val="12"/>
    <w:qFormat/>
    <w:uiPriority w:val="0"/>
    <w:rPr>
      <w:rFonts w:hint="eastAsia" w:ascii="宋体" w:hAnsi="宋体" w:eastAsia="宋体" w:cs="宋体"/>
      <w:color w:val="000000"/>
      <w:sz w:val="18"/>
      <w:szCs w:val="18"/>
      <w:u w:val="none"/>
    </w:rPr>
  </w:style>
  <w:style w:type="character" w:customStyle="1" w:styleId="20">
    <w:name w:val="font271"/>
    <w:basedOn w:val="12"/>
    <w:qFormat/>
    <w:uiPriority w:val="0"/>
    <w:rPr>
      <w:rFonts w:hint="eastAsia" w:ascii="仿宋_GB2312" w:eastAsia="仿宋_GB2312" w:cs="仿宋_GB2312"/>
      <w:color w:val="000000"/>
      <w:sz w:val="18"/>
      <w:szCs w:val="18"/>
      <w:u w:val="none"/>
    </w:rPr>
  </w:style>
  <w:style w:type="character" w:customStyle="1" w:styleId="21">
    <w:name w:val="font71"/>
    <w:basedOn w:val="12"/>
    <w:qFormat/>
    <w:uiPriority w:val="0"/>
    <w:rPr>
      <w:rFonts w:hint="eastAsia" w:ascii="仿宋_GB2312" w:eastAsia="仿宋_GB2312" w:cs="仿宋_GB2312"/>
      <w:color w:val="000000"/>
      <w:sz w:val="18"/>
      <w:szCs w:val="18"/>
      <w:u w:val="none"/>
    </w:rPr>
  </w:style>
  <w:style w:type="character" w:customStyle="1" w:styleId="22">
    <w:name w:val="font51"/>
    <w:basedOn w:val="12"/>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20717</Words>
  <Characters>20857</Characters>
  <Lines>1850</Lines>
  <Paragraphs>1270</Paragraphs>
  <TotalTime>20</TotalTime>
  <ScaleCrop>false</ScaleCrop>
  <LinksUpToDate>false</LinksUpToDate>
  <CharactersWithSpaces>21183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ll</cp:lastModifiedBy>
  <cp:lastPrinted>2026-03-24T13:20:00Z</cp:lastPrinted>
  <dcterms:modified xsi:type="dcterms:W3CDTF">2026-03-24T13:55:54Z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845D24FAD60345149328AA37914FDB97</vt:lpwstr>
  </property>
  <property fmtid="{D5CDD505-2E9C-101B-9397-08002B2CF9AE}" pid="4" name="KSOTemplateDocerSaveRecord">
    <vt:lpwstr>eyJoZGlkIjoiNDU2N2I3ZWNjZDY1ZDVhNjNiNjIxMDdlZjMyNjcxOWEiLCJ1c2VySWQiOiI4MTAzODczOTgifQ==</vt:lpwstr>
  </property>
</Properties>
</file>