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C0C6D">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114925" cy="1130935"/>
                    </a:xfrm>
                    <a:prstGeom prst="rect">
                      <a:avLst/>
                    </a:prstGeom>
                    <a:noFill/>
                    <a:ln>
                      <a:noFill/>
                    </a:ln>
                  </pic:spPr>
                </pic:pic>
              </a:graphicData>
            </a:graphic>
          </wp:anchor>
        </w:drawing>
      </w:r>
    </w:p>
    <w:p w14:paraId="6404A667">
      <w:pPr>
        <w:overflowPunct w:val="0"/>
        <w:adjustRightInd w:val="0"/>
        <w:snapToGrid w:val="0"/>
        <w:jc w:val="center"/>
        <w:rPr>
          <w:rFonts w:hint="eastAsia" w:ascii="仿宋" w:hAnsi="仿宋" w:eastAsia="仿宋"/>
          <w:color w:val="auto"/>
          <w:szCs w:val="32"/>
        </w:rPr>
      </w:pPr>
    </w:p>
    <w:p w14:paraId="5249DE21">
      <w:pPr>
        <w:overflowPunct w:val="0"/>
        <w:adjustRightInd w:val="0"/>
        <w:snapToGrid w:val="0"/>
        <w:jc w:val="center"/>
        <w:rPr>
          <w:rFonts w:hint="eastAsia" w:ascii="仿宋" w:hAnsi="仿宋" w:eastAsia="仿宋"/>
          <w:color w:val="auto"/>
          <w:szCs w:val="32"/>
        </w:rPr>
      </w:pPr>
    </w:p>
    <w:p w14:paraId="07C28BB8">
      <w:pPr>
        <w:overflowPunct w:val="0"/>
        <w:adjustRightInd w:val="0"/>
        <w:snapToGrid w:val="0"/>
        <w:jc w:val="center"/>
        <w:rPr>
          <w:rFonts w:hint="eastAsia" w:ascii="仿宋" w:hAnsi="仿宋" w:eastAsia="仿宋"/>
          <w:color w:val="auto"/>
          <w:szCs w:val="32"/>
        </w:rPr>
      </w:pPr>
    </w:p>
    <w:p w14:paraId="709AABA0">
      <w:pPr>
        <w:overflowPunct w:val="0"/>
        <w:adjustRightInd w:val="0"/>
        <w:snapToGrid w:val="0"/>
        <w:jc w:val="center"/>
        <w:rPr>
          <w:rFonts w:hint="eastAsia" w:ascii="仿宋" w:hAnsi="仿宋" w:eastAsia="仿宋"/>
          <w:color w:val="auto"/>
          <w:szCs w:val="32"/>
        </w:rPr>
      </w:pPr>
    </w:p>
    <w:p w14:paraId="2D0A85CB">
      <w:pPr>
        <w:overflowPunct w:val="0"/>
        <w:adjustRightInd w:val="0"/>
        <w:snapToGrid w:val="0"/>
        <w:jc w:val="center"/>
        <w:rPr>
          <w:rFonts w:hint="eastAsia" w:ascii="仿宋" w:hAnsi="仿宋" w:eastAsia="仿宋"/>
          <w:color w:val="auto"/>
          <w:szCs w:val="32"/>
        </w:rPr>
      </w:pPr>
    </w:p>
    <w:p w14:paraId="2F166AEA">
      <w:pPr>
        <w:overflowPunct w:val="0"/>
        <w:adjustRightInd w:val="0"/>
        <w:snapToGrid w:val="0"/>
        <w:jc w:val="center"/>
        <w:rPr>
          <w:rFonts w:hint="eastAsia" w:ascii="仿宋" w:hAnsi="仿宋" w:eastAsia="仿宋"/>
          <w:color w:val="auto"/>
          <w:szCs w:val="32"/>
        </w:rPr>
      </w:pPr>
    </w:p>
    <w:p w14:paraId="576DC5BF">
      <w:pPr>
        <w:overflowPunct w:val="0"/>
        <w:adjustRightInd w:val="0"/>
        <w:snapToGrid w:val="0"/>
        <w:rPr>
          <w:rFonts w:hint="eastAsia" w:ascii="华文新魏" w:hAnsi="仿宋" w:eastAsia="华文新魏"/>
          <w:b/>
          <w:color w:val="auto"/>
          <w:sz w:val="100"/>
          <w:szCs w:val="100"/>
        </w:rPr>
      </w:pPr>
    </w:p>
    <w:p w14:paraId="4725421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61224B21">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71AA2441">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道路与桥梁工程技术</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7F0AB3FF">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Times New Roman" w:hAnsi="Times New Roman" w:eastAsia="仿宋" w:cs="仿宋"/>
          <w:b w:val="0"/>
          <w:bCs w:val="0"/>
          <w:color w:val="auto"/>
          <w:sz w:val="32"/>
          <w:szCs w:val="32"/>
          <w:highlight w:val="none"/>
          <w:u w:val="single"/>
        </w:rPr>
        <w:t>500201</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5FB7446C">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ACB9992">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14:paraId="3695D090">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14:paraId="3CFF0751">
      <w:pPr>
        <w:rPr>
          <w:rFonts w:hint="eastAsia" w:ascii="仿宋_GB2312" w:hAnsi="仿宋_GB2312" w:eastAsia="仿宋_GB2312" w:cs="仿宋_GB2312"/>
          <w:color w:val="auto"/>
          <w:kern w:val="0"/>
          <w:sz w:val="32"/>
          <w:szCs w:val="32"/>
          <w:shd w:val="clear" w:color="auto" w:fill="FFFFFF"/>
        </w:rPr>
      </w:pPr>
    </w:p>
    <w:p w14:paraId="190D64B9">
      <w:pPr>
        <w:rPr>
          <w:rFonts w:hint="eastAsia" w:ascii="仿宋_GB2312" w:hAnsi="仿宋_GB2312" w:eastAsia="仿宋_GB2312" w:cs="仿宋_GB2312"/>
          <w:color w:val="auto"/>
          <w:kern w:val="0"/>
          <w:sz w:val="32"/>
          <w:szCs w:val="32"/>
          <w:shd w:val="clear" w:color="auto" w:fill="FFFFFF"/>
        </w:rPr>
      </w:pPr>
    </w:p>
    <w:p w14:paraId="5E0D01E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454885E3">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2C5DEF33">
      <w:pPr>
        <w:widowControl/>
        <w:overflowPunct w:val="0"/>
        <w:adjustRightInd w:val="0"/>
        <w:snapToGrid w:val="0"/>
        <w:spacing w:after="160"/>
        <w:jc w:val="center"/>
        <w:rPr>
          <w:rFonts w:hint="eastAsia" w:ascii="黑体" w:hAnsi="黑体"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60D34CA3">
      <w:pPr>
        <w:widowControl/>
        <w:overflowPunct w:val="0"/>
        <w:adjustRightInd w:val="0"/>
        <w:snapToGrid w:val="0"/>
        <w:spacing w:after="16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422A7E1F">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14:paraId="3787FAB0">
      <w:pPr>
        <w:ind w:firstLine="880" w:firstLineChars="200"/>
        <w:rPr>
          <w:rFonts w:hint="eastAsia" w:ascii="黑体" w:hAnsi="黑体" w:eastAsia="黑体" w:cs="黑体"/>
          <w:b w:val="0"/>
          <w:bCs/>
          <w:color w:val="auto"/>
          <w:sz w:val="44"/>
          <w:szCs w:val="44"/>
          <w:highlight w:val="none"/>
        </w:rPr>
      </w:pPr>
    </w:p>
    <w:p w14:paraId="7F153B69">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工程职业学院道路与桥梁工程技术</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广西吉优建筑工程有限公司等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14:paraId="68F0980B">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1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14:paraId="6785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97655FF">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14:paraId="62D58915">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14:paraId="00532C47">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14:paraId="57399A80">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14:paraId="6DF6BCBE">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14:paraId="3F1E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9C6F87B">
            <w:pPr>
              <w:jc w:val="center"/>
              <w:rPr>
                <w:rFonts w:hint="eastAsia" w:ascii="仿宋_GB2312" w:hAnsi="仿宋_GB2312" w:eastAsia="仿宋_GB2312" w:cs="仿宋_GB2312"/>
                <w:b w:val="0"/>
                <w:bCs/>
                <w:color w:val="auto"/>
                <w:sz w:val="32"/>
                <w:szCs w:val="32"/>
                <w:highlight w:val="none"/>
                <w:vertAlign w:val="baseline"/>
                <w:lang w:val="en-US" w:eastAsia="zh-CN"/>
              </w:rPr>
            </w:pPr>
            <w:bookmarkStart w:id="89" w:name="_GoBack" w:colFirst="1" w:colLast="4"/>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tcPr>
          <w:p w14:paraId="2586306B">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fldChar w:fldCharType="begin"/>
            </w:r>
            <w:r>
              <w:rPr>
                <w:rFonts w:hint="eastAsia" w:ascii="仿宋_GB2312" w:hAnsi="仿宋_GB2312" w:eastAsia="仿宋_GB2312" w:cs="仿宋_GB2312"/>
                <w:b w:val="0"/>
                <w:bCs/>
                <w:color w:val="auto"/>
                <w:sz w:val="32"/>
                <w:szCs w:val="32"/>
                <w:highlight w:val="none"/>
                <w:vertAlign w:val="baseline"/>
                <w:lang w:val="en-US" w:eastAsia="zh-CN"/>
              </w:rPr>
              <w:instrText xml:space="preserve"> HYPERLINK "https://www.qcc.com/pl/pr0182b1d8424350c89756367e79a8cb.html" \t "https://www.qcc.com/web/_blank" </w:instrText>
            </w:r>
            <w:r>
              <w:rPr>
                <w:rFonts w:hint="eastAsia" w:ascii="仿宋_GB2312" w:hAnsi="仿宋_GB2312" w:eastAsia="仿宋_GB2312" w:cs="仿宋_GB2312"/>
                <w:b w:val="0"/>
                <w:bCs/>
                <w:color w:val="auto"/>
                <w:sz w:val="32"/>
                <w:szCs w:val="32"/>
                <w:highlight w:val="none"/>
                <w:vertAlign w:val="baseline"/>
                <w:lang w:val="en-US" w:eastAsia="zh-CN"/>
              </w:rPr>
              <w:fldChar w:fldCharType="separate"/>
            </w:r>
            <w:r>
              <w:rPr>
                <w:rFonts w:hint="eastAsia" w:ascii="仿宋_GB2312" w:hAnsi="仿宋_GB2312" w:eastAsia="仿宋_GB2312" w:cs="仿宋_GB2312"/>
                <w:b w:val="0"/>
                <w:bCs/>
                <w:color w:val="auto"/>
                <w:sz w:val="32"/>
                <w:szCs w:val="32"/>
                <w:highlight w:val="none"/>
                <w:vertAlign w:val="baseline"/>
                <w:lang w:val="en-US" w:eastAsia="zh-CN"/>
              </w:rPr>
              <w:t>江纯</w:t>
            </w:r>
            <w:r>
              <w:rPr>
                <w:rFonts w:hint="eastAsia" w:ascii="仿宋_GB2312" w:hAnsi="仿宋_GB2312" w:eastAsia="仿宋_GB2312" w:cs="仿宋_GB2312"/>
                <w:b w:val="0"/>
                <w:bCs/>
                <w:color w:val="auto"/>
                <w:sz w:val="32"/>
                <w:szCs w:val="32"/>
                <w:highlight w:val="none"/>
                <w:vertAlign w:val="baseline"/>
                <w:lang w:val="en-US" w:eastAsia="zh-CN"/>
              </w:rPr>
              <w:fldChar w:fldCharType="end"/>
            </w:r>
          </w:p>
        </w:tc>
        <w:tc>
          <w:tcPr>
            <w:tcW w:w="2800" w:type="dxa"/>
          </w:tcPr>
          <w:p w14:paraId="6A8C2A51">
            <w:pPr>
              <w:jc w:val="center"/>
              <w:rPr>
                <w:rFonts w:hint="default" w:ascii="仿宋_GB2312" w:hAnsi="仿宋_GB2312" w:eastAsia="仿宋_GB2312" w:cs="仿宋_GB2312"/>
                <w:b w:val="0"/>
                <w:bCs/>
                <w:color w:val="auto"/>
                <w:sz w:val="32"/>
                <w:szCs w:val="32"/>
                <w:highlight w:val="none"/>
                <w:vertAlign w:val="baseline"/>
                <w:lang w:val="en-US"/>
              </w:rPr>
            </w:pPr>
            <w:r>
              <w:rPr>
                <w:rFonts w:hint="eastAsia" w:ascii="仿宋_GB2312" w:hAnsi="仿宋_GB2312" w:eastAsia="仿宋_GB2312" w:cs="仿宋_GB2312"/>
                <w:b w:val="0"/>
                <w:bCs/>
                <w:color w:val="auto"/>
                <w:sz w:val="32"/>
                <w:szCs w:val="32"/>
                <w:highlight w:val="none"/>
                <w:lang w:val="en-US" w:eastAsia="zh-CN"/>
              </w:rPr>
              <w:t>广西吉优建筑工程有限公司</w:t>
            </w:r>
          </w:p>
        </w:tc>
        <w:tc>
          <w:tcPr>
            <w:tcW w:w="1833" w:type="dxa"/>
          </w:tcPr>
          <w:p w14:paraId="2FC38CE1">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经理</w:t>
            </w:r>
          </w:p>
        </w:tc>
        <w:tc>
          <w:tcPr>
            <w:tcW w:w="1877" w:type="dxa"/>
          </w:tcPr>
          <w:p w14:paraId="577AF91E">
            <w:pPr>
              <w:jc w:val="center"/>
              <w:rPr>
                <w:rFonts w:hint="eastAsia" w:ascii="仿宋_GB2312" w:hAnsi="仿宋_GB2312" w:eastAsia="仿宋_GB2312" w:cs="仿宋_GB2312"/>
                <w:b w:val="0"/>
                <w:bCs/>
                <w:color w:val="auto"/>
                <w:sz w:val="32"/>
                <w:szCs w:val="32"/>
                <w:highlight w:val="none"/>
                <w:vertAlign w:val="baseline"/>
                <w:lang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bookmarkEnd w:id="89"/>
      <w:tr w14:paraId="7C44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08CAABC">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top"/>
          </w:tcPr>
          <w:p w14:paraId="574BB732">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汪弋钦</w:t>
            </w:r>
          </w:p>
        </w:tc>
        <w:tc>
          <w:tcPr>
            <w:tcW w:w="2800" w:type="dxa"/>
            <w:vAlign w:val="top"/>
          </w:tcPr>
          <w:p w14:paraId="13C2762D">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top"/>
          </w:tcPr>
          <w:p w14:paraId="3F9F950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教研室主任</w:t>
            </w:r>
          </w:p>
        </w:tc>
        <w:tc>
          <w:tcPr>
            <w:tcW w:w="1877" w:type="dxa"/>
            <w:vAlign w:val="top"/>
          </w:tcPr>
          <w:p w14:paraId="367C9A76">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rPr>
              <w:t>高级工程师</w:t>
            </w:r>
          </w:p>
        </w:tc>
      </w:tr>
      <w:tr w14:paraId="4B42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B4D5FFA">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top"/>
          </w:tcPr>
          <w:p w14:paraId="7F34A04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覃慧颖</w:t>
            </w:r>
          </w:p>
        </w:tc>
        <w:tc>
          <w:tcPr>
            <w:tcW w:w="2800" w:type="dxa"/>
            <w:vAlign w:val="top"/>
          </w:tcPr>
          <w:p w14:paraId="029A0DA5">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top"/>
          </w:tcPr>
          <w:p w14:paraId="2852D95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top"/>
          </w:tcPr>
          <w:p w14:paraId="46FDD62E">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工程师</w:t>
            </w:r>
          </w:p>
        </w:tc>
      </w:tr>
      <w:tr w14:paraId="7617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788DD779">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vAlign w:val="top"/>
          </w:tcPr>
          <w:p w14:paraId="01CAB624">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韦世凡</w:t>
            </w:r>
          </w:p>
        </w:tc>
        <w:tc>
          <w:tcPr>
            <w:tcW w:w="2800" w:type="dxa"/>
            <w:vAlign w:val="top"/>
          </w:tcPr>
          <w:p w14:paraId="03DED448">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top"/>
          </w:tcPr>
          <w:p w14:paraId="4DED7FF3">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top"/>
          </w:tcPr>
          <w:p w14:paraId="3BF807F7">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中级经济师</w:t>
            </w:r>
          </w:p>
        </w:tc>
      </w:tr>
    </w:tbl>
    <w:p w14:paraId="590615A6">
      <w:pPr>
        <w:widowControl/>
        <w:overflowPunct w:val="0"/>
        <w:adjustRightInd w:val="0"/>
        <w:snapToGrid w:val="0"/>
        <w:spacing w:after="16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1F8F9546">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b/>
          <w:bCs/>
          <w:color w:val="auto"/>
          <w:kern w:val="2"/>
          <w:sz w:val="32"/>
          <w:szCs w:val="32"/>
          <w:lang w:val="en-US" w:eastAsia="zh-CN" w:bidi="ar-SA"/>
        </w:rPr>
        <w:id w:val="147470771"/>
        <w15:color w:val="DBDBDB"/>
        <w:docPartObj>
          <w:docPartGallery w:val="Table of Contents"/>
          <w:docPartUnique/>
        </w:docPartObj>
      </w:sdtPr>
      <w:sdtEndPr>
        <w:rPr>
          <w:rFonts w:hint="eastAsia" w:ascii="仿宋_GB2312" w:hAnsi="仿宋_GB2312" w:eastAsia="仿宋_GB2312" w:cs="仿宋_GB2312"/>
          <w:b/>
          <w:bCs/>
          <w:color w:val="auto"/>
          <w:kern w:val="0"/>
          <w:sz w:val="21"/>
          <w:szCs w:val="28"/>
          <w:lang w:val="en-US" w:eastAsia="zh-CN" w:bidi="ar-SA"/>
        </w:rPr>
      </w:sdtEndPr>
      <w:sdtContent>
        <w:p w14:paraId="0FED8A09">
          <w:pPr>
            <w:spacing w:before="0" w:beforeLines="0" w:after="0" w:afterLines="0" w:line="240" w:lineRule="auto"/>
            <w:ind w:left="0" w:leftChars="0" w:right="0" w:rightChars="0" w:firstLine="0" w:firstLineChars="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目录</w:t>
          </w:r>
        </w:p>
        <w:p w14:paraId="539F4478">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color w:val="auto"/>
              <w:kern w:val="0"/>
              <w:sz w:val="32"/>
              <w:szCs w:val="32"/>
              <w:lang w:val="en-US" w:eastAsia="zh-CN" w:bidi="ar-SA"/>
            </w:rPr>
            <w:instrText xml:space="preserve">TOC \o "1-3" \h \u </w:instrText>
          </w:r>
          <w:r>
            <w:rPr>
              <w:rFonts w:hint="eastAsia" w:ascii="楷体" w:hAnsi="楷体" w:eastAsia="楷体" w:cs="楷体"/>
              <w:bCs/>
              <w:color w:val="auto"/>
              <w:kern w:val="0"/>
              <w:sz w:val="32"/>
              <w:szCs w:val="32"/>
              <w:lang w:val="en-US" w:eastAsia="zh-CN" w:bidi="ar-SA"/>
            </w:rPr>
            <w:fldChar w:fldCharType="separate"/>
          </w: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_Toc1258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_Toc1258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1E62E2CF">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_Toc3660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_Toc3660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49AFA488">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_Toc8201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_Toc8201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4554ED87">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_Toc16220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_Toc16220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26FA94A6">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_Toc2354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_Toc2354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5B7918A0">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_Toc1008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_Toc1008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72ACEF6D">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_Toc23527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（一）</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_Toc23527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68E0E477">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_Toc18591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能力</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_Toc18591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4C0EE96B">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_Toc32020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素质</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_Toc32020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4D8C642A">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_Toc9867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highlight w:val="none"/>
              <w:lang w:val="en-US" w:eastAsia="zh-CN"/>
            </w:rPr>
            <w:t>七</w:t>
          </w:r>
          <w:r>
            <w:rPr>
              <w:rFonts w:hint="eastAsia" w:ascii="楷体" w:hAnsi="楷体" w:eastAsia="楷体" w:cs="楷体"/>
              <w:sz w:val="32"/>
              <w:szCs w:val="32"/>
              <w:highlight w:val="none"/>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_Toc9867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25F02791">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_Toc29074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highlight w:val="none"/>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_Toc29074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22D73FA2">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_Toc4214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_Toc4214 \h </w:instrText>
          </w:r>
          <w:r>
            <w:rPr>
              <w:rFonts w:hint="eastAsia" w:ascii="楷体" w:hAnsi="楷体" w:eastAsia="楷体" w:cs="楷体"/>
              <w:sz w:val="32"/>
              <w:szCs w:val="32"/>
            </w:rPr>
            <w:fldChar w:fldCharType="separate"/>
          </w:r>
          <w:r>
            <w:rPr>
              <w:rFonts w:hint="eastAsia" w:ascii="楷体" w:hAnsi="楷体" w:eastAsia="楷体" w:cs="楷体"/>
              <w:sz w:val="32"/>
              <w:szCs w:val="32"/>
            </w:rPr>
            <w:t>20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7A054E90">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_Toc24996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（三）第二课堂</w:t>
          </w:r>
          <w:r>
            <w:rPr>
              <w:rFonts w:hint="eastAsia" w:ascii="楷体" w:hAnsi="楷体" w:eastAsia="楷体" w:cs="楷体"/>
              <w:sz w:val="32"/>
              <w:szCs w:val="32"/>
              <w:lang w:val="en-US" w:eastAsia="zh-CN"/>
            </w:rPr>
            <w:t>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_Toc24996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682E4C8D">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_Toc1738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_Toc1738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11DE5E55">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_Toc24360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_Toc24360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7B7BB09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_Toc2638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_Toc2638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1DE01EA2">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_Toc2309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_Toc2309 \h </w:instrText>
          </w:r>
          <w:r>
            <w:rPr>
              <w:rFonts w:hint="eastAsia" w:ascii="楷体" w:hAnsi="楷体" w:eastAsia="楷体" w:cs="楷体"/>
              <w:sz w:val="32"/>
              <w:szCs w:val="32"/>
            </w:rPr>
            <w:fldChar w:fldCharType="separate"/>
          </w:r>
          <w:r>
            <w:rPr>
              <w:rFonts w:hint="eastAsia" w:ascii="楷体" w:hAnsi="楷体" w:eastAsia="楷体" w:cs="楷体"/>
              <w:sz w:val="32"/>
              <w:szCs w:val="32"/>
            </w:rPr>
            <w:t>39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1B98D811">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_Toc30103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_Toc30103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79B743B3">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_Toc31277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bCs w:val="0"/>
              <w:kern w:val="2"/>
              <w:sz w:val="32"/>
              <w:szCs w:val="32"/>
              <w:lang w:val="en-US" w:eastAsia="zh-CN" w:bidi="ar-SA"/>
            </w:rPr>
            <w:t>（一）</w:t>
          </w:r>
          <w:r>
            <w:rPr>
              <w:rFonts w:hint="eastAsia" w:ascii="楷体" w:hAnsi="楷体" w:eastAsia="楷体" w:cs="楷体"/>
              <w:bCs w:val="0"/>
              <w:sz w:val="32"/>
              <w:szCs w:val="32"/>
              <w:highlight w:val="none"/>
              <w:lang w:val="en-US" w:eastAsia="zh-CN"/>
            </w:rPr>
            <w:t>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_Toc31277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591F54C1">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_Toc16438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kern w:val="2"/>
              <w:sz w:val="32"/>
              <w:szCs w:val="32"/>
              <w:lang w:val="en-US" w:eastAsia="zh-CN" w:bidi="ar-SA"/>
            </w:rPr>
            <w:t>（二）</w:t>
          </w:r>
          <w:r>
            <w:rPr>
              <w:rFonts w:hint="eastAsia" w:ascii="楷体" w:hAnsi="楷体" w:eastAsia="楷体" w:cs="楷体"/>
              <w:sz w:val="32"/>
              <w:szCs w:val="32"/>
            </w:rPr>
            <w:t>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_Toc16438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6718F0B0">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_Toc6832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_Toc6832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2E863F8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_Toc21695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w:t>
          </w:r>
          <w:r>
            <w:rPr>
              <w:rFonts w:hint="eastAsia" w:ascii="楷体" w:hAnsi="楷体" w:eastAsia="楷体" w:cs="楷体"/>
              <w:sz w:val="32"/>
              <w:szCs w:val="32"/>
            </w:rPr>
            <w:t>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_Toc21695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0F7FD517">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_Toc26890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_Toc26890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6716EFAD">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_Toc21206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_Toc21206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1EDDF3E7">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_Toc3579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_Toc3579 \h </w:instrText>
          </w:r>
          <w:r>
            <w:rPr>
              <w:rFonts w:hint="eastAsia" w:ascii="楷体" w:hAnsi="楷体" w:eastAsia="楷体" w:cs="楷体"/>
              <w:sz w:val="32"/>
              <w:szCs w:val="32"/>
            </w:rPr>
            <w:fldChar w:fldCharType="separate"/>
          </w:r>
          <w:r>
            <w:rPr>
              <w:rFonts w:hint="eastAsia" w:ascii="楷体" w:hAnsi="楷体" w:eastAsia="楷体" w:cs="楷体"/>
              <w:sz w:val="32"/>
              <w:szCs w:val="32"/>
            </w:rPr>
            <w:t>47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5B182BB2">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_Toc18335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 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_Toc18335 \h </w:instrText>
          </w:r>
          <w:r>
            <w:rPr>
              <w:rFonts w:hint="eastAsia" w:ascii="楷体" w:hAnsi="楷体" w:eastAsia="楷体" w:cs="楷体"/>
              <w:sz w:val="32"/>
              <w:szCs w:val="32"/>
            </w:rPr>
            <w:fldChar w:fldCharType="separate"/>
          </w:r>
          <w:r>
            <w:rPr>
              <w:rFonts w:hint="eastAsia" w:ascii="楷体" w:hAnsi="楷体" w:eastAsia="楷体" w:cs="楷体"/>
              <w:sz w:val="32"/>
              <w:szCs w:val="32"/>
            </w:rPr>
            <w:t>48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4CF517E7">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_Toc5358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_Toc5358 \h </w:instrText>
          </w:r>
          <w:r>
            <w:rPr>
              <w:rFonts w:hint="eastAsia" w:ascii="楷体" w:hAnsi="楷体" w:eastAsia="楷体" w:cs="楷体"/>
              <w:sz w:val="32"/>
              <w:szCs w:val="32"/>
            </w:rPr>
            <w:fldChar w:fldCharType="separate"/>
          </w:r>
          <w:r>
            <w:rPr>
              <w:rFonts w:hint="eastAsia" w:ascii="楷体" w:hAnsi="楷体" w:eastAsia="楷体" w:cs="楷体"/>
              <w:sz w:val="32"/>
              <w:szCs w:val="32"/>
            </w:rPr>
            <w:t>48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512B1C2E">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_Toc27678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bCs w:val="0"/>
              <w:sz w:val="32"/>
              <w:szCs w:val="32"/>
              <w:highlight w:val="none"/>
              <w:lang w:val="en-US" w:eastAsia="zh-CN"/>
            </w:rPr>
            <w:t>十一、</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_Toc27678 \h </w:instrText>
          </w:r>
          <w:r>
            <w:rPr>
              <w:rFonts w:hint="eastAsia" w:ascii="楷体" w:hAnsi="楷体" w:eastAsia="楷体" w:cs="楷体"/>
              <w:sz w:val="32"/>
              <w:szCs w:val="32"/>
            </w:rPr>
            <w:fldChar w:fldCharType="separate"/>
          </w:r>
          <w:r>
            <w:rPr>
              <w:rFonts w:hint="eastAsia" w:ascii="楷体" w:hAnsi="楷体" w:eastAsia="楷体" w:cs="楷体"/>
              <w:sz w:val="32"/>
              <w:szCs w:val="32"/>
            </w:rPr>
            <w:t>49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384B2A17">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_Toc17379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bCs w:val="0"/>
              <w:sz w:val="32"/>
              <w:szCs w:val="32"/>
              <w:highlight w:val="none"/>
              <w:lang w:val="en-US" w:eastAsia="zh-CN"/>
            </w:rPr>
            <w:t>十二、</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_Toc17379 \h </w:instrText>
          </w:r>
          <w:r>
            <w:rPr>
              <w:rFonts w:hint="eastAsia" w:ascii="楷体" w:hAnsi="楷体" w:eastAsia="楷体" w:cs="楷体"/>
              <w:sz w:val="32"/>
              <w:szCs w:val="32"/>
            </w:rPr>
            <w:fldChar w:fldCharType="separate"/>
          </w:r>
          <w:r>
            <w:rPr>
              <w:rFonts w:hint="eastAsia" w:ascii="楷体" w:hAnsi="楷体" w:eastAsia="楷体" w:cs="楷体"/>
              <w:sz w:val="32"/>
              <w:szCs w:val="32"/>
            </w:rPr>
            <w:t>50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7999460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_Toc25545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kern w:val="2"/>
              <w:sz w:val="32"/>
              <w:szCs w:val="32"/>
              <w:lang w:val="en-US" w:eastAsia="zh-CN" w:bidi="ar-SA"/>
            </w:rPr>
            <w:t>（一）学分要求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_Toc25545 \h </w:instrText>
          </w:r>
          <w:r>
            <w:rPr>
              <w:rFonts w:hint="eastAsia" w:ascii="楷体" w:hAnsi="楷体" w:eastAsia="楷体" w:cs="楷体"/>
              <w:sz w:val="32"/>
              <w:szCs w:val="32"/>
            </w:rPr>
            <w:fldChar w:fldCharType="separate"/>
          </w:r>
          <w:r>
            <w:rPr>
              <w:rFonts w:hint="eastAsia" w:ascii="楷体" w:hAnsi="楷体" w:eastAsia="楷体" w:cs="楷体"/>
              <w:sz w:val="32"/>
              <w:szCs w:val="32"/>
            </w:rPr>
            <w:t>50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3DA5F5AA">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_Toc21541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kern w:val="2"/>
              <w:sz w:val="32"/>
              <w:szCs w:val="32"/>
              <w:lang w:val="en-US" w:eastAsia="zh-CN" w:bidi="ar-SA"/>
            </w:rPr>
            <w:t>（二）职业类证书要求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_Toc21541 \h </w:instrText>
          </w:r>
          <w:r>
            <w:rPr>
              <w:rFonts w:hint="eastAsia" w:ascii="楷体" w:hAnsi="楷体" w:eastAsia="楷体" w:cs="楷体"/>
              <w:sz w:val="32"/>
              <w:szCs w:val="32"/>
            </w:rPr>
            <w:fldChar w:fldCharType="separate"/>
          </w:r>
          <w:r>
            <w:rPr>
              <w:rFonts w:hint="eastAsia" w:ascii="楷体" w:hAnsi="楷体" w:eastAsia="楷体" w:cs="楷体"/>
              <w:sz w:val="32"/>
              <w:szCs w:val="32"/>
            </w:rPr>
            <w:t>50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5175AC3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_Toc469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kern w:val="2"/>
              <w:sz w:val="32"/>
              <w:szCs w:val="32"/>
              <w:lang w:val="en-US" w:eastAsia="zh-CN" w:bidi="ar-SA"/>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_Toc469 \h </w:instrText>
          </w:r>
          <w:r>
            <w:rPr>
              <w:rFonts w:hint="eastAsia" w:ascii="楷体" w:hAnsi="楷体" w:eastAsia="楷体" w:cs="楷体"/>
              <w:sz w:val="32"/>
              <w:szCs w:val="32"/>
            </w:rPr>
            <w:fldChar w:fldCharType="separate"/>
          </w:r>
          <w:r>
            <w:rPr>
              <w:rFonts w:hint="eastAsia" w:ascii="楷体" w:hAnsi="楷体" w:eastAsia="楷体" w:cs="楷体"/>
              <w:sz w:val="32"/>
              <w:szCs w:val="32"/>
            </w:rPr>
            <w:t>50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14:paraId="6BD6E231">
          <w:pPr>
            <w:widowControl/>
            <w:overflowPunct w:val="0"/>
            <w:adjustRightInd w:val="0"/>
            <w:snapToGrid w:val="0"/>
            <w:jc w:val="both"/>
            <w:rPr>
              <w:rFonts w:hint="eastAsia" w:ascii="仿宋_GB2312" w:hAnsi="仿宋_GB2312" w:eastAsia="仿宋_GB2312" w:cs="仿宋_GB2312"/>
              <w:bCs/>
              <w:color w:val="auto"/>
              <w:kern w:val="0"/>
              <w:sz w:val="21"/>
              <w:szCs w:val="28"/>
              <w:lang w:val="en-US" w:eastAsia="zh-CN" w:bidi="ar-SA"/>
            </w:rPr>
          </w:pPr>
          <w:r>
            <w:rPr>
              <w:rFonts w:hint="eastAsia" w:ascii="楷体" w:hAnsi="楷体" w:eastAsia="楷体" w:cs="楷体"/>
              <w:bCs/>
              <w:color w:val="auto"/>
              <w:kern w:val="0"/>
              <w:sz w:val="32"/>
              <w:szCs w:val="32"/>
              <w:lang w:val="en-US" w:eastAsia="zh-CN" w:bidi="ar-SA"/>
            </w:rPr>
            <w:fldChar w:fldCharType="end"/>
          </w:r>
        </w:p>
      </w:sdtContent>
    </w:sdt>
    <w:p w14:paraId="56FFDF66">
      <w:pPr>
        <w:widowControl/>
        <w:overflowPunct w:val="0"/>
        <w:adjustRightInd w:val="0"/>
        <w:snapToGrid w:val="0"/>
        <w:jc w:val="both"/>
        <w:rPr>
          <w:rFonts w:hint="eastAsia" w:ascii="仿宋_GB2312" w:hAnsi="仿宋_GB2312" w:eastAsia="仿宋_GB2312" w:cs="仿宋_GB2312"/>
          <w:bCs/>
          <w:color w:val="auto"/>
          <w:kern w:val="0"/>
          <w:sz w:val="21"/>
          <w:szCs w:val="28"/>
          <w:lang w:val="en-US" w:eastAsia="zh-CN" w:bidi="ar-SA"/>
        </w:rPr>
      </w:pPr>
    </w:p>
    <w:p w14:paraId="33B65F49">
      <w:pPr>
        <w:widowControl/>
        <w:overflowPunct w:val="0"/>
        <w:adjustRightInd w:val="0"/>
        <w:snapToGrid w:val="0"/>
        <w:jc w:val="center"/>
        <w:rPr>
          <w:rFonts w:hint="eastAsia" w:ascii="黑体" w:hAnsi="黑体" w:eastAsia="黑体" w:cs="黑体"/>
          <w:b/>
          <w:bCs/>
          <w:color w:val="auto"/>
          <w:kern w:val="0"/>
          <w:sz w:val="52"/>
          <w:szCs w:val="52"/>
        </w:rPr>
      </w:pPr>
    </w:p>
    <w:p w14:paraId="40D67466">
      <w:pPr>
        <w:tabs>
          <w:tab w:val="left" w:pos="3505"/>
        </w:tabs>
        <w:bidi w:val="0"/>
        <w:jc w:val="left"/>
        <w:rPr>
          <w:rFonts w:hint="eastAsia" w:ascii="Times New Roman" w:hAnsi="Times New Roman" w:eastAsia="宋体" w:cs="Times New Roman"/>
          <w:kern w:val="2"/>
          <w:sz w:val="21"/>
          <w:szCs w:val="24"/>
          <w:lang w:val="en-US" w:eastAsia="zh-CN" w:bidi="ar-SA"/>
        </w:rPr>
        <w:sectPr>
          <w:pgSz w:w="11906" w:h="16838"/>
          <w:pgMar w:top="1417" w:right="1417" w:bottom="1417" w:left="1984" w:header="851" w:footer="992" w:gutter="0"/>
          <w:pgNumType w:start="1"/>
          <w:cols w:space="425" w:num="1"/>
          <w:docGrid w:type="lines" w:linePitch="312" w:charSpace="0"/>
        </w:sectPr>
      </w:pPr>
      <w:r>
        <w:rPr>
          <w:rFonts w:hint="eastAsia" w:cs="Times New Roman"/>
          <w:kern w:val="2"/>
          <w:sz w:val="21"/>
          <w:szCs w:val="24"/>
          <w:lang w:val="en-US" w:eastAsia="zh-CN" w:bidi="ar-SA"/>
        </w:rPr>
        <w:tab/>
      </w:r>
    </w:p>
    <w:p w14:paraId="7EE08EBB">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道路与桥梁工程技术</w:t>
      </w:r>
      <w:r>
        <w:rPr>
          <w:rFonts w:hint="eastAsia" w:ascii="方正小标宋简体" w:hAnsi="方正小标宋简体" w:eastAsia="方正小标宋简体" w:cs="方正小标宋简体"/>
          <w:bCs/>
          <w:color w:val="auto"/>
          <w:sz w:val="44"/>
          <w:szCs w:val="44"/>
        </w:rPr>
        <w:t>专业人才培养方案</w:t>
      </w:r>
    </w:p>
    <w:p w14:paraId="0E18D8C3">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14:paraId="5192355C">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1258"/>
      <w:r>
        <w:rPr>
          <w:rFonts w:hint="eastAsia" w:ascii="黑体" w:hAnsi="黑体" w:eastAsia="黑体" w:cs="黑体"/>
          <w:color w:val="auto"/>
          <w:sz w:val="32"/>
          <w:szCs w:val="32"/>
        </w:rPr>
        <w:t>一、专业名称及代码</w:t>
      </w:r>
      <w:bookmarkEnd w:id="0"/>
    </w:p>
    <w:p w14:paraId="734177C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Times New Roman" w:hAnsi="Times New Roman" w:eastAsia="仿宋_GB2312" w:cs="仿宋_GB2312"/>
          <w:b w:val="0"/>
          <w:bCs w:val="0"/>
          <w:color w:val="auto"/>
          <w:sz w:val="32"/>
          <w:szCs w:val="32"/>
          <w:highlight w:val="none"/>
        </w:rPr>
        <w:t>道路与桥梁工程技术</w:t>
      </w:r>
    </w:p>
    <w:p w14:paraId="3D00BBA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Times New Roman" w:hAnsi="Times New Roman" w:eastAsia="仿宋" w:cs="仿宋"/>
          <w:b w:val="0"/>
          <w:bCs w:val="0"/>
          <w:color w:val="auto"/>
          <w:sz w:val="32"/>
          <w:szCs w:val="32"/>
          <w:highlight w:val="none"/>
        </w:rPr>
        <w:t>500201</w:t>
      </w:r>
      <w:r>
        <w:rPr>
          <w:rFonts w:hint="eastAsia" w:ascii="仿宋_GB2312" w:hAnsi="仿宋_GB2312" w:eastAsia="仿宋_GB2312" w:cs="仿宋_GB2312"/>
          <w:color w:val="auto"/>
          <w:sz w:val="32"/>
          <w:szCs w:val="32"/>
          <w:lang w:val="en-US" w:eastAsia="zh-CN"/>
        </w:rPr>
        <w:t xml:space="preserve"> </w:t>
      </w:r>
    </w:p>
    <w:p w14:paraId="0C6BE1C4">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3660"/>
      <w:r>
        <w:rPr>
          <w:rFonts w:hint="eastAsia" w:ascii="黑体" w:hAnsi="黑体" w:eastAsia="黑体" w:cs="黑体"/>
          <w:color w:val="auto"/>
          <w:sz w:val="32"/>
          <w:szCs w:val="32"/>
        </w:rPr>
        <w:t>二、入学要求</w:t>
      </w:r>
      <w:bookmarkEnd w:id="1"/>
    </w:p>
    <w:p w14:paraId="07ABD2B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w:t>
      </w:r>
      <w:r>
        <w:rPr>
          <w:rFonts w:hint="eastAsia" w:ascii="仿宋_GB2312" w:hAnsi="仿宋_GB2312" w:eastAsia="仿宋_GB2312" w:cs="仿宋_GB2312"/>
          <w:color w:val="auto"/>
          <w:sz w:val="32"/>
          <w:szCs w:val="32"/>
          <w:lang w:val="en-US" w:eastAsia="zh-CN"/>
        </w:rPr>
        <w:t>学历</w:t>
      </w:r>
      <w:r>
        <w:rPr>
          <w:rFonts w:hint="eastAsia" w:ascii="仿宋_GB2312" w:hAnsi="仿宋_GB2312" w:eastAsia="仿宋_GB2312" w:cs="仿宋_GB2312"/>
          <w:color w:val="auto"/>
          <w:sz w:val="32"/>
          <w:szCs w:val="32"/>
          <w:lang w:eastAsia="zh-CN"/>
        </w:rPr>
        <w:t>。</w:t>
      </w:r>
    </w:p>
    <w:p w14:paraId="58C539DE">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8201"/>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14:paraId="208268F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14:paraId="7660F534">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16220"/>
      <w:r>
        <w:rPr>
          <w:rFonts w:hint="eastAsia" w:ascii="黑体" w:hAnsi="黑体" w:eastAsia="黑体" w:cs="黑体"/>
          <w:color w:val="auto"/>
          <w:sz w:val="32"/>
          <w:szCs w:val="32"/>
        </w:rPr>
        <w:t>四、职业面向</w:t>
      </w:r>
      <w:bookmarkEnd w:id="3"/>
    </w:p>
    <w:p w14:paraId="66F814C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62"/>
        <w:gridCol w:w="1345"/>
        <w:gridCol w:w="1873"/>
        <w:gridCol w:w="2039"/>
        <w:gridCol w:w="1866"/>
      </w:tblGrid>
      <w:tr w14:paraId="3103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7C178AE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14:paraId="3CD7B16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462" w:type="dxa"/>
            <w:vAlign w:val="center"/>
          </w:tcPr>
          <w:p w14:paraId="6500320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14:paraId="2FD50D8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345" w:type="dxa"/>
            <w:vAlign w:val="center"/>
          </w:tcPr>
          <w:p w14:paraId="4A52117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873" w:type="dxa"/>
            <w:vAlign w:val="center"/>
          </w:tcPr>
          <w:p w14:paraId="38AABFD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039" w:type="dxa"/>
            <w:vAlign w:val="center"/>
          </w:tcPr>
          <w:p w14:paraId="3763D19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866" w:type="dxa"/>
            <w:vAlign w:val="center"/>
          </w:tcPr>
          <w:p w14:paraId="5E01AFC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14:paraId="7F74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tcPr>
          <w:p w14:paraId="74AC780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lang w:val="en-US" w:eastAsia="zh-CN"/>
              </w:rPr>
            </w:pPr>
            <w:bookmarkStart w:id="4" w:name="OLE_LINK1" w:colFirst="0" w:colLast="5"/>
          </w:p>
          <w:p w14:paraId="5DB8CC7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lang w:val="en-US" w:eastAsia="zh-CN"/>
              </w:rPr>
            </w:pPr>
          </w:p>
          <w:p w14:paraId="6D29B7D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交通运输大类</w:t>
            </w:r>
          </w:p>
          <w:p w14:paraId="79985C1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(50)</w:t>
            </w:r>
          </w:p>
        </w:tc>
        <w:tc>
          <w:tcPr>
            <w:tcW w:w="1462" w:type="dxa"/>
            <w:shd w:val="clear" w:color="auto" w:fill="auto"/>
            <w:vAlign w:val="center"/>
          </w:tcPr>
          <w:p w14:paraId="12D789F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道路运输类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5002</w:t>
            </w:r>
            <w:r>
              <w:rPr>
                <w:rFonts w:hint="eastAsia" w:ascii="仿宋_GB2312" w:hAnsi="仿宋_GB2312" w:eastAsia="仿宋_GB2312" w:cs="仿宋_GB2312"/>
                <w:color w:val="auto"/>
                <w:sz w:val="24"/>
                <w:szCs w:val="24"/>
                <w:highlight w:val="none"/>
                <w:lang w:eastAsia="zh-CN"/>
              </w:rPr>
              <w:t>）</w:t>
            </w:r>
          </w:p>
        </w:tc>
        <w:tc>
          <w:tcPr>
            <w:tcW w:w="1345" w:type="dxa"/>
            <w:shd w:val="clear" w:color="auto" w:fill="auto"/>
            <w:vAlign w:val="center"/>
          </w:tcPr>
          <w:p w14:paraId="4154128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铁路、道路、隧道和桥梁工程建筑（481）</w:t>
            </w:r>
          </w:p>
          <w:p w14:paraId="2CA4B5D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highlight w:val="none"/>
                <w:lang w:val="en-US" w:eastAsia="zh-CN" w:bidi="ar-SA"/>
              </w:rPr>
            </w:pPr>
          </w:p>
        </w:tc>
        <w:tc>
          <w:tcPr>
            <w:tcW w:w="1873" w:type="dxa"/>
            <w:shd w:val="clear" w:color="auto" w:fill="auto"/>
            <w:vAlign w:val="center"/>
          </w:tcPr>
          <w:p w14:paraId="6EE880B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 xml:space="preserve">道路与桥隧工程技术人员（2-02-18-08）、项目管理工程 </w:t>
            </w:r>
          </w:p>
          <w:p w14:paraId="6A56AC7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技术人员（2-02-30-04）</w:t>
            </w:r>
          </w:p>
          <w:p w14:paraId="42E3971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highlight w:val="none"/>
                <w:lang w:val="en-US" w:eastAsia="zh-CN" w:bidi="ar-SA"/>
              </w:rPr>
            </w:pPr>
          </w:p>
        </w:tc>
        <w:tc>
          <w:tcPr>
            <w:tcW w:w="2039" w:type="dxa"/>
            <w:shd w:val="clear" w:color="auto" w:fill="auto"/>
            <w:vAlign w:val="center"/>
          </w:tcPr>
          <w:p w14:paraId="7576EEA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道路桥梁工程施工、工程项目管理、安全生产管理</w:t>
            </w:r>
          </w:p>
          <w:p w14:paraId="719FA5B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highlight w:val="none"/>
                <w:lang w:val="en-US" w:eastAsia="zh-CN" w:bidi="ar-SA"/>
              </w:rPr>
            </w:pPr>
          </w:p>
        </w:tc>
        <w:tc>
          <w:tcPr>
            <w:tcW w:w="1866" w:type="dxa"/>
            <w:shd w:val="clear" w:color="auto" w:fill="auto"/>
            <w:vAlign w:val="center"/>
          </w:tcPr>
          <w:p w14:paraId="49AF566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建筑信息模型（BIM）、路桥工程无损检测</w:t>
            </w:r>
          </w:p>
          <w:p w14:paraId="6317F9B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highlight w:val="none"/>
                <w:lang w:val="en-US" w:eastAsia="zh-CN" w:bidi="ar-SA"/>
              </w:rPr>
            </w:pPr>
          </w:p>
        </w:tc>
      </w:tr>
      <w:bookmarkEnd w:id="4"/>
    </w:tbl>
    <w:p w14:paraId="2D9D1AE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5" w:name="_Toc2354"/>
      <w:r>
        <w:rPr>
          <w:rFonts w:hint="eastAsia" w:ascii="黑体" w:hAnsi="黑体" w:eastAsia="黑体" w:cs="黑体"/>
          <w:color w:val="auto"/>
          <w:sz w:val="32"/>
          <w:szCs w:val="32"/>
        </w:rPr>
        <w:t>五、培养目标</w:t>
      </w:r>
      <w:bookmarkEnd w:id="5"/>
    </w:p>
    <w:p w14:paraId="6A8493A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本专业以培养践行社会主义核心价值观、传承技能文明、德智体美劳全面发展的高素质人才为目标，要求学生具备科学文化水平、人文与科学及数字素养，兼具职业道德、创新意识与爱岗敬业、精益求精精神，拥有就业创业及可持续发展能力，且扎实掌握专业知识技能与职业综合素质。​</w:t>
      </w:r>
    </w:p>
    <w:p w14:paraId="46B922D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结合广西多山地丘陵、喀斯特地貌广布、降水丰富，公路建设面临复杂地质与自然灾害的特点，依据《广西综合立体交通网规划（2021-2035 年）》，专业面向道路、隧道和桥梁工程建筑行业，培养相关技术及项目管理人才。毕业生需能应对广西喀斯特地貌复杂地质，解决山区道路技术难题，考虑气候影响做好工程防护，运用先进技术提升工程质量，助力广西构建 “一核两圈四群五网九通道” 综合立体交通网络。</w:t>
      </w:r>
    </w:p>
    <w:p w14:paraId="1A52992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6" w:name="_Toc1008"/>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14:paraId="5E28756D">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本专业</w:t>
      </w:r>
      <w:r>
        <w:rPr>
          <w:rFonts w:hint="eastAsia" w:ascii="仿宋_GB2312" w:hAnsi="仿宋_GB2312" w:eastAsia="仿宋_GB2312" w:cs="仿宋_GB2312"/>
          <w:color w:val="auto"/>
          <w:sz w:val="32"/>
          <w:szCs w:val="32"/>
          <w:lang w:val="en-US" w:eastAsia="zh-CN"/>
        </w:rPr>
        <w:t>学</w:t>
      </w:r>
      <w:r>
        <w:rPr>
          <w:rFonts w:hint="eastAsia" w:ascii="仿宋_GB2312" w:hAnsi="仿宋_GB2312" w:eastAsia="仿宋_GB2312" w:cs="仿宋_GB2312"/>
          <w:color w:val="auto"/>
          <w:sz w:val="32"/>
          <w:szCs w:val="32"/>
          <w:lang w:eastAsia="zh-CN"/>
        </w:rPr>
        <w:t>生</w:t>
      </w:r>
      <w:r>
        <w:rPr>
          <w:rFonts w:hint="eastAsia" w:ascii="Times New Roman" w:hAnsi="Times New Roman" w:eastAsia="仿宋_GB2312" w:cs="仿宋"/>
          <w:b w:val="0"/>
          <w:bCs w:val="0"/>
          <w:color w:val="auto"/>
          <w:sz w:val="32"/>
          <w:szCs w:val="32"/>
          <w:highlight w:val="none"/>
        </w:rPr>
        <w:t>应在知识</w:t>
      </w:r>
      <w:r>
        <w:rPr>
          <w:rFonts w:hint="eastAsia" w:ascii="Times New Roman" w:hAnsi="Times New Roman" w:eastAsia="仿宋_GB2312" w:cs="仿宋"/>
          <w:b w:val="0"/>
          <w:bCs w:val="0"/>
          <w:color w:val="auto"/>
          <w:sz w:val="32"/>
          <w:szCs w:val="32"/>
          <w:highlight w:val="none"/>
          <w:lang w:eastAsia="zh-CN"/>
        </w:rPr>
        <w:t>、</w:t>
      </w:r>
      <w:r>
        <w:rPr>
          <w:rFonts w:hint="eastAsia" w:ascii="Times New Roman" w:hAnsi="Times New Roman" w:eastAsia="仿宋_GB2312" w:cs="仿宋"/>
          <w:b w:val="0"/>
          <w:bCs w:val="0"/>
          <w:color w:val="auto"/>
          <w:sz w:val="32"/>
          <w:szCs w:val="32"/>
          <w:highlight w:val="none"/>
        </w:rPr>
        <w:t>能力</w:t>
      </w:r>
      <w:r>
        <w:rPr>
          <w:rFonts w:hint="eastAsia" w:ascii="Times New Roman" w:hAnsi="Times New Roman" w:eastAsia="仿宋_GB2312" w:cs="仿宋"/>
          <w:b w:val="0"/>
          <w:bCs w:val="0"/>
          <w:color w:val="auto"/>
          <w:sz w:val="32"/>
          <w:szCs w:val="32"/>
          <w:highlight w:val="none"/>
          <w:lang w:val="en-US" w:eastAsia="zh-CN"/>
        </w:rPr>
        <w:t>和</w:t>
      </w:r>
      <w:r>
        <w:rPr>
          <w:rFonts w:hint="eastAsia" w:ascii="Times New Roman" w:hAnsi="Times New Roman" w:eastAsia="仿宋_GB2312" w:cs="仿宋"/>
          <w:b w:val="0"/>
          <w:bCs w:val="0"/>
          <w:color w:val="auto"/>
          <w:sz w:val="32"/>
          <w:szCs w:val="32"/>
          <w:highlight w:val="none"/>
        </w:rPr>
        <w:t>素质等方面</w:t>
      </w:r>
      <w:r>
        <w:rPr>
          <w:rFonts w:hint="eastAsia" w:ascii="Times New Roman" w:hAnsi="Times New Roman" w:eastAsia="仿宋_GB2312" w:cs="仿宋"/>
          <w:b w:val="0"/>
          <w:bCs w:val="0"/>
          <w:color w:val="auto"/>
          <w:sz w:val="32"/>
          <w:szCs w:val="32"/>
          <w:highlight w:val="none"/>
          <w:lang w:eastAsia="zh-CN"/>
        </w:rPr>
        <w:t>，</w:t>
      </w:r>
      <w:r>
        <w:rPr>
          <w:rFonts w:hint="eastAsia" w:ascii="仿宋_GB2312" w:hAnsi="仿宋_GB2312" w:eastAsia="仿宋_GB2312" w:cs="仿宋_GB2312"/>
          <w:color w:val="auto"/>
          <w:sz w:val="32"/>
          <w:szCs w:val="32"/>
          <w:lang w:eastAsia="zh-CN"/>
        </w:rPr>
        <w:t>总体上须达到以下要求：</w:t>
      </w:r>
    </w:p>
    <w:p w14:paraId="7B3112DA">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lang w:val="en-US" w:eastAsia="zh-CN"/>
        </w:rPr>
      </w:pPr>
      <w:bookmarkStart w:id="7" w:name="_Toc2147"/>
      <w:bookmarkStart w:id="8" w:name="_Toc23527"/>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7"/>
      <w:bookmarkEnd w:id="8"/>
    </w:p>
    <w:p w14:paraId="5FD383B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（1）掌握必备的思想政治理论、科学文化基础知识和中华优秀传统文化知识。</w:t>
      </w:r>
    </w:p>
    <w:p w14:paraId="673C705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（2）熟悉与本专业相关的法律法规以及环境保护、安全消防等知识。</w:t>
      </w:r>
    </w:p>
    <w:p w14:paraId="36515DD1">
      <w:pPr>
        <w:keepNext w:val="0"/>
        <w:keepLines w:val="0"/>
        <w:pageBreakBefore w:val="0"/>
        <w:widowControl w:val="0"/>
        <w:kinsoku/>
        <w:wordWrap/>
        <w:overflowPunct w:val="0"/>
        <w:topLinePunct w:val="0"/>
        <w:autoSpaceDE/>
        <w:autoSpaceDN/>
        <w:bidi w:val="0"/>
        <w:adjustRightInd w:val="0"/>
        <w:snapToGrid/>
        <w:spacing w:after="0" w:line="520" w:lineRule="exact"/>
        <w:ind w:firstLine="626" w:firstLineChars="200"/>
        <w:textAlignment w:val="auto"/>
        <w:rPr>
          <w:rFonts w:hint="eastAsia" w:ascii="仿宋_GB2312" w:hAnsi="仿宋_GB2312" w:eastAsia="仿宋_GB2312" w:cs="仿宋_GB2312"/>
          <w:color w:val="auto"/>
          <w:w w:val="98"/>
          <w:sz w:val="32"/>
          <w:szCs w:val="32"/>
          <w:lang w:val="en-US" w:eastAsia="zh-CN"/>
        </w:rPr>
      </w:pPr>
      <w:r>
        <w:rPr>
          <w:rFonts w:hint="eastAsia" w:ascii="仿宋_GB2312" w:hAnsi="仿宋_GB2312" w:eastAsia="仿宋_GB2312" w:cs="仿宋_GB2312"/>
          <w:color w:val="auto"/>
          <w:w w:val="98"/>
          <w:sz w:val="32"/>
          <w:szCs w:val="32"/>
          <w:lang w:val="en-US" w:eastAsia="zh-CN"/>
        </w:rPr>
        <w:t>（3）掌握必要的高等数学知识，熟悉基本的数学分析计算方法。</w:t>
      </w:r>
    </w:p>
    <w:p w14:paraId="4104911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（4）熟悉必需的画法几何、工程制图知识，掌握识读和审核工程施工图纸的方法。</w:t>
      </w:r>
    </w:p>
    <w:p w14:paraId="1C4848A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（5）熟悉必需的测量学知识，掌握公路与桥涵勘测、施工放样方法。</w:t>
      </w:r>
    </w:p>
    <w:p w14:paraId="065FF64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（6）掌握必要的道路建筑材料性质、试验检测原理和方法，熟悉原材料试验和质量评价方法。</w:t>
      </w:r>
    </w:p>
    <w:p w14:paraId="26645A9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（7）掌握路基路面的平、纵、横断面结构形式以及设计原理、设计方法，熟悉道路的</w:t>
      </w:r>
      <w:r>
        <w:rPr>
          <w:rFonts w:hint="eastAsia" w:ascii="仿宋_GB2312" w:hAnsi="仿宋_GB2312" w:eastAsia="仿宋_GB2312" w:cs="仿宋_GB2312"/>
          <w:color w:val="auto"/>
          <w:sz w:val="32"/>
          <w:szCs w:val="32"/>
          <w:highlight w:val="none"/>
          <w:lang w:val="en-US" w:eastAsia="zh-CN"/>
        </w:rPr>
        <w:t>外内</w:t>
      </w:r>
      <w:r>
        <w:rPr>
          <w:rFonts w:hint="eastAsia" w:ascii="仿宋_GB2312" w:hAnsi="仿宋_GB2312" w:eastAsia="仿宋_GB2312" w:cs="仿宋_GB2312"/>
          <w:color w:val="auto"/>
          <w:sz w:val="32"/>
          <w:szCs w:val="32"/>
          <w:lang w:val="en-US" w:eastAsia="zh-CN"/>
        </w:rPr>
        <w:t>勘测和内业设计程序。</w:t>
      </w:r>
    </w:p>
    <w:p w14:paraId="701423B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（8）掌握桥涵、隧道的结构形式、设计原理，熟悉简单的桥梁设计计算方法。</w:t>
      </w:r>
    </w:p>
    <w:p w14:paraId="25A253C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（9）掌握公路工程施工组织原理和方法，熟悉公路施工方案编制程序。</w:t>
      </w:r>
    </w:p>
    <w:p w14:paraId="3DECE67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（10）掌握工程造价的基本知识，熟悉施工图预算和投标报价编制程序。</w:t>
      </w:r>
    </w:p>
    <w:p w14:paraId="6F6654A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（11）熟悉道路与桥梁工程技术相关国家标准和行业规范。</w:t>
      </w:r>
    </w:p>
    <w:p w14:paraId="3F5CE653">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lang w:val="en-US" w:eastAsia="zh-CN"/>
        </w:rPr>
      </w:pPr>
      <w:bookmarkStart w:id="9" w:name="_Toc18621"/>
      <w:bookmarkStart w:id="10" w:name="_Toc1859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9"/>
      <w:bookmarkEnd w:id="10"/>
    </w:p>
    <w:p w14:paraId="4551D2F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bookmarkStart w:id="11" w:name="_Toc25376"/>
      <w:r>
        <w:rPr>
          <w:rFonts w:hint="eastAsia" w:ascii="Times New Roman" w:hAnsi="Times New Roman" w:eastAsia="仿宋_GB2312" w:cs="仿宋"/>
          <w:b w:val="0"/>
          <w:bCs w:val="0"/>
          <w:color w:val="auto"/>
          <w:sz w:val="32"/>
          <w:szCs w:val="32"/>
          <w:highlight w:val="none"/>
          <w:lang w:eastAsia="zh-CN"/>
        </w:rPr>
        <w:t>（</w:t>
      </w:r>
      <w:r>
        <w:rPr>
          <w:rFonts w:hint="eastAsia" w:ascii="Times New Roman" w:hAnsi="Times New Roman" w:eastAsia="仿宋_GB2312" w:cs="仿宋"/>
          <w:b w:val="0"/>
          <w:bCs w:val="0"/>
          <w:color w:val="auto"/>
          <w:sz w:val="32"/>
          <w:szCs w:val="32"/>
          <w:highlight w:val="none"/>
          <w:lang w:val="en-US" w:eastAsia="zh-CN"/>
        </w:rPr>
        <w:t>1</w:t>
      </w:r>
      <w:r>
        <w:rPr>
          <w:rFonts w:hint="eastAsia" w:ascii="Times New Roman" w:hAnsi="Times New Roman" w:eastAsia="仿宋_GB2312" w:cs="仿宋"/>
          <w:b w:val="0"/>
          <w:bCs w:val="0"/>
          <w:color w:val="auto"/>
          <w:sz w:val="32"/>
          <w:szCs w:val="32"/>
          <w:highlight w:val="none"/>
          <w:lang w:eastAsia="zh-CN"/>
        </w:rPr>
        <w:t>）</w:t>
      </w:r>
      <w:r>
        <w:rPr>
          <w:rFonts w:hint="eastAsia" w:ascii="Times New Roman" w:hAnsi="Times New Roman" w:eastAsia="仿宋_GB2312" w:cs="仿宋"/>
          <w:b w:val="0"/>
          <w:bCs w:val="0"/>
          <w:color w:val="auto"/>
          <w:sz w:val="32"/>
          <w:szCs w:val="32"/>
          <w:highlight w:val="none"/>
        </w:rPr>
        <w:t>具有探究学习、终身学习、分析问题和解决问题的能力。</w:t>
      </w:r>
      <w:bookmarkEnd w:id="11"/>
    </w:p>
    <w:p w14:paraId="6E0722E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bookmarkStart w:id="12" w:name="_Toc23507"/>
      <w:r>
        <w:rPr>
          <w:rFonts w:hint="eastAsia" w:ascii="Times New Roman" w:hAnsi="Times New Roman" w:eastAsia="仿宋_GB2312" w:cs="仿宋"/>
          <w:b w:val="0"/>
          <w:bCs w:val="0"/>
          <w:color w:val="auto"/>
          <w:sz w:val="32"/>
          <w:szCs w:val="32"/>
          <w:highlight w:val="none"/>
          <w:lang w:eastAsia="zh-CN"/>
        </w:rPr>
        <w:t>（</w:t>
      </w:r>
      <w:r>
        <w:rPr>
          <w:rFonts w:hint="eastAsia" w:ascii="Times New Roman" w:hAnsi="Times New Roman" w:eastAsia="仿宋_GB2312" w:cs="仿宋"/>
          <w:b w:val="0"/>
          <w:bCs w:val="0"/>
          <w:color w:val="auto"/>
          <w:sz w:val="32"/>
          <w:szCs w:val="32"/>
          <w:highlight w:val="none"/>
          <w:lang w:val="en-US" w:eastAsia="zh-CN"/>
        </w:rPr>
        <w:t>2</w:t>
      </w:r>
      <w:r>
        <w:rPr>
          <w:rFonts w:hint="eastAsia" w:ascii="Times New Roman" w:hAnsi="Times New Roman" w:eastAsia="仿宋_GB2312" w:cs="仿宋"/>
          <w:b w:val="0"/>
          <w:bCs w:val="0"/>
          <w:color w:val="auto"/>
          <w:sz w:val="32"/>
          <w:szCs w:val="32"/>
          <w:highlight w:val="none"/>
          <w:lang w:eastAsia="zh-CN"/>
        </w:rPr>
        <w:t>）</w:t>
      </w:r>
      <w:r>
        <w:rPr>
          <w:rFonts w:hint="eastAsia" w:ascii="Times New Roman" w:hAnsi="Times New Roman" w:eastAsia="仿宋_GB2312" w:cs="仿宋"/>
          <w:b w:val="0"/>
          <w:bCs w:val="0"/>
          <w:color w:val="auto"/>
          <w:sz w:val="32"/>
          <w:szCs w:val="32"/>
          <w:highlight w:val="none"/>
        </w:rPr>
        <w:t>具有良好的语言、文字表达能力和沟通能力。</w:t>
      </w:r>
      <w:bookmarkEnd w:id="12"/>
    </w:p>
    <w:p w14:paraId="580CD0A2">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Chars="0" w:firstLine="640" w:firstLineChars="200"/>
        <w:textAlignment w:val="auto"/>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rPr>
        <w:t>（3）具有本专业必需的信息技术应用和维护能力，能够利用计算机信息处理软件收集、整理、分析工程技术问题。</w:t>
      </w:r>
    </w:p>
    <w:p w14:paraId="0C2F9953">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Chars="0" w:firstLine="640" w:firstLineChars="200"/>
        <w:textAlignment w:val="auto"/>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rPr>
        <w:t>（4）具有基本的工程勘察与路桥设计能力，能够参与完成路线外业勘测、路线内业设计、路基路面设计和桥梁设计等工作。</w:t>
      </w:r>
    </w:p>
    <w:p w14:paraId="7B54CDE6">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Chars="0" w:firstLine="640" w:firstLineChars="200"/>
        <w:textAlignment w:val="auto"/>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rPr>
        <w:t>（5）具有初步的工程概预算与招投标能力，能够参与编制施工组织设计、施工图预算文件、编制报价文件和编制投标文件等工作。</w:t>
      </w:r>
    </w:p>
    <w:p w14:paraId="681271C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bookmarkStart w:id="13" w:name="_Toc19347"/>
      <w:r>
        <w:rPr>
          <w:rFonts w:hint="eastAsia" w:ascii="Times New Roman" w:hAnsi="Times New Roman" w:eastAsia="仿宋_GB2312" w:cs="仿宋"/>
          <w:b w:val="0"/>
          <w:bCs w:val="0"/>
          <w:color w:val="auto"/>
          <w:sz w:val="32"/>
          <w:szCs w:val="32"/>
          <w:highlight w:val="none"/>
          <w:lang w:eastAsia="zh-CN"/>
        </w:rPr>
        <w:t>（6）具有基本的材料试验与检测能力，能够独立完成集料、钢筋、水泥、沥青等原材料质量检测工作，参与水泥混凝土、沥青混合料和无机结合稳定材料配合比设计工作。</w:t>
      </w:r>
      <w:bookmarkEnd w:id="13"/>
    </w:p>
    <w:p w14:paraId="53A743F4">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bookmarkStart w:id="14" w:name="_Toc6781"/>
      <w:r>
        <w:rPr>
          <w:rFonts w:hint="eastAsia" w:ascii="Times New Roman" w:hAnsi="Times New Roman" w:eastAsia="仿宋_GB2312" w:cs="仿宋"/>
          <w:b w:val="0"/>
          <w:bCs w:val="0"/>
          <w:color w:val="auto"/>
          <w:sz w:val="32"/>
          <w:szCs w:val="32"/>
          <w:highlight w:val="none"/>
          <w:lang w:eastAsia="zh-CN"/>
        </w:rPr>
        <w:t>（7）具有基本的道桥工程施工与组织能力，能够识读施工图，核算工程量，独立完成施工放样、工程内业资料填写工作，参与编制施工组织设计、工程计量和施工组织工作。</w:t>
      </w:r>
      <w:bookmarkEnd w:id="14"/>
    </w:p>
    <w:p w14:paraId="2295637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bookmarkStart w:id="15" w:name="_Toc4144"/>
      <w:r>
        <w:rPr>
          <w:rFonts w:hint="eastAsia" w:ascii="Times New Roman" w:hAnsi="Times New Roman" w:eastAsia="仿宋_GB2312" w:cs="仿宋"/>
          <w:b w:val="0"/>
          <w:bCs w:val="0"/>
          <w:color w:val="auto"/>
          <w:sz w:val="32"/>
          <w:szCs w:val="32"/>
          <w:highlight w:val="none"/>
          <w:lang w:eastAsia="zh-CN"/>
        </w:rPr>
        <w:t>（8）具有基本的工程质量验收与评定能力，能够完成工程各结构的现场质量检测、参与组织竣工验收、编制竣工验收资料等工作。</w:t>
      </w:r>
      <w:bookmarkEnd w:id="15"/>
    </w:p>
    <w:p w14:paraId="72F3AB3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16" w:name="_Toc4342"/>
      <w:bookmarkStart w:id="17" w:name="_Toc3202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16"/>
      <w:bookmarkEnd w:id="17"/>
    </w:p>
    <w:p w14:paraId="56BDFA4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bookmarkStart w:id="18" w:name="_Toc3449"/>
      <w:r>
        <w:rPr>
          <w:rFonts w:hint="eastAsia" w:ascii="Times New Roman" w:hAnsi="Times New Roman" w:eastAsia="仿宋_GB2312" w:cs="仿宋"/>
          <w:b w:val="0"/>
          <w:bCs w:val="0"/>
          <w:color w:val="auto"/>
          <w:sz w:val="32"/>
          <w:szCs w:val="32"/>
          <w:highlight w:val="none"/>
        </w:rPr>
        <w:t>（1）坚定拥护中国共产党领导和我国社会主义制度，在习近平新时代中国特色社会主义思想指引下，践行社会主义核心价值观，具有深厚的爱国情感和中华民族自豪感。</w:t>
      </w:r>
      <w:bookmarkEnd w:id="18"/>
    </w:p>
    <w:p w14:paraId="468ADB38">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bookmarkStart w:id="19" w:name="_Toc28193"/>
      <w:r>
        <w:rPr>
          <w:rFonts w:hint="eastAsia" w:ascii="Times New Roman" w:hAnsi="Times New Roman" w:eastAsia="仿宋_GB2312" w:cs="仿宋"/>
          <w:b w:val="0"/>
          <w:bCs w:val="0"/>
          <w:color w:val="auto"/>
          <w:sz w:val="32"/>
          <w:szCs w:val="32"/>
          <w:highlight w:val="none"/>
        </w:rPr>
        <w:t>（2）崇尚宪法、遵法守纪、崇德向善、诚实守信、尊重生命、热爱劳动，履行道德准则和行为规范，具有社会责任感和社会参与意识。</w:t>
      </w:r>
      <w:bookmarkEnd w:id="19"/>
    </w:p>
    <w:p w14:paraId="2206E4A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bookmarkStart w:id="20" w:name="_Toc4485"/>
      <w:r>
        <w:rPr>
          <w:rFonts w:hint="eastAsia" w:ascii="Times New Roman" w:hAnsi="Times New Roman" w:eastAsia="仿宋_GB2312" w:cs="仿宋"/>
          <w:b w:val="0"/>
          <w:bCs w:val="0"/>
          <w:color w:val="auto"/>
          <w:sz w:val="32"/>
          <w:szCs w:val="32"/>
          <w:highlight w:val="none"/>
        </w:rPr>
        <w:t>（3）具有质量意识、环保意识、安全意识、信息素养、工匠精神、创新思维。</w:t>
      </w:r>
      <w:bookmarkEnd w:id="20"/>
    </w:p>
    <w:p w14:paraId="7F7B951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bookmarkStart w:id="21" w:name="_Toc16245"/>
      <w:r>
        <w:rPr>
          <w:rFonts w:hint="eastAsia" w:ascii="Times New Roman" w:hAnsi="Times New Roman" w:eastAsia="仿宋_GB2312" w:cs="仿宋"/>
          <w:b w:val="0"/>
          <w:bCs w:val="0"/>
          <w:color w:val="auto"/>
          <w:sz w:val="32"/>
          <w:szCs w:val="32"/>
          <w:highlight w:val="none"/>
        </w:rPr>
        <w:t>（4）勇于奋斗、乐观向上，具有自我管理能力、职业生涯规划的意识，有较强的集体意识和团队合作精神。</w:t>
      </w:r>
      <w:bookmarkEnd w:id="21"/>
    </w:p>
    <w:p w14:paraId="3627F92A">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bookmarkStart w:id="22" w:name="_Toc29891"/>
      <w:r>
        <w:rPr>
          <w:rFonts w:hint="eastAsia" w:ascii="Times New Roman" w:hAnsi="Times New Roman" w:eastAsia="仿宋_GB2312" w:cs="仿宋"/>
          <w:b w:val="0"/>
          <w:bCs w:val="0"/>
          <w:color w:val="auto"/>
          <w:sz w:val="32"/>
          <w:szCs w:val="32"/>
          <w:highlight w:val="none"/>
        </w:rPr>
        <w:t>（5）具有健康的体魄、心理和健全的人格，掌握基本运动知识和1—2项运动技能，养成良好的健身与卫生习惯，以及良好的行为习惯。</w:t>
      </w:r>
      <w:bookmarkEnd w:id="22"/>
    </w:p>
    <w:p w14:paraId="64269EC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bookmarkStart w:id="23" w:name="_Toc16683"/>
      <w:r>
        <w:rPr>
          <w:rFonts w:hint="eastAsia" w:ascii="Times New Roman" w:hAnsi="Times New Roman" w:eastAsia="仿宋_GB2312" w:cs="仿宋"/>
          <w:b w:val="0"/>
          <w:bCs w:val="0"/>
          <w:color w:val="auto"/>
          <w:sz w:val="32"/>
          <w:szCs w:val="32"/>
          <w:highlight w:val="none"/>
        </w:rPr>
        <w:t>（6）具有一定的审美和人文素养，能够形成1—2项艺术特长或爱好。</w:t>
      </w:r>
      <w:bookmarkEnd w:id="23"/>
    </w:p>
    <w:p w14:paraId="5D11F5FD">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lang w:val="en-US" w:eastAsia="zh-CN"/>
        </w:rPr>
      </w:pPr>
      <w:bookmarkStart w:id="24" w:name="_Toc9867"/>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、课程设置</w:t>
      </w:r>
      <w:bookmarkEnd w:id="24"/>
    </w:p>
    <w:p w14:paraId="10D23D9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25" w:name="_Toc23015"/>
      <w:r>
        <w:rPr>
          <w:rFonts w:hint="eastAsia" w:ascii="仿宋_GB2312" w:hAnsi="仿宋_GB2312" w:eastAsia="仿宋_GB2312" w:cs="仿宋_GB2312"/>
          <w:color w:val="auto"/>
          <w:sz w:val="32"/>
          <w:szCs w:val="32"/>
          <w:highlight w:val="none"/>
        </w:rPr>
        <w:t>主要包括公共基础课程和专业课程。</w:t>
      </w:r>
      <w:bookmarkEnd w:id="25"/>
    </w:p>
    <w:p w14:paraId="797BE8C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26" w:name="_Toc3335"/>
      <w:bookmarkStart w:id="27" w:name="_Toc29074"/>
      <w:r>
        <w:rPr>
          <w:rFonts w:hint="eastAsia" w:ascii="楷体" w:hAnsi="楷体" w:eastAsia="楷体" w:cs="楷体"/>
          <w:color w:val="auto"/>
          <w:sz w:val="32"/>
          <w:szCs w:val="32"/>
          <w:highlight w:val="none"/>
        </w:rPr>
        <w:t>（一）公共基础课程</w:t>
      </w:r>
      <w:bookmarkEnd w:id="26"/>
      <w:bookmarkEnd w:id="27"/>
    </w:p>
    <w:p w14:paraId="2830BE8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28" w:name="_Toc9830"/>
      <w:bookmarkStart w:id="29"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bookmarkEnd w:id="28"/>
    </w:p>
    <w:p w14:paraId="517C7B4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30" w:name="_Toc16802"/>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29"/>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bookmarkEnd w:id="30"/>
    </w:p>
    <w:p w14:paraId="46B0AC36">
      <w:pPr>
        <w:overflowPunct w:val="0"/>
        <w:adjustRightInd w:val="0"/>
        <w:spacing w:line="520" w:lineRule="exact"/>
        <w:ind w:firstLine="616" w:firstLineChars="200"/>
        <w:jc w:val="left"/>
        <w:outlineLvl w:val="9"/>
        <w:rPr>
          <w:rFonts w:hint="eastAsia" w:ascii="仿宋_GB2312" w:hAnsi="仿宋_GB2312" w:eastAsia="仿宋_GB2312" w:cs="仿宋_GB2312"/>
          <w:color w:val="auto"/>
          <w:spacing w:val="-6"/>
          <w:sz w:val="32"/>
          <w:szCs w:val="32"/>
          <w:highlight w:val="none"/>
        </w:rPr>
      </w:pPr>
      <w:r>
        <w:rPr>
          <w:rFonts w:hint="eastAsia" w:ascii="仿宋_GB2312" w:hAnsi="仿宋_GB2312" w:eastAsia="仿宋_GB2312" w:cs="仿宋_GB2312"/>
          <w:b w:val="0"/>
          <w:bCs w:val="0"/>
          <w:color w:val="auto"/>
          <w:spacing w:val="-6"/>
          <w:sz w:val="32"/>
          <w:szCs w:val="32"/>
          <w:highlight w:val="none"/>
          <w:lang w:eastAsia="zh-CN"/>
        </w:rPr>
        <w:t>选修课程包括：</w:t>
      </w:r>
      <w:r>
        <w:rPr>
          <w:rFonts w:hint="eastAsia" w:ascii="仿宋_GB2312" w:hAnsi="仿宋_GB2312" w:eastAsia="仿宋_GB2312" w:cs="仿宋_GB2312"/>
          <w:b w:val="0"/>
          <w:bCs w:val="0"/>
          <w:color w:val="auto"/>
          <w:spacing w:val="-6"/>
          <w:sz w:val="32"/>
          <w:szCs w:val="32"/>
          <w:highlight w:val="none"/>
        </w:rPr>
        <w:t>中国民俗剪纸技法</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影视与鉴赏</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中国共产党简史</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中华人民共和国简史</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改革开放简史</w:t>
      </w:r>
      <w:r>
        <w:rPr>
          <w:rFonts w:hint="eastAsia" w:ascii="仿宋_GB2312" w:hAnsi="仿宋_GB2312" w:eastAsia="仿宋_GB2312" w:cs="仿宋_GB2312"/>
          <w:b w:val="0"/>
          <w:bCs w:val="0"/>
          <w:color w:val="auto"/>
          <w:spacing w:val="-6"/>
          <w:sz w:val="32"/>
          <w:szCs w:val="32"/>
          <w:highlight w:val="none"/>
          <w:lang w:eastAsia="zh-CN"/>
        </w:rPr>
        <w:t>、</w:t>
      </w:r>
      <w:r>
        <w:rPr>
          <w:rFonts w:hint="eastAsia" w:ascii="仿宋_GB2312" w:hAnsi="仿宋_GB2312" w:eastAsia="仿宋_GB2312" w:cs="仿宋_GB2312"/>
          <w:b w:val="0"/>
          <w:bCs w:val="0"/>
          <w:color w:val="auto"/>
          <w:spacing w:val="-6"/>
          <w:sz w:val="32"/>
          <w:szCs w:val="32"/>
          <w:highlight w:val="none"/>
        </w:rPr>
        <w:t>社会主义发展简史</w:t>
      </w:r>
      <w:r>
        <w:rPr>
          <w:rFonts w:hint="eastAsia" w:ascii="仿宋_GB2312" w:hAnsi="仿宋_GB2312" w:eastAsia="仿宋_GB2312" w:cs="仿宋_GB2312"/>
          <w:b w:val="0"/>
          <w:bCs w:val="0"/>
          <w:color w:val="auto"/>
          <w:spacing w:val="-6"/>
          <w:sz w:val="32"/>
          <w:szCs w:val="32"/>
          <w:highlight w:val="none"/>
          <w:lang w:eastAsia="zh-CN"/>
        </w:rPr>
        <w:t>、中华优秀传统文化、中华民族共同体概论、</w:t>
      </w:r>
      <w:r>
        <w:rPr>
          <w:rFonts w:hint="eastAsia" w:ascii="仿宋_GB2312" w:hAnsi="仿宋_GB2312" w:eastAsia="仿宋_GB2312" w:cs="仿宋_GB2312"/>
          <w:b w:val="0"/>
          <w:bCs w:val="0"/>
          <w:color w:val="auto"/>
          <w:spacing w:val="-6"/>
          <w:sz w:val="32"/>
          <w:szCs w:val="32"/>
          <w:highlight w:val="none"/>
          <w:lang w:val="en-US" w:eastAsia="zh-CN"/>
        </w:rPr>
        <w:t>语文、物理、化学。</w:t>
      </w:r>
    </w:p>
    <w:p w14:paraId="00DA3565">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p>
    <w:p w14:paraId="5DD3B542">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p>
    <w:p w14:paraId="26E8A123">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p>
    <w:p w14:paraId="0B51923E">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bookmarkStart w:id="31" w:name="_Toc29924"/>
      <w:r>
        <w:rPr>
          <w:rFonts w:hint="eastAsia" w:ascii="仿宋_GB2312" w:hAnsi="仿宋_GB2312" w:eastAsia="仿宋_GB2312" w:cs="仿宋_GB2312"/>
          <w:color w:val="auto"/>
          <w:sz w:val="32"/>
          <w:szCs w:val="32"/>
          <w:highlight w:val="none"/>
        </w:rPr>
        <w:t>表2公共基础课</w:t>
      </w:r>
      <w:r>
        <w:rPr>
          <w:rFonts w:hint="eastAsia" w:ascii="仿宋_GB2312" w:hAnsi="仿宋_GB2312" w:eastAsia="仿宋_GB2312" w:cs="仿宋_GB2312"/>
          <w:color w:val="auto"/>
          <w:sz w:val="32"/>
          <w:szCs w:val="32"/>
          <w:highlight w:val="none"/>
          <w:lang w:val="en-US" w:eastAsia="zh-CN"/>
        </w:rPr>
        <w:t>课程目标、主要教学内容与要求</w:t>
      </w:r>
      <w:bookmarkEnd w:id="31"/>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55"/>
        <w:gridCol w:w="3185"/>
        <w:gridCol w:w="2174"/>
      </w:tblGrid>
      <w:tr w14:paraId="52AA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263492B">
            <w:pPr>
              <w:spacing w:line="360" w:lineRule="exact"/>
              <w:jc w:val="center"/>
              <w:rPr>
                <w:rFonts w:hint="eastAsia" w:ascii="仿宋_GB2312" w:hAnsi="仿宋_GB2312" w:eastAsia="仿宋_GB2312" w:cs="仿宋_GB2312"/>
                <w:color w:val="auto"/>
                <w:sz w:val="24"/>
                <w:szCs w:val="24"/>
                <w:highlight w:val="none"/>
              </w:rPr>
            </w:pPr>
            <w:bookmarkStart w:id="32" w:name="_Toc2022"/>
            <w:bookmarkStart w:id="33" w:name="_Toc90734979"/>
            <w:r>
              <w:rPr>
                <w:rFonts w:hint="eastAsia" w:ascii="仿宋_GB2312" w:hAnsi="仿宋_GB2312" w:eastAsia="仿宋_GB2312" w:cs="仿宋_GB2312"/>
                <w:color w:val="auto"/>
                <w:sz w:val="24"/>
                <w:szCs w:val="24"/>
                <w:highlight w:val="none"/>
              </w:rPr>
              <w:t>序号</w:t>
            </w:r>
            <w:bookmarkEnd w:id="32"/>
            <w:bookmarkEnd w:id="33"/>
          </w:p>
        </w:tc>
        <w:tc>
          <w:tcPr>
            <w:tcW w:w="752" w:type="dxa"/>
            <w:vAlign w:val="center"/>
          </w:tcPr>
          <w:p w14:paraId="0D203C10">
            <w:pPr>
              <w:spacing w:line="360" w:lineRule="exact"/>
              <w:jc w:val="center"/>
              <w:rPr>
                <w:rFonts w:hint="eastAsia" w:ascii="仿宋_GB2312" w:hAnsi="仿宋_GB2312" w:eastAsia="仿宋_GB2312" w:cs="仿宋_GB2312"/>
                <w:color w:val="auto"/>
                <w:sz w:val="24"/>
                <w:szCs w:val="24"/>
                <w:highlight w:val="none"/>
              </w:rPr>
            </w:pPr>
            <w:bookmarkStart w:id="34" w:name="_Toc90734980"/>
            <w:bookmarkStart w:id="35" w:name="_Toc2635"/>
            <w:r>
              <w:rPr>
                <w:rFonts w:hint="eastAsia" w:ascii="仿宋_GB2312" w:hAnsi="仿宋_GB2312" w:eastAsia="仿宋_GB2312" w:cs="仿宋_GB2312"/>
                <w:color w:val="auto"/>
                <w:sz w:val="24"/>
                <w:szCs w:val="24"/>
                <w:highlight w:val="none"/>
              </w:rPr>
              <w:t>课程名称</w:t>
            </w:r>
            <w:bookmarkEnd w:id="34"/>
            <w:bookmarkEnd w:id="35"/>
          </w:p>
        </w:tc>
        <w:tc>
          <w:tcPr>
            <w:tcW w:w="4155" w:type="dxa"/>
            <w:vAlign w:val="center"/>
          </w:tcPr>
          <w:p w14:paraId="0C8C99FB">
            <w:pPr>
              <w:spacing w:line="360" w:lineRule="exact"/>
              <w:jc w:val="center"/>
              <w:rPr>
                <w:rFonts w:hint="eastAsia" w:ascii="仿宋_GB2312" w:hAnsi="仿宋_GB2312" w:eastAsia="仿宋_GB2312" w:cs="仿宋_GB2312"/>
                <w:color w:val="auto"/>
                <w:sz w:val="24"/>
                <w:szCs w:val="24"/>
                <w:highlight w:val="none"/>
              </w:rPr>
            </w:pPr>
            <w:bookmarkStart w:id="36" w:name="_Toc24608"/>
            <w:bookmarkStart w:id="37" w:name="_Toc90734981"/>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bookmarkEnd w:id="36"/>
            <w:bookmarkEnd w:id="37"/>
          </w:p>
        </w:tc>
        <w:tc>
          <w:tcPr>
            <w:tcW w:w="3185" w:type="dxa"/>
            <w:vAlign w:val="center"/>
          </w:tcPr>
          <w:p w14:paraId="5DD482FA">
            <w:pPr>
              <w:spacing w:line="360" w:lineRule="exact"/>
              <w:jc w:val="center"/>
              <w:rPr>
                <w:rFonts w:hint="eastAsia" w:ascii="仿宋_GB2312" w:hAnsi="仿宋_GB2312" w:eastAsia="仿宋_GB2312" w:cs="仿宋_GB2312"/>
                <w:color w:val="auto"/>
                <w:sz w:val="24"/>
                <w:szCs w:val="24"/>
                <w:highlight w:val="none"/>
              </w:rPr>
            </w:pPr>
            <w:bookmarkStart w:id="38" w:name="_Toc23051"/>
            <w:bookmarkStart w:id="39" w:name="_Toc90734982"/>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bookmarkEnd w:id="38"/>
            <w:bookmarkEnd w:id="39"/>
          </w:p>
        </w:tc>
        <w:tc>
          <w:tcPr>
            <w:tcW w:w="2174" w:type="dxa"/>
            <w:vAlign w:val="center"/>
          </w:tcPr>
          <w:p w14:paraId="13CAF3A1">
            <w:pPr>
              <w:spacing w:line="360" w:lineRule="exact"/>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14:paraId="3EE8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3A6DD1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52" w:type="dxa"/>
            <w:vAlign w:val="center"/>
          </w:tcPr>
          <w:p w14:paraId="5209370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思想道德与法治</w:t>
            </w:r>
          </w:p>
        </w:tc>
        <w:tc>
          <w:tcPr>
            <w:tcW w:w="4155" w:type="dxa"/>
            <w:vAlign w:val="top"/>
          </w:tcPr>
          <w:p w14:paraId="5C2C13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506801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026E4E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185" w:type="dxa"/>
            <w:vAlign w:val="top"/>
          </w:tcPr>
          <w:p w14:paraId="25694D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174" w:type="dxa"/>
            <w:vAlign w:val="top"/>
          </w:tcPr>
          <w:p w14:paraId="06A838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4A96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F50993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14:paraId="3BD8D8A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4155" w:type="dxa"/>
            <w:shd w:val="clear" w:color="auto" w:fill="auto"/>
            <w:vAlign w:val="top"/>
          </w:tcPr>
          <w:p w14:paraId="7E6DF9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14:paraId="6859E0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5E6CBF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185" w:type="dxa"/>
            <w:shd w:val="clear" w:color="auto" w:fill="auto"/>
            <w:vAlign w:val="top"/>
          </w:tcPr>
          <w:p w14:paraId="54FF383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174" w:type="dxa"/>
            <w:shd w:val="clear" w:color="auto" w:fill="auto"/>
            <w:vAlign w:val="top"/>
          </w:tcPr>
          <w:p w14:paraId="75790E4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6D60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E48B0B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14:paraId="39F17C4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155" w:type="dxa"/>
            <w:shd w:val="clear" w:color="auto" w:fill="auto"/>
            <w:vAlign w:val="top"/>
          </w:tcPr>
          <w:p w14:paraId="012571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60677C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373FFC2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185" w:type="dxa"/>
            <w:shd w:val="clear" w:color="auto" w:fill="auto"/>
            <w:vAlign w:val="top"/>
          </w:tcPr>
          <w:p w14:paraId="6852708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174" w:type="dxa"/>
            <w:shd w:val="clear" w:color="auto" w:fill="auto"/>
            <w:vAlign w:val="top"/>
          </w:tcPr>
          <w:p w14:paraId="4C5D3E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04F77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DF7E0A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14:paraId="20EB7BE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4155" w:type="dxa"/>
            <w:shd w:val="clear" w:color="auto" w:fill="auto"/>
            <w:vAlign w:val="top"/>
          </w:tcPr>
          <w:p w14:paraId="675EB2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2D6FE63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693D166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2B180B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color w:val="auto"/>
                <w:sz w:val="24"/>
                <w:szCs w:val="24"/>
                <w:highlight w:val="none"/>
                <w:lang w:val="en-US" w:eastAsia="zh-CN"/>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185" w:type="dxa"/>
            <w:shd w:val="clear" w:color="auto" w:fill="auto"/>
            <w:vAlign w:val="top"/>
          </w:tcPr>
          <w:p w14:paraId="2CCC0D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6DAC38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lang w:val="en-US" w:eastAsia="zh-CN"/>
              </w:rPr>
            </w:pPr>
          </w:p>
        </w:tc>
        <w:tc>
          <w:tcPr>
            <w:tcW w:w="2174" w:type="dxa"/>
            <w:shd w:val="clear" w:color="auto" w:fill="auto"/>
            <w:vAlign w:val="top"/>
          </w:tcPr>
          <w:p w14:paraId="751C8278">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29FFD6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rPr>
            </w:pPr>
          </w:p>
        </w:tc>
      </w:tr>
      <w:tr w14:paraId="4A7C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09D869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14:paraId="60DFA48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4155" w:type="dxa"/>
            <w:shd w:val="clear" w:color="auto" w:fill="auto"/>
            <w:vAlign w:val="top"/>
          </w:tcPr>
          <w:p w14:paraId="17EF9D5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36593A1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43125B6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0667CA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185" w:type="dxa"/>
            <w:shd w:val="clear" w:color="auto" w:fill="auto"/>
            <w:vAlign w:val="top"/>
          </w:tcPr>
          <w:p w14:paraId="3E3287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49CE87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174" w:type="dxa"/>
            <w:shd w:val="clear" w:color="auto" w:fill="auto"/>
            <w:vAlign w:val="top"/>
          </w:tcPr>
          <w:p w14:paraId="372D12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1EF7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D082B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14:paraId="780383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155" w:type="dxa"/>
            <w:shd w:val="clear" w:color="auto" w:fill="auto"/>
            <w:vAlign w:val="top"/>
          </w:tcPr>
          <w:p w14:paraId="5070FC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566DDC1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612DD4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6092A47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185" w:type="dxa"/>
            <w:shd w:val="clear" w:color="auto" w:fill="auto"/>
            <w:vAlign w:val="top"/>
          </w:tcPr>
          <w:p w14:paraId="5D800A0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174" w:type="dxa"/>
            <w:shd w:val="clear" w:color="auto" w:fill="auto"/>
            <w:vAlign w:val="top"/>
          </w:tcPr>
          <w:p w14:paraId="245B114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2A0B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CD9E5A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14:paraId="428F57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155" w:type="dxa"/>
            <w:shd w:val="clear" w:color="auto" w:fill="auto"/>
            <w:vAlign w:val="top"/>
          </w:tcPr>
          <w:p w14:paraId="248B7F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26D9AF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526C7A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7DE5837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185" w:type="dxa"/>
            <w:shd w:val="clear" w:color="auto" w:fill="auto"/>
            <w:vAlign w:val="top"/>
          </w:tcPr>
          <w:p w14:paraId="3182FC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174" w:type="dxa"/>
            <w:shd w:val="clear" w:color="auto" w:fill="auto"/>
            <w:vAlign w:val="top"/>
          </w:tcPr>
          <w:p w14:paraId="07975A0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4973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C5D107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14:paraId="0227833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155" w:type="dxa"/>
            <w:shd w:val="clear" w:color="auto" w:fill="auto"/>
            <w:vAlign w:val="top"/>
          </w:tcPr>
          <w:p w14:paraId="3B39F8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1F64AC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626B32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0A62B4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185" w:type="dxa"/>
            <w:shd w:val="clear" w:color="auto" w:fill="auto"/>
            <w:vAlign w:val="top"/>
          </w:tcPr>
          <w:p w14:paraId="1B3BAE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174" w:type="dxa"/>
            <w:shd w:val="clear" w:color="auto" w:fill="auto"/>
            <w:vAlign w:val="top"/>
          </w:tcPr>
          <w:p w14:paraId="69899E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14:paraId="28AA398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14:paraId="312A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1D0261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14:paraId="13788FF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4155" w:type="dxa"/>
            <w:shd w:val="clear" w:color="auto" w:fill="auto"/>
            <w:vAlign w:val="top"/>
          </w:tcPr>
          <w:p w14:paraId="4A3E597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192073E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14:paraId="0D8B92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14:paraId="3F3F65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185" w:type="dxa"/>
            <w:shd w:val="clear" w:color="auto" w:fill="auto"/>
            <w:vAlign w:val="top"/>
          </w:tcPr>
          <w:p w14:paraId="5ACC848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174" w:type="dxa"/>
            <w:shd w:val="clear" w:color="auto" w:fill="auto"/>
            <w:vAlign w:val="top"/>
          </w:tcPr>
          <w:p w14:paraId="5E6FFC3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3E1B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0CBAC8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14:paraId="6EB2176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4155" w:type="dxa"/>
            <w:shd w:val="clear" w:color="auto" w:fill="auto"/>
            <w:vAlign w:val="top"/>
          </w:tcPr>
          <w:p w14:paraId="4839D8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14:paraId="053709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14:paraId="0B1B77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4D73E33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185" w:type="dxa"/>
            <w:shd w:val="clear" w:color="auto" w:fill="auto"/>
            <w:vAlign w:val="top"/>
          </w:tcPr>
          <w:p w14:paraId="2596839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174" w:type="dxa"/>
            <w:shd w:val="clear" w:color="auto" w:fill="auto"/>
            <w:vAlign w:val="top"/>
          </w:tcPr>
          <w:p w14:paraId="7B82068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11EB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59493E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14:paraId="6E911CD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155" w:type="dxa"/>
            <w:shd w:val="clear" w:color="auto" w:fill="auto"/>
            <w:vAlign w:val="top"/>
          </w:tcPr>
          <w:p w14:paraId="64FB7B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14:paraId="366E9B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14:paraId="5071F5A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14:paraId="246022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185" w:type="dxa"/>
            <w:shd w:val="clear" w:color="auto" w:fill="auto"/>
            <w:vAlign w:val="top"/>
          </w:tcPr>
          <w:p w14:paraId="3CE9775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174" w:type="dxa"/>
            <w:shd w:val="clear" w:color="auto" w:fill="auto"/>
            <w:vAlign w:val="top"/>
          </w:tcPr>
          <w:p w14:paraId="04B1D83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06A4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9108C7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14:paraId="4DB0ECA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4155" w:type="dxa"/>
            <w:shd w:val="clear" w:color="auto" w:fill="auto"/>
            <w:vAlign w:val="top"/>
          </w:tcPr>
          <w:p w14:paraId="0D764F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7D9F848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40A5CAA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65FA3F3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185" w:type="dxa"/>
            <w:shd w:val="clear" w:color="auto" w:fill="auto"/>
            <w:vAlign w:val="top"/>
          </w:tcPr>
          <w:p w14:paraId="6D76914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174" w:type="dxa"/>
            <w:shd w:val="clear" w:color="auto" w:fill="auto"/>
            <w:vAlign w:val="top"/>
          </w:tcPr>
          <w:p w14:paraId="03965B6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64B8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DC4024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14:paraId="2DD44F5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155" w:type="dxa"/>
            <w:shd w:val="clear" w:color="auto" w:fill="auto"/>
            <w:vAlign w:val="top"/>
          </w:tcPr>
          <w:p w14:paraId="617291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0BA494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185" w:type="dxa"/>
            <w:shd w:val="clear" w:color="auto" w:fill="auto"/>
            <w:vAlign w:val="top"/>
          </w:tcPr>
          <w:p w14:paraId="129BE2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522265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8B8025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174" w:type="dxa"/>
            <w:shd w:val="clear" w:color="auto" w:fill="auto"/>
            <w:vAlign w:val="top"/>
          </w:tcPr>
          <w:p w14:paraId="1AD77679">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14:paraId="66B3EA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7010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863478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14:paraId="0FACEFD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4155" w:type="dxa"/>
            <w:shd w:val="clear" w:color="auto" w:fill="auto"/>
            <w:vAlign w:val="top"/>
          </w:tcPr>
          <w:p w14:paraId="3AEE0C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14:paraId="7FCE9D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3C6553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30FE63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185" w:type="dxa"/>
            <w:shd w:val="clear" w:color="auto" w:fill="auto"/>
            <w:vAlign w:val="top"/>
          </w:tcPr>
          <w:p w14:paraId="7E3B6AF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174" w:type="dxa"/>
            <w:shd w:val="clear" w:color="auto" w:fill="auto"/>
            <w:vAlign w:val="top"/>
          </w:tcPr>
          <w:p w14:paraId="3B10335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6725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FCEBA5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14:paraId="6B7BEED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习近平新时代中国特色社会主义思想概论</w:t>
            </w:r>
          </w:p>
        </w:tc>
        <w:tc>
          <w:tcPr>
            <w:tcW w:w="4155" w:type="dxa"/>
            <w:vAlign w:val="top"/>
          </w:tcPr>
          <w:p w14:paraId="4ECBC2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618C615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38F5E6E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0FA1B780">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14:paraId="5E0792AB">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3BCB51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41015065">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5B9D6B32">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16B318E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25D271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04DF28EB">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14:paraId="14FC826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7F92F54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185" w:type="dxa"/>
            <w:vAlign w:val="top"/>
          </w:tcPr>
          <w:p w14:paraId="62E424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174" w:type="dxa"/>
            <w:vAlign w:val="top"/>
          </w:tcPr>
          <w:p w14:paraId="5F9DA6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00EF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1ADD9B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14:paraId="4A5D2B9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155" w:type="dxa"/>
            <w:shd w:val="clear" w:color="auto" w:fill="auto"/>
            <w:vAlign w:val="top"/>
          </w:tcPr>
          <w:p w14:paraId="78D8A0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07A6839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5E6C5B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5536655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185" w:type="dxa"/>
            <w:shd w:val="clear" w:color="auto" w:fill="auto"/>
            <w:vAlign w:val="top"/>
          </w:tcPr>
          <w:p w14:paraId="373EDE4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174" w:type="dxa"/>
            <w:shd w:val="clear" w:color="auto" w:fill="auto"/>
            <w:vAlign w:val="top"/>
          </w:tcPr>
          <w:p w14:paraId="5FC7FC0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389D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1645F0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14:paraId="66E0F9B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4155" w:type="dxa"/>
            <w:shd w:val="clear" w:color="auto" w:fill="auto"/>
            <w:vAlign w:val="top"/>
          </w:tcPr>
          <w:p w14:paraId="126888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14:paraId="113241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0B7B82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14:paraId="797613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185" w:type="dxa"/>
            <w:shd w:val="clear" w:color="auto" w:fill="auto"/>
            <w:vAlign w:val="top"/>
          </w:tcPr>
          <w:p w14:paraId="4FBE395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174" w:type="dxa"/>
            <w:shd w:val="clear" w:color="auto" w:fill="auto"/>
            <w:vAlign w:val="top"/>
          </w:tcPr>
          <w:p w14:paraId="70483AB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08AB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08E37A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14:paraId="7114431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4155" w:type="dxa"/>
            <w:shd w:val="clear" w:color="auto" w:fill="auto"/>
            <w:vAlign w:val="top"/>
          </w:tcPr>
          <w:p w14:paraId="6A7F52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377C72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1E0C23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185" w:type="dxa"/>
            <w:shd w:val="clear" w:color="auto" w:fill="auto"/>
            <w:vAlign w:val="top"/>
          </w:tcPr>
          <w:p w14:paraId="2ABC25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86AE8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AE0A68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3C3C3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5F00BB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007D33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2416FE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174" w:type="dxa"/>
            <w:shd w:val="clear" w:color="auto" w:fill="auto"/>
            <w:vAlign w:val="top"/>
          </w:tcPr>
          <w:p w14:paraId="70A76C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1B37E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6F1275D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5EA095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283504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9B903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15E356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14:paraId="31BE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5FEA889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14:paraId="1AB84B9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4155" w:type="dxa"/>
            <w:shd w:val="clear" w:color="auto" w:fill="auto"/>
            <w:vAlign w:val="top"/>
          </w:tcPr>
          <w:p w14:paraId="129DDB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570AC5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4AE3D0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185" w:type="dxa"/>
            <w:shd w:val="clear" w:color="auto" w:fill="auto"/>
            <w:vAlign w:val="top"/>
          </w:tcPr>
          <w:p w14:paraId="5D4C087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14:paraId="739A7D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174" w:type="dxa"/>
            <w:shd w:val="clear" w:color="auto" w:fill="auto"/>
            <w:vAlign w:val="top"/>
          </w:tcPr>
          <w:p w14:paraId="3026B59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14:paraId="500A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26567B1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14:paraId="03AC009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4155" w:type="dxa"/>
            <w:shd w:val="clear" w:color="auto" w:fill="auto"/>
            <w:vAlign w:val="top"/>
          </w:tcPr>
          <w:p w14:paraId="217F12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793F8E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35A3833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185" w:type="dxa"/>
            <w:shd w:val="clear" w:color="auto" w:fill="auto"/>
            <w:vAlign w:val="top"/>
          </w:tcPr>
          <w:p w14:paraId="1FE551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174" w:type="dxa"/>
            <w:shd w:val="clear" w:color="auto" w:fill="auto"/>
            <w:vAlign w:val="top"/>
          </w:tcPr>
          <w:p w14:paraId="13F7506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09354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4EEDA9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14:paraId="06C141B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4155" w:type="dxa"/>
            <w:shd w:val="clear" w:color="auto" w:fill="auto"/>
            <w:vAlign w:val="top"/>
          </w:tcPr>
          <w:p w14:paraId="2F9A02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14:paraId="36CAF3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45C154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185" w:type="dxa"/>
            <w:shd w:val="clear" w:color="auto" w:fill="auto"/>
            <w:vAlign w:val="top"/>
          </w:tcPr>
          <w:p w14:paraId="5D492E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174" w:type="dxa"/>
            <w:shd w:val="clear" w:color="auto" w:fill="auto"/>
            <w:vAlign w:val="top"/>
          </w:tcPr>
          <w:p w14:paraId="168FA43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0354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2FADE0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56EEECD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547ABDD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14:paraId="08CEE93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795FA0A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0C7928D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中华优秀传统文化</w:t>
            </w:r>
          </w:p>
        </w:tc>
        <w:tc>
          <w:tcPr>
            <w:tcW w:w="4155" w:type="dxa"/>
            <w:shd w:val="clear" w:color="auto" w:fill="auto"/>
            <w:vAlign w:val="top"/>
          </w:tcPr>
          <w:p w14:paraId="250455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545935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25E1F3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185" w:type="dxa"/>
            <w:shd w:val="clear" w:color="auto" w:fill="auto"/>
            <w:vAlign w:val="top"/>
          </w:tcPr>
          <w:p w14:paraId="780BA6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624347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tc>
        <w:tc>
          <w:tcPr>
            <w:tcW w:w="2174" w:type="dxa"/>
            <w:shd w:val="clear" w:color="auto" w:fill="auto"/>
            <w:vAlign w:val="top"/>
          </w:tcPr>
          <w:p w14:paraId="45E8DE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3794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085C22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14:paraId="57030F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中华民族共同体概论</w:t>
            </w:r>
          </w:p>
        </w:tc>
        <w:tc>
          <w:tcPr>
            <w:tcW w:w="4155" w:type="dxa"/>
            <w:vAlign w:val="top"/>
          </w:tcPr>
          <w:p w14:paraId="21897B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25DF42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14:paraId="30738D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185" w:type="dxa"/>
            <w:vAlign w:val="top"/>
          </w:tcPr>
          <w:p w14:paraId="6289BD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174" w:type="dxa"/>
            <w:vAlign w:val="top"/>
          </w:tcPr>
          <w:p w14:paraId="0FC4E78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2856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9DA3E9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14:paraId="39AC008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4155" w:type="dxa"/>
            <w:shd w:val="clear" w:color="auto" w:fill="auto"/>
            <w:vAlign w:val="top"/>
          </w:tcPr>
          <w:p w14:paraId="117AD63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40DF47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773103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14:paraId="6C911D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185" w:type="dxa"/>
            <w:shd w:val="clear" w:color="auto" w:fill="auto"/>
            <w:vAlign w:val="top"/>
          </w:tcPr>
          <w:p w14:paraId="276CD8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174" w:type="dxa"/>
            <w:shd w:val="clear" w:color="auto" w:fill="auto"/>
            <w:vAlign w:val="top"/>
          </w:tcPr>
          <w:p w14:paraId="227C02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5577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E2C595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14:paraId="4DC9004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lang w:val="en-US" w:eastAsia="zh-CN"/>
              </w:rPr>
              <w:t>物理</w:t>
            </w:r>
          </w:p>
        </w:tc>
        <w:tc>
          <w:tcPr>
            <w:tcW w:w="4155" w:type="dxa"/>
            <w:shd w:val="clear" w:color="auto" w:fill="auto"/>
            <w:vAlign w:val="top"/>
          </w:tcPr>
          <w:p w14:paraId="1A7F13C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14:paraId="1D078A3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14:paraId="0CC81C0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14:paraId="584F85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3185" w:type="dxa"/>
            <w:shd w:val="clear" w:color="auto" w:fill="auto"/>
            <w:vAlign w:val="top"/>
          </w:tcPr>
          <w:p w14:paraId="1B9FD17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174" w:type="dxa"/>
            <w:shd w:val="clear" w:color="auto" w:fill="auto"/>
            <w:vAlign w:val="top"/>
          </w:tcPr>
          <w:p w14:paraId="5011D13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7DD5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7EE4FA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14:paraId="3A0E616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lang w:val="en-US" w:eastAsia="zh-CN"/>
              </w:rPr>
              <w:t>化学</w:t>
            </w:r>
          </w:p>
        </w:tc>
        <w:tc>
          <w:tcPr>
            <w:tcW w:w="4155" w:type="dxa"/>
            <w:shd w:val="clear" w:color="auto" w:fill="auto"/>
            <w:vAlign w:val="top"/>
          </w:tcPr>
          <w:p w14:paraId="0088156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14:paraId="7A7F1AB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14:paraId="259BDE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14:paraId="4B2D82A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3185" w:type="dxa"/>
            <w:shd w:val="clear" w:color="auto" w:fill="auto"/>
            <w:vAlign w:val="top"/>
          </w:tcPr>
          <w:p w14:paraId="2A6F633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174" w:type="dxa"/>
            <w:shd w:val="clear" w:color="auto" w:fill="auto"/>
            <w:vAlign w:val="top"/>
          </w:tcPr>
          <w:p w14:paraId="60D7D9B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4D5D1C3C">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color w:val="auto"/>
          <w:sz w:val="32"/>
          <w:szCs w:val="32"/>
        </w:rPr>
      </w:pPr>
      <w:bookmarkStart w:id="40" w:name="_Toc4214"/>
      <w:r>
        <w:rPr>
          <w:rFonts w:hint="eastAsia" w:ascii="楷体" w:hAnsi="楷体" w:eastAsia="楷体" w:cs="楷体"/>
          <w:color w:val="auto"/>
          <w:sz w:val="32"/>
          <w:szCs w:val="32"/>
        </w:rPr>
        <w:t>（二）专业课程</w:t>
      </w:r>
      <w:bookmarkEnd w:id="40"/>
    </w:p>
    <w:p w14:paraId="3AE57D1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14:paraId="1F31C4BA">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outlineLvl w:val="2"/>
        <w:rPr>
          <w:rFonts w:hint="eastAsia" w:ascii="仿宋_GB2312" w:hAnsi="仿宋_GB2312" w:eastAsia="仿宋_GB2312" w:cs="仿宋_GB2312"/>
          <w:b w:val="0"/>
          <w:bCs w:val="0"/>
          <w:color w:val="auto"/>
          <w:sz w:val="32"/>
          <w:szCs w:val="32"/>
        </w:rPr>
      </w:pPr>
      <w:bookmarkStart w:id="41" w:name="_Toc90734975"/>
      <w:bookmarkStart w:id="42" w:name="_Toc6478"/>
      <w:r>
        <w:rPr>
          <w:rFonts w:hint="eastAsia" w:ascii="仿宋_GB2312" w:hAnsi="仿宋_GB2312" w:eastAsia="仿宋_GB2312" w:cs="仿宋_GB2312"/>
          <w:b w:val="0"/>
          <w:bCs w:val="0"/>
          <w:color w:val="auto"/>
          <w:sz w:val="32"/>
          <w:szCs w:val="32"/>
        </w:rPr>
        <w:t>1.专业基础课程</w:t>
      </w:r>
      <w:bookmarkEnd w:id="41"/>
      <w:bookmarkEnd w:id="42"/>
    </w:p>
    <w:p w14:paraId="7D9A74C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0"/>
          <w:szCs w:val="30"/>
        </w:rPr>
      </w:pPr>
      <w:r>
        <w:rPr>
          <w:rFonts w:hint="eastAsia" w:ascii="Times New Roman" w:hAnsi="Times New Roman" w:eastAsia="仿宋_GB2312" w:cs="仿宋"/>
          <w:color w:val="auto"/>
          <w:kern w:val="2"/>
          <w:sz w:val="32"/>
          <w:szCs w:val="32"/>
          <w:lang w:val="en-US" w:eastAsia="zh-CN" w:bidi="ar-SA"/>
        </w:rPr>
        <w:t>专业基础课是为后续专业课程学习打基础的课程。包括：</w:t>
      </w:r>
      <w:r>
        <w:rPr>
          <w:rFonts w:hint="eastAsia" w:ascii="Times New Roman" w:hAnsi="Times New Roman" w:eastAsia="仿宋_GB2312" w:cs="仿宋"/>
          <w:color w:val="auto"/>
          <w:spacing w:val="-2"/>
          <w:sz w:val="32"/>
          <w:szCs w:val="32"/>
        </w:rPr>
        <w:t>工程识图与</w:t>
      </w:r>
      <w:r>
        <w:rPr>
          <w:rFonts w:hint="eastAsia" w:eastAsia="仿宋_GB2312" w:cs="仿宋"/>
          <w:color w:val="auto"/>
          <w:spacing w:val="-2"/>
          <w:sz w:val="32"/>
          <w:szCs w:val="32"/>
          <w:lang w:val="en-US" w:eastAsia="zh-CN"/>
        </w:rPr>
        <w:t>CAD</w:t>
      </w:r>
      <w:r>
        <w:rPr>
          <w:rFonts w:hint="eastAsia" w:ascii="Times New Roman" w:hAnsi="Times New Roman" w:eastAsia="仿宋_GB2312" w:cs="仿宋"/>
          <w:color w:val="auto"/>
          <w:spacing w:val="-2"/>
          <w:sz w:val="32"/>
          <w:szCs w:val="32"/>
        </w:rPr>
        <w:t>制图</w:t>
      </w:r>
      <w:r>
        <w:rPr>
          <w:rFonts w:hint="eastAsia" w:eastAsia="仿宋_GB2312" w:cs="仿宋"/>
          <w:color w:val="auto"/>
          <w:spacing w:val="-2"/>
          <w:sz w:val="32"/>
          <w:szCs w:val="32"/>
          <w:lang w:eastAsia="zh-CN"/>
        </w:rPr>
        <w:t>、</w:t>
      </w:r>
      <w:r>
        <w:rPr>
          <w:rFonts w:hint="eastAsia" w:ascii="Times New Roman" w:hAnsi="Times New Roman" w:eastAsia="仿宋_GB2312" w:cs="仿宋"/>
          <w:color w:val="auto"/>
          <w:spacing w:val="-2"/>
          <w:sz w:val="32"/>
          <w:szCs w:val="32"/>
        </w:rPr>
        <w:t>工程测量技术</w:t>
      </w:r>
      <w:r>
        <w:rPr>
          <w:rFonts w:hint="eastAsia" w:eastAsia="仿宋_GB2312" w:cs="仿宋"/>
          <w:color w:val="auto"/>
          <w:spacing w:val="-2"/>
          <w:sz w:val="32"/>
          <w:szCs w:val="32"/>
          <w:lang w:eastAsia="zh-CN"/>
        </w:rPr>
        <w:t>、</w:t>
      </w:r>
      <w:r>
        <w:rPr>
          <w:rFonts w:hint="eastAsia" w:ascii="Times New Roman" w:hAnsi="Times New Roman" w:eastAsia="仿宋_GB2312" w:cs="仿宋"/>
          <w:color w:val="auto"/>
          <w:spacing w:val="-2"/>
          <w:sz w:val="32"/>
          <w:szCs w:val="32"/>
        </w:rPr>
        <w:t>道路建筑材料</w:t>
      </w:r>
      <w:r>
        <w:rPr>
          <w:rFonts w:hint="eastAsia" w:eastAsia="仿宋_GB2312" w:cs="仿宋"/>
          <w:color w:val="auto"/>
          <w:spacing w:val="-2"/>
          <w:sz w:val="32"/>
          <w:szCs w:val="32"/>
          <w:lang w:eastAsia="zh-CN"/>
        </w:rPr>
        <w:t>、</w:t>
      </w:r>
      <w:r>
        <w:rPr>
          <w:rFonts w:hint="eastAsia" w:ascii="Times New Roman" w:hAnsi="Times New Roman" w:eastAsia="仿宋_GB2312" w:cs="仿宋"/>
          <w:color w:val="auto"/>
          <w:spacing w:val="-2"/>
          <w:sz w:val="32"/>
          <w:szCs w:val="32"/>
        </w:rPr>
        <w:t>数字技术与土木工程信息化</w:t>
      </w:r>
      <w:r>
        <w:rPr>
          <w:rFonts w:hint="eastAsia" w:eastAsia="仿宋_GB2312" w:cs="仿宋"/>
          <w:color w:val="auto"/>
          <w:spacing w:val="-2"/>
          <w:sz w:val="32"/>
          <w:szCs w:val="32"/>
          <w:lang w:eastAsia="zh-CN"/>
        </w:rPr>
        <w:t>、</w:t>
      </w:r>
      <w:r>
        <w:rPr>
          <w:rFonts w:hint="eastAsia" w:ascii="Times New Roman" w:hAnsi="Times New Roman" w:eastAsia="仿宋_GB2312" w:cs="仿宋"/>
          <w:color w:val="auto"/>
          <w:spacing w:val="-2"/>
          <w:sz w:val="32"/>
          <w:szCs w:val="32"/>
        </w:rPr>
        <w:t>工程力学</w:t>
      </w:r>
      <w:r>
        <w:rPr>
          <w:rFonts w:hint="eastAsia" w:eastAsia="仿宋_GB2312" w:cs="仿宋"/>
          <w:color w:val="auto"/>
          <w:spacing w:val="-2"/>
          <w:sz w:val="32"/>
          <w:szCs w:val="32"/>
          <w:lang w:eastAsia="zh-CN"/>
        </w:rPr>
        <w:t>、</w:t>
      </w:r>
      <w:r>
        <w:rPr>
          <w:rFonts w:hint="eastAsia" w:ascii="Times New Roman" w:hAnsi="Times New Roman" w:eastAsia="仿宋_GB2312" w:cs="仿宋"/>
          <w:color w:val="auto"/>
          <w:spacing w:val="-2"/>
          <w:sz w:val="32"/>
          <w:szCs w:val="32"/>
        </w:rPr>
        <w:t>工程岩土</w:t>
      </w:r>
      <w:r>
        <w:rPr>
          <w:rFonts w:hint="eastAsia" w:eastAsia="仿宋_GB2312" w:cs="仿宋"/>
          <w:color w:val="auto"/>
          <w:spacing w:val="-2"/>
          <w:sz w:val="32"/>
          <w:szCs w:val="32"/>
          <w:lang w:eastAsia="zh-CN"/>
        </w:rPr>
        <w:t>、</w:t>
      </w:r>
      <w:r>
        <w:rPr>
          <w:rFonts w:hint="eastAsia" w:ascii="Times New Roman" w:hAnsi="Times New Roman" w:eastAsia="仿宋_GB2312" w:cs="仿宋"/>
          <w:color w:val="auto"/>
          <w:spacing w:val="-2"/>
          <w:sz w:val="32"/>
          <w:szCs w:val="32"/>
        </w:rPr>
        <w:t>结构设计原理</w:t>
      </w:r>
      <w:r>
        <w:rPr>
          <w:rFonts w:hint="eastAsia" w:eastAsia="仿宋_GB2312" w:cs="仿宋"/>
          <w:color w:val="auto"/>
          <w:spacing w:val="-2"/>
          <w:sz w:val="32"/>
          <w:szCs w:val="32"/>
          <w:lang w:eastAsia="zh-CN"/>
        </w:rPr>
        <w:t>、</w:t>
      </w:r>
      <w:r>
        <w:rPr>
          <w:rFonts w:hint="default" w:ascii="Times New Roman" w:hAnsi="Times New Roman" w:eastAsia="仿宋_GB2312" w:cs="仿宋"/>
          <w:color w:val="auto"/>
          <w:spacing w:val="-2"/>
          <w:sz w:val="32"/>
          <w:szCs w:val="32"/>
          <w:lang w:val="en-US" w:eastAsia="zh-CN"/>
        </w:rPr>
        <w:t>土力学与地基基础</w:t>
      </w:r>
      <w:r>
        <w:rPr>
          <w:rFonts w:hint="eastAsia" w:ascii="Times New Roman" w:hAnsi="Times New Roman" w:eastAsia="仿宋_GB2312" w:cs="仿宋"/>
          <w:color w:val="auto"/>
          <w:spacing w:val="-2"/>
          <w:sz w:val="32"/>
          <w:szCs w:val="32"/>
          <w:lang w:val="en-US" w:eastAsia="zh-CN"/>
        </w:rPr>
        <w:t>等</w:t>
      </w:r>
      <w:r>
        <w:rPr>
          <w:rFonts w:hint="eastAsia" w:ascii="Times New Roman" w:hAnsi="Times New Roman" w:eastAsia="仿宋_GB2312" w:cs="仿宋"/>
          <w:color w:val="auto"/>
          <w:spacing w:val="-4"/>
          <w:sz w:val="32"/>
          <w:szCs w:val="32"/>
          <w:lang w:eastAsia="zh-CN"/>
        </w:rPr>
        <w:t>。</w:t>
      </w:r>
    </w:p>
    <w:p w14:paraId="53E9782E">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53"/>
        <w:gridCol w:w="4718"/>
        <w:gridCol w:w="2305"/>
        <w:gridCol w:w="1932"/>
      </w:tblGrid>
      <w:tr w14:paraId="0ACB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07D856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853" w:type="dxa"/>
            <w:vAlign w:val="center"/>
          </w:tcPr>
          <w:p w14:paraId="432289D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课程名称</w:t>
            </w:r>
          </w:p>
        </w:tc>
        <w:tc>
          <w:tcPr>
            <w:tcW w:w="4718" w:type="dxa"/>
            <w:vAlign w:val="center"/>
          </w:tcPr>
          <w:p w14:paraId="3C2834C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305" w:type="dxa"/>
            <w:vAlign w:val="center"/>
          </w:tcPr>
          <w:p w14:paraId="051ABEF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1932" w:type="dxa"/>
            <w:vAlign w:val="center"/>
          </w:tcPr>
          <w:p w14:paraId="5D48C28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教学要求</w:t>
            </w:r>
          </w:p>
        </w:tc>
      </w:tr>
      <w:tr w14:paraId="566A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32F39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2"/>
                <w:sz w:val="24"/>
                <w:szCs w:val="24"/>
                <w:lang w:val="en-US" w:eastAsia="zh-CN" w:bidi="ar"/>
              </w:rPr>
              <w:t>1</w:t>
            </w:r>
          </w:p>
        </w:tc>
        <w:tc>
          <w:tcPr>
            <w:tcW w:w="853" w:type="dxa"/>
            <w:vAlign w:val="center"/>
          </w:tcPr>
          <w:p w14:paraId="2A5B3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2"/>
                <w:sz w:val="24"/>
                <w:szCs w:val="24"/>
                <w:lang w:val="en-US" w:eastAsia="zh-CN" w:bidi="ar"/>
              </w:rPr>
              <w:t>工程识图与CAD 制图</w:t>
            </w:r>
          </w:p>
        </w:tc>
        <w:tc>
          <w:tcPr>
            <w:tcW w:w="4718" w:type="dxa"/>
            <w:vAlign w:val="center"/>
          </w:tcPr>
          <w:p w14:paraId="3CB429A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掌握投影原理、视图表达等工程制图基本知识；理解 CAD 软件的绘图命令、编辑命令等基本操作原理；熟悉建筑、道路、桥梁等不同类型工程图纸的绘制规范和标准。</w:t>
            </w:r>
          </w:p>
          <w:p w14:paraId="6943016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能够运用投影原理和视图表达方法识读各类工程图纸；熟练操作 CAD 软件，运用绘图和编辑命令独立绘制建筑、道路、桥梁等工程图纸；能根据工程实际需求对图纸进行修改和完善。</w:t>
            </w:r>
          </w:p>
          <w:p w14:paraId="3DC8843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能够运用投影原理和视图表达方法识读各类工程图纸；熟练操作 CAD 软件，运用绘图和编辑命令独立绘制建筑、道路、桥梁等工程图纸；能根据工程实际需求对图纸进行修改和完善。</w:t>
            </w:r>
          </w:p>
          <w:p w14:paraId="2187411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结合工程图纸在实际工程中的重要性，培养学生的责任意识和敬业精神，让学生明白准确的图纸是工程安全的基础；通过介绍我国在工程制图领域的发展成就，增强学生的民族自豪感和自信心。</w:t>
            </w:r>
          </w:p>
        </w:tc>
        <w:tc>
          <w:tcPr>
            <w:tcW w:w="2305" w:type="dxa"/>
            <w:shd w:val="clear" w:color="auto" w:fill="auto"/>
            <w:vAlign w:val="top"/>
          </w:tcPr>
          <w:p w14:paraId="1224A8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工程制图基本知识（投影原理、视图表达等）、CAD 软件基本操作（绘图命令、编辑命令等）、工程图纸绘制实例（建筑、道路、桥梁等图纸）</w:t>
            </w:r>
          </w:p>
        </w:tc>
        <w:tc>
          <w:tcPr>
            <w:tcW w:w="1932" w:type="dxa"/>
            <w:shd w:val="clear" w:color="auto" w:fill="auto"/>
            <w:vAlign w:val="top"/>
          </w:tcPr>
          <w:p w14:paraId="1D885D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通过大量实例教学，让学生熟练掌握工程图纸的识读和绘制技巧；加强 CAD 软件实践操作训练，使学生能独立运用软件完成工程图纸绘制任务</w:t>
            </w:r>
          </w:p>
        </w:tc>
      </w:tr>
      <w:tr w14:paraId="3D52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AB688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lang w:val="en-US" w:eastAsia="zh-CN"/>
              </w:rPr>
            </w:pPr>
            <w:bookmarkStart w:id="43" w:name="_Hlk194587108"/>
            <w:r>
              <w:rPr>
                <w:rFonts w:hint="eastAsia" w:ascii="仿宋_GB2312" w:hAnsi="仿宋_GB2312" w:eastAsia="仿宋_GB2312" w:cs="仿宋_GB2312"/>
                <w:color w:val="auto"/>
                <w:kern w:val="2"/>
                <w:sz w:val="24"/>
                <w:szCs w:val="24"/>
                <w:lang w:val="en-US" w:eastAsia="zh-CN" w:bidi="ar"/>
              </w:rPr>
              <w:t>2</w:t>
            </w:r>
          </w:p>
        </w:tc>
        <w:tc>
          <w:tcPr>
            <w:tcW w:w="853" w:type="dxa"/>
            <w:vAlign w:val="center"/>
          </w:tcPr>
          <w:p w14:paraId="1BB7FA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工程测量技术</w:t>
            </w:r>
          </w:p>
        </w:tc>
        <w:tc>
          <w:tcPr>
            <w:tcW w:w="4718" w:type="dxa"/>
          </w:tcPr>
          <w:p w14:paraId="40D8115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理解水准测量、角度测量、距离测量等测量基本原理；掌握水准仪、经纬仪、全站仪等测量仪器的构造和工作原理；熟悉测量数据处理的方法和施工放样的基本原理。</w:t>
            </w:r>
          </w:p>
          <w:p w14:paraId="13C6C56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能够熟练操作水准仪、经纬仪、全站仪等测量仪器进行各项测量工作；准确处理测量数据，确保数据的可靠性和精度；运用施工放样方法，将设计图纸上的建筑物或构筑物的位置准确地测设到实地。</w:t>
            </w:r>
          </w:p>
          <w:p w14:paraId="7812F61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培养学生严谨的科学态度和精益求精的工匠精神，对待测量数据一丝不苟；增强学生的安全意识，在测量作业中严格遵守操作规程；提高学生在户外艰苦环境下的适应能力和团队协作能力。</w:t>
            </w:r>
          </w:p>
          <w:p w14:paraId="4E19EB1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通过讲述测量工作在工程建设中的关键作用，让学生认识到测量数据的准确性关乎工程质量和安全，培养学生的责任担当；结合我国重大工程建设中测量技术的应用成果，激发学生的爱国热情和创新精神。</w:t>
            </w:r>
          </w:p>
        </w:tc>
        <w:tc>
          <w:tcPr>
            <w:tcW w:w="2305" w:type="dxa"/>
            <w:shd w:val="clear" w:color="auto" w:fill="auto"/>
            <w:vAlign w:val="top"/>
          </w:tcPr>
          <w:p w14:paraId="66653F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测量基本原理（水准测量、角度测量、距离测量等）、测量仪器使用（水准仪、经纬仪、全站仪等）、测量数据处理、施工放样方法</w:t>
            </w:r>
          </w:p>
        </w:tc>
        <w:tc>
          <w:tcPr>
            <w:tcW w:w="1932" w:type="dxa"/>
            <w:shd w:val="clear" w:color="auto" w:fill="auto"/>
            <w:vAlign w:val="top"/>
          </w:tcPr>
          <w:p w14:paraId="5FF420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理论教学与实践操作紧密结合，安排充足的实验和实习课程，让学生在实际操作中熟练掌握测量仪器的使用和测量方法；培养学生严谨的科学态度和数据处理能力</w:t>
            </w:r>
          </w:p>
        </w:tc>
      </w:tr>
      <w:tr w14:paraId="2D1FD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743242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lang w:val="en-US" w:eastAsia="zh-CN"/>
              </w:rPr>
            </w:pPr>
            <w:bookmarkStart w:id="44" w:name="_Toc90734977"/>
            <w:r>
              <w:rPr>
                <w:rFonts w:hint="eastAsia" w:ascii="仿宋_GB2312" w:hAnsi="仿宋_GB2312" w:eastAsia="仿宋_GB2312" w:cs="仿宋_GB2312"/>
                <w:color w:val="auto"/>
                <w:kern w:val="2"/>
                <w:sz w:val="24"/>
                <w:szCs w:val="24"/>
                <w:lang w:val="en-US" w:eastAsia="zh-CN" w:bidi="ar"/>
              </w:rPr>
              <w:t>3</w:t>
            </w:r>
          </w:p>
        </w:tc>
        <w:tc>
          <w:tcPr>
            <w:tcW w:w="853" w:type="dxa"/>
            <w:vAlign w:val="center"/>
          </w:tcPr>
          <w:p w14:paraId="21E09B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道路建筑材料</w:t>
            </w:r>
          </w:p>
        </w:tc>
        <w:tc>
          <w:tcPr>
            <w:tcW w:w="4718" w:type="dxa"/>
          </w:tcPr>
          <w:p w14:paraId="019A890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了解道路建筑材料的分类，掌握水泥、沥青、砂石料、钢材等主要材料的组成、结构与性能；熟悉材料试验检测项目及方法，如水泥强度试验、沥青针入度试验等；知晓材料质量评价标准和相关规范。</w:t>
            </w:r>
          </w:p>
          <w:p w14:paraId="19325A5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正确识别不同种类的道路建筑材料，并判断其质量优劣；熟练操作材料试验设备，完成水泥强度、沥青针入度等试验检测项目；根据工程实际需求，合理选择道路建筑材料，并能依据质量评价标准对材料进行评价。</w:t>
            </w:r>
          </w:p>
          <w:p w14:paraId="206FEC5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培养学生实事求是的科学态度，确保试验检测数据的真实性和可靠性；增强学生的环保意识，在材料选择和使用中考虑对环境的影响；提高学生的成本意识，合理选用材料以降低工程成本。</w:t>
            </w:r>
          </w:p>
          <w:p w14:paraId="2BBA61E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结合道路建设对国家经济发展和民生的重要意义，让学生认识到道路建筑材料质量的重要性，培养学生的质量意识和责任意识；介绍我国在道路建筑材料研发方面的进步，激发学生的创新精神和民族自豪感。</w:t>
            </w:r>
          </w:p>
        </w:tc>
        <w:tc>
          <w:tcPr>
            <w:tcW w:w="2305" w:type="dxa"/>
            <w:shd w:val="clear" w:color="auto" w:fill="auto"/>
            <w:vAlign w:val="top"/>
          </w:tcPr>
          <w:p w14:paraId="237291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道路建筑材料的分类、组成、结构与性能（水泥、沥青、砂石料、钢材等）、材料试验检测项目及方法（如水泥强度试验、沥青针入度试验等）、材料质量评价标准</w:t>
            </w:r>
          </w:p>
        </w:tc>
        <w:tc>
          <w:tcPr>
            <w:tcW w:w="1932" w:type="dxa"/>
            <w:shd w:val="clear" w:color="auto" w:fill="auto"/>
            <w:vAlign w:val="top"/>
          </w:tcPr>
          <w:p w14:paraId="0A0360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通过实验教学，让学生亲自动手操作材料试验，掌握试验检测方法；结合实际工程案例，讲解材料的选择和应用原则</w:t>
            </w:r>
          </w:p>
        </w:tc>
      </w:tr>
      <w:tr w14:paraId="52B4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42452B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4</w:t>
            </w:r>
          </w:p>
        </w:tc>
        <w:tc>
          <w:tcPr>
            <w:tcW w:w="853" w:type="dxa"/>
            <w:vAlign w:val="center"/>
          </w:tcPr>
          <w:p w14:paraId="2051D7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数字技术与土木工程信息化</w:t>
            </w:r>
          </w:p>
        </w:tc>
        <w:tc>
          <w:tcPr>
            <w:tcW w:w="4718" w:type="dxa"/>
          </w:tcPr>
          <w:p w14:paraId="2CB2FCA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 BIM 技术的建模方法、模型应用等基础知识；了解土木工程信息化管理平台的项目管理、进度管理等功能；熟悉数字技术在工程设计、施工、运维阶段的应用原理和案例。</w:t>
            </w:r>
          </w:p>
          <w:p w14:paraId="03003A9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能够运用 BIM 技术进行建模和模型应用；熟练操作土木工程信息化管理平台，实现对工程项目的管理和进度控制；能结合实际工程案例，分析数字技术在不同阶段的应用，并提出合理的应用方案。</w:t>
            </w:r>
          </w:p>
          <w:p w14:paraId="1227B07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学生的创新思维和信息化素养，适应土木工程行业的数字化发展趋势；增强学生的团队协作能力，在信息化管理平台的使用中实现高效沟通与协作；提高学生的问题解决能力，运用数字技术解决工程实际问题。</w:t>
            </w:r>
          </w:p>
          <w:p w14:paraId="05D3315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通过介绍数字技术在我国土木工程领域的应用成就，如大型桥梁、高铁等项目的信息化管理，增强学生的民族自信心和自豪感；培养学生的创新精神和时代责任感，推动我国土木工程行业的数字化转型。</w:t>
            </w:r>
          </w:p>
        </w:tc>
        <w:tc>
          <w:tcPr>
            <w:tcW w:w="2305" w:type="dxa"/>
            <w:shd w:val="clear" w:color="auto" w:fill="auto"/>
            <w:vAlign w:val="top"/>
          </w:tcPr>
          <w:p w14:paraId="520258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BIM 技术基础（建模方法、模型应用等）、土木工程信息化管理平台（项目管理、进度管理等功能）、数字技术在工程设计、施工、运维阶段的应用案例</w:t>
            </w:r>
          </w:p>
        </w:tc>
        <w:tc>
          <w:tcPr>
            <w:tcW w:w="1932" w:type="dxa"/>
            <w:shd w:val="clear" w:color="auto" w:fill="auto"/>
            <w:vAlign w:val="top"/>
          </w:tcPr>
          <w:p w14:paraId="7A63C3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通过软件操作实践和案例分析，让学生熟练掌握 BIM 技术和信息化管理平台的使用；鼓励学生参与实际工程项目的信息化管理实践</w:t>
            </w:r>
          </w:p>
        </w:tc>
      </w:tr>
      <w:tr w14:paraId="17CE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706F9A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5</w:t>
            </w:r>
          </w:p>
        </w:tc>
        <w:tc>
          <w:tcPr>
            <w:tcW w:w="853" w:type="dxa"/>
            <w:vAlign w:val="center"/>
          </w:tcPr>
          <w:p w14:paraId="74B5F8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工程力学</w:t>
            </w:r>
          </w:p>
        </w:tc>
        <w:tc>
          <w:tcPr>
            <w:tcW w:w="4718" w:type="dxa"/>
          </w:tcPr>
          <w:p w14:paraId="70C2DC9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掌握静力学基础、材料力学基本变形（拉伸与压缩、剪切、扭转、弯曲）、强度理论、组合变形等内容的基本概念和原理；理解力学分析的基本方法和步骤；熟悉工程力学在实际工程中的应用场景。</w:t>
            </w:r>
          </w:p>
          <w:p w14:paraId="6F076B9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能够运用静力学和材料力学的知识对工程结构进行受力分析和计算；判断结构在不同受力情况下的变形和强度是否满足要求；运用力学知识解决实际工程中的简单力学问题。</w:t>
            </w:r>
          </w:p>
          <w:p w14:paraId="4F9F69B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培养学生的逻辑思维能力和分析问题、解决问题的能力；增强学生的严谨性和科学性，在力学计算中做到准确无误；提高学生的空间想象能力，能清晰理解结构的受力状态。</w:t>
            </w:r>
          </w:p>
          <w:p w14:paraId="67A7BF8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结合工程力学在工程结构安全中的重要作用，让学生认识到学好力学知识对于保障工程安全的责任，培养学生的责任意识；通过介绍我国力学领域的科学家及其贡献，激发学生的科学探索精神和爱国情怀。</w:t>
            </w:r>
          </w:p>
        </w:tc>
        <w:tc>
          <w:tcPr>
            <w:tcW w:w="2305" w:type="dxa"/>
            <w:shd w:val="clear" w:color="auto" w:fill="auto"/>
            <w:vAlign w:val="top"/>
          </w:tcPr>
          <w:p w14:paraId="0CCB4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静力学基础、材料力学基本变形（拉伸与压缩、剪切、扭转、弯曲）、强度理论、组合变形等内容</w:t>
            </w:r>
          </w:p>
        </w:tc>
        <w:tc>
          <w:tcPr>
            <w:tcW w:w="1932" w:type="dxa"/>
            <w:shd w:val="clear" w:color="auto" w:fill="auto"/>
            <w:vAlign w:val="top"/>
          </w:tcPr>
          <w:p w14:paraId="4ED8F9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采用理论讲解与案例分析相结合的方式，通过课堂练习、课后作业等强化学生对知识的理解和应用能力；注重培养学生运用力学知识解决实际工程问题的思维</w:t>
            </w:r>
          </w:p>
        </w:tc>
      </w:tr>
      <w:tr w14:paraId="38C64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5EFC2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6</w:t>
            </w:r>
          </w:p>
        </w:tc>
        <w:tc>
          <w:tcPr>
            <w:tcW w:w="853" w:type="dxa"/>
            <w:vAlign w:val="center"/>
          </w:tcPr>
          <w:p w14:paraId="30A153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工程岩土</w:t>
            </w:r>
          </w:p>
        </w:tc>
        <w:tc>
          <w:tcPr>
            <w:tcW w:w="4718" w:type="dxa"/>
          </w:tcPr>
          <w:p w14:paraId="171FEC6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了解工程岩土的物理性质、力学性质和工程分类；掌握岩土工程勘察的基本方法和技术；熟悉地基处理技术（如换填法、强夯法等）和基础设计（浅基础、深基础设计）的原理和要点。</w:t>
            </w:r>
          </w:p>
          <w:p w14:paraId="7148790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能够对工程岩土的物理性质和力学性质进行分析和评价；运用岩土工程勘察方法进行现场勘察，并对勘察数据进行处理和分析；根据工程实际情况，选择合适的地基处理技术和基础设计方案。</w:t>
            </w:r>
          </w:p>
          <w:p w14:paraId="11F1D87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学生的实践能力和动手操作能力，通过现场勘察实习积累实际经验；增强学生的安全意识，在岩土工程勘察和施工中注重安全防护；提高学生的综合分析能力，综合考虑各种因素选择最优的地基处理和基础设计方案。</w:t>
            </w:r>
          </w:p>
          <w:p w14:paraId="56E11DC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结合岩土工程在工程建设中的基础性作用，让学生认识到岩土工程质量对整个工程的重要性，培养学生的责任担当；介绍我国在岩土工程领域的重大工程案例和技术突破，激发学生的民族自豪感和创新精神。</w:t>
            </w:r>
          </w:p>
        </w:tc>
        <w:tc>
          <w:tcPr>
            <w:tcW w:w="2305" w:type="dxa"/>
            <w:shd w:val="clear" w:color="auto" w:fill="auto"/>
            <w:vAlign w:val="top"/>
          </w:tcPr>
          <w:p w14:paraId="5F826B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工程岩土的物理性质、力学性质、工程分类，岩土工程勘察方法，地基处理技术（如换填法、强夯法等），基础设计（浅基础、深基础设计）</w:t>
            </w:r>
          </w:p>
        </w:tc>
        <w:tc>
          <w:tcPr>
            <w:tcW w:w="1932" w:type="dxa"/>
            <w:shd w:val="clear" w:color="auto" w:fill="auto"/>
            <w:vAlign w:val="top"/>
          </w:tcPr>
          <w:p w14:paraId="2E0A6A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通过课堂讲授、现场勘察实习等方式，让学生了解岩土工程实际情况；结合实际案例，讲解地基处理和基础设计的方法和要点</w:t>
            </w:r>
          </w:p>
        </w:tc>
      </w:tr>
      <w:tr w14:paraId="1FBD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39BEA6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7</w:t>
            </w:r>
          </w:p>
        </w:tc>
        <w:tc>
          <w:tcPr>
            <w:tcW w:w="853" w:type="dxa"/>
            <w:vAlign w:val="center"/>
          </w:tcPr>
          <w:p w14:paraId="5E077C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结构设计原理</w:t>
            </w:r>
          </w:p>
        </w:tc>
        <w:tc>
          <w:tcPr>
            <w:tcW w:w="4718" w:type="dxa"/>
          </w:tcPr>
          <w:p w14:paraId="3BE9BF6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掌握结构设计基本理论，包括结构力学分析、混凝土结构设计原理、钢结构设计原理等；熟悉常见结构设计方法，如梁、板、柱等构件设计；了解结构设计规范和标准的主要内容和应用要求。</w:t>
            </w:r>
          </w:p>
          <w:p w14:paraId="4F87553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i w:val="0"/>
                <w:iCs w:val="0"/>
                <w:caps w:val="0"/>
                <w:color w:val="auto"/>
                <w:spacing w:val="0"/>
                <w:sz w:val="24"/>
                <w:szCs w:val="24"/>
                <w:shd w:val="clear" w:fill="EFF0F1"/>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能够运用结构设计基本理论对梁、板、柱等构件进行设计计算；根据结构设计规范和标准，完成简单结构的设计方案；能对设计方案进行分析和优化，提高结构的安全性和经济性。</w:t>
            </w:r>
          </w:p>
          <w:p w14:paraId="7B039EE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培养学生的规范意识和严谨的工作态度，严格按照设计规范和标准进行设计；增强学生的创新意识，在设计中寻求更优的解决方案；提高学生的团队协作能力，在结构设计过程中与其他专业人员有效沟通</w:t>
            </w:r>
            <w:r>
              <w:rPr>
                <w:rFonts w:hint="eastAsia" w:ascii="仿宋_GB2312" w:hAnsi="仿宋_GB2312" w:eastAsia="仿宋_GB2312" w:cs="仿宋_GB2312"/>
                <w:i w:val="0"/>
                <w:iCs w:val="0"/>
                <w:caps w:val="0"/>
                <w:color w:val="auto"/>
                <w:spacing w:val="0"/>
                <w:sz w:val="24"/>
                <w:szCs w:val="24"/>
                <w:shd w:val="clear" w:color="auto" w:fill="auto"/>
              </w:rPr>
              <w:t>。</w:t>
            </w:r>
          </w:p>
          <w:p w14:paraId="103871F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强调结构设计的安全性和可靠性，培养学生的责任意识和职业道德，让学生明白结构设计关系到人民的生命财产安全；结合我国优秀的建筑结构设计案例，如古建筑和现代大型建筑，增强学生的文化自信和民族自豪感。</w:t>
            </w:r>
          </w:p>
        </w:tc>
        <w:tc>
          <w:tcPr>
            <w:tcW w:w="2305" w:type="dxa"/>
            <w:shd w:val="clear" w:color="auto" w:fill="auto"/>
            <w:vAlign w:val="top"/>
          </w:tcPr>
          <w:p w14:paraId="5B2C95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结构设计基本理论（结构力学分析、混凝土结构设计原理、钢结构设计原理等）、常见结构设计方法（梁、板、柱等构件设计）、结构设计规范和标准应用</w:t>
            </w:r>
          </w:p>
        </w:tc>
        <w:tc>
          <w:tcPr>
            <w:tcW w:w="1932" w:type="dxa"/>
            <w:shd w:val="clear" w:color="auto" w:fill="auto"/>
            <w:vAlign w:val="top"/>
          </w:tcPr>
          <w:p w14:paraId="5A0BD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理论教学中注重原理的讲解，结合实际工程案例进行设计计算分析；引导学生熟悉相关设计规范和标准，培养学生的规范意识</w:t>
            </w:r>
          </w:p>
        </w:tc>
      </w:tr>
      <w:tr w14:paraId="2563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39727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8</w:t>
            </w:r>
          </w:p>
        </w:tc>
        <w:tc>
          <w:tcPr>
            <w:tcW w:w="853" w:type="dxa"/>
            <w:vAlign w:val="center"/>
          </w:tcPr>
          <w:p w14:paraId="1C9F2B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土力学与地基基础</w:t>
            </w:r>
          </w:p>
        </w:tc>
        <w:tc>
          <w:tcPr>
            <w:tcW w:w="4718" w:type="dxa"/>
          </w:tcPr>
          <w:p w14:paraId="6EAFB0A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掌握土的物理性质、力学性质及测试方法；理解地基应力与变形计算、地基承载力确定的原理；熟悉浅基础和深基础设计的方法以及地基处理技术的应用原理。</w:t>
            </w:r>
          </w:p>
          <w:p w14:paraId="2EB6F46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能够对土的物理性质和力学性质进行测试和分析；计算地基应力与变形，确定地基承载力；设计浅基础和深基础，并选择合适的地基处理技术。</w:t>
            </w:r>
          </w:p>
          <w:p w14:paraId="606AEC1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培养学生的实验操作能力和数据分析能力，通过实验获取准确的土力学参数；增强学生的工程意识，将理论知识与工程实践相结合；提高学生的问题解决能力，针对不同的地基条件采取有效的处理措施。</w:t>
            </w:r>
          </w:p>
          <w:p w14:paraId="33AD40D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结合地基基础在工程中的重要性，让学生认识到扎实的基础是工程安全的保障，培养学生脚踏实地、精益求精的工匠精神；介绍我国在地基处理和基础工程领域的技术进步和成就，激发学生的爱国热情和创新精神。</w:t>
            </w:r>
          </w:p>
        </w:tc>
        <w:tc>
          <w:tcPr>
            <w:tcW w:w="2305" w:type="dxa"/>
            <w:shd w:val="clear" w:color="auto" w:fill="auto"/>
            <w:vAlign w:val="top"/>
          </w:tcPr>
          <w:p w14:paraId="0C8FE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土的物理性质、力学性质及测试方法，地基应力与变形计算，地基承载力确定，浅基础和深基础设计，地基处理技术</w:t>
            </w:r>
          </w:p>
        </w:tc>
        <w:tc>
          <w:tcPr>
            <w:tcW w:w="1932" w:type="dxa"/>
            <w:shd w:val="clear" w:color="auto" w:fill="auto"/>
            <w:vAlign w:val="top"/>
          </w:tcPr>
          <w:p w14:paraId="5A98C2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通过理论讲解、实验教学和案例分析，让学生掌握土力学和地基基础设计知识；注重培养学生运用所学知识解决实际工程问题的能力</w:t>
            </w:r>
          </w:p>
        </w:tc>
      </w:tr>
      <w:bookmarkEnd w:id="43"/>
    </w:tbl>
    <w:p w14:paraId="4F1488AA">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45" w:name="_Toc23031"/>
      <w:r>
        <w:rPr>
          <w:rFonts w:hint="eastAsia" w:ascii="仿宋_GB2312" w:hAnsi="仿宋_GB2312" w:eastAsia="仿宋_GB2312" w:cs="仿宋_GB2312"/>
          <w:b w:val="0"/>
          <w:bCs w:val="0"/>
          <w:color w:val="auto"/>
          <w:sz w:val="32"/>
          <w:szCs w:val="32"/>
        </w:rPr>
        <w:t>2.专业核心课程</w:t>
      </w:r>
      <w:bookmarkEnd w:id="44"/>
      <w:bookmarkEnd w:id="45"/>
    </w:p>
    <w:p w14:paraId="177E327D">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pacing w:val="-4"/>
          <w:sz w:val="32"/>
          <w:szCs w:val="32"/>
          <w:lang w:eastAsia="zh-CN"/>
        </w:rPr>
      </w:pPr>
      <w:r>
        <w:rPr>
          <w:rFonts w:hint="eastAsia" w:ascii="仿宋_GB2312" w:hAnsi="仿宋_GB2312" w:eastAsia="仿宋_GB2312" w:cs="仿宋_GB2312"/>
          <w:color w:val="auto"/>
          <w:sz w:val="32"/>
          <w:szCs w:val="32"/>
          <w:lang w:val="en-US" w:eastAsia="zh-CN"/>
        </w:rPr>
        <w:t>专业核心课包括</w:t>
      </w:r>
      <w:r>
        <w:rPr>
          <w:rFonts w:hint="eastAsia" w:ascii="仿宋_GB2312" w:hAnsi="仿宋_GB2312" w:eastAsia="仿宋_GB2312" w:cs="仿宋_GB2312"/>
          <w:color w:val="auto"/>
          <w:spacing w:val="-2"/>
          <w:sz w:val="32"/>
          <w:szCs w:val="32"/>
        </w:rPr>
        <w:t>道路勘测设计</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公路施工安全管理</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桥梁</w:t>
      </w:r>
      <w:r>
        <w:rPr>
          <w:rFonts w:hint="eastAsia" w:ascii="仿宋_GB2312" w:hAnsi="仿宋_GB2312" w:eastAsia="仿宋_GB2312" w:cs="仿宋_GB2312"/>
          <w:color w:val="auto"/>
          <w:spacing w:val="-2"/>
          <w:sz w:val="32"/>
          <w:szCs w:val="32"/>
          <w:lang w:val="en-US" w:eastAsia="zh-CN"/>
        </w:rPr>
        <w:t>下</w:t>
      </w:r>
      <w:r>
        <w:rPr>
          <w:rFonts w:hint="eastAsia" w:ascii="仿宋_GB2312" w:hAnsi="仿宋_GB2312" w:eastAsia="仿宋_GB2312" w:cs="仿宋_GB2312"/>
          <w:color w:val="auto"/>
          <w:spacing w:val="-2"/>
          <w:sz w:val="32"/>
          <w:szCs w:val="32"/>
        </w:rPr>
        <w:t>部结构施工</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桥梁</w:t>
      </w:r>
      <w:r>
        <w:rPr>
          <w:rFonts w:hint="eastAsia" w:ascii="仿宋_GB2312" w:hAnsi="仿宋_GB2312" w:eastAsia="仿宋_GB2312" w:cs="仿宋_GB2312"/>
          <w:color w:val="auto"/>
          <w:spacing w:val="-2"/>
          <w:sz w:val="32"/>
          <w:szCs w:val="32"/>
          <w:lang w:val="en-US" w:eastAsia="zh-CN"/>
        </w:rPr>
        <w:t>上</w:t>
      </w:r>
      <w:r>
        <w:rPr>
          <w:rFonts w:hint="eastAsia" w:ascii="仿宋_GB2312" w:hAnsi="仿宋_GB2312" w:eastAsia="仿宋_GB2312" w:cs="仿宋_GB2312"/>
          <w:color w:val="auto"/>
          <w:spacing w:val="-2"/>
          <w:sz w:val="32"/>
          <w:szCs w:val="32"/>
        </w:rPr>
        <w:t>部结构施工</w:t>
      </w:r>
      <w:r>
        <w:rPr>
          <w:rFonts w:hint="eastAsia" w:ascii="仿宋_GB2312" w:hAnsi="仿宋_GB2312" w:eastAsia="仿宋_GB2312" w:cs="仿宋_GB2312"/>
          <w:color w:val="auto"/>
          <w:spacing w:val="-2"/>
          <w:sz w:val="32"/>
          <w:szCs w:val="32"/>
          <w:highlight w:val="none"/>
          <w:lang w:eastAsia="zh-CN"/>
        </w:rPr>
        <w:t>、公</w:t>
      </w:r>
      <w:r>
        <w:rPr>
          <w:rFonts w:hint="eastAsia" w:ascii="仿宋_GB2312" w:hAnsi="仿宋_GB2312" w:eastAsia="仿宋_GB2312" w:cs="仿宋_GB2312"/>
          <w:color w:val="auto"/>
          <w:spacing w:val="-2"/>
          <w:sz w:val="32"/>
          <w:szCs w:val="32"/>
        </w:rPr>
        <w:t>路工程施工放样</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公路工程项目管理</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公路基路面工程施工</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道桥BIM建模应用技术</w:t>
      </w:r>
      <w:r>
        <w:rPr>
          <w:rFonts w:hint="eastAsia" w:ascii="仿宋_GB2312" w:hAnsi="仿宋_GB2312" w:eastAsia="仿宋_GB2312" w:cs="仿宋_GB2312"/>
          <w:color w:val="auto"/>
          <w:spacing w:val="-4"/>
          <w:sz w:val="32"/>
          <w:szCs w:val="32"/>
        </w:rPr>
        <w:t>等课程</w:t>
      </w:r>
      <w:r>
        <w:rPr>
          <w:rFonts w:hint="eastAsia" w:ascii="仿宋_GB2312" w:hAnsi="仿宋_GB2312" w:eastAsia="仿宋_GB2312" w:cs="仿宋_GB2312"/>
          <w:color w:val="auto"/>
          <w:spacing w:val="-4"/>
          <w:sz w:val="32"/>
          <w:szCs w:val="32"/>
          <w:lang w:eastAsia="zh-CN"/>
        </w:rPr>
        <w:t>。</w:t>
      </w:r>
    </w:p>
    <w:p w14:paraId="725F20B7">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958"/>
        <w:gridCol w:w="2209"/>
        <w:gridCol w:w="2032"/>
      </w:tblGrid>
      <w:tr w14:paraId="0B7D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2B12DA6">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75" w:type="dxa"/>
            <w:vAlign w:val="center"/>
          </w:tcPr>
          <w:p w14:paraId="643A825E">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958" w:type="dxa"/>
            <w:vAlign w:val="center"/>
          </w:tcPr>
          <w:p w14:paraId="0F39F86B">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209" w:type="dxa"/>
            <w:vAlign w:val="center"/>
          </w:tcPr>
          <w:p w14:paraId="71C89BD4">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032" w:type="dxa"/>
            <w:vAlign w:val="center"/>
          </w:tcPr>
          <w:p w14:paraId="14DDE675">
            <w:pPr>
              <w:keepNext w:val="0"/>
              <w:keepLines w:val="0"/>
              <w:pageBreakBefore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582D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54DAC6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2"/>
                <w:sz w:val="24"/>
                <w:szCs w:val="24"/>
                <w:lang w:val="en-US" w:eastAsia="zh-CN" w:bidi="ar"/>
              </w:rPr>
              <w:t>1</w:t>
            </w:r>
          </w:p>
        </w:tc>
        <w:tc>
          <w:tcPr>
            <w:tcW w:w="775" w:type="dxa"/>
            <w:vAlign w:val="center"/>
          </w:tcPr>
          <w:p w14:paraId="17A771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2"/>
                <w:sz w:val="24"/>
                <w:szCs w:val="24"/>
                <w:lang w:val="en-US" w:eastAsia="zh-CN" w:bidi="ar"/>
              </w:rPr>
              <w:t>道路勘测设计</w:t>
            </w:r>
          </w:p>
        </w:tc>
        <w:tc>
          <w:tcPr>
            <w:tcW w:w="4958" w:type="dxa"/>
            <w:vAlign w:val="center"/>
          </w:tcPr>
          <w:p w14:paraId="1653A7C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道路勘测设计的基本流程，包括从前期调研到最终设计成果输出的各个环节；理解路线规划与选线的基本原则，如地形适应性、环境保护等；熟悉道路平面设计（直线、曲线参数及组合）、纵断面设计（纵坡限制、竖曲线要素）、横断面设计（车道宽度、路肩、边坡等）以及道路交叉设计的类型和规范要求。</w:t>
            </w:r>
          </w:p>
          <w:p w14:paraId="1397478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路线规划与选线原则，结合地形、地质等实际条件进行初步的路线方案比选；熟练完成道路平面、纵断面和横断面的设计计算，绘制相应的设计图纸；具备进行简单道路交叉设计的能力，并能在课程设计中整合各环节完成完整的道路勘测设计方案。</w:t>
            </w:r>
          </w:p>
          <w:p w14:paraId="2B156085">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培养学生综合考虑技术、经济、环境等多因素进行设计决策的能力；增强学生的空间思维和图纸表达能力，确保设计成果的准确性和规范性；通过团队协作完成课程设计，提升沟通协调和责任担当意识。</w:t>
            </w:r>
          </w:p>
          <w:p w14:paraId="6E77DF0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结合我国道路建设对区域经济发展和民生改善的重大意义，引导学生认识到道路勘测设计的社会责任，树立 “以人为本” 的设计理念；介绍我国在复杂地形（如山区、高原）道路勘测设计中的技术突破和成就，激发学生的民族自豪感和创新精神。</w:t>
            </w:r>
          </w:p>
        </w:tc>
        <w:tc>
          <w:tcPr>
            <w:tcW w:w="2209" w:type="dxa"/>
            <w:shd w:val="clear" w:color="auto" w:fill="auto"/>
            <w:vAlign w:val="top"/>
          </w:tcPr>
          <w:p w14:paraId="45B130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道路勘测设计的基本流程、路线规划与选线原则、道路平面设计（直线、曲线等）、纵断面设计（纵坡、竖曲线等）、横断面设计、道路交叉设计等</w:t>
            </w:r>
          </w:p>
        </w:tc>
        <w:tc>
          <w:tcPr>
            <w:tcW w:w="2032" w:type="dxa"/>
            <w:shd w:val="clear" w:color="auto" w:fill="auto"/>
            <w:vAlign w:val="top"/>
          </w:tcPr>
          <w:p w14:paraId="6383C6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结合实际工程项目案例，讲解道路勘测设计的各个环节；安排课程设计，让学生进行完整的道路勘测设计实践，培养学生的设计能力和创新思维</w:t>
            </w:r>
          </w:p>
        </w:tc>
      </w:tr>
      <w:tr w14:paraId="49AE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0C143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2</w:t>
            </w:r>
          </w:p>
        </w:tc>
        <w:tc>
          <w:tcPr>
            <w:tcW w:w="775" w:type="dxa"/>
            <w:vAlign w:val="center"/>
          </w:tcPr>
          <w:p w14:paraId="279D61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2"/>
                <w:sz w:val="24"/>
                <w:szCs w:val="24"/>
                <w:lang w:val="en-US" w:eastAsia="zh-CN" w:bidi="ar"/>
              </w:rPr>
              <w:t>公路施工安全管理</w:t>
            </w:r>
          </w:p>
        </w:tc>
        <w:tc>
          <w:tcPr>
            <w:tcW w:w="4958" w:type="dxa"/>
            <w:vAlign w:val="top"/>
          </w:tcPr>
          <w:p w14:paraId="7C760F1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了解公路施工安全管理相关的法律法规和行业标准，明确安全管理的法律依据；掌握安全风险识别与评估的方法，能够识别施工中常见的风险源（如高处作业、电气设备等）；熟悉各类安全技术措施的具体内容和安全事故应急处理的流程、方法。</w:t>
            </w:r>
          </w:p>
          <w:p w14:paraId="7D24631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安全风险识别与评估方法，对公路施工项目进行风险分析并制定相应的防范措施；熟练掌握高处作业、电气安全等关键环节的安全技术操作规范；在模拟场景中，能按照应急处理流程妥善应对安全事故，实施救援和处置。</w:t>
            </w:r>
          </w:p>
          <w:p w14:paraId="7ECF1946">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强化学生的安全意识，使其形成 “安全第一、预防为主” 的职业观念；培养学生严谨细致的工作态度，在施工安全管理中做到一丝不苟；提升学生的应急反应能力和团队协作能力，在事故处理中能高效配合。</w:t>
            </w:r>
          </w:p>
          <w:p w14:paraId="4D97071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通过分析实际安全事故案例中因责任缺失导致的后果，强调 “生命至上” 的理念，培养学生的责任担当和职业道德；结合我国在公路施工安全管理体系建设中的进步，引导学生认识到规范管理对保障人民生命财产安全的重要性，增强法治意识。</w:t>
            </w:r>
          </w:p>
        </w:tc>
        <w:tc>
          <w:tcPr>
            <w:tcW w:w="2209" w:type="dxa"/>
            <w:shd w:val="clear" w:color="auto" w:fill="auto"/>
            <w:vAlign w:val="top"/>
          </w:tcPr>
          <w:p w14:paraId="746EF4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公路施工安全管理法规、安全风险识别与评估、安全技术措施（如高处作业安全、电气安全等）、安全事故应急处理</w:t>
            </w:r>
          </w:p>
        </w:tc>
        <w:tc>
          <w:tcPr>
            <w:tcW w:w="2032" w:type="dxa"/>
            <w:shd w:val="clear" w:color="auto" w:fill="auto"/>
            <w:vAlign w:val="top"/>
          </w:tcPr>
          <w:p w14:paraId="58FEBB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结合实际安全事故案例，讲解安全管理的重要性和方法；组织学生进行安全演练，提高学生的安全意识和应急处理能力</w:t>
            </w:r>
          </w:p>
        </w:tc>
      </w:tr>
      <w:tr w14:paraId="2064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B5B0F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bookmarkStart w:id="46" w:name="_Toc90734991"/>
            <w:r>
              <w:rPr>
                <w:rFonts w:hint="eastAsia" w:ascii="仿宋_GB2312" w:hAnsi="仿宋_GB2312" w:eastAsia="仿宋_GB2312" w:cs="仿宋_GB2312"/>
                <w:color w:val="auto"/>
                <w:kern w:val="2"/>
                <w:sz w:val="24"/>
                <w:szCs w:val="24"/>
                <w:lang w:val="en-US" w:eastAsia="zh-CN" w:bidi="ar"/>
              </w:rPr>
              <w:t>3</w:t>
            </w:r>
          </w:p>
        </w:tc>
        <w:tc>
          <w:tcPr>
            <w:tcW w:w="775" w:type="dxa"/>
            <w:vAlign w:val="center"/>
          </w:tcPr>
          <w:p w14:paraId="4EBAA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桥梁下部结构施工</w:t>
            </w:r>
          </w:p>
        </w:tc>
        <w:tc>
          <w:tcPr>
            <w:tcW w:w="4958" w:type="dxa"/>
            <w:vAlign w:val="top"/>
          </w:tcPr>
          <w:p w14:paraId="13B8AF7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掌握桥梁基础（桩基础、扩大基础等）、桥墩、桥台的构造特点和施工工艺原理；理解桥梁下部结构施工</w:t>
            </w:r>
            <w:r>
              <w:rPr>
                <w:rFonts w:hint="eastAsia" w:ascii="仿宋_GB2312" w:hAnsi="仿宋_GB2312" w:eastAsia="仿宋_GB2312" w:cs="仿宋_GB2312"/>
                <w:color w:val="auto"/>
                <w:kern w:val="2"/>
                <w:sz w:val="24"/>
                <w:szCs w:val="24"/>
                <w:highlight w:val="none"/>
                <w:lang w:val="en-US" w:eastAsia="zh-CN" w:bidi="ar"/>
              </w:rPr>
              <w:t>中质量</w:t>
            </w:r>
            <w:r>
              <w:rPr>
                <w:rFonts w:hint="eastAsia" w:ascii="仿宋_GB2312" w:hAnsi="仿宋_GB2312" w:eastAsia="仿宋_GB2312" w:cs="仿宋_GB2312"/>
                <w:color w:val="auto"/>
                <w:kern w:val="2"/>
                <w:sz w:val="24"/>
                <w:szCs w:val="24"/>
                <w:lang w:val="en-US" w:eastAsia="zh-CN" w:bidi="ar"/>
              </w:rPr>
              <w:t>控制的关键指标（如混凝土强度、轴线偏差等）和安全管理的重点内容（如基坑支护、高空作业防护等）。</w:t>
            </w:r>
          </w:p>
          <w:p w14:paraId="4D1EA6C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能够根据桥梁下部结构的类型和设计要求，选择合适的施工工艺；在模拟操作中，掌握桩基础成孔、混凝土浇筑等关键施工环节的操作技能；具备对施工过程</w:t>
            </w:r>
            <w:r>
              <w:rPr>
                <w:rFonts w:hint="eastAsia" w:ascii="仿宋_GB2312" w:hAnsi="仿宋_GB2312" w:eastAsia="仿宋_GB2312" w:cs="仿宋_GB2312"/>
                <w:color w:val="auto"/>
                <w:kern w:val="2"/>
                <w:sz w:val="24"/>
                <w:szCs w:val="24"/>
                <w:highlight w:val="none"/>
                <w:lang w:val="en-US" w:eastAsia="zh-CN" w:bidi="ar"/>
              </w:rPr>
              <w:t>中质量</w:t>
            </w:r>
            <w:r>
              <w:rPr>
                <w:rFonts w:hint="eastAsia" w:ascii="仿宋_GB2312" w:hAnsi="仿宋_GB2312" w:eastAsia="仿宋_GB2312" w:cs="仿宋_GB2312"/>
                <w:color w:val="auto"/>
                <w:kern w:val="2"/>
                <w:sz w:val="24"/>
                <w:szCs w:val="24"/>
                <w:lang w:val="en-US" w:eastAsia="zh-CN" w:bidi="ar"/>
              </w:rPr>
              <w:t>和安全问题进行初步判断和处理的能力。</w:t>
            </w:r>
          </w:p>
          <w:p w14:paraId="36A14CF4">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培养学生的实践操作能力，通过模拟施工熟悉施工流程和技术要点；增强学生的质量意识和安全意识，严格按照规范要求进行施工操作；提升学生的问题解决能力，面对施工中的突发情况能冷静分析并采取措施。</w:t>
            </w:r>
          </w:p>
          <w:p w14:paraId="2031FE5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结合桥梁下部结构作为桥梁 “根基” 的重要性，比喻 “基础决定成败”，引导学生树立脚踏实地、精益求精的工匠精神；介绍我国桥梁建设中下部结构施工的先进技术和工程案例（如跨海大桥基础），激发学生的爱国情怀和技术自信。</w:t>
            </w:r>
          </w:p>
        </w:tc>
        <w:tc>
          <w:tcPr>
            <w:tcW w:w="2209" w:type="dxa"/>
            <w:shd w:val="clear" w:color="auto" w:fill="auto"/>
            <w:vAlign w:val="top"/>
          </w:tcPr>
          <w:p w14:paraId="18EF77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桥梁基础施工（桩基础、扩大基础等）、桥墩、桥台施工工艺、桥梁下部结构施工的质量控制和安全管理</w:t>
            </w:r>
          </w:p>
        </w:tc>
        <w:tc>
          <w:tcPr>
            <w:tcW w:w="2032" w:type="dxa"/>
            <w:shd w:val="clear" w:color="auto" w:fill="auto"/>
            <w:vAlign w:val="top"/>
          </w:tcPr>
          <w:p w14:paraId="25A17F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通过现场参观、案例分析和模型演示，让学生了解桥梁下部结构施工过程；安排实践课程，让学生进行桥梁下部结构施工模拟操作，培养学生的实际操作能力</w:t>
            </w:r>
          </w:p>
        </w:tc>
      </w:tr>
      <w:tr w14:paraId="526C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0ACBD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4</w:t>
            </w:r>
          </w:p>
        </w:tc>
        <w:tc>
          <w:tcPr>
            <w:tcW w:w="775" w:type="dxa"/>
            <w:vAlign w:val="center"/>
          </w:tcPr>
          <w:p w14:paraId="63A9D9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桥梁上部结构施工</w:t>
            </w:r>
          </w:p>
        </w:tc>
        <w:tc>
          <w:tcPr>
            <w:tcW w:w="4958" w:type="dxa"/>
            <w:vAlign w:val="top"/>
          </w:tcPr>
          <w:p w14:paraId="5F5D614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了解梁式桥、拱式桥、斜拉桥、悬索桥等不同类型桥梁上部结构的构造特点；掌握各类桥梁上部结构的施工工艺（如预制梁安装、挂篮施工、悬臂浇筑等）的技术原理；熟悉施工过程中的安全管理要求和质量控制标准。</w:t>
            </w:r>
          </w:p>
          <w:p w14:paraId="78EA6A54">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根据桥梁类型和工程条件，分析不同上部结构施工工艺的适用性；通过模型制作和实践活动，掌握预制梁安装、挂篮施工等关键工艺的操作要点；具备对施工过程中出现的质量偏差和安全隐患进行识别和初步处理的能力。</w:t>
            </w:r>
          </w:p>
          <w:p w14:paraId="5F93663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培养学生的空间想象能力和动手实践能力，通过动画演示和模型制作加深对施工过程的理解；增强学生的创新思维，思考不同施工工艺的优化空间；提升学生的团队协作能力，在实践活动中分工合作完成任务。</w:t>
            </w:r>
          </w:p>
          <w:p w14:paraId="7EF66C3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通过介绍我国在各类桥梁（如斜拉桥、悬索桥）建设中的世界领先成就，增强学生的民族自豪感和使命感；强调桥梁施工中 “质量终身负责制”，培养学生的责任意识和诚信品质。</w:t>
            </w:r>
          </w:p>
        </w:tc>
        <w:tc>
          <w:tcPr>
            <w:tcW w:w="2209" w:type="dxa"/>
            <w:shd w:val="clear" w:color="auto" w:fill="auto"/>
            <w:vAlign w:val="top"/>
          </w:tcPr>
          <w:p w14:paraId="47A09F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梁式桥、拱式桥、斜拉桥、悬索桥等不同类型桥梁上部结构的施工工艺（如预制梁安装、挂篮施工等）、施工安全管理和质量控制</w:t>
            </w:r>
          </w:p>
        </w:tc>
        <w:tc>
          <w:tcPr>
            <w:tcW w:w="2032" w:type="dxa"/>
            <w:shd w:val="clear" w:color="auto" w:fill="auto"/>
            <w:vAlign w:val="top"/>
          </w:tcPr>
          <w:p w14:paraId="1E55C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结合实际桥梁工程案例，讲解不同类型桥梁上部结构的施工特点和技术要求；通过动画演示、模型制作等方式，帮助学生理解施工过程；安排实践活动，让学生参与桥梁上部结构施工相关实践</w:t>
            </w:r>
          </w:p>
        </w:tc>
      </w:tr>
      <w:tr w14:paraId="6423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34607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5</w:t>
            </w:r>
          </w:p>
        </w:tc>
        <w:tc>
          <w:tcPr>
            <w:tcW w:w="775" w:type="dxa"/>
            <w:shd w:val="clear" w:color="auto" w:fill="auto"/>
            <w:vAlign w:val="center"/>
          </w:tcPr>
          <w:p w14:paraId="1FAFC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
              </w:rPr>
              <w:t>公路工程施工放样</w:t>
            </w:r>
          </w:p>
        </w:tc>
        <w:tc>
          <w:tcPr>
            <w:tcW w:w="4958" w:type="dxa"/>
            <w:shd w:val="clear" w:color="auto" w:fill="auto"/>
            <w:vAlign w:val="top"/>
          </w:tcPr>
          <w:p w14:paraId="683E2DE6">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掌握施工测量的基础知识，如坐标系统、高程控制等；理解全站仪、GPS-RTK 等测量仪器的工作原理和操作规范；熟悉路基、路面、桥梁等工程施工放样的具体方法和精度要求。</w:t>
            </w:r>
          </w:p>
          <w:p w14:paraId="1B3F232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能够熟练操作全站仪、GPS-RTK 等测量仪器进行数据采集和施工放样；准确计算放样数据，将设计图纸上的点位精确测设到施工现场；具备在复杂地形和施工环境下解决测量放样问题的能力。</w:t>
            </w:r>
          </w:p>
          <w:p w14:paraId="16280A1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培养学生严谨细致的工作作风，确保放样数据的准确性和精度；增强学生的实践能力和应变能力，适应不同施工现场的测量需求；提升学生的责任意识，认识到放样误差对工程质量的影响。</w:t>
            </w:r>
          </w:p>
          <w:p w14:paraId="57412C0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通过强调施工放样 “失之毫厘，谬以千里” 的重要性，引导学生树立精益求精的工匠精神；结合我国在高精度测量技术（如北斗系统应用）方面的发展，激发学生的科技自信和爱国情怀。</w:t>
            </w:r>
          </w:p>
        </w:tc>
        <w:tc>
          <w:tcPr>
            <w:tcW w:w="2209" w:type="dxa"/>
            <w:shd w:val="clear" w:color="auto" w:fill="auto"/>
            <w:vAlign w:val="top"/>
          </w:tcPr>
          <w:p w14:paraId="6F36E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施工测量基础知识、全站仪、GPS - RTK 等测量仪器在公路施工放样中的应用、路基、路面、桥梁等工程的施工放样方法</w:t>
            </w:r>
          </w:p>
        </w:tc>
        <w:tc>
          <w:tcPr>
            <w:tcW w:w="2032" w:type="dxa"/>
            <w:shd w:val="clear" w:color="auto" w:fill="auto"/>
            <w:vAlign w:val="top"/>
          </w:tcPr>
          <w:p w14:paraId="2E785A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通过实践教学，让学生熟练掌握施工放样仪器的操作和放样方法；培养学生在施工现场解决实际测量问题的能力</w:t>
            </w:r>
          </w:p>
        </w:tc>
      </w:tr>
      <w:tr w14:paraId="7CEA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078842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6</w:t>
            </w:r>
          </w:p>
        </w:tc>
        <w:tc>
          <w:tcPr>
            <w:tcW w:w="775" w:type="dxa"/>
            <w:shd w:val="clear" w:color="auto" w:fill="auto"/>
            <w:vAlign w:val="center"/>
          </w:tcPr>
          <w:p w14:paraId="128A99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
              </w:rPr>
              <w:t>公路工程项目管理</w:t>
            </w:r>
          </w:p>
        </w:tc>
        <w:tc>
          <w:tcPr>
            <w:tcW w:w="4958" w:type="dxa"/>
            <w:shd w:val="clear" w:color="auto" w:fill="auto"/>
            <w:vAlign w:val="top"/>
          </w:tcPr>
          <w:p w14:paraId="29A190C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掌握公路工程项目管理的基本概念和核心内容，包括项目招投标、进度、质量、成本、合同、安全管理等；理解各管理环节之间的内在联系和协同机制；熟悉项目管理相关的法律法规和行业规范。</w:t>
            </w:r>
          </w:p>
          <w:p w14:paraId="7879EA1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项目管理工具（如甘特图、网络图）进行项目进度计划的编制和控制；具备进行项目成本估算、预算编制和成本控制的初步能力；在模拟项目中，能协调处理进度、质量、成本之间的关系，解决管理中的常见问题。</w:t>
            </w:r>
          </w:p>
          <w:p w14:paraId="42AD94C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系统思维和全局观念，从项目整体角度统筹各管理要素；增强学生的沟通协调能力，在模拟招投标、合同管理等场景中能有效进行谈判和协作；提升学生的决策能力，在复杂情况下做出合理的管理决策。</w:t>
            </w:r>
          </w:p>
          <w:p w14:paraId="07B76EF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公路工程项目对国家基础设施建设的重要性，引导学生认识到项目管理岗位的社会责任，树立廉洁从业、公正守法的职业操守；通过行业专家分享的优秀项目管理案例，传递敬业精神和团队合作的价值，激发学生的职业认同感。</w:t>
            </w:r>
          </w:p>
          <w:p w14:paraId="518B5E6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
              </w:rPr>
            </w:pPr>
          </w:p>
        </w:tc>
        <w:tc>
          <w:tcPr>
            <w:tcW w:w="2209" w:type="dxa"/>
            <w:shd w:val="clear" w:color="auto" w:fill="auto"/>
            <w:vAlign w:val="top"/>
          </w:tcPr>
          <w:p w14:paraId="7E5E48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公路工程项目管理的基本概念、项目招投标管理、项目进度管理、质量管理、成本管理、合同管理、安全管理等</w:t>
            </w:r>
          </w:p>
        </w:tc>
        <w:tc>
          <w:tcPr>
            <w:tcW w:w="2032" w:type="dxa"/>
            <w:shd w:val="clear" w:color="auto" w:fill="auto"/>
            <w:vAlign w:val="top"/>
          </w:tcPr>
          <w:p w14:paraId="7004A5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采用案例教学、项目模拟等方法，让学生在实际操作中掌握项目管理的流程和方法；邀请行业专家举办讲座，分享实际项目管理经验</w:t>
            </w:r>
          </w:p>
        </w:tc>
      </w:tr>
      <w:tr w14:paraId="5222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A53CB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7</w:t>
            </w:r>
          </w:p>
        </w:tc>
        <w:tc>
          <w:tcPr>
            <w:tcW w:w="775" w:type="dxa"/>
            <w:vAlign w:val="center"/>
          </w:tcPr>
          <w:p w14:paraId="7028EF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路基路面工程施工</w:t>
            </w:r>
          </w:p>
        </w:tc>
        <w:tc>
          <w:tcPr>
            <w:tcW w:w="4958" w:type="dxa"/>
            <w:vAlign w:val="top"/>
          </w:tcPr>
          <w:p w14:paraId="56F7FEC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路基工程（填方、挖方）和路面工程（基层、面层）的施工工艺，包括材料选择、压实方法、摊铺工艺等；理解路基路面排水与防护工程的设计原理和施工要求；熟悉路基路面工程质量检测的项目（如压实度、平整度等）和标准。</w:t>
            </w:r>
          </w:p>
          <w:p w14:paraId="2A38FB76">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能够根据工程设计要求，选择合适的路基路面施工工艺和设备；在实习或模拟施工中，掌握压实、摊铺等关键环节的操作技能；具备运用质量检测方法对路基路面施工质量进行初步评定的能力。</w:t>
            </w:r>
          </w:p>
          <w:p w14:paraId="2855A9A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培养学生的实践操作能力和技术应用能力，将理论知识转化为施工技能；增强学生的质量意识和环保意识，在施工中注重材料节约和环境保护；提升学生的团队协作能力，在集体施工项目中高效配合。</w:t>
            </w:r>
          </w:p>
          <w:p w14:paraId="0624474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结合路基路面作为公路 “骨架” 对行车安全和舒适度的影响，引导学生认识到工程质量的重要性，树立 “质量终身负责” 的理念；介绍我国在高等级公路路基路面施工技术上的进步，激发学生的民族自豪感和创新动力。</w:t>
            </w:r>
          </w:p>
        </w:tc>
        <w:tc>
          <w:tcPr>
            <w:tcW w:w="2209" w:type="dxa"/>
            <w:shd w:val="clear" w:color="auto" w:fill="auto"/>
            <w:vAlign w:val="top"/>
          </w:tcPr>
          <w:p w14:paraId="05FEBC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路基工程施工（填方路基、挖方路基施工等）、路面工程施工（基层、面层施工等）、路基路面排水与防护工程施工、路基路面工程质量检测与控制</w:t>
            </w:r>
          </w:p>
        </w:tc>
        <w:tc>
          <w:tcPr>
            <w:tcW w:w="2032" w:type="dxa"/>
            <w:shd w:val="clear" w:color="auto" w:fill="auto"/>
            <w:vAlign w:val="top"/>
          </w:tcPr>
          <w:p w14:paraId="76EF05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结合施工现场视频、实际案例，讲解施工工艺和技术要求；安排实习或模拟施工项目，让学生参与路基路面工程施工实践，培养学生的实践能力和质量意识</w:t>
            </w:r>
          </w:p>
        </w:tc>
      </w:tr>
      <w:tr w14:paraId="1078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19D0D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8</w:t>
            </w:r>
          </w:p>
        </w:tc>
        <w:tc>
          <w:tcPr>
            <w:tcW w:w="775" w:type="dxa"/>
            <w:vAlign w:val="center"/>
          </w:tcPr>
          <w:p w14:paraId="3461BC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道桥BIM建模应用技术</w:t>
            </w:r>
          </w:p>
        </w:tc>
        <w:tc>
          <w:tcPr>
            <w:tcW w:w="4958" w:type="dxa"/>
            <w:vAlign w:val="top"/>
          </w:tcPr>
          <w:p w14:paraId="13FE8A4D">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 BIM 技术的基本概念和核心原理；熟悉道桥工程 BIM 建模方法，包括道路建模（路线、路基、路面等）和桥梁建模（上部结构、下部结构等）的流程和规范；了解 BIM 模型在工程设计（碰撞检查）、施工（进度模拟）、运维阶段的应用原理。</w:t>
            </w:r>
          </w:p>
          <w:p w14:paraId="35F056B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 BIM 软件完成道桥工程的三维建模，包括道路和桥梁各构件的精确绘制；熟练进行模型的碰撞检查，发现设计中的冲突并提出修改建议；能利用模型进行施工进度模拟，优化施工方案。</w:t>
            </w:r>
          </w:p>
          <w:p w14:paraId="06195BD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培养学生的数字化思维和创新能力，适应道桥工程信息化发展趋势；增强学生的团队协作能力，在建模和应用过程中与设计、施工等专业人员有效沟通；提升学生的问题解决能力，运用 BIM 技术解决工程实际问题。</w:t>
            </w:r>
          </w:p>
          <w:p w14:paraId="5DD4B14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：通过介绍 BIM 技术在我国重大道桥工程（如港珠澳大桥）中的成功应用，展示我国工程数字化的领先水平，增强学生的民族自信心；引导学生认识到技术创新对行业发展的推动作用，激发其自主创新的意识和担当。</w:t>
            </w:r>
          </w:p>
        </w:tc>
        <w:tc>
          <w:tcPr>
            <w:tcW w:w="2209" w:type="dxa"/>
            <w:shd w:val="clear" w:color="auto" w:fill="auto"/>
            <w:vAlign w:val="top"/>
          </w:tcPr>
          <w:p w14:paraId="2A6A2C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BIM 技术基础、道桥工程 BIM 建模方法（道路建模、桥梁建模等）、BIM 模型在工程设计、施工、运维阶段的应用（如碰撞检查、进度模拟等）</w:t>
            </w:r>
          </w:p>
        </w:tc>
        <w:tc>
          <w:tcPr>
            <w:tcW w:w="2032" w:type="dxa"/>
            <w:shd w:val="clear" w:color="auto" w:fill="auto"/>
            <w:vAlign w:val="top"/>
          </w:tcPr>
          <w:p w14:paraId="3004FC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通过软件操作实践和实际项目案例分析，让学生熟练掌握道桥 BIM 建模技术；鼓励学生参加 BIM 建模竞赛等活动，提高学生的实践能力和创新能力</w:t>
            </w:r>
          </w:p>
        </w:tc>
      </w:tr>
    </w:tbl>
    <w:p w14:paraId="6F4D5803">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0" w:leftChars="0" w:firstLine="320" w:firstLineChars="100"/>
        <w:textAlignment w:val="auto"/>
        <w:outlineLvl w:val="2"/>
        <w:rPr>
          <w:rFonts w:hint="eastAsia" w:ascii="仿宋_GB2312" w:hAnsi="仿宋_GB2312" w:eastAsia="仿宋_GB2312" w:cs="仿宋_GB2312"/>
          <w:color w:val="auto"/>
          <w:sz w:val="32"/>
          <w:szCs w:val="32"/>
          <w:lang w:val="en-US" w:eastAsia="zh-CN"/>
        </w:rPr>
      </w:pPr>
      <w:bookmarkStart w:id="47" w:name="_Toc5338"/>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46"/>
      <w:bookmarkEnd w:id="47"/>
    </w:p>
    <w:p w14:paraId="359A5193">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专业拓展课程是按照岗位迁移，根据道桥行业发展的趋势，依据企业用人需求调研，企业对复合型人才素养、交通行业多元认知、建筑文化传承与创新、美学与工程融合等方面日益增加的需求，建立了道路与桥梁工程技术专业拓展课，并将辅修方向课程纳入其中。由安全法律基础、公路工程施工组织、公路工程造价、路基路面工程试验与检测、桥隧工程试验与检测、桥梁工程维修与加固、公路施工监理、公路沿线设施、公路养护与管理、隧道工程概论、铁路工程概论、计算机辅助设计（CAD）、建筑工程定额与预算、交通运输概论等课程构成专业拓展课。</w:t>
      </w:r>
    </w:p>
    <w:p w14:paraId="06B5A26A">
      <w:pPr>
        <w:keepNext w:val="0"/>
        <w:keepLines w:val="0"/>
        <w:pageBreakBefore w:val="0"/>
        <w:widowControl w:val="0"/>
        <w:kinsoku/>
        <w:wordWrap/>
        <w:overflowPunct w:val="0"/>
        <w:topLinePunct w:val="0"/>
        <w:autoSpaceDE/>
        <w:autoSpaceDN/>
        <w:bidi w:val="0"/>
        <w:adjustRightInd w:val="0"/>
        <w:spacing w:line="520" w:lineRule="exact"/>
        <w:jc w:val="center"/>
        <w:textAlignment w:val="auto"/>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784"/>
        <w:gridCol w:w="5400"/>
        <w:gridCol w:w="1816"/>
        <w:gridCol w:w="1873"/>
      </w:tblGrid>
      <w:tr w14:paraId="7D85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3EAB2EA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84" w:type="dxa"/>
            <w:vAlign w:val="center"/>
          </w:tcPr>
          <w:p w14:paraId="6D660AE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5400" w:type="dxa"/>
            <w:vAlign w:val="center"/>
          </w:tcPr>
          <w:p w14:paraId="4051FE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1816" w:type="dxa"/>
            <w:vAlign w:val="center"/>
          </w:tcPr>
          <w:p w14:paraId="6169162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1873" w:type="dxa"/>
            <w:vAlign w:val="center"/>
          </w:tcPr>
          <w:p w14:paraId="56D82CB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4179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3650CE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w:t>
            </w:r>
          </w:p>
        </w:tc>
        <w:tc>
          <w:tcPr>
            <w:tcW w:w="784" w:type="dxa"/>
            <w:shd w:val="clear" w:color="auto" w:fill="auto"/>
            <w:vAlign w:val="center"/>
          </w:tcPr>
          <w:p w14:paraId="5B97A2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安全法律基础</w:t>
            </w:r>
          </w:p>
        </w:tc>
        <w:tc>
          <w:tcPr>
            <w:tcW w:w="5400" w:type="dxa"/>
            <w:vAlign w:val="center"/>
          </w:tcPr>
          <w:p w14:paraId="7193E7A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i w:val="0"/>
                <w:iCs w:val="0"/>
                <w:caps w:val="0"/>
                <w:color w:val="auto"/>
                <w:spacing w:val="0"/>
                <w:sz w:val="24"/>
                <w:szCs w:val="24"/>
                <w:shd w:val="clear" w:fill="EFF0F1"/>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w:t>
            </w:r>
            <w:r>
              <w:rPr>
                <w:rFonts w:hint="eastAsia" w:ascii="仿宋_GB2312" w:hAnsi="仿宋_GB2312" w:eastAsia="仿宋_GB2312" w:cs="仿宋_GB2312"/>
                <w:color w:val="auto"/>
                <w:kern w:val="2"/>
                <w:sz w:val="24"/>
                <w:szCs w:val="24"/>
                <w:highlight w:val="none"/>
                <w:lang w:val="en-US" w:eastAsia="zh-CN" w:bidi="ar"/>
              </w:rPr>
              <w:t>安全生产法</w:t>
            </w:r>
            <w:r>
              <w:rPr>
                <w:rFonts w:hint="eastAsia" w:ascii="仿宋_GB2312" w:hAnsi="仿宋_GB2312" w:eastAsia="仿宋_GB2312" w:cs="仿宋_GB2312"/>
                <w:color w:val="auto"/>
                <w:kern w:val="2"/>
                <w:sz w:val="24"/>
                <w:szCs w:val="24"/>
                <w:lang w:val="en-US" w:eastAsia="zh-CN" w:bidi="ar"/>
              </w:rPr>
              <w:t>》《建设工程安全生产管理条例》等工程建设领域核心安全法律法规的条文内容；理解安全法律责任的构成要件与承担形式；了解安全法律纠纷的处理流程和解决途径。</w:t>
            </w:r>
          </w:p>
          <w:p w14:paraId="7996191D">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能够运用安全法律法规分析工程建设中的安全问题，判断行为的合法性；具备在模拟场景中参与安全法律纠纷处理的初步能力；能结合案例解读法律条文，为工程安全管理提供法律依据。</w:t>
            </w:r>
          </w:p>
          <w:p w14:paraId="35E6D72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法律意识和规则意识，形成依法从事工程安全管理的职业习惯；增强学生的逻辑思辨能力，在法律条文解读和案例分析中做到严谨客观；提升学生的责任意识，认识到法律对保障生命财产安全的重要性。</w:t>
            </w:r>
          </w:p>
          <w:p w14:paraId="732E7A1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通过剖析安全法律纠纷案例中违法违规行为的后果，强化学生的法治信仰和底线思维，树立 “守法光荣、违法可耻” 的观念；结合我国安全法律体系的完善历程，引导学生认识到法治建设对社会发展的保障作用，增强对社会主义法治的认同感。</w:t>
            </w:r>
          </w:p>
        </w:tc>
        <w:tc>
          <w:tcPr>
            <w:tcW w:w="1816" w:type="dxa"/>
            <w:shd w:val="clear" w:color="auto" w:fill="auto"/>
            <w:vAlign w:val="top"/>
          </w:tcPr>
          <w:p w14:paraId="260ACE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工程建设领域涉及的安全法律法规（如《安全生产法》《建设工程安全生产管理条例》等）、安全法律责任、安全法律纠纷处理</w:t>
            </w:r>
          </w:p>
        </w:tc>
        <w:tc>
          <w:tcPr>
            <w:tcW w:w="1873" w:type="dxa"/>
            <w:shd w:val="clear" w:color="auto" w:fill="auto"/>
            <w:vAlign w:val="top"/>
          </w:tcPr>
          <w:p w14:paraId="4D6604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通过案例分析、法律条文解读等方式，让学生理解安全法律法规的内涵和应用；组织学生进行法律知识讨论和模拟法庭活动，加深学生对法律知识的掌握</w:t>
            </w:r>
          </w:p>
        </w:tc>
      </w:tr>
      <w:tr w14:paraId="713A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4B32E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w:t>
            </w:r>
          </w:p>
        </w:tc>
        <w:tc>
          <w:tcPr>
            <w:tcW w:w="784" w:type="dxa"/>
            <w:shd w:val="clear" w:color="auto" w:fill="auto"/>
            <w:vAlign w:val="center"/>
          </w:tcPr>
          <w:p w14:paraId="54BC6C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公路工程施工组织</w:t>
            </w:r>
          </w:p>
        </w:tc>
        <w:tc>
          <w:tcPr>
            <w:tcW w:w="5400" w:type="dxa"/>
            <w:vAlign w:val="top"/>
          </w:tcPr>
          <w:p w14:paraId="32D58816">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i w:val="0"/>
                <w:iCs w:val="0"/>
                <w:caps w:val="0"/>
                <w:color w:val="auto"/>
                <w:spacing w:val="0"/>
                <w:sz w:val="24"/>
                <w:szCs w:val="24"/>
                <w:shd w:val="clear" w:fill="EFF0F1"/>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掌握施工组织设计的基本概念和核心要素；理解施工方案制定中施工方法选择、施工顺序安排的原则；熟悉施工进度计划编制的工具（如网络图、横道图）、资源配置计划的内容及施工平面布置的要求。</w:t>
            </w:r>
          </w:p>
          <w:p w14:paraId="4CCEF81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i w:val="0"/>
                <w:iCs w:val="0"/>
                <w:caps w:val="0"/>
                <w:color w:val="auto"/>
                <w:spacing w:val="0"/>
                <w:sz w:val="24"/>
                <w:szCs w:val="24"/>
                <w:shd w:val="clear" w:fill="EFF0F1"/>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结合实际公路工程案例，制定合理的施工方案和施工进度计划；具备编制劳动力、材料、机械设备等资源配置计划的能力；能完成简单的施工平面布置设计，并在课程设计中整合各环节形成完整的施工组织设计方案。</w:t>
            </w:r>
          </w:p>
          <w:p w14:paraId="6343435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pacing w:val="-6"/>
                <w:kern w:val="2"/>
                <w:sz w:val="24"/>
                <w:szCs w:val="24"/>
                <w:lang w:val="en-US" w:eastAsia="zh-CN" w:bidi="ar"/>
              </w:rPr>
              <w:t>培养学生的系统思维和统筹规划能力，从全局角度协调施工各要素；增强学生的创新意识，在施工组织设计中探索优化方案；提升学生的团队协作能力，在课程设计中通过分工合作完成任务。</w:t>
            </w:r>
          </w:p>
          <w:p w14:paraId="7DE4570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结合我国公路工程建设的重大成就，如高速公路网的快速发展，激发学生的民族自豪感和职业使命感；通过施工组织设计中对资源节约、环境保护的要求，引导学生树立绿色施工理念，培养可持续发展意识。</w:t>
            </w:r>
          </w:p>
        </w:tc>
        <w:tc>
          <w:tcPr>
            <w:tcW w:w="1816" w:type="dxa"/>
            <w:shd w:val="clear" w:color="auto" w:fill="auto"/>
            <w:vAlign w:val="top"/>
          </w:tcPr>
          <w:p w14:paraId="69FFE3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施工组织设计的基本概念、施工方案制定（施工方法选择、施工顺序安排等）、施工进度计划编制、资源配置计划（劳动力、材料、机械设备等）、施工平面布置</w:t>
            </w:r>
          </w:p>
        </w:tc>
        <w:tc>
          <w:tcPr>
            <w:tcW w:w="1873" w:type="dxa"/>
            <w:shd w:val="clear" w:color="auto" w:fill="auto"/>
            <w:vAlign w:val="top"/>
          </w:tcPr>
          <w:p w14:paraId="27BFB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结合实际公路工程案例，讲解施工组织设计的各个环节；安排课程设计，让学生进行公路工程施工组织设计实践，培养学生的组织协调和计划管理能力</w:t>
            </w:r>
          </w:p>
        </w:tc>
      </w:tr>
      <w:tr w14:paraId="10B40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3FBCC8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3</w:t>
            </w:r>
          </w:p>
        </w:tc>
        <w:tc>
          <w:tcPr>
            <w:tcW w:w="784" w:type="dxa"/>
            <w:shd w:val="clear" w:color="auto" w:fill="auto"/>
            <w:vAlign w:val="center"/>
          </w:tcPr>
          <w:p w14:paraId="37A4C0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公路工程造价</w:t>
            </w:r>
          </w:p>
        </w:tc>
        <w:tc>
          <w:tcPr>
            <w:tcW w:w="5400" w:type="dxa"/>
            <w:vAlign w:val="top"/>
          </w:tcPr>
          <w:p w14:paraId="0BC67A95">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公路工程造价的构成，包括直接费、间接费、利润、税金等的具体内容；理解定额计价法和工程量清单计价法的原理及适用场景；熟悉造价文件（预算文件、结算文件等）的编制规范和造价管理与控制的方法。</w:t>
            </w:r>
          </w:p>
          <w:p w14:paraId="11D564E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能够运用定额计价法和工程量清单计价法进行公路工程造价计算；具备编制简单预算文件和结算文件的能力；能通过造价软件提高造价管理效率，并对工程造价进行初步的分析与控制。</w:t>
            </w:r>
          </w:p>
          <w:p w14:paraId="73E35E6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培养学生严谨细致的工作态度，确保造价计算的准确性和规范性；增强学生的成本意识和经济观念，在造价管理中实现资源的合理配置；提升学生的问</w:t>
            </w:r>
            <w:r>
              <w:rPr>
                <w:rFonts w:hint="eastAsia" w:ascii="仿宋_GB2312" w:hAnsi="仿宋_GB2312" w:eastAsia="仿宋_GB2312" w:cs="仿宋_GB2312"/>
                <w:color w:val="auto"/>
                <w:spacing w:val="-6"/>
                <w:kern w:val="2"/>
                <w:sz w:val="24"/>
                <w:szCs w:val="24"/>
                <w:lang w:val="en-US" w:eastAsia="zh-CN" w:bidi="ar"/>
              </w:rPr>
              <w:t>题解决能力，应对造价计算中的复杂情况。</w:t>
            </w:r>
          </w:p>
          <w:p w14:paraId="34E6AFA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介绍我国公路工程造价管理体系的完善对工程建设成本控制的作用，引导学生认识到造价工作的社会责任，树立廉洁从业、公正计价的职业操守；结合造价工作中对国家政策（如税收政策）的执行，培养学生的政策意识和爱国情怀。</w:t>
            </w:r>
          </w:p>
        </w:tc>
        <w:tc>
          <w:tcPr>
            <w:tcW w:w="1816" w:type="dxa"/>
            <w:shd w:val="clear" w:color="auto" w:fill="auto"/>
            <w:vAlign w:val="top"/>
          </w:tcPr>
          <w:p w14:paraId="078266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 w:bidi="ar-SA"/>
              </w:rPr>
            </w:pPr>
            <w:r>
              <w:rPr>
                <w:rFonts w:hint="eastAsia" w:ascii="仿宋_GB2312" w:hAnsi="仿宋_GB2312" w:eastAsia="仿宋_GB2312" w:cs="仿宋_GB2312"/>
                <w:color w:val="auto"/>
                <w:sz w:val="24"/>
                <w:szCs w:val="24"/>
                <w:highlight w:val="none"/>
                <w:lang w:val="en-US" w:eastAsia="zh-CN"/>
              </w:rPr>
              <w:t>公路工程造价的构成（直接费、间接费、利润、税金等）、工程造价计算方法（定额计价法、工程量清单计价法）、造价文件编制（预算文件、结算文件等）、造价管理与控制</w:t>
            </w:r>
          </w:p>
        </w:tc>
        <w:tc>
          <w:tcPr>
            <w:tcW w:w="1873" w:type="dxa"/>
            <w:shd w:val="clear" w:color="auto" w:fill="auto"/>
            <w:vAlign w:val="top"/>
          </w:tcPr>
          <w:p w14:paraId="23FC72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通过案例教学和实际操作，让学生掌握工程造价的计算和文件编制方法；组织学生进行造价软件操作练习，提高学生的造价管理效率</w:t>
            </w:r>
          </w:p>
        </w:tc>
      </w:tr>
      <w:tr w14:paraId="032C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11E7B1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w:t>
            </w:r>
          </w:p>
        </w:tc>
        <w:tc>
          <w:tcPr>
            <w:tcW w:w="784" w:type="dxa"/>
            <w:shd w:val="clear" w:color="auto" w:fill="auto"/>
            <w:vAlign w:val="center"/>
          </w:tcPr>
          <w:p w14:paraId="3E8343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路基路面工程试验与检测</w:t>
            </w:r>
          </w:p>
        </w:tc>
        <w:tc>
          <w:tcPr>
            <w:tcW w:w="5400" w:type="dxa"/>
            <w:vAlign w:val="top"/>
          </w:tcPr>
          <w:p w14:paraId="223A54C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掌握路基路面工程主要试验检测项目，如压实度检测、平整度检测、弯沉检测等的检测标准；理解灌砂法、贝克曼梁法等试验检测方法的原理和操作步骤；熟悉检测数据处理的方法和质量评价标准。</w:t>
            </w:r>
          </w:p>
          <w:p w14:paraId="3929019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能够熟练操作路基路面工程试验检测仪器，完成各项检测项目；准确处理检测数据，依据质量评价标准对路基路面工程质量做出合理判断；具备分析检测结果、发现工程质量问题的初步能力。</w:t>
            </w:r>
          </w:p>
          <w:p w14:paraId="675E0D5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培养学生的实践操作能力和科学严谨的态度，确保检测数据的真实性和可靠性；增强学生的质量意识，认识到试验检测对工程质量的保障作用；提升学生的团队协作能力，在实验和实习中分工配合完成检测任务。</w:t>
            </w:r>
          </w:p>
          <w:p w14:paraId="2B14D72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结合路基路面工程质量对公路使用寿命和行车安全的重要性，强调试验检测工作的责任，培养学生的敬业精神和责任担当；通过我国在路基路面试验检测技术上的进步，激发学生的科技自信和创新精神。</w:t>
            </w:r>
          </w:p>
        </w:tc>
        <w:tc>
          <w:tcPr>
            <w:tcW w:w="1816" w:type="dxa"/>
            <w:shd w:val="clear" w:color="auto" w:fill="auto"/>
            <w:vAlign w:val="top"/>
          </w:tcPr>
          <w:p w14:paraId="636D81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路基路面工程试验检测项目（压实度检测、平整度检测、弯沉检测等）、试验检测方法（灌砂法、贝克曼梁法等）、检测数据处理与质量评价标准</w:t>
            </w:r>
          </w:p>
        </w:tc>
        <w:tc>
          <w:tcPr>
            <w:tcW w:w="1873" w:type="dxa"/>
            <w:shd w:val="clear" w:color="auto" w:fill="auto"/>
            <w:vAlign w:val="top"/>
          </w:tcPr>
          <w:p w14:paraId="50D6BB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安排充足的实验和实习课程，让学生亲自动手操作试验检测仪器；培养学生的数据处理和质量评价能力，确保学生能准确判断路基路面工程质量</w:t>
            </w:r>
          </w:p>
        </w:tc>
      </w:tr>
      <w:tr w14:paraId="1CD5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37D61B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5</w:t>
            </w:r>
          </w:p>
        </w:tc>
        <w:tc>
          <w:tcPr>
            <w:tcW w:w="784" w:type="dxa"/>
            <w:shd w:val="clear" w:color="auto" w:fill="auto"/>
            <w:vAlign w:val="center"/>
          </w:tcPr>
          <w:p w14:paraId="63C981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桥隧工程试验与检测</w:t>
            </w:r>
          </w:p>
        </w:tc>
        <w:tc>
          <w:tcPr>
            <w:tcW w:w="5400" w:type="dxa"/>
            <w:vAlign w:val="top"/>
          </w:tcPr>
          <w:p w14:paraId="34DED50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桥梁工程（结构承载力检测、裂缝检测等）和隧道工程（衬砌厚度检测、空洞检测等）的主要试验检测项目；理解超声检测法、地质雷达检测法等检测方法的原理和应用条件；熟悉检测数据处理的流程和质量评价标准。</w:t>
            </w:r>
          </w:p>
          <w:p w14:paraId="1186F9E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能够运用相应的检测方法和仪器，对桥隧工程进行现场检测；准确处理和分析检测数据，依据标准对桥隧工程质量进行评价；具备根据检测结果分析桥隧工程病害的初步能力。</w:t>
            </w:r>
          </w:p>
          <w:p w14:paraId="7C983C5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实践能力和问题解决能力，在复杂的桥隧工程环境中完成检测任务；增强学生的安全意识和责任意识，确保检测过程中的自身安全和检测结果的准确性；提升学生的团队协作能力，在现场检测中高效配合。</w:t>
            </w:r>
          </w:p>
          <w:p w14:paraId="45B2486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通过桥隧工程试验检测对保障重大工程安全的重要性，引导学生认识到自身工作的价值，树立 “百年大计，质量第一” 的理念；介绍我国在桥隧工程检测技术领域的成就，如大型桥梁的健康监测系统，激发学生的民族自豪感。</w:t>
            </w:r>
          </w:p>
        </w:tc>
        <w:tc>
          <w:tcPr>
            <w:tcW w:w="1816" w:type="dxa"/>
            <w:shd w:val="clear" w:color="auto" w:fill="auto"/>
            <w:vAlign w:val="top"/>
          </w:tcPr>
          <w:p w14:paraId="352534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桥梁工程试验检测项目（桥梁结构承载力检测、裂缝检测等）、隧道工程试验检测项目（衬砌厚度检测、空洞检测等）、试验检测方法（超声检测法、地质雷达检测法等）、检测数据处理与质量评价标准</w:t>
            </w:r>
          </w:p>
        </w:tc>
        <w:tc>
          <w:tcPr>
            <w:tcW w:w="1873" w:type="dxa"/>
            <w:shd w:val="clear" w:color="auto" w:fill="auto"/>
            <w:vAlign w:val="top"/>
          </w:tcPr>
          <w:p w14:paraId="71982E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通过现场检测实习和案例分析，让学生熟悉桥隧工程试验检测流程和方法；培养学生运用检测数据进行质量评价和病害分析的能力</w:t>
            </w:r>
          </w:p>
        </w:tc>
      </w:tr>
      <w:tr w14:paraId="0C1D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4AE50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6</w:t>
            </w:r>
          </w:p>
        </w:tc>
        <w:tc>
          <w:tcPr>
            <w:tcW w:w="784" w:type="dxa"/>
            <w:shd w:val="clear" w:color="auto" w:fill="auto"/>
            <w:vAlign w:val="center"/>
          </w:tcPr>
          <w:p w14:paraId="22AC2E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桥梁工程维修与加固</w:t>
            </w:r>
          </w:p>
        </w:tc>
        <w:tc>
          <w:tcPr>
            <w:tcW w:w="5400" w:type="dxa"/>
            <w:vAlign w:val="top"/>
          </w:tcPr>
          <w:p w14:paraId="18EAB52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掌握桥梁病害的常见类型及原因分析（如结构损伤、材料老化等）；理解增大截面法、粘贴纤维复合材料法等常用维修与加固技术的原理和适用范围；熟悉维修加固方案设计的原则和实施流程。</w:t>
            </w:r>
          </w:p>
          <w:p w14:paraId="448AFE0D">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能够对桥梁常见病害进行诊断和原因分析；根据桥梁病害情况，选择合适的维修与加固技术，制定初步的维修加固方案；具备在课程设计或实际项目中优化维修加固方案的能力。</w:t>
            </w:r>
          </w:p>
          <w:p w14:paraId="5700245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创新思维和实践能力，探索更高效、经济的维修与加固技术；增强学生的责任意识，认识到桥梁维修加固对保障交通通行安全的重要性；提升学生的综合分析能力，综合考虑技术、经济、安全等因素进行方案设计。</w:t>
            </w:r>
          </w:p>
          <w:p w14:paraId="0FD85BF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结合我国对既有桥梁的维修加固实践，展现对基础设施可持续利用的重视，培养学生的资源节约意识和可持续发展理念；通过介绍桥梁维修加固中的技术难题攻克案例，激发学生的攻坚克难精神和爱国情怀。</w:t>
            </w:r>
          </w:p>
        </w:tc>
        <w:tc>
          <w:tcPr>
            <w:tcW w:w="1816" w:type="dxa"/>
            <w:shd w:val="clear" w:color="auto" w:fill="auto"/>
            <w:vAlign w:val="top"/>
          </w:tcPr>
          <w:p w14:paraId="14E292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桥梁病害原因分析（结构损伤、材料老化等）、桥梁维修与加固技术（增大截面法、粘贴纤维复合材料法等）、维修加固方案设计与实施</w:t>
            </w:r>
          </w:p>
        </w:tc>
        <w:tc>
          <w:tcPr>
            <w:tcW w:w="1873" w:type="dxa"/>
            <w:shd w:val="clear" w:color="auto" w:fill="auto"/>
            <w:vAlign w:val="top"/>
          </w:tcPr>
          <w:p w14:paraId="26F5C7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结合实际桥梁病害案例，讲解维修与加固技术；安排课程设计或实际项目实践，让学生进行桥梁维修加固方案设计，培养学生解决实际问题的能力</w:t>
            </w:r>
          </w:p>
        </w:tc>
      </w:tr>
      <w:tr w14:paraId="4654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07A859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7</w:t>
            </w:r>
          </w:p>
        </w:tc>
        <w:tc>
          <w:tcPr>
            <w:tcW w:w="784" w:type="dxa"/>
            <w:shd w:val="clear" w:color="auto" w:fill="auto"/>
            <w:vAlign w:val="center"/>
          </w:tcPr>
          <w:p w14:paraId="0D863E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公路施工监理</w:t>
            </w:r>
          </w:p>
        </w:tc>
        <w:tc>
          <w:tcPr>
            <w:tcW w:w="5400" w:type="dxa"/>
            <w:vAlign w:val="top"/>
          </w:tcPr>
          <w:p w14:paraId="1BC54BB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掌握公路施工监理的概念、性质和职责；理解质量监理、进度监理、费用监理等监理工作内容的核心要点；熟悉监理工作程序和监理合同管理的主要内容。</w:t>
            </w:r>
          </w:p>
          <w:p w14:paraId="08AA0B06">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能够在模拟监理项目中，按照监理工作程序开展质量、进度、费用监理工作；具备运用监理合同处理监理过程中常见问题的初步能力；能与业主、施工单位有效沟通协调，确保监理工作的顺利进行。</w:t>
            </w:r>
          </w:p>
          <w:p w14:paraId="6D9D2F5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培养学生的公正、独立、诚信的职业素养，严格履行监理职责；增强学生的责任意识和服务意识，为工程建设质量和安全保驾护航；提升学生的沟通协调能力和问题解决能力，应对监理工作中的复杂情况。</w:t>
            </w:r>
          </w:p>
          <w:p w14:paraId="62A5063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通过监理工作在保障工程质量和安全中的重要作用，引导学生认识到监理岗位的社会责任，树立廉洁自律、公正执业的职业操守；结合我国公路工程监理体系的发展，激发学生的行业自信和职业自豪感。</w:t>
            </w:r>
          </w:p>
        </w:tc>
        <w:tc>
          <w:tcPr>
            <w:tcW w:w="1816" w:type="dxa"/>
            <w:shd w:val="clear" w:color="auto" w:fill="auto"/>
            <w:vAlign w:val="top"/>
          </w:tcPr>
          <w:p w14:paraId="7F457F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公路施工监理的概念、监理工作内容（质量监理、进度监理、费用监理等）、监理工作程序、监理合同管理</w:t>
            </w:r>
          </w:p>
        </w:tc>
        <w:tc>
          <w:tcPr>
            <w:tcW w:w="1873" w:type="dxa"/>
            <w:shd w:val="clear" w:color="auto" w:fill="auto"/>
            <w:vAlign w:val="top"/>
          </w:tcPr>
          <w:p w14:paraId="2B50A4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通过案例分析和模拟监理项目，让学生熟悉监理工作流程和方法；邀请监理工程师举办讲座，分享实际监理工作经验</w:t>
            </w:r>
          </w:p>
        </w:tc>
      </w:tr>
      <w:tr w14:paraId="1EE1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3C82F2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8</w:t>
            </w:r>
          </w:p>
        </w:tc>
        <w:tc>
          <w:tcPr>
            <w:tcW w:w="784" w:type="dxa"/>
            <w:shd w:val="clear" w:color="auto" w:fill="auto"/>
            <w:vAlign w:val="center"/>
          </w:tcPr>
          <w:p w14:paraId="2FD0B4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公路沿线设施</w:t>
            </w:r>
          </w:p>
        </w:tc>
        <w:tc>
          <w:tcPr>
            <w:tcW w:w="5400" w:type="dxa"/>
            <w:vAlign w:val="top"/>
          </w:tcPr>
          <w:p w14:paraId="065347F5">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掌握交通安全设施（标志、标线、护栏等）、服务设施（服务区、停车区等）、管理设施（监控设施、通信设施等）的设计原理和功能要求；熟悉各类沿线设施的设置标准和规范。</w:t>
            </w:r>
          </w:p>
          <w:p w14:paraId="7D647A1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能够根据公路的等级和功能需求，设计合理的交通安全设施、服务设施和管理设施方案；具备在课程设计中综合考虑设施的安全性、舒适性和经济性的能力；能对现有公路沿线设施进行分析和优化。</w:t>
            </w:r>
          </w:p>
          <w:p w14:paraId="64F7193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培养学生的人文关怀意识，在设计中充分考虑使用者的需求和安全；增强学生的系统思维，认识到沿线设施与公路主体工程的协同作用；提升学生的创新设计能力，探索更具功能性和美观性的沿线设施。</w:t>
            </w:r>
          </w:p>
          <w:p w14:paraId="266B262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结合公路沿线设施对提升公路服务水平和保障交通安全的作用，引导学生树立 “以人为本” 的设计理念，培养服务社会的意识；通过我国公路沿线设施的不断完善，展现交通事业的发展成就，增强学生的民族自豪感。</w:t>
            </w:r>
          </w:p>
        </w:tc>
        <w:tc>
          <w:tcPr>
            <w:tcW w:w="1816" w:type="dxa"/>
            <w:shd w:val="clear" w:color="auto" w:fill="auto"/>
            <w:vAlign w:val="top"/>
          </w:tcPr>
          <w:p w14:paraId="58B1EE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交通安全设施（标志、标线、护栏等）、服务设施（服务区、停车区等）、管理设施（监控设施、通信设施等）的设计原理、功能要求和设置标准</w:t>
            </w:r>
          </w:p>
        </w:tc>
        <w:tc>
          <w:tcPr>
            <w:tcW w:w="1873" w:type="dxa"/>
            <w:shd w:val="clear" w:color="auto" w:fill="auto"/>
            <w:vAlign w:val="top"/>
          </w:tcPr>
          <w:p w14:paraId="6AD53D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结合实际公路案例，讲解沿线设施的设计和管理要点；安排课程设计，让学生进行公路沿线设施设计实践，培养学生的设计和规划能力</w:t>
            </w:r>
          </w:p>
        </w:tc>
      </w:tr>
      <w:tr w14:paraId="3C827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448F76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9</w:t>
            </w:r>
          </w:p>
        </w:tc>
        <w:tc>
          <w:tcPr>
            <w:tcW w:w="784" w:type="dxa"/>
            <w:shd w:val="clear" w:color="auto" w:fill="auto"/>
            <w:vAlign w:val="center"/>
          </w:tcPr>
          <w:p w14:paraId="3470BC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公路养护与管理</w:t>
            </w:r>
          </w:p>
        </w:tc>
        <w:tc>
          <w:tcPr>
            <w:tcW w:w="5400" w:type="dxa"/>
            <w:vAlign w:val="top"/>
          </w:tcPr>
          <w:p w14:paraId="7179B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kern w:val="2"/>
                <w:sz w:val="24"/>
                <w:szCs w:val="24"/>
                <w:lang w:val="en-US" w:eastAsia="zh-CN" w:bidi="ar"/>
              </w:rPr>
              <w:t>知识目标</w:t>
            </w:r>
            <w:r>
              <w:rPr>
                <w:rFonts w:hint="eastAsia" w:ascii="仿宋_GB2312" w:hAnsi="仿宋_GB2312" w:eastAsia="仿宋_GB2312" w:cs="仿宋_GB2312"/>
                <w:color w:val="auto"/>
                <w:kern w:val="2"/>
                <w:sz w:val="24"/>
                <w:szCs w:val="24"/>
                <w:lang w:val="en-US" w:eastAsia="zh-CN" w:bidi="ar"/>
              </w:rPr>
              <w:t>：掌握公路养护的分类（日常养护、定期养护等）和各类养护技术（路面养护技术、桥梁养护技术等）；理解养护计划制定的依据和养护质量</w:t>
            </w:r>
            <w:r>
              <w:rPr>
                <w:rFonts w:hint="eastAsia" w:ascii="仿宋_GB2312" w:hAnsi="仿宋_GB2312" w:eastAsia="仿宋_GB2312" w:cs="仿宋_GB2312"/>
                <w:color w:val="auto"/>
                <w:spacing w:val="-6"/>
                <w:kern w:val="2"/>
                <w:sz w:val="24"/>
                <w:szCs w:val="24"/>
                <w:lang w:val="en-US" w:eastAsia="zh-CN" w:bidi="ar"/>
              </w:rPr>
              <w:t>评价与管理的方法；了解公路养护管理的发展趋势。</w:t>
            </w:r>
          </w:p>
          <w:p w14:paraId="7F0D4A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kern w:val="2"/>
                <w:sz w:val="24"/>
                <w:szCs w:val="24"/>
                <w:lang w:val="en-US" w:eastAsia="zh-CN" w:bidi="ar"/>
              </w:rPr>
              <w:t>能力目标</w:t>
            </w:r>
            <w:r>
              <w:rPr>
                <w:rFonts w:hint="eastAsia" w:ascii="仿宋_GB2312" w:hAnsi="仿宋_GB2312" w:eastAsia="仿宋_GB2312" w:cs="仿宋_GB2312"/>
                <w:color w:val="auto"/>
                <w:kern w:val="2"/>
                <w:sz w:val="24"/>
                <w:szCs w:val="24"/>
                <w:lang w:val="en-US" w:eastAsia="zh-CN" w:bidi="ar"/>
              </w:rPr>
              <w:t>：能够根据公路的状况制定合理的养护计划；具备运用相应的养护技术进行简单养护作业的能力；能对养护质量进行评价，并提出改进措施。</w:t>
            </w:r>
          </w:p>
          <w:p w14:paraId="549F58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素质目标：培养学生的责任意识和敬业精神，认识到公路养护对保障公路通行能力和安全性的重要性；增强学生的实践能力和创新意识，探索高效、环保的养护技术；提升学生的管理能力，合理安排养护资源和作业流程。</w:t>
            </w:r>
          </w:p>
          <w:p w14:paraId="10AEC2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：通过公路养护与管理对延长公路使用寿命、节约资源的重要意义，培养学生的可持续发展理念和节约意识；结合我国公路养护事业的发展和技术进步，激发学生的爱国情怀和职业使命感。</w:t>
            </w:r>
          </w:p>
        </w:tc>
        <w:tc>
          <w:tcPr>
            <w:tcW w:w="1816" w:type="dxa"/>
            <w:shd w:val="clear" w:color="auto" w:fill="auto"/>
            <w:vAlign w:val="top"/>
          </w:tcPr>
          <w:p w14:paraId="1862D3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公路养护的分类（日常养护、定期养护等）、养护技术（路面养护技术、桥梁养护技术等）、养护计划制定、养护质量评价与管理</w:t>
            </w:r>
          </w:p>
        </w:tc>
        <w:tc>
          <w:tcPr>
            <w:tcW w:w="1873" w:type="dxa"/>
            <w:shd w:val="clear" w:color="auto" w:fill="auto"/>
            <w:vAlign w:val="top"/>
          </w:tcPr>
          <w:p w14:paraId="7F79AA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通过实地考察、案例分析等方式，让学生了解公路养护与管理的实际工作；安排实习或模拟项目，让学生参与公路养护计划制定和管理实践</w:t>
            </w:r>
          </w:p>
        </w:tc>
      </w:tr>
      <w:tr w14:paraId="446F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114116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10</w:t>
            </w:r>
          </w:p>
        </w:tc>
        <w:tc>
          <w:tcPr>
            <w:tcW w:w="784" w:type="dxa"/>
            <w:shd w:val="clear" w:color="auto" w:fill="auto"/>
            <w:vAlign w:val="center"/>
          </w:tcPr>
          <w:p w14:paraId="24656F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隧道工程概论</w:t>
            </w:r>
          </w:p>
        </w:tc>
        <w:tc>
          <w:tcPr>
            <w:tcW w:w="5400" w:type="dxa"/>
            <w:vAlign w:val="top"/>
          </w:tcPr>
          <w:p w14:paraId="5A7C138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掌握隧道工程的分类（山岭隧道、水底隧道等）和特点；理解隧道工程的设计原理，包括衬砌结构设计、防排水设计等；了解隧道工程主要施工方法（钻爆法、盾构法等）的基本流程。</w:t>
            </w:r>
          </w:p>
          <w:p w14:paraId="21461B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能够对不同类型的隧道工程进行简单的分类和特点分析；具备理解隧道工程设计图纸和施工方案的初步能力；能通过图片、视频和案例了解隧道工程的关键技术和难点。</w:t>
            </w:r>
          </w:p>
          <w:p w14:paraId="66270D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培养学生的空间想象能力和对复杂工程的认知能力；增强学生的探索精神，对隧道工程领域的新技术、新方法保持关注；提升学生的学习能力，快速掌握隧道工程的基本知识。</w:t>
            </w:r>
          </w:p>
          <w:p w14:paraId="2E1F7A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介绍我国在隧道工程建设中的重大成就，如超长山岭隧道、大型水底隧道等，展现我国工程建设的实力，增强学生的民族自豪感；结合隧道工程建设中克服的艰难险阻，激发学生的攻坚克难精神和爱国情怀。</w:t>
            </w:r>
          </w:p>
        </w:tc>
        <w:tc>
          <w:tcPr>
            <w:tcW w:w="1816" w:type="dxa"/>
            <w:shd w:val="clear" w:color="auto" w:fill="auto"/>
            <w:vAlign w:val="top"/>
          </w:tcPr>
          <w:p w14:paraId="2D69A9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隧道工程的分类（山岭隧道、水底隧道等）、隧道工程的设计原理（衬砌结构设计、防排水设计等）、隧道工程施工方法（钻爆法、盾构法等）</w:t>
            </w:r>
          </w:p>
        </w:tc>
        <w:tc>
          <w:tcPr>
            <w:tcW w:w="1873" w:type="dxa"/>
            <w:shd w:val="clear" w:color="auto" w:fill="auto"/>
            <w:vAlign w:val="top"/>
          </w:tcPr>
          <w:p w14:paraId="1ACE60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通过图片、视频和实际案例讲解，让学生对隧道工程有初步的认识；引导学生了解隧道工程领域的发展动态</w:t>
            </w:r>
          </w:p>
        </w:tc>
      </w:tr>
      <w:tr w14:paraId="2CBB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202F51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11</w:t>
            </w:r>
          </w:p>
        </w:tc>
        <w:tc>
          <w:tcPr>
            <w:tcW w:w="784" w:type="dxa"/>
            <w:shd w:val="clear" w:color="auto" w:fill="auto"/>
            <w:vAlign w:val="center"/>
          </w:tcPr>
          <w:p w14:paraId="2CA992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铁路工程概论</w:t>
            </w:r>
          </w:p>
        </w:tc>
        <w:tc>
          <w:tcPr>
            <w:tcW w:w="5400" w:type="dxa"/>
            <w:vAlign w:val="top"/>
          </w:tcPr>
          <w:p w14:paraId="0502E16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掌握铁路线路、路基、桥梁、隧道、轨道等铁路工程各组成部分的基本构造和设计与施工要点；了解铁路工程建设的发展现状与趋势。</w:t>
            </w:r>
          </w:p>
          <w:p w14:paraId="4039392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能够对铁路工程各组成部分有初步的认识和理解；具备通过多媒体资料和实际案例分析铁路工程技术特点的能力；能在参观施工现场时，将理论知识与实际情况相结合。</w:t>
            </w:r>
          </w:p>
          <w:p w14:paraId="094B4966">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培养学生的工程素养和对铁路工程的兴趣；增强学生的观察能力和学习能力，从实际案例中获取知识；提升学生的团队协作能力</w:t>
            </w:r>
            <w:r>
              <w:rPr>
                <w:rFonts w:hint="eastAsia" w:ascii="仿宋_GB2312" w:hAnsi="仿宋_GB2312" w:eastAsia="仿宋_GB2312" w:cs="仿宋_GB2312"/>
                <w:color w:val="auto"/>
                <w:spacing w:val="-11"/>
                <w:kern w:val="2"/>
                <w:sz w:val="24"/>
                <w:szCs w:val="24"/>
                <w:lang w:val="en-US" w:eastAsia="zh-CN" w:bidi="ar"/>
              </w:rPr>
              <w:t>，在参观和讨论中与同学交流分享。</w:t>
            </w:r>
          </w:p>
          <w:p w14:paraId="6237C64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我国铁路事业的飞速发展，如高铁技术的世界领先地位，激发学生的民族自豪感和爱国情怀；通过铁路工程建设对国家经济发展和区域联系的重要作用，引导学生认识到铁路工程的社会价值，培养职业使命感。</w:t>
            </w:r>
          </w:p>
        </w:tc>
        <w:tc>
          <w:tcPr>
            <w:tcW w:w="1816" w:type="dxa"/>
            <w:shd w:val="clear" w:color="auto" w:fill="auto"/>
            <w:vAlign w:val="top"/>
          </w:tcPr>
          <w:p w14:paraId="35F2D3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铁路线路、路基、桥梁、隧道、轨道等铁路工程各组成部分的设计与施工要点，铁路工程建设的发展现状与趋势</w:t>
            </w:r>
          </w:p>
        </w:tc>
        <w:tc>
          <w:tcPr>
            <w:tcW w:w="1873" w:type="dxa"/>
            <w:shd w:val="clear" w:color="auto" w:fill="auto"/>
            <w:vAlign w:val="top"/>
          </w:tcPr>
          <w:p w14:paraId="46E467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通过多媒体资料和实际案例，向学生介绍铁路工程的基本知识；组织学生参观铁路工程施工现场，增强学生的感性认识</w:t>
            </w:r>
          </w:p>
        </w:tc>
      </w:tr>
      <w:tr w14:paraId="287BB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30364E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12</w:t>
            </w:r>
          </w:p>
        </w:tc>
        <w:tc>
          <w:tcPr>
            <w:tcW w:w="784" w:type="dxa"/>
            <w:shd w:val="clear" w:color="auto" w:fill="auto"/>
            <w:vAlign w:val="center"/>
          </w:tcPr>
          <w:p w14:paraId="26C7A4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计算机辅助设计（CAD）</w:t>
            </w:r>
          </w:p>
        </w:tc>
        <w:tc>
          <w:tcPr>
            <w:tcW w:w="5400" w:type="dxa"/>
            <w:vAlign w:val="top"/>
          </w:tcPr>
          <w:p w14:paraId="5ECDF41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 CAD 软件的高级功能，如参数化绘图、三维绘图等；理解工程图纸绘制的技巧，特别是道路、桥梁、建筑等复杂图纸的绘制方法；熟悉 CAD 软件与其他设计软件的协同应用原理。</w:t>
            </w:r>
          </w:p>
          <w:p w14:paraId="5F9F673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能够熟练运用 CAD 软件的高级功能进行复杂工程图纸的绘制；具备根据设计要求进行参数化设计和三维建模的能力；能实现 CAD 软件与其他设计软件的协同工作，提高设计效率。</w:t>
            </w:r>
          </w:p>
          <w:p w14:paraId="71998B9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：培养学生的创新思维和计算机应用能力，适应数字化设计的发展趋势；增强学生的细致认真的工作态度，确保图纸绘制的准确性和规范性；提升学生的自主学习能力，探索 CAD 软件的新功能和应用方法。</w:t>
            </w:r>
          </w:p>
          <w:p w14:paraId="47C2536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 CAD 技术在工程设计中的广泛应用，展现科技进步对工程建设的推动作用，引导学生认识到技术创新的重要性；结合我国在工程设计软件研发方面的努力，激发学生的自主创新意识和爱国情怀。</w:t>
            </w:r>
          </w:p>
        </w:tc>
        <w:tc>
          <w:tcPr>
            <w:tcW w:w="1816" w:type="dxa"/>
            <w:shd w:val="clear" w:color="auto" w:fill="auto"/>
            <w:vAlign w:val="top"/>
          </w:tcPr>
          <w:p w14:paraId="6E61F8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CAD 软件高级功能应用（参数化绘图、三维绘图等）、工程图纸绘制技巧（道路、桥梁、建筑等复杂图纸绘制）、CAD 软件与其他设计软件的协同应用</w:t>
            </w:r>
          </w:p>
        </w:tc>
        <w:tc>
          <w:tcPr>
            <w:tcW w:w="1873" w:type="dxa"/>
            <w:shd w:val="clear" w:color="auto" w:fill="auto"/>
            <w:vAlign w:val="top"/>
          </w:tcPr>
          <w:p w14:paraId="6715FF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通过实际项目案例操作，让学生熟练掌握 CAD 软件高级功能；鼓励学生自主探索和创新，提高学生的绘图效率和质量</w:t>
            </w:r>
          </w:p>
        </w:tc>
      </w:tr>
      <w:tr w14:paraId="061D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5DA6ED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13</w:t>
            </w:r>
          </w:p>
        </w:tc>
        <w:tc>
          <w:tcPr>
            <w:tcW w:w="784" w:type="dxa"/>
            <w:shd w:val="clear" w:color="auto" w:fill="auto"/>
            <w:vAlign w:val="center"/>
          </w:tcPr>
          <w:p w14:paraId="2BEA3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建筑工程定额与预算</w:t>
            </w:r>
          </w:p>
        </w:tc>
        <w:tc>
          <w:tcPr>
            <w:tcW w:w="5400" w:type="dxa"/>
            <w:vAlign w:val="top"/>
          </w:tcPr>
          <w:p w14:paraId="060A95C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掌握建筑工程定额的概念、分类和编制方法；理解建筑工程预算费用的构成；熟悉预算编制的程序和方法，如工程量计算、定额套用等。</w:t>
            </w:r>
          </w:p>
          <w:p w14:paraId="4AD1C7E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能够运用建筑工程定额进行工程量计算和定额套用；具备编制简单建筑工程预算的能力；能结合实际建筑工程项目，完成预算编制练习。</w:t>
            </w:r>
          </w:p>
          <w:p w14:paraId="653A209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培养学生严谨细致的工作态度，确保预算编制的准确性；增强学生的成本意识和经济观念，合理控制工程造价；提升学生的实践能力，将理论知识应用于实际预算编制。</w:t>
            </w:r>
          </w:p>
          <w:p w14:paraId="5ACA898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通过建筑工程定额与预算工作对建筑工程成本控制和资金合理使用的重要性，引导学生树立廉洁从业、公正计价的职业操守；结合我国建筑工程定额体系的完善，培养学生的规则意识和对国家政策的执行力。</w:t>
            </w:r>
          </w:p>
        </w:tc>
        <w:tc>
          <w:tcPr>
            <w:tcW w:w="1816" w:type="dxa"/>
            <w:shd w:val="clear" w:color="auto" w:fill="auto"/>
            <w:vAlign w:val="top"/>
          </w:tcPr>
          <w:p w14:paraId="32943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建筑工程定额的概念、分类和编制方法，建筑工程预算费用构成，预算编制的程序和方法（如工程量计算、定额套用等）</w:t>
            </w:r>
          </w:p>
        </w:tc>
        <w:tc>
          <w:tcPr>
            <w:tcW w:w="1873" w:type="dxa"/>
            <w:shd w:val="clear" w:color="auto" w:fill="auto"/>
            <w:vAlign w:val="top"/>
          </w:tcPr>
          <w:p w14:paraId="6D5F2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结合实际建筑工程项目，讲解定额应用和预算编制流程；安排课程作业和实践项目，让学生进行建筑工程造价预算编制练习，提高学生的实际操作能力</w:t>
            </w:r>
          </w:p>
        </w:tc>
      </w:tr>
      <w:tr w14:paraId="1237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shd w:val="clear" w:color="auto" w:fill="auto"/>
            <w:vAlign w:val="center"/>
          </w:tcPr>
          <w:p w14:paraId="4099CF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14</w:t>
            </w:r>
          </w:p>
        </w:tc>
        <w:tc>
          <w:tcPr>
            <w:tcW w:w="784" w:type="dxa"/>
            <w:shd w:val="clear" w:color="auto" w:fill="auto"/>
            <w:vAlign w:val="center"/>
          </w:tcPr>
          <w:p w14:paraId="08F980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交通运输概论</w:t>
            </w:r>
          </w:p>
        </w:tc>
        <w:tc>
          <w:tcPr>
            <w:tcW w:w="5400" w:type="dxa"/>
            <w:vAlign w:val="top"/>
          </w:tcPr>
          <w:p w14:paraId="46C1AA3D">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运输的基本概念和交通运输系统的构成，包括设施、工具、参与者等；理解铁路、公路、水路、航空、管道等不同运输方式的特点和适用范围；熟悉运输组织管理的内容，如需求分析、计划调度、安全管理等；了解智能交通与绿色交通的发展趋势。</w:t>
            </w:r>
          </w:p>
          <w:p w14:paraId="7349315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能够对不同运输方式进行比较和分析，选择合适的运输方案；具备运用运输组织管理知识进行简单需求分析和计划调度的能力；能通过案例分析和模拟操作，理解运输系统的运作机制。</w:t>
            </w:r>
          </w:p>
          <w:p w14:paraId="6AD8316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培养学生的系统思维和综合分析能力，从整体角度看待交通运输系统；增强学生的环保意识和可持续发展理念，关注绿色交通的发</w:t>
            </w:r>
            <w:r>
              <w:rPr>
                <w:rFonts w:hint="eastAsia" w:ascii="仿宋_GB2312" w:hAnsi="仿宋_GB2312" w:eastAsia="仿宋_GB2312" w:cs="仿宋_GB2312"/>
                <w:color w:val="auto"/>
                <w:spacing w:val="-6"/>
                <w:kern w:val="2"/>
                <w:sz w:val="24"/>
                <w:szCs w:val="24"/>
                <w:lang w:val="en-US" w:eastAsia="zh-CN" w:bidi="ar"/>
              </w:rPr>
              <w:t>展；提升学生的团队协作能力和沟通能力，在小组讨论和模拟操作中有效配合。</w:t>
            </w:r>
          </w:p>
          <w:p w14:paraId="5D9DFA7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结合我国交通运输事业的发展成就，如综合交通运输体系的不断完善，激发学生的民族自豪感和爱国情怀；通过交通运输对国家经济社会发展的重要支撑作用，引导学生认识到交通</w:t>
            </w:r>
            <w:r>
              <w:rPr>
                <w:rFonts w:hint="eastAsia" w:ascii="仿宋_GB2312" w:hAnsi="仿宋_GB2312" w:eastAsia="仿宋_GB2312" w:cs="仿宋_GB2312"/>
                <w:color w:val="auto"/>
                <w:spacing w:val="-6"/>
                <w:kern w:val="2"/>
                <w:sz w:val="24"/>
                <w:szCs w:val="24"/>
                <w:lang w:val="en-US" w:eastAsia="zh-CN" w:bidi="ar"/>
              </w:rPr>
              <w:t>运输行业的社会价值，培养职业使命感和服务意识。</w:t>
            </w:r>
          </w:p>
        </w:tc>
        <w:tc>
          <w:tcPr>
            <w:tcW w:w="1816" w:type="dxa"/>
            <w:shd w:val="clear" w:color="auto" w:fill="auto"/>
            <w:vAlign w:val="top"/>
          </w:tcPr>
          <w:p w14:paraId="1C1284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涵盖运输概述、系统构成（设施 / 工具 / 参与者）；详解铁 / 公 / 水 / 空 / 管运输方式；讲授运输组织管理（需求分析、计划调度、安全管理）；融入智能与绿色交通趋势；结合案例分析与模拟操作实践。</w:t>
            </w:r>
          </w:p>
        </w:tc>
        <w:tc>
          <w:tcPr>
            <w:tcW w:w="1873" w:type="dxa"/>
            <w:shd w:val="clear" w:color="auto" w:fill="auto"/>
            <w:vAlign w:val="top"/>
          </w:tcPr>
          <w:p w14:paraId="773556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采用讲授 + 案例 + 小组讨论，辅以多媒体与模拟实践；依托教材与资源库，结合企业实训；过程性考核（课堂 / 作业 / 实践）与终结性考试（知识应用）结合，强化应用能力培养。</w:t>
            </w:r>
          </w:p>
        </w:tc>
      </w:tr>
    </w:tbl>
    <w:p w14:paraId="4ADB6B74">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color w:val="auto"/>
          <w:sz w:val="32"/>
          <w:szCs w:val="32"/>
          <w:lang w:val="en-US" w:eastAsia="zh-CN"/>
        </w:rPr>
      </w:pPr>
      <w:bookmarkStart w:id="48" w:name="_Toc585"/>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 ：</w:t>
      </w:r>
      <w:r>
        <w:rPr>
          <w:rFonts w:hint="eastAsia" w:ascii="仿宋_GB2312" w:hAnsi="仿宋_GB2312" w:eastAsia="仿宋_GB2312" w:cs="仿宋_GB2312"/>
          <w:color w:val="auto"/>
          <w:sz w:val="32"/>
          <w:szCs w:val="32"/>
          <w:lang w:val="en-US" w:eastAsia="zh"/>
        </w:rPr>
        <w:t>土木实训</w:t>
      </w:r>
      <w:r>
        <w:rPr>
          <w:rFonts w:hint="eastAsia" w:ascii="仿宋_GB2312" w:hAnsi="仿宋_GB2312" w:eastAsia="仿宋_GB2312" w:cs="仿宋_GB2312"/>
          <w:color w:val="auto"/>
          <w:sz w:val="32"/>
          <w:szCs w:val="32"/>
          <w:lang w:val="en-US" w:eastAsia="zh-CN"/>
        </w:rPr>
        <w:t>、毕业设计、岗位实习。</w:t>
      </w:r>
      <w:bookmarkEnd w:id="48"/>
    </w:p>
    <w:p w14:paraId="7208EA30">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857"/>
        <w:gridCol w:w="5209"/>
        <w:gridCol w:w="2100"/>
        <w:gridCol w:w="1735"/>
      </w:tblGrid>
      <w:tr w14:paraId="4FB2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vAlign w:val="center"/>
          </w:tcPr>
          <w:p w14:paraId="00CD29E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bookmarkStart w:id="49" w:name="OLE_LINK21"/>
            <w:r>
              <w:rPr>
                <w:rFonts w:hint="eastAsia" w:ascii="仿宋_GB2312" w:hAnsi="仿宋_GB2312" w:eastAsia="仿宋_GB2312" w:cs="仿宋_GB2312"/>
                <w:color w:val="auto"/>
                <w:sz w:val="24"/>
              </w:rPr>
              <w:t>序号</w:t>
            </w:r>
          </w:p>
        </w:tc>
        <w:tc>
          <w:tcPr>
            <w:tcW w:w="857" w:type="dxa"/>
            <w:vAlign w:val="center"/>
          </w:tcPr>
          <w:p w14:paraId="09429224">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5209" w:type="dxa"/>
            <w:vAlign w:val="center"/>
          </w:tcPr>
          <w:p w14:paraId="4DC81FFB">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100" w:type="dxa"/>
            <w:vAlign w:val="center"/>
          </w:tcPr>
          <w:p w14:paraId="1A3F54DE">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1735" w:type="dxa"/>
            <w:vAlign w:val="center"/>
          </w:tcPr>
          <w:p w14:paraId="4E38B702">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52B7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 w:type="dxa"/>
            <w:shd w:val="clear" w:color="auto" w:fill="auto"/>
            <w:vAlign w:val="center"/>
          </w:tcPr>
          <w:p w14:paraId="7C09530C">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1</w:t>
            </w:r>
          </w:p>
        </w:tc>
        <w:tc>
          <w:tcPr>
            <w:tcW w:w="857" w:type="dxa"/>
            <w:shd w:val="clear" w:color="auto" w:fill="auto"/>
            <w:vAlign w:val="center"/>
          </w:tcPr>
          <w:p w14:paraId="0246EA0E">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土木实训</w:t>
            </w:r>
          </w:p>
        </w:tc>
        <w:tc>
          <w:tcPr>
            <w:tcW w:w="5209" w:type="dxa"/>
            <w:vAlign w:val="center"/>
          </w:tcPr>
          <w:p w14:paraId="7E766A3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水泥强度、凝结时间、安定性、细度等性能指标的测定原理和标准；理解混凝土和易性、强度、凝结时间、含气量、抗渗性等检测的理论依据；熟悉钢筋拉伸性能、冷弯性能检测，沥青混合料性能试验的方法和相关规范；了解道路施工放样的基本原理和测量仪器的工作机制，以及道路桥梁工程现场检测的关键指标和标准。</w:t>
            </w:r>
          </w:p>
          <w:p w14:paraId="586C1ED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熟练操作土木工程相关仪器设备，准确完成水泥、混凝土、钢筋、沥青混合料等各项性能检测；具备独立或与团队合作进行道路施工放样和测量的能力；能准确记录实验数据，科学分析实验结果，发现并解决实训中出现的问题；熟练撰写规范、完整的实训报告。</w:t>
            </w:r>
          </w:p>
          <w:p w14:paraId="6E6C08D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培养学生严谨细致的工作作风，确保实验数据的真实性和准确性；增强学生的安全意识和规范操作意识</w:t>
            </w:r>
            <w:r>
              <w:rPr>
                <w:rFonts w:hint="eastAsia" w:ascii="仿宋_GB2312" w:hAnsi="仿宋_GB2312" w:eastAsia="仿宋_GB2312" w:cs="仿宋_GB2312"/>
                <w:color w:val="auto"/>
                <w:spacing w:val="-6"/>
                <w:kern w:val="2"/>
                <w:sz w:val="24"/>
                <w:szCs w:val="24"/>
                <w:lang w:val="en-US" w:eastAsia="zh-CN" w:bidi="ar"/>
              </w:rPr>
              <w:t>，严格遵守实训安全规程；提升学生的团队协作能力和沟通能力，在团队项目中高效配合；树立良好的工程伦理观念，尊重实验结果和科学规律。</w:t>
            </w:r>
          </w:p>
          <w:p w14:paraId="7B9EA32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通过实训中对各项工程材料性能和工程质量的严格检测，引导学生认识到工程质量与安全的重要性，培养 “质量为本、安全第一” 的责任担当；结合实训过程中团队合作完成任务的经历，强调团结协作的重要性，培养学生的集体荣誉感和团队精神；在规范操作和数据记录中，渗透诚信教育，培养学生的诚信品质和职业操守。</w:t>
            </w:r>
          </w:p>
        </w:tc>
        <w:tc>
          <w:tcPr>
            <w:tcW w:w="2100" w:type="dxa"/>
            <w:shd w:val="clear" w:color="auto" w:fill="auto"/>
            <w:vAlign w:val="top"/>
          </w:tcPr>
          <w:p w14:paraId="652A835E">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水泥强度、凝结时间、安定性、细度测定；混凝土和易性、强度、凝结时间、含气量、抗渗性检测；钢筋拉伸性能、冷弯性能检测</w:t>
            </w:r>
            <w:r>
              <w:rPr>
                <w:rFonts w:hint="eastAsia" w:ascii="仿宋_GB2312" w:hAnsi="仿宋_GB2312" w:eastAsia="仿宋_GB2312" w:cs="仿宋_GB2312"/>
                <w:color w:val="auto"/>
                <w:kern w:val="2"/>
                <w:sz w:val="24"/>
                <w:szCs w:val="24"/>
                <w:lang w:val="en-US" w:eastAsia="zh" w:bidi="ar"/>
              </w:rPr>
              <w:t>、沥青混合料性能试验、道路施工放样和测量仪器使用、道路桥梁工程现场检测</w:t>
            </w:r>
            <w:r>
              <w:rPr>
                <w:rFonts w:hint="eastAsia" w:ascii="仿宋_GB2312" w:hAnsi="仿宋_GB2312" w:eastAsia="仿宋_GB2312" w:cs="仿宋_GB2312"/>
                <w:color w:val="auto"/>
                <w:kern w:val="2"/>
                <w:sz w:val="24"/>
                <w:szCs w:val="24"/>
                <w:lang w:val="en-US" w:eastAsia="zh-CN" w:bidi="ar"/>
              </w:rPr>
              <w:t>。</w:t>
            </w:r>
          </w:p>
        </w:tc>
        <w:tc>
          <w:tcPr>
            <w:tcW w:w="1735" w:type="dxa"/>
            <w:shd w:val="clear" w:color="auto" w:fill="auto"/>
            <w:vAlign w:val="top"/>
          </w:tcPr>
          <w:p w14:paraId="2D28AD30">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学生需积极参与各项实训活动，掌握并熟练运用土木工程相关仪器设备，准确记录实验数据，分析实验结果；能够独立或团队合作完成实训项目，撰写实训报告，展现良好的实验设计、数据处理和问题解决能力；同时，注重安全规范操作，培养良好的职业素养和工程伦理观念。</w:t>
            </w:r>
          </w:p>
        </w:tc>
      </w:tr>
      <w:tr w14:paraId="18D6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shd w:val="clear" w:color="auto" w:fill="auto"/>
            <w:vAlign w:val="center"/>
          </w:tcPr>
          <w:p w14:paraId="6B6617D1">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2</w:t>
            </w:r>
          </w:p>
        </w:tc>
        <w:tc>
          <w:tcPr>
            <w:tcW w:w="857" w:type="dxa"/>
            <w:shd w:val="clear" w:color="auto" w:fill="auto"/>
            <w:vAlign w:val="center"/>
          </w:tcPr>
          <w:p w14:paraId="7F1452ED">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毕业设计</w:t>
            </w:r>
          </w:p>
        </w:tc>
        <w:tc>
          <w:tcPr>
            <w:tcW w:w="5209" w:type="dxa"/>
            <w:vAlign w:val="top"/>
          </w:tcPr>
          <w:p w14:paraId="1DB66E4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以实习企业项目为研究对象进行课题研究的基本方法和思路；理解实地调查、资料收集、案例分析在毕业设计中的应用原理；熟悉相关行业规范、标准和研究方法在实际项目分析中的具体应用；了解本专业领域的最新研究成果和发展趋势，为毕业设计的创新性提供理论支撑。</w:t>
            </w:r>
          </w:p>
          <w:p w14:paraId="1F265E2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独立完成以实习企业项目为对象的实地调查，有效收集和整理相关资料；具备参照其他项目或案例进行对比分析、深入研究的能力；能综合运用所学专业知识与技能，完成具有创新性和实用性的设计项目或研究课题；熟练撰写规范、严谨的毕业设计论文，清晰表达研究成果和思路。</w:t>
            </w:r>
          </w:p>
          <w:p w14:paraId="711CAAD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独立思考、自主研究的能力，形成严谨的学术态度和科学的研究方法；增强学生的创新意识和实践能力，勇于探索解决实际工程问题的新方法、新思路；提升学生的时间管理能力和抗压能力，在规定时间内高质量完成毕业设计任务；强化学生的团队协作精神，在与导师和同学的交流中完善设计成果。</w:t>
            </w:r>
          </w:p>
          <w:p w14:paraId="3FF1C92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以实习企业项目为研究对象，引导学生关注企业实际需求和行业发展，培养学生的职业认同感和社会责任感；在毕业设计中强调创新精神，鼓励学生突破传统思维，培养勇于探索、敢于创新的精神，为行业发展贡献力量；通过严格遵守学术规范，杜绝学术不端行为，培养学生的诚信意识和学术道德。</w:t>
            </w:r>
          </w:p>
        </w:tc>
        <w:tc>
          <w:tcPr>
            <w:tcW w:w="2100" w:type="dxa"/>
            <w:shd w:val="clear" w:color="auto" w:fill="auto"/>
            <w:vAlign w:val="top"/>
          </w:tcPr>
          <w:p w14:paraId="6C160B74">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atLeas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解读土木专业方向与行业热点，讲解选题原则，确定论文题目；指导学生用专业数据库检索文献并撰写综述；</w:t>
            </w:r>
            <w:r>
              <w:rPr>
                <w:rFonts w:hint="eastAsia" w:ascii="Times New Roman" w:hAnsi="Times New Roman" w:eastAsia="仿宋_GB2312" w:cs="仿宋_GB2312"/>
                <w:color w:val="auto"/>
                <w:sz w:val="24"/>
                <w:lang w:val="en-US" w:eastAsia="zh-CN"/>
              </w:rPr>
              <w:t>以所在实习企业为研究对象，通过实地调查、收集资料</w:t>
            </w:r>
            <w:r>
              <w:rPr>
                <w:rFonts w:hint="eastAsia" w:eastAsia="仿宋_GB2312" w:cs="仿宋_GB2312"/>
                <w:color w:val="auto"/>
                <w:sz w:val="24"/>
                <w:lang w:val="en-US" w:eastAsia="zh-CN"/>
              </w:rPr>
              <w:t>，</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结合选题设计研究方案；明确论文结构，论文撰写原则与要求；指导答辩问答，组织答辩会评定成绩。</w:t>
            </w:r>
          </w:p>
        </w:tc>
        <w:tc>
          <w:tcPr>
            <w:tcW w:w="1735" w:type="dxa"/>
            <w:shd w:val="clear" w:color="auto" w:fill="auto"/>
            <w:vAlign w:val="top"/>
          </w:tcPr>
          <w:p w14:paraId="7B2EDDC2">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要求学生在导师指导下，综合运用所学专业知识与技能，完成具有创新性和实用性的设计项目或研究课题。通过毕业设计，培养学生独立分析问题、解决问题的能力，提升研究能力、创新能力及团队协作精神，为职业生涯奠定坚实基础。</w:t>
            </w:r>
          </w:p>
        </w:tc>
      </w:tr>
      <w:tr w14:paraId="1ED8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shd w:val="clear" w:color="auto" w:fill="auto"/>
            <w:vAlign w:val="center"/>
          </w:tcPr>
          <w:p w14:paraId="4FC7F6E3">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3</w:t>
            </w:r>
          </w:p>
        </w:tc>
        <w:tc>
          <w:tcPr>
            <w:tcW w:w="857" w:type="dxa"/>
            <w:shd w:val="clear" w:color="auto" w:fill="auto"/>
            <w:vAlign w:val="center"/>
          </w:tcPr>
          <w:p w14:paraId="0FDADC70">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岗位实习</w:t>
            </w:r>
          </w:p>
        </w:tc>
        <w:tc>
          <w:tcPr>
            <w:tcW w:w="5209" w:type="dxa"/>
            <w:vAlign w:val="top"/>
          </w:tcPr>
          <w:p w14:paraId="5D7F18E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kern w:val="2"/>
                <w:sz w:val="24"/>
                <w:szCs w:val="24"/>
                <w:lang w:val="en-US" w:eastAsia="zh-CN" w:bidi="ar"/>
              </w:rPr>
              <w:t>掌握施工员、质量员、安全员等岗位的工作职责、工作内容和相关专业知识；理解施工员岗位涉及的施工组织、技术管理等知识，质量员岗位的质量检测、验收标准等知识，安全员岗位的安全法规、风险防控等知识；熟悉行业规范、工作流程和企业管理制度在实际岗位中的具体应用。</w:t>
            </w:r>
          </w:p>
          <w:p w14:paraId="629616D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kern w:val="2"/>
                <w:sz w:val="24"/>
                <w:szCs w:val="24"/>
                <w:lang w:val="en-US" w:eastAsia="zh-CN" w:bidi="ar"/>
              </w:rPr>
              <w:t>能够在施工员岗位上协助完成施工组织、技术交底、进度控制等工作；在质量员岗位上准确进行质量检测和验收，发现并处理质量问题；在安全员岗位上有效进行安全检查、风险识别和隐患排查；具备将理论知识与实际工作相结合，解决岗位实际问题的能力；能与同事有效沟通协作，适应职场环境。</w:t>
            </w:r>
          </w:p>
          <w:p w14:paraId="57A168D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i w:val="0"/>
                <w:iCs w:val="0"/>
                <w:caps w:val="0"/>
                <w:color w:val="auto"/>
                <w:spacing w:val="0"/>
                <w:sz w:val="24"/>
                <w:szCs w:val="24"/>
                <w:shd w:val="clear" w:fill="EFF0F1"/>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kern w:val="2"/>
                <w:sz w:val="24"/>
                <w:szCs w:val="24"/>
                <w:lang w:val="en-US" w:eastAsia="zh-CN" w:bidi="ar"/>
              </w:rPr>
              <w:t>培养学生的职业素养，包括敬业精神、责任意识、团队合作精神等；增强学生的适应能力和学习能力，快速熟悉岗位工作并不断提升业务水平；提升学生的沟通能力和人际交往能力，在工作中建立良好的人际关系；树立正确的职业观和价值观，遵守职业道德和企业规章制度。</w:t>
            </w:r>
          </w:p>
          <w:p w14:paraId="613D09D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kern w:val="2"/>
                <w:sz w:val="24"/>
                <w:szCs w:val="24"/>
                <w:lang w:val="en-US" w:eastAsia="zh-CN" w:bidi="ar"/>
              </w:rPr>
              <w:t>通过亲身体验道路桥梁专业的工作环境，让学生感受一线工程人员的辛勤付出和奉献精神，培养学生的吃苦耐劳精神和职业使命感；在岗位实习中强调遵守行业规范和企业制度的重要性，培养学生的规则意识和法治观念；结合实习企业的发展历程和成就，激发学生的爱国情怀和对行业发展的信心，树立为国家基础设施建设贡献力量的远大理想。</w:t>
            </w:r>
          </w:p>
        </w:tc>
        <w:tc>
          <w:tcPr>
            <w:tcW w:w="2100" w:type="dxa"/>
            <w:shd w:val="clear" w:color="auto" w:fill="auto"/>
            <w:vAlign w:val="top"/>
          </w:tcPr>
          <w:p w14:paraId="4D35CCF7">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施工员岗位实习</w:t>
            </w:r>
            <w:r>
              <w:rPr>
                <w:rFonts w:hint="eastAsia" w:ascii="仿宋_GB2312" w:hAnsi="仿宋_GB2312" w:eastAsia="仿宋_GB2312" w:cs="仿宋_GB2312"/>
                <w:color w:val="auto"/>
                <w:kern w:val="2"/>
                <w:sz w:val="24"/>
                <w:szCs w:val="24"/>
                <w:lang w:val="en-US" w:eastAsia="zh" w:bidi="ar"/>
              </w:rPr>
              <w:t>、</w:t>
            </w:r>
            <w:r>
              <w:rPr>
                <w:rFonts w:hint="eastAsia" w:ascii="仿宋_GB2312" w:hAnsi="仿宋_GB2312" w:eastAsia="仿宋_GB2312" w:cs="仿宋_GB2312"/>
                <w:color w:val="auto"/>
                <w:kern w:val="2"/>
                <w:sz w:val="24"/>
                <w:szCs w:val="24"/>
                <w:lang w:val="en-US" w:eastAsia="zh-CN" w:bidi="ar"/>
              </w:rPr>
              <w:t>质量员岗位实习</w:t>
            </w:r>
            <w:r>
              <w:rPr>
                <w:rFonts w:hint="eastAsia" w:ascii="仿宋_GB2312" w:hAnsi="仿宋_GB2312" w:eastAsia="仿宋_GB2312" w:cs="仿宋_GB2312"/>
                <w:color w:val="auto"/>
                <w:kern w:val="2"/>
                <w:sz w:val="24"/>
                <w:szCs w:val="24"/>
                <w:lang w:val="en-US" w:eastAsia="zh" w:bidi="ar"/>
              </w:rPr>
              <w:t>、</w:t>
            </w:r>
            <w:r>
              <w:rPr>
                <w:rFonts w:hint="eastAsia" w:ascii="仿宋_GB2312" w:hAnsi="仿宋_GB2312" w:eastAsia="仿宋_GB2312" w:cs="仿宋_GB2312"/>
                <w:color w:val="auto"/>
                <w:kern w:val="2"/>
                <w:sz w:val="24"/>
                <w:szCs w:val="24"/>
                <w:lang w:val="en-US" w:eastAsia="zh-CN" w:bidi="ar"/>
              </w:rPr>
              <w:t>安全员岗位实习。</w:t>
            </w:r>
          </w:p>
        </w:tc>
        <w:tc>
          <w:tcPr>
            <w:tcW w:w="1735" w:type="dxa"/>
            <w:shd w:val="clear" w:color="auto" w:fill="auto"/>
            <w:vAlign w:val="top"/>
          </w:tcPr>
          <w:p w14:paraId="7FA4CE09">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安排学生到相关企事业单位进行岗位实习，亲身体验</w:t>
            </w:r>
            <w:r>
              <w:rPr>
                <w:rFonts w:hint="eastAsia" w:ascii="仿宋_GB2312" w:hAnsi="仿宋_GB2312" w:eastAsia="仿宋_GB2312" w:cs="仿宋_GB2312"/>
                <w:color w:val="auto"/>
                <w:kern w:val="2"/>
                <w:sz w:val="24"/>
                <w:szCs w:val="24"/>
                <w:lang w:val="en-US" w:eastAsia="zh" w:bidi="ar"/>
              </w:rPr>
              <w:t>道路桥梁专业</w:t>
            </w:r>
            <w:r>
              <w:rPr>
                <w:rFonts w:hint="eastAsia" w:ascii="仿宋_GB2312" w:hAnsi="仿宋_GB2312" w:eastAsia="仿宋_GB2312" w:cs="仿宋_GB2312"/>
                <w:color w:val="auto"/>
                <w:kern w:val="2"/>
                <w:sz w:val="24"/>
                <w:szCs w:val="24"/>
                <w:lang w:val="en-US" w:eastAsia="zh-CN" w:bidi="ar"/>
              </w:rPr>
              <w:t>的工作环境，了解行业规范与工作流程。通过实习，学生能够将所学理论知识与实际工作相结合，增强职业素养与就业竞争力，为毕业后顺利进入职场做好准备。</w:t>
            </w:r>
          </w:p>
        </w:tc>
      </w:tr>
      <w:bookmarkEnd w:id="49"/>
    </w:tbl>
    <w:p w14:paraId="7325D1B0">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0" w:name="_Toc24996"/>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50"/>
    </w:p>
    <w:p w14:paraId="72C51E88">
      <w:pPr>
        <w:keepNext w:val="0"/>
        <w:keepLines w:val="0"/>
        <w:pageBreakBefore w:val="0"/>
        <w:widowControl w:val="0"/>
        <w:kinsoku/>
        <w:wordWrap/>
        <w:overflowPunct w:val="0"/>
        <w:topLinePunct w:val="0"/>
        <w:autoSpaceDE/>
        <w:autoSpaceDN/>
        <w:bidi w:val="0"/>
        <w:adjustRightInd w:val="0"/>
        <w:snapToGrid/>
        <w:spacing w:after="0" w:line="520" w:lineRule="exact"/>
        <w:ind w:firstLine="614" w:firstLineChars="200"/>
        <w:textAlignment w:val="auto"/>
        <w:outlineLvl w:val="9"/>
        <w:rPr>
          <w:rFonts w:hint="eastAsia" w:ascii="仿宋_GB2312" w:hAnsi="仿宋_GB2312" w:eastAsia="仿宋_GB2312" w:cs="仿宋_GB2312"/>
          <w:color w:val="auto"/>
          <w:w w:val="96"/>
          <w:sz w:val="32"/>
          <w:szCs w:val="32"/>
        </w:rPr>
      </w:pPr>
      <w:bookmarkStart w:id="51" w:name="_Toc22192"/>
      <w:r>
        <w:rPr>
          <w:rFonts w:hint="eastAsia" w:ascii="仿宋_GB2312" w:hAnsi="仿宋_GB2312" w:eastAsia="仿宋_GB2312" w:cs="仿宋_GB2312"/>
          <w:color w:val="auto"/>
          <w:w w:val="96"/>
          <w:sz w:val="32"/>
          <w:szCs w:val="32"/>
        </w:rPr>
        <w:t>第二课堂</w:t>
      </w:r>
      <w:r>
        <w:rPr>
          <w:rFonts w:hint="eastAsia" w:ascii="仿宋_GB2312" w:hAnsi="仿宋_GB2312" w:eastAsia="仿宋_GB2312" w:cs="仿宋_GB2312"/>
          <w:color w:val="auto"/>
          <w:w w:val="96"/>
          <w:sz w:val="32"/>
          <w:szCs w:val="32"/>
          <w:lang w:val="en-US" w:eastAsia="zh-CN"/>
        </w:rPr>
        <w:t>素质教育课</w:t>
      </w:r>
      <w:r>
        <w:rPr>
          <w:rFonts w:hint="eastAsia" w:ascii="仿宋_GB2312" w:hAnsi="仿宋_GB2312" w:eastAsia="仿宋_GB2312" w:cs="仿宋_GB2312"/>
          <w:color w:val="auto"/>
          <w:w w:val="96"/>
          <w:sz w:val="32"/>
          <w:szCs w:val="32"/>
        </w:rPr>
        <w:t>包括思想成长、</w:t>
      </w:r>
      <w:r>
        <w:rPr>
          <w:rFonts w:hint="eastAsia" w:ascii="仿宋_GB2312" w:hAnsi="仿宋_GB2312" w:eastAsia="仿宋_GB2312" w:cs="仿宋_GB2312"/>
          <w:color w:val="auto"/>
          <w:w w:val="96"/>
          <w:sz w:val="32"/>
          <w:szCs w:val="32"/>
          <w:lang w:val="en-US" w:eastAsia="zh-CN"/>
        </w:rPr>
        <w:t>实践实习</w:t>
      </w:r>
      <w:r>
        <w:rPr>
          <w:rFonts w:hint="eastAsia" w:ascii="仿宋_GB2312" w:hAnsi="仿宋_GB2312" w:eastAsia="仿宋_GB2312" w:cs="仿宋_GB2312"/>
          <w:color w:val="auto"/>
          <w:w w:val="96"/>
          <w:sz w:val="32"/>
          <w:szCs w:val="32"/>
        </w:rPr>
        <w:t>、创新创业、</w:t>
      </w:r>
      <w:r>
        <w:rPr>
          <w:rFonts w:hint="eastAsia" w:ascii="仿宋_GB2312" w:hAnsi="仿宋_GB2312" w:eastAsia="仿宋_GB2312" w:cs="仿宋_GB2312"/>
          <w:color w:val="auto"/>
          <w:w w:val="96"/>
          <w:sz w:val="32"/>
          <w:szCs w:val="32"/>
          <w:lang w:val="en-US" w:eastAsia="zh-CN"/>
        </w:rPr>
        <w:t>志愿公益、</w:t>
      </w:r>
      <w:r>
        <w:rPr>
          <w:rFonts w:hint="eastAsia" w:ascii="仿宋_GB2312" w:hAnsi="仿宋_GB2312" w:eastAsia="仿宋_GB2312" w:cs="仿宋_GB2312"/>
          <w:color w:val="auto"/>
          <w:w w:val="96"/>
          <w:sz w:val="32"/>
          <w:szCs w:val="32"/>
        </w:rPr>
        <w:t>文体</w:t>
      </w:r>
      <w:r>
        <w:rPr>
          <w:rFonts w:hint="eastAsia" w:ascii="仿宋_GB2312" w:hAnsi="仿宋_GB2312" w:eastAsia="仿宋_GB2312" w:cs="仿宋_GB2312"/>
          <w:color w:val="auto"/>
          <w:w w:val="96"/>
          <w:sz w:val="32"/>
          <w:szCs w:val="32"/>
          <w:lang w:val="en-US" w:eastAsia="zh-CN"/>
        </w:rPr>
        <w:t>活动</w:t>
      </w:r>
      <w:r>
        <w:rPr>
          <w:rFonts w:hint="eastAsia" w:ascii="仿宋_GB2312" w:hAnsi="仿宋_GB2312" w:eastAsia="仿宋_GB2312" w:cs="仿宋_GB2312"/>
          <w:color w:val="auto"/>
          <w:w w:val="96"/>
          <w:sz w:val="32"/>
          <w:szCs w:val="32"/>
        </w:rPr>
        <w:t>、工作履历</w:t>
      </w:r>
      <w:r>
        <w:rPr>
          <w:rFonts w:hint="eastAsia" w:ascii="仿宋_GB2312" w:hAnsi="仿宋_GB2312" w:eastAsia="仿宋_GB2312" w:cs="仿宋_GB2312"/>
          <w:color w:val="auto"/>
          <w:w w:val="96"/>
          <w:sz w:val="32"/>
          <w:szCs w:val="32"/>
          <w:lang w:eastAsia="zh-CN"/>
        </w:rPr>
        <w:t>、</w:t>
      </w:r>
      <w:r>
        <w:rPr>
          <w:rFonts w:hint="eastAsia" w:ascii="仿宋_GB2312" w:hAnsi="仿宋_GB2312" w:eastAsia="仿宋_GB2312" w:cs="仿宋_GB2312"/>
          <w:color w:val="auto"/>
          <w:w w:val="96"/>
          <w:sz w:val="32"/>
          <w:szCs w:val="32"/>
        </w:rPr>
        <w:t>专业技能特长等其他各类课程及活动。</w:t>
      </w:r>
      <w:bookmarkEnd w:id="51"/>
    </w:p>
    <w:p w14:paraId="19F220C6">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bookmarkStart w:id="52" w:name="_Toc17208"/>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bookmarkEnd w:id="52"/>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14:paraId="5708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67DA0962">
            <w:pPr>
              <w:overflowPunct w:val="0"/>
              <w:adjustRightInd w:val="0"/>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14:paraId="7CF9287C">
            <w:pPr>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14:paraId="59554DB7">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14:paraId="660F7E04">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14:paraId="09BCA2E0">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14:paraId="6CF1CE71">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14:paraId="7B4831F7">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14:paraId="27E655B3">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1C33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jc w:val="center"/>
        </w:trPr>
        <w:tc>
          <w:tcPr>
            <w:tcW w:w="1265" w:type="dxa"/>
            <w:vAlign w:val="center"/>
          </w:tcPr>
          <w:p w14:paraId="0FDE70D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14:paraId="5D27A252">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14:paraId="0386CCF4">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14:paraId="597E5287">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14:paraId="284EA9F9">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14:paraId="7B432576">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880" w:type="dxa"/>
            <w:vAlign w:val="center"/>
          </w:tcPr>
          <w:p w14:paraId="19ECA20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70B0E66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449D83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410052C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14:paraId="132507A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14:paraId="4372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8" w:hRule="atLeast"/>
          <w:jc w:val="center"/>
        </w:trPr>
        <w:tc>
          <w:tcPr>
            <w:tcW w:w="1265" w:type="dxa"/>
            <w:vAlign w:val="center"/>
          </w:tcPr>
          <w:p w14:paraId="72BFC8E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14:paraId="56E4A1CF">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14:paraId="16366FA3">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14:paraId="4DC4211E">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14:paraId="686EE1BD">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14:paraId="05554EB0">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14:paraId="2223224B">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14:paraId="6C9BB8DD">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14:paraId="518DE90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68B0DE2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CD127F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5786EBE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611AA54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1C60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1265" w:type="dxa"/>
            <w:vAlign w:val="center"/>
          </w:tcPr>
          <w:p w14:paraId="7009D44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14:paraId="3A3AA734">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14:paraId="6D26A9EA">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14:paraId="1220F29C">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14:paraId="03155BAF">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14:paraId="55FE0C7C">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14:paraId="0B6D6642">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14:paraId="3594C25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7106122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008273F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2C66C9E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063B572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64DC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jc w:val="center"/>
        </w:trPr>
        <w:tc>
          <w:tcPr>
            <w:tcW w:w="1265" w:type="dxa"/>
            <w:vAlign w:val="center"/>
          </w:tcPr>
          <w:p w14:paraId="6D92E10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p>
          <w:p w14:paraId="38A5302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14:paraId="57D4E5C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14:paraId="0016706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14:paraId="2E7596E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14:paraId="12D638A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14:paraId="14AE49DA">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14:paraId="31A5593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367BB7B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0C78E4E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5A1C006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794DA4A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6002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05FA0CA0">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14:paraId="646CB53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14:paraId="46EC4F9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14:paraId="3F1A519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14:paraId="7EEE4EA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14:paraId="19AE06B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14:paraId="423A8A8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08D2570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74697D4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727E05B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2E84BB3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6940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3216F656">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14:paraId="37D1E96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14:paraId="722EDAE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14:paraId="5118E02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14:paraId="1EB69D4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14:paraId="421834D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14:paraId="33FCE2B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648D02F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086070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0A939D0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6580702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7A51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327BAAE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14:paraId="618B3DA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14:paraId="5E05EDD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14:paraId="1D9542A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14:paraId="7933C5B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14:paraId="331D14A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14:paraId="1D003BF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11FA894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76EA421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501F80A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254B265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67C2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1FD7E3F2">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14:paraId="4E64887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14:paraId="70DCB99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14:paraId="1C14D4F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14:paraId="3CAD0D4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5E45936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F59AF9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2BDC246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78D443E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bl>
    <w:p w14:paraId="6C44706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53" w:name="_Toc20678"/>
      <w:bookmarkStart w:id="54" w:name="_Toc1738"/>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53"/>
      <w:bookmarkEnd w:id="54"/>
    </w:p>
    <w:p w14:paraId="1B576C0D">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5" w:name="_Toc24360"/>
      <w:r>
        <w:rPr>
          <w:rFonts w:hint="eastAsia" w:ascii="楷体" w:hAnsi="楷体" w:eastAsia="楷体" w:cs="楷体"/>
          <w:color w:val="auto"/>
          <w:sz w:val="32"/>
          <w:szCs w:val="32"/>
        </w:rPr>
        <w:t>（一）教学环节分配表</w:t>
      </w:r>
      <w:bookmarkEnd w:id="55"/>
      <w:r>
        <w:rPr>
          <w:rFonts w:hint="eastAsia" w:ascii="楷体" w:hAnsi="楷体" w:eastAsia="楷体" w:cs="楷体"/>
          <w:color w:val="auto"/>
          <w:sz w:val="32"/>
          <w:szCs w:val="32"/>
        </w:rPr>
        <w:t xml:space="preserve"> </w:t>
      </w:r>
    </w:p>
    <w:p w14:paraId="327490FB">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14:paraId="0B4BAA82">
      <w:pPr>
        <w:keepNext w:val="0"/>
        <w:keepLines w:val="0"/>
        <w:pageBreakBefore w:val="0"/>
        <w:widowControl w:val="0"/>
        <w:kinsoku/>
        <w:wordWrap/>
        <w:topLinePunct w:val="0"/>
        <w:autoSpaceDE/>
        <w:autoSpaceDN/>
        <w:bidi w:val="0"/>
        <w:snapToGrid/>
        <w:spacing w:after="0" w:line="520" w:lineRule="exact"/>
        <w:ind w:firstLine="560" w:firstLineChars="200"/>
        <w:jc w:val="center"/>
        <w:textAlignment w:val="auto"/>
        <w:rPr>
          <w:rFonts w:hint="eastAsia" w:ascii="仿宋_GB2312" w:hAnsi="仿宋_GB2312" w:eastAsia="仿宋_GB2312" w:cs="仿宋_GB2312"/>
          <w:color w:val="auto"/>
          <w:spacing w:val="-20"/>
          <w:sz w:val="32"/>
          <w:szCs w:val="32"/>
        </w:rPr>
      </w:pPr>
    </w:p>
    <w:p w14:paraId="7A122ED0">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344" w:type="pct"/>
        <w:tblInd w:w="-5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3"/>
        <w:gridCol w:w="1393"/>
        <w:gridCol w:w="1285"/>
        <w:gridCol w:w="1115"/>
        <w:gridCol w:w="1114"/>
        <w:gridCol w:w="1071"/>
        <w:gridCol w:w="1207"/>
      </w:tblGrid>
      <w:tr w14:paraId="07430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381"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2F591FD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p w14:paraId="1F27EB8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218D5DF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66904B8D">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69D38C8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p w14:paraId="620D9F16">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0632AE0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348" w:type="pct"/>
            <w:gridSpan w:val="2"/>
            <w:vAlign w:val="center"/>
          </w:tcPr>
          <w:p w14:paraId="52C583D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22" w:type="pct"/>
            <w:gridSpan w:val="2"/>
            <w:vAlign w:val="center"/>
          </w:tcPr>
          <w:p w14:paraId="3C2FE64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47" w:type="pct"/>
            <w:gridSpan w:val="2"/>
            <w:vAlign w:val="center"/>
          </w:tcPr>
          <w:p w14:paraId="6AE49AA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14:paraId="7FBA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381" w:type="pct"/>
            <w:vMerge w:val="continue"/>
          </w:tcPr>
          <w:p w14:paraId="0437BF44">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tc>
        <w:tc>
          <w:tcPr>
            <w:tcW w:w="701" w:type="pct"/>
            <w:vAlign w:val="center"/>
          </w:tcPr>
          <w:p w14:paraId="5362FE3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647" w:type="pct"/>
            <w:vAlign w:val="center"/>
          </w:tcPr>
          <w:p w14:paraId="21F5F2F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61" w:type="pct"/>
            <w:vAlign w:val="center"/>
          </w:tcPr>
          <w:p w14:paraId="42706AE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61" w:type="pct"/>
            <w:vAlign w:val="center"/>
          </w:tcPr>
          <w:p w14:paraId="7AC7A9B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39" w:type="pct"/>
            <w:vAlign w:val="center"/>
          </w:tcPr>
          <w:p w14:paraId="5DFDD1B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607" w:type="pct"/>
            <w:vAlign w:val="center"/>
          </w:tcPr>
          <w:p w14:paraId="3A0652F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14:paraId="316D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81" w:type="pct"/>
            <w:vAlign w:val="center"/>
          </w:tcPr>
          <w:p w14:paraId="7534048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701" w:type="pct"/>
            <w:vAlign w:val="center"/>
          </w:tcPr>
          <w:p w14:paraId="7783200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647" w:type="pct"/>
            <w:vAlign w:val="center"/>
          </w:tcPr>
          <w:p w14:paraId="54BC1D1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61" w:type="pct"/>
            <w:vAlign w:val="center"/>
          </w:tcPr>
          <w:p w14:paraId="04A0E0D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61" w:type="pct"/>
            <w:vAlign w:val="center"/>
          </w:tcPr>
          <w:p w14:paraId="4E75B0F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39" w:type="pct"/>
            <w:vAlign w:val="center"/>
          </w:tcPr>
          <w:p w14:paraId="747B086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607" w:type="pct"/>
            <w:vAlign w:val="center"/>
          </w:tcPr>
          <w:p w14:paraId="78CAD9C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14:paraId="3D19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3634DBA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701" w:type="pct"/>
            <w:vAlign w:val="center"/>
          </w:tcPr>
          <w:p w14:paraId="164F46C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647" w:type="pct"/>
            <w:vAlign w:val="center"/>
          </w:tcPr>
          <w:p w14:paraId="763E6D4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61" w:type="pct"/>
            <w:vAlign w:val="center"/>
          </w:tcPr>
          <w:p w14:paraId="6C7616F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61" w:type="pct"/>
            <w:vAlign w:val="center"/>
          </w:tcPr>
          <w:p w14:paraId="38E9659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39" w:type="pct"/>
            <w:vAlign w:val="center"/>
          </w:tcPr>
          <w:p w14:paraId="7DCA4FC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607" w:type="pct"/>
            <w:vAlign w:val="center"/>
          </w:tcPr>
          <w:p w14:paraId="0E5C0DB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14:paraId="6BA8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22D18A6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701" w:type="pct"/>
            <w:vAlign w:val="center"/>
          </w:tcPr>
          <w:p w14:paraId="34E1A0A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647" w:type="pct"/>
            <w:vAlign w:val="center"/>
          </w:tcPr>
          <w:p w14:paraId="7F34619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28D8787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1CD3680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39" w:type="pct"/>
            <w:vAlign w:val="center"/>
          </w:tcPr>
          <w:p w14:paraId="279D3BC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607" w:type="pct"/>
            <w:vAlign w:val="center"/>
          </w:tcPr>
          <w:p w14:paraId="2742585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14:paraId="40AA9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17D6F0D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701" w:type="pct"/>
            <w:vAlign w:val="center"/>
          </w:tcPr>
          <w:p w14:paraId="7435A46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647" w:type="pct"/>
            <w:vAlign w:val="center"/>
          </w:tcPr>
          <w:p w14:paraId="7909BDE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1AAAABC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111B6B4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39" w:type="pct"/>
            <w:vAlign w:val="center"/>
          </w:tcPr>
          <w:p w14:paraId="3E66BF0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607" w:type="pct"/>
            <w:vAlign w:val="center"/>
          </w:tcPr>
          <w:p w14:paraId="442DFF0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14:paraId="3A4F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24CAE95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701" w:type="pct"/>
            <w:vAlign w:val="center"/>
          </w:tcPr>
          <w:p w14:paraId="35CF0DF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647" w:type="pct"/>
            <w:vAlign w:val="center"/>
          </w:tcPr>
          <w:p w14:paraId="494F3E7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54465AD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6C3BA77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39" w:type="pct"/>
            <w:vAlign w:val="center"/>
          </w:tcPr>
          <w:p w14:paraId="2C4FF2C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607" w:type="pct"/>
            <w:vAlign w:val="center"/>
          </w:tcPr>
          <w:p w14:paraId="29FF8AA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14:paraId="7B24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3E3182B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701" w:type="pct"/>
            <w:vAlign w:val="center"/>
          </w:tcPr>
          <w:p w14:paraId="71459A0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647" w:type="pct"/>
            <w:vAlign w:val="center"/>
          </w:tcPr>
          <w:p w14:paraId="1853C77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35CB30B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38DDA6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39" w:type="pct"/>
            <w:vAlign w:val="center"/>
          </w:tcPr>
          <w:p w14:paraId="40D18C8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607" w:type="pct"/>
            <w:vAlign w:val="center"/>
          </w:tcPr>
          <w:p w14:paraId="31CA934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14:paraId="747B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054253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701" w:type="pct"/>
            <w:vAlign w:val="center"/>
          </w:tcPr>
          <w:p w14:paraId="47702DD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647" w:type="pct"/>
            <w:vAlign w:val="center"/>
          </w:tcPr>
          <w:p w14:paraId="4F3750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61" w:type="pct"/>
            <w:vAlign w:val="center"/>
          </w:tcPr>
          <w:p w14:paraId="6C5AC05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61" w:type="pct"/>
            <w:vAlign w:val="center"/>
          </w:tcPr>
          <w:p w14:paraId="6DEB0C3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39" w:type="pct"/>
            <w:vAlign w:val="center"/>
          </w:tcPr>
          <w:p w14:paraId="39AF878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607" w:type="pct"/>
            <w:vAlign w:val="center"/>
          </w:tcPr>
          <w:p w14:paraId="7994248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14:paraId="6F59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519CFB8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701" w:type="pct"/>
            <w:vAlign w:val="center"/>
          </w:tcPr>
          <w:p w14:paraId="41C0EDA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647" w:type="pct"/>
            <w:vAlign w:val="center"/>
          </w:tcPr>
          <w:p w14:paraId="0FD89F8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704860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61" w:type="pct"/>
            <w:vAlign w:val="center"/>
          </w:tcPr>
          <w:p w14:paraId="755DA7A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39" w:type="pct"/>
            <w:vAlign w:val="center"/>
          </w:tcPr>
          <w:p w14:paraId="3368428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607" w:type="pct"/>
            <w:vAlign w:val="center"/>
          </w:tcPr>
          <w:p w14:paraId="34EBB68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14:paraId="2F440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1" w:type="pct"/>
            <w:vAlign w:val="center"/>
          </w:tcPr>
          <w:p w14:paraId="02440C9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701" w:type="pct"/>
            <w:vAlign w:val="center"/>
          </w:tcPr>
          <w:p w14:paraId="2F037A7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647" w:type="pct"/>
            <w:vAlign w:val="center"/>
          </w:tcPr>
          <w:p w14:paraId="5F65475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61" w:type="pct"/>
            <w:vAlign w:val="center"/>
          </w:tcPr>
          <w:p w14:paraId="6B276D3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61" w:type="pct"/>
            <w:vAlign w:val="center"/>
          </w:tcPr>
          <w:p w14:paraId="2F65A77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39" w:type="pct"/>
            <w:vAlign w:val="center"/>
          </w:tcPr>
          <w:p w14:paraId="3F3B142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607" w:type="pct"/>
            <w:vAlign w:val="center"/>
          </w:tcPr>
          <w:p w14:paraId="640AF64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14:paraId="648D701F">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rPr>
      </w:pPr>
      <w:bookmarkStart w:id="56" w:name="_Toc2638"/>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56"/>
    </w:p>
    <w:p w14:paraId="63F9D485">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2830</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1320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46.64</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1510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53.36</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954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33.71</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color w:val="auto"/>
          <w:spacing w:val="-2"/>
          <w:sz w:val="32"/>
          <w:szCs w:val="32"/>
          <w:lang w:val="en-US" w:eastAsia="zh-CN"/>
        </w:rPr>
        <w:t>308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10.88</w:t>
      </w:r>
      <w:r>
        <w:rPr>
          <w:rFonts w:hint="eastAsia" w:ascii="仿宋_GB2312" w:hAnsi="仿宋_GB2312" w:eastAsia="仿宋_GB2312" w:cs="仿宋_GB2312"/>
          <w:bCs/>
          <w:color w:val="auto"/>
          <w:sz w:val="32"/>
          <w:szCs w:val="32"/>
        </w:rPr>
        <w:t xml:space="preserve">%。 </w:t>
      </w:r>
    </w:p>
    <w:p w14:paraId="341655E5">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2107"/>
        <w:gridCol w:w="733"/>
        <w:gridCol w:w="718"/>
        <w:gridCol w:w="1118"/>
        <w:gridCol w:w="896"/>
        <w:gridCol w:w="759"/>
        <w:gridCol w:w="1261"/>
        <w:gridCol w:w="750"/>
        <w:gridCol w:w="1264"/>
      </w:tblGrid>
      <w:tr w14:paraId="78AEC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8C9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780A7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59657">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2D83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38E6">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14:paraId="23D6E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061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93B2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68B04">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D748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CC9C">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B6D1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C25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14:paraId="21990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3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7D7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4257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5689">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419D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76D06">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396D">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747F2">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2004">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D413">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14:paraId="0BDA8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837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A5B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CFD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E09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29.14%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24D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CB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F7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15.76%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DF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27F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13.43%</w:t>
            </w:r>
          </w:p>
        </w:tc>
      </w:tr>
      <w:tr w14:paraId="1BF15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B39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E55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579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CA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5.30%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007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A63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411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2.83%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334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76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1.70%</w:t>
            </w:r>
          </w:p>
        </w:tc>
      </w:tr>
      <w:tr w14:paraId="1D3B0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BB4D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088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1B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9B1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34.44%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C64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C6B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F223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18.59%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9E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7E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15.12%</w:t>
            </w:r>
          </w:p>
        </w:tc>
      </w:tr>
      <w:tr w14:paraId="2E8DA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14:paraId="50F067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57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3E7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462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91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21.19%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FE1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6BC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288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FBB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10.18%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96D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288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51B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10.18%</w:t>
            </w:r>
          </w:p>
        </w:tc>
      </w:tr>
      <w:tr w14:paraId="7C179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5B8BD77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D5C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37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CDA2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D2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21.19%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22B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2FE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396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C43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13.99%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FC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FA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6.36%</w:t>
            </w:r>
          </w:p>
        </w:tc>
      </w:tr>
      <w:tr w14:paraId="04B53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021" w:type="dxa"/>
            <w:vMerge w:val="continue"/>
            <w:tcBorders>
              <w:left w:val="single" w:color="000000" w:sz="4" w:space="0"/>
              <w:right w:val="single" w:color="000000" w:sz="4" w:space="0"/>
            </w:tcBorders>
            <w:shd w:val="clear" w:color="auto" w:fill="auto"/>
            <w:vAlign w:val="center"/>
          </w:tcPr>
          <w:p w14:paraId="420A1EB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64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75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BA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826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6.62%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2B9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E68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90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A99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3.18%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F8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90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78D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3.18%</w:t>
            </w:r>
          </w:p>
        </w:tc>
      </w:tr>
      <w:tr w14:paraId="69BA9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46DCF5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107" w:type="dxa"/>
            <w:tcBorders>
              <w:top w:val="single" w:color="000000" w:sz="4" w:space="0"/>
              <w:left w:val="single" w:color="auto" w:sz="4" w:space="0"/>
              <w:bottom w:val="single" w:color="000000" w:sz="4" w:space="0"/>
              <w:right w:val="single" w:color="000000" w:sz="4" w:space="0"/>
            </w:tcBorders>
            <w:shd w:val="clear" w:color="auto" w:fill="auto"/>
            <w:vAlign w:val="center"/>
          </w:tcPr>
          <w:p w14:paraId="6F694F2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w:t>
            </w:r>
            <w:r>
              <w:rPr>
                <w:rFonts w:hint="eastAsia" w:ascii="仿宋_GB2312" w:hAnsi="仿宋_GB2312" w:eastAsia="仿宋_GB2312" w:cs="仿宋_GB2312"/>
                <w:i w:val="0"/>
                <w:iCs w:val="0"/>
                <w:color w:val="auto"/>
                <w:sz w:val="24"/>
                <w:szCs w:val="24"/>
                <w:u w:val="none"/>
                <w:lang w:val="en-US" w:eastAsia="zh-CN"/>
              </w:rPr>
              <w:t>性</w:t>
            </w:r>
            <w:r>
              <w:rPr>
                <w:rFonts w:hint="eastAsia" w:ascii="仿宋_GB2312" w:hAnsi="仿宋_GB2312" w:eastAsia="仿宋_GB2312" w:cs="仿宋_GB2312"/>
                <w:i w:val="0"/>
                <w:iCs w:val="0"/>
                <w:color w:val="auto"/>
                <w:sz w:val="24"/>
                <w:szCs w:val="24"/>
                <w:u w:val="none"/>
              </w:rPr>
              <w:t>教学环节</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4F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01F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17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16.56%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190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85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2E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0.71%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40A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2AC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18.52%</w:t>
            </w:r>
          </w:p>
        </w:tc>
      </w:tr>
      <w:tr w14:paraId="2D62F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14:paraId="61244FE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4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A083B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ED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99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5B9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65.56%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A2A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EE1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794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FF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28.06%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251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1082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F3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38.23%</w:t>
            </w:r>
          </w:p>
        </w:tc>
      </w:tr>
      <w:tr w14:paraId="010F4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7CF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771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151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C68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FE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2830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458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1320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D33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46.64%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BCD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1510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93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53.36%</w:t>
            </w:r>
          </w:p>
        </w:tc>
      </w:tr>
    </w:tbl>
    <w:p w14:paraId="2CE7C48A">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仿宋_GB2312" w:hAnsi="仿宋_GB2312" w:eastAsia="仿宋_GB2312" w:cs="仿宋_GB2312"/>
          <w:color w:val="auto"/>
          <w:sz w:val="32"/>
          <w:szCs w:val="32"/>
        </w:rPr>
      </w:pPr>
      <w:bookmarkStart w:id="57" w:name="_Toc230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57"/>
    </w:p>
    <w:p w14:paraId="18ECE38D">
      <w:pPr>
        <w:pStyle w:val="9"/>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57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2"/>
        <w:gridCol w:w="480"/>
        <w:gridCol w:w="480"/>
        <w:gridCol w:w="1318"/>
        <w:gridCol w:w="1759"/>
        <w:gridCol w:w="860"/>
        <w:gridCol w:w="790"/>
        <w:gridCol w:w="778"/>
        <w:gridCol w:w="751"/>
        <w:gridCol w:w="354"/>
        <w:gridCol w:w="354"/>
        <w:gridCol w:w="354"/>
        <w:gridCol w:w="354"/>
        <w:gridCol w:w="354"/>
        <w:gridCol w:w="1"/>
        <w:gridCol w:w="355"/>
        <w:gridCol w:w="633"/>
      </w:tblGrid>
      <w:tr w14:paraId="61FA2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0DEA3D">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0"/>
                <w:szCs w:val="20"/>
                <w:u w:val="none"/>
              </w:rPr>
            </w:pPr>
            <w:bookmarkStart w:id="58" w:name="OLE_LINK3"/>
            <w:r>
              <w:rPr>
                <w:rFonts w:hint="eastAsia" w:ascii="仿宋_GB2312" w:hAnsi="仿宋_GB2312" w:eastAsia="仿宋_GB2312" w:cs="仿宋_GB2312"/>
                <w:i w:val="0"/>
                <w:color w:val="auto"/>
                <w:kern w:val="0"/>
                <w:sz w:val="20"/>
                <w:szCs w:val="20"/>
                <w:u w:val="none"/>
                <w:lang w:val="en-US" w:eastAsia="zh-CN" w:bidi="ar"/>
              </w:rPr>
              <w:t>课程类型</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50D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序号</w:t>
            </w:r>
          </w:p>
        </w:tc>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793C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1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BB98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E0B5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学分</w:t>
            </w:r>
          </w:p>
        </w:tc>
        <w:tc>
          <w:tcPr>
            <w:tcW w:w="23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B5F9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12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C069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687E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考核类型</w:t>
            </w:r>
          </w:p>
        </w:tc>
      </w:tr>
      <w:tr w14:paraId="22DC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60DD3">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C705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8F0D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CF0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D90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3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5E58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1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3BE1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9978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656C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6FEC8">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231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9E7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A70A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C5C3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597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合计</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A0B4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340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5F0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6385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二</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40C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三</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8B1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四</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3B2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五</w:t>
            </w: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6FCE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105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52FB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C663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CEAF5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CDB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A5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2D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思想道德与法治</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2C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CFF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48</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FA5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A77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ED6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563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880A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5A7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8DA0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2C46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F84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DD67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F54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9329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1B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0B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1A410101102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7F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形势与政策</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FD1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85F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5D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10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8618A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8B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1788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982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99D1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07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807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1A410101103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11B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国家安全教育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89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C6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DA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A8C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1C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B17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B37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C0F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B79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7E3E8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83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B9DC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08C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4490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C22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E6F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1A410101104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EA5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军事理论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4A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31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6E45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0C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F0E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5D5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8D48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7D3A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DCC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1D4B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466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86FE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D0A3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06A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740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7B4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1C410101105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B6B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军训</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42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AC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112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88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2B9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112</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B08FB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12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F29A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186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AF5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51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97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C1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计算机基础</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B4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36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1A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C3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46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DE6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BF14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27BB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EE9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2EB0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7C9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FD39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32F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0A5A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D5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F4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A3D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高等数学</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4D1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09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A8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C27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DF1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78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FC76">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578C1">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DDDF2">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87D4D">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C4C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1B0C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D058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CD78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C8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09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1B410101108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F9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大学英语</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C7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D7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128</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2D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104</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F1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E85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4B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85D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42D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0E0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2D6A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A24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E2F4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C850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3397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2C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B57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1C410101109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D3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大学体育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230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A01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144</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A7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DC1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149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569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17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E6D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406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3570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33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465E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DF6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1F1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111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9B8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30B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大学生职业发展与就业指导</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9C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13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38</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E13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26</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89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3C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BFB3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91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143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F3E8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5B4B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09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3BF5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050C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5485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D2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79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5F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大学生心理健康教育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7F23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17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41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09F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AEA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11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776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388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0D41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A1D3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3BD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888A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A4CC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8345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7F3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86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1C410101112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FA09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劳动教育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3B0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74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AD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7A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D1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93E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nil"/>
              <w:left w:val="nil"/>
              <w:bottom w:val="nil"/>
              <w:right w:val="nil"/>
            </w:tcBorders>
            <w:shd w:val="clear" w:color="auto" w:fill="auto"/>
            <w:noWrap/>
            <w:vAlign w:val="center"/>
          </w:tcPr>
          <w:p w14:paraId="63A4C618">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274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DAD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361B3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325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C9DE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A635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2EFD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ED5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13</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582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40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毛泽东思想和中国特色社会主义理论体系概论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29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E5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37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EE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863E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C20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68A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23A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0FC0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49D6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96E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46703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16EF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8C13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AD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207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E50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创新创业教育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FA1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086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211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04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54D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987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nil"/>
              <w:left w:val="nil"/>
              <w:bottom w:val="nil"/>
              <w:right w:val="nil"/>
            </w:tcBorders>
            <w:shd w:val="clear" w:color="auto" w:fill="auto"/>
            <w:noWrap/>
            <w:vAlign w:val="center"/>
          </w:tcPr>
          <w:p w14:paraId="33A02480">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7FB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FBE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B09B0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CA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2DFC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E2C4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F91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119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15</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AD5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7B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习近平新时代中国特色社会主义思想概论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1D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CD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auto"/>
                <w:kern w:val="0"/>
                <w:sz w:val="20"/>
                <w:szCs w:val="20"/>
                <w:u w:val="none"/>
                <w:lang w:val="en-US" w:eastAsia="zh-CN" w:bidi="ar"/>
              </w:rPr>
              <w:t>48</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892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auto"/>
                <w:kern w:val="0"/>
                <w:sz w:val="20"/>
                <w:szCs w:val="20"/>
                <w:u w:val="none"/>
                <w:lang w:val="en-US" w:eastAsia="zh-CN" w:bidi="ar"/>
              </w:rPr>
              <w:t>40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2B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366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68F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460A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D5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37E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95A7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C67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52E8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E5EC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0A6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选修</w:t>
            </w:r>
          </w:p>
        </w:tc>
        <w:tc>
          <w:tcPr>
            <w:tcW w:w="480" w:type="dxa"/>
            <w:tcBorders>
              <w:top w:val="single" w:color="000000" w:sz="4" w:space="0"/>
              <w:left w:val="nil"/>
              <w:bottom w:val="single" w:color="000000" w:sz="4" w:space="0"/>
              <w:right w:val="single" w:color="000000" w:sz="4" w:space="0"/>
            </w:tcBorders>
            <w:shd w:val="clear" w:color="auto" w:fill="auto"/>
            <w:vAlign w:val="center"/>
          </w:tcPr>
          <w:p w14:paraId="61CBD2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AF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E4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中国民俗剪纸技法</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5A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15E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CBC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9B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2126" w:type="dxa"/>
            <w:gridSpan w:val="7"/>
            <w:vMerge w:val="restart"/>
            <w:tcBorders>
              <w:top w:val="single" w:color="000000" w:sz="4" w:space="0"/>
              <w:left w:val="single" w:color="000000" w:sz="4" w:space="0"/>
              <w:right w:val="single" w:color="000000" w:sz="4" w:space="0"/>
            </w:tcBorders>
            <w:shd w:val="clear" w:color="auto" w:fill="auto"/>
            <w:vAlign w:val="center"/>
          </w:tcPr>
          <w:p w14:paraId="3D4122E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sz w:val="20"/>
                <w:szCs w:val="20"/>
                <w:u w:val="none"/>
              </w:rPr>
              <w:t>公共选修课最低学分要求为 8学分，其中要求2个学分为思政选修课学分。</w:t>
            </w:r>
          </w:p>
          <w:p w14:paraId="553E30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15A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6D3F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E97A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1281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7D2BF0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A8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7C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影视与鉴赏</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57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198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EE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E2A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2126" w:type="dxa"/>
            <w:gridSpan w:val="7"/>
            <w:vMerge w:val="continue"/>
            <w:tcBorders>
              <w:left w:val="single" w:color="000000" w:sz="4" w:space="0"/>
              <w:right w:val="single" w:color="000000" w:sz="4" w:space="0"/>
            </w:tcBorders>
            <w:shd w:val="clear" w:color="auto" w:fill="auto"/>
            <w:vAlign w:val="center"/>
          </w:tcPr>
          <w:p w14:paraId="2D75F4C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79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1A6C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7911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BA56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6D69DC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1C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4D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中华优秀传统文化</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904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6C3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F8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74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14:paraId="74BC4EA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53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2962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F1F5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8A24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232D74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E0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36F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中国共产党简史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806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19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44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82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14:paraId="4495786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DE1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4BD8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15C5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AC3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5373BF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EF8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87C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改革开放简史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900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803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B4A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A4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14:paraId="294EFDC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FA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32B2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AF0D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B168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115DA9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310A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674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中华人民共和国简史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F6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044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616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8D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14:paraId="516E5FA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FB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AF1C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18D7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DD90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246C6D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94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6C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社会主义发展简史</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BA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E9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898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E6A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14:paraId="536649B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AE5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5372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9D93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0EB1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458B32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3CE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1A410101208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DB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中华民族共同体概论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49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D4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8E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E1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14:paraId="1C97519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9F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9D6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515C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1B71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44DF30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B2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1A410101210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86D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语文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C4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2B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8F9B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1945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14:paraId="420241C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31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BC13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6973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0CA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38055F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02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1A410101211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016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物理</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18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DA9C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4D09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F5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restart"/>
            <w:tcBorders>
              <w:left w:val="single" w:color="000000" w:sz="4" w:space="0"/>
              <w:right w:val="single" w:color="000000" w:sz="4" w:space="0"/>
            </w:tcBorders>
            <w:shd w:val="clear" w:color="auto" w:fill="auto"/>
            <w:vAlign w:val="center"/>
          </w:tcPr>
          <w:p w14:paraId="636871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A9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8208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7960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3763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nil"/>
              <w:bottom w:val="single" w:color="000000" w:sz="4" w:space="0"/>
              <w:right w:val="single" w:color="000000" w:sz="4" w:space="0"/>
            </w:tcBorders>
            <w:shd w:val="clear" w:color="auto" w:fill="auto"/>
            <w:vAlign w:val="center"/>
          </w:tcPr>
          <w:p w14:paraId="3FF379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B0C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1A410101212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291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化学</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2B6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72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26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9B5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bottom w:val="single" w:color="000000" w:sz="4" w:space="0"/>
              <w:right w:val="single" w:color="000000" w:sz="4" w:space="0"/>
            </w:tcBorders>
            <w:shd w:val="clear" w:color="auto" w:fill="auto"/>
            <w:vAlign w:val="center"/>
          </w:tcPr>
          <w:p w14:paraId="19466F2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333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3E4A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D8B8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255A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公共必修课程学分、学时小计</w:t>
            </w:r>
          </w:p>
        </w:tc>
        <w:tc>
          <w:tcPr>
            <w:tcW w:w="860" w:type="dxa"/>
            <w:tcBorders>
              <w:top w:val="nil"/>
              <w:left w:val="single" w:color="000000" w:sz="4" w:space="0"/>
              <w:bottom w:val="single" w:color="000000" w:sz="4" w:space="0"/>
              <w:right w:val="single" w:color="000000" w:sz="4" w:space="0"/>
            </w:tcBorders>
            <w:shd w:val="clear" w:color="auto" w:fill="auto"/>
            <w:vAlign w:val="center"/>
          </w:tcPr>
          <w:p w14:paraId="539FCD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44</w:t>
            </w:r>
          </w:p>
        </w:tc>
        <w:tc>
          <w:tcPr>
            <w:tcW w:w="790" w:type="dxa"/>
            <w:tcBorders>
              <w:top w:val="nil"/>
              <w:left w:val="single" w:color="000000" w:sz="4" w:space="0"/>
              <w:bottom w:val="single" w:color="000000" w:sz="4" w:space="0"/>
              <w:right w:val="single" w:color="000000" w:sz="4" w:space="0"/>
            </w:tcBorders>
            <w:shd w:val="clear" w:color="auto" w:fill="auto"/>
            <w:vAlign w:val="center"/>
          </w:tcPr>
          <w:p w14:paraId="0760BFA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826</w:t>
            </w:r>
          </w:p>
        </w:tc>
        <w:tc>
          <w:tcPr>
            <w:tcW w:w="778" w:type="dxa"/>
            <w:tcBorders>
              <w:top w:val="nil"/>
              <w:left w:val="single" w:color="000000" w:sz="4" w:space="0"/>
              <w:bottom w:val="single" w:color="000000" w:sz="4" w:space="0"/>
              <w:right w:val="single" w:color="000000" w:sz="4" w:space="0"/>
            </w:tcBorders>
            <w:shd w:val="clear" w:color="auto" w:fill="auto"/>
            <w:vAlign w:val="center"/>
          </w:tcPr>
          <w:p w14:paraId="7759CE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446</w:t>
            </w:r>
          </w:p>
        </w:tc>
        <w:tc>
          <w:tcPr>
            <w:tcW w:w="751" w:type="dxa"/>
            <w:tcBorders>
              <w:top w:val="nil"/>
              <w:left w:val="single" w:color="000000" w:sz="4" w:space="0"/>
              <w:bottom w:val="single" w:color="000000" w:sz="4" w:space="0"/>
              <w:right w:val="single" w:color="000000" w:sz="4" w:space="0"/>
            </w:tcBorders>
            <w:shd w:val="clear" w:color="auto" w:fill="auto"/>
            <w:vAlign w:val="center"/>
          </w:tcPr>
          <w:p w14:paraId="307A6A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380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27A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C2C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DF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2F6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14B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10D3A">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2BD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231CB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35FB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8BC9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公共必修课程学分、学时占比</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21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29.14%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74C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29.19%</w:t>
            </w:r>
          </w:p>
        </w:tc>
        <w:tc>
          <w:tcPr>
            <w:tcW w:w="778" w:type="dxa"/>
            <w:tcBorders>
              <w:top w:val="single" w:color="000000" w:sz="4" w:space="0"/>
              <w:left w:val="single" w:color="000000" w:sz="4" w:space="0"/>
              <w:bottom w:val="nil"/>
              <w:right w:val="single" w:color="000000" w:sz="4" w:space="0"/>
            </w:tcBorders>
            <w:shd w:val="clear" w:color="auto" w:fill="auto"/>
            <w:vAlign w:val="center"/>
          </w:tcPr>
          <w:p w14:paraId="1EE06B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33.79%</w:t>
            </w:r>
          </w:p>
        </w:tc>
        <w:tc>
          <w:tcPr>
            <w:tcW w:w="751" w:type="dxa"/>
            <w:tcBorders>
              <w:top w:val="single" w:color="000000" w:sz="4" w:space="0"/>
              <w:left w:val="single" w:color="000000" w:sz="4" w:space="0"/>
              <w:bottom w:val="nil"/>
              <w:right w:val="single" w:color="000000" w:sz="4" w:space="0"/>
            </w:tcBorders>
            <w:shd w:val="clear" w:color="auto" w:fill="auto"/>
            <w:vAlign w:val="center"/>
          </w:tcPr>
          <w:p w14:paraId="6E060B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25.17%</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2BE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955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304F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C8D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5A38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9C63">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A01D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4874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98EF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67D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公共选修课程学分、学时小计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C74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790" w:type="dxa"/>
            <w:tcBorders>
              <w:top w:val="single" w:color="000000" w:sz="4" w:space="0"/>
              <w:left w:val="single" w:color="000000" w:sz="4" w:space="0"/>
              <w:bottom w:val="single" w:color="000000" w:sz="4" w:space="0"/>
              <w:right w:val="nil"/>
            </w:tcBorders>
            <w:shd w:val="clear" w:color="auto" w:fill="auto"/>
            <w:vAlign w:val="center"/>
          </w:tcPr>
          <w:p w14:paraId="0C8B77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128</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42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021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B04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81E9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0D5B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68B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FD8D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ED33F">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BD1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00E90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985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8AEF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公共选修课程学分、学时占比</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CC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5.30%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1C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4.52%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CE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6.02%</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7B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3.19%</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524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DA7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4931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9BFD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C36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DAEA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91A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0AD01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23" w:type="dxa"/>
            <w:vMerge w:val="restart"/>
            <w:tcBorders>
              <w:top w:val="single" w:color="auto" w:sz="4" w:space="0"/>
              <w:left w:val="single" w:color="auto" w:sz="4" w:space="0"/>
              <w:right w:val="single" w:color="auto" w:sz="4" w:space="0"/>
            </w:tcBorders>
            <w:shd w:val="clear" w:color="auto" w:fill="auto"/>
            <w:vAlign w:val="center"/>
          </w:tcPr>
          <w:p w14:paraId="396C2F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专业课</w:t>
            </w:r>
          </w:p>
        </w:tc>
        <w:tc>
          <w:tcPr>
            <w:tcW w:w="382" w:type="dxa"/>
            <w:vMerge w:val="restart"/>
            <w:tcBorders>
              <w:top w:val="single" w:color="000000" w:sz="4" w:space="0"/>
              <w:left w:val="single" w:color="auto" w:sz="4" w:space="0"/>
              <w:bottom w:val="nil"/>
              <w:right w:val="single" w:color="000000" w:sz="4" w:space="0"/>
            </w:tcBorders>
            <w:shd w:val="clear" w:color="auto" w:fill="auto"/>
            <w:vAlign w:val="center"/>
          </w:tcPr>
          <w:p w14:paraId="2E45C0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专业基础课</w:t>
            </w:r>
          </w:p>
        </w:tc>
        <w:tc>
          <w:tcPr>
            <w:tcW w:w="480" w:type="dxa"/>
            <w:vMerge w:val="restart"/>
            <w:tcBorders>
              <w:top w:val="single" w:color="000000" w:sz="4" w:space="0"/>
              <w:left w:val="single" w:color="000000" w:sz="4" w:space="0"/>
              <w:bottom w:val="nil"/>
              <w:right w:val="single" w:color="000000" w:sz="4" w:space="0"/>
            </w:tcBorders>
            <w:shd w:val="clear" w:color="auto" w:fill="auto"/>
            <w:noWrap/>
            <w:vAlign w:val="center"/>
          </w:tcPr>
          <w:p w14:paraId="7574B2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A35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A74A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2B500201301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74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工程识图与CAD制图</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75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41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0F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464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57D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7AC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EA3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8E2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2B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7DB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7B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16AD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5315DFD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14:paraId="3DF2DF8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4FC19B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3C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E32F">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2B500201302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D0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工程测量技术</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19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2C1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941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C56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F1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26B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3B4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EFD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170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D61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16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16CB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699992F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14:paraId="53A02BE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1E3F6A2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B1A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46AB0">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2B500201303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CD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道路建筑材料</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51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F6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6F4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ADC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A3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D2A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0BE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31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8D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94B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D4C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B6A2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455BF11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14:paraId="68C6EF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43D9CD6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206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C81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2B500201304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561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数字技术与土木工程信息化</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5D1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CE35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F78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BA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D740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732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2C0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98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24B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451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DB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49979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5DF6D82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14:paraId="63FB35F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793FDF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A67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7763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2B440306302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EBA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工程力学</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A5D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FF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67C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675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94B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53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F5E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FC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AEC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9A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E2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65639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23" w:type="dxa"/>
            <w:vMerge w:val="continue"/>
            <w:tcBorders>
              <w:left w:val="single" w:color="auto" w:sz="4" w:space="0"/>
              <w:right w:val="single" w:color="auto" w:sz="4" w:space="0"/>
            </w:tcBorders>
            <w:shd w:val="clear" w:color="auto" w:fill="auto"/>
            <w:vAlign w:val="center"/>
          </w:tcPr>
          <w:p w14:paraId="7DC478A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14:paraId="07D00A9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9EF3FA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AB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7AFE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2B500201306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D7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工程岩土</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03F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A0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954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A8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27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C4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BD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558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09B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668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54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CE06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637C5AE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14:paraId="33C1196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03E6AB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480B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EAC7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2B500201307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D83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结构设计原理</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9B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54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6A4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7D3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7BF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32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B36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580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54D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F5D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69A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7089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323" w:type="dxa"/>
            <w:vMerge w:val="continue"/>
            <w:tcBorders>
              <w:left w:val="single" w:color="auto" w:sz="4" w:space="0"/>
              <w:right w:val="single" w:color="auto" w:sz="4" w:space="0"/>
            </w:tcBorders>
            <w:shd w:val="clear" w:color="auto" w:fill="auto"/>
            <w:vAlign w:val="center"/>
          </w:tcPr>
          <w:p w14:paraId="20812E0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A51379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3BC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F0A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2639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2B500201308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787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土力学与地基基础</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231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1F3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34B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F0A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E5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A6D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4D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F2D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7F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AA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49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781A7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56106F1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6151F1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54F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178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3B00">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2C4D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道路勘测设计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B6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D2C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F17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A3B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050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8DB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13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605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01B5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047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AC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B92E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14:paraId="6F615C4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92A5A5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F34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E8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79E6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249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公路施工安全管理</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CDE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5AC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752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034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7A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B43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CC3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65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2A2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F86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CCB0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DDF7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23D4EC4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039A27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D9B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F6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D4D1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343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桥梁下部结构施工</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8E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895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35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E18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2F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176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D7C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EC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B15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88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93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0AD34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14:paraId="767D85B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438108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F210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5A1D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9C82">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55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桥梁上部结构施工</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FA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7C0C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EB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C9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C74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BAA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EF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D9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29B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08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69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F157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jc w:val="center"/>
        </w:trPr>
        <w:tc>
          <w:tcPr>
            <w:tcW w:w="323" w:type="dxa"/>
            <w:vMerge w:val="continue"/>
            <w:tcBorders>
              <w:left w:val="single" w:color="auto" w:sz="4" w:space="0"/>
              <w:right w:val="single" w:color="auto" w:sz="4" w:space="0"/>
            </w:tcBorders>
            <w:shd w:val="clear" w:color="auto" w:fill="auto"/>
            <w:vAlign w:val="center"/>
          </w:tcPr>
          <w:p w14:paraId="3CC274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39DD23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B5C8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169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572D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1BC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公路工程施工放样</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D46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074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0EC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F0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36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7C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59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5E4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086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6D1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44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248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14:paraId="49A0980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9DE48C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40E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3F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B08F8">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E49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公路工程项目管理</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9A8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32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F1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D5E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18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C9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6B3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A8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531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2B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B41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1693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501FB06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5C6BE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A55E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52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E774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DA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路基路面工程施工</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912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C5E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7A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E4B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55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0E2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AA5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DF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EA2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D65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6F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83C2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3F3036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A0F23C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816F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04E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9664">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2B500201408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99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道桥BIM建模应用技术</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4D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14B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34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61B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627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5B8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A36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198C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73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63F7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5AD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B563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16EB642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46B170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auto"/>
                <w:kern w:val="0"/>
                <w:sz w:val="20"/>
                <w:szCs w:val="20"/>
                <w:u w:val="none"/>
                <w:lang w:val="en-US" w:eastAsia="zh-CN" w:bidi="ar"/>
              </w:rPr>
              <w:t>专业拓展课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A72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FA9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047B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2A500201501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D4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安全法律基础</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B9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C9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C6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CB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restart"/>
            <w:tcBorders>
              <w:top w:val="single" w:color="000000" w:sz="4" w:space="0"/>
              <w:left w:val="single" w:color="000000" w:sz="4" w:space="0"/>
              <w:right w:val="single" w:color="000000" w:sz="4" w:space="0"/>
            </w:tcBorders>
            <w:shd w:val="clear" w:color="auto" w:fill="auto"/>
            <w:noWrap/>
            <w:vAlign w:val="center"/>
          </w:tcPr>
          <w:p w14:paraId="0A32939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专业拓展课最低学分要求为10学分</w:t>
            </w:r>
          </w:p>
          <w:p w14:paraId="35D7E1C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156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0DD4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29B06D0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7F4C21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4E0B21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30B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B2D75">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D1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公路工程施工组织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35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40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13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D0E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1D2325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B411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4E61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0CC22C6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023A33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090DB24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E3E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27CF2">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01E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公路工程造价</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032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F48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BF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7C4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47CD39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B13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E658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58A9FF6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00DF1D3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5416EF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670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B6D7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80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路基路面工程试验与检测</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18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3B5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FF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29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01DB11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9663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6570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1095CFF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6DE6067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1B6F8A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793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E5E7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64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桥隧工程试验与检测</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75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46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4EE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B3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2C34E3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8C5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2FB2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09DCA54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1C6541D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3A2D859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06C5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289A">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E8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桥梁工程维修与加固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53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E18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6E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2D6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231A2D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CDF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BB14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3B12F4A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2DCD0E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578DB9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77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C764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8CB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公路施工监理</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C81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B6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62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E8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595260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7AA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CAE2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14:paraId="47D605A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629BD0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353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51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CC3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A7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公路沿线设施</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1F8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359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3F7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C1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61542E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3610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85B8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 w:hRule="atLeast"/>
          <w:jc w:val="center"/>
        </w:trPr>
        <w:tc>
          <w:tcPr>
            <w:tcW w:w="323" w:type="dxa"/>
            <w:vMerge w:val="continue"/>
            <w:tcBorders>
              <w:left w:val="single" w:color="auto" w:sz="4" w:space="0"/>
              <w:right w:val="single" w:color="auto" w:sz="4" w:space="0"/>
            </w:tcBorders>
            <w:shd w:val="clear" w:color="auto" w:fill="auto"/>
            <w:vAlign w:val="center"/>
          </w:tcPr>
          <w:p w14:paraId="620930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A989D2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C973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58D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4DA5">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2B500201509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5C9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公路养护与管理</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CE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B03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E0B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E4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746916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1D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318A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 w:hRule="atLeast"/>
          <w:jc w:val="center"/>
        </w:trPr>
        <w:tc>
          <w:tcPr>
            <w:tcW w:w="323" w:type="dxa"/>
            <w:vMerge w:val="continue"/>
            <w:tcBorders>
              <w:left w:val="single" w:color="auto" w:sz="4" w:space="0"/>
              <w:right w:val="single" w:color="auto" w:sz="4" w:space="0"/>
            </w:tcBorders>
            <w:shd w:val="clear" w:color="auto" w:fill="auto"/>
            <w:vAlign w:val="center"/>
          </w:tcPr>
          <w:p w14:paraId="3DC0E5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B5409A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156D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FA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CB8B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2A500201510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F3E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隧道工程概论</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ED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3D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2B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84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noWrap/>
            <w:vAlign w:val="center"/>
          </w:tcPr>
          <w:p w14:paraId="6F7EFB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71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8D04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 w:hRule="atLeast"/>
          <w:jc w:val="center"/>
        </w:trPr>
        <w:tc>
          <w:tcPr>
            <w:tcW w:w="323" w:type="dxa"/>
            <w:vMerge w:val="continue"/>
            <w:tcBorders>
              <w:left w:val="single" w:color="auto" w:sz="4" w:space="0"/>
              <w:right w:val="single" w:color="auto" w:sz="4" w:space="0"/>
            </w:tcBorders>
            <w:shd w:val="clear" w:color="auto" w:fill="auto"/>
            <w:vAlign w:val="center"/>
          </w:tcPr>
          <w:p w14:paraId="009214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B974E7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37F1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89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72F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2A500201511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CCD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铁路工程概论</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9E2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2C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15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78F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noWrap/>
            <w:vAlign w:val="center"/>
          </w:tcPr>
          <w:p w14:paraId="611280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F5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CF9C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 w:hRule="atLeast"/>
          <w:jc w:val="center"/>
        </w:trPr>
        <w:tc>
          <w:tcPr>
            <w:tcW w:w="323" w:type="dxa"/>
            <w:vMerge w:val="continue"/>
            <w:tcBorders>
              <w:left w:val="single" w:color="auto" w:sz="4" w:space="0"/>
              <w:right w:val="single" w:color="auto" w:sz="4" w:space="0"/>
            </w:tcBorders>
            <w:shd w:val="clear" w:color="auto" w:fill="auto"/>
            <w:vAlign w:val="center"/>
          </w:tcPr>
          <w:p w14:paraId="3EEF610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0B41F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D8DE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7C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1CA7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2C500201512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06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计算机辅助设计（CAD）</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7E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071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1D8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0</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3A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2126" w:type="dxa"/>
            <w:gridSpan w:val="7"/>
            <w:vMerge w:val="continue"/>
            <w:tcBorders>
              <w:left w:val="single" w:color="000000" w:sz="4" w:space="0"/>
              <w:right w:val="single" w:color="000000" w:sz="4" w:space="0"/>
            </w:tcBorders>
            <w:shd w:val="clear" w:color="auto" w:fill="auto"/>
            <w:noWrap/>
            <w:vAlign w:val="center"/>
          </w:tcPr>
          <w:p w14:paraId="24A640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ED4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6ECC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 w:hRule="atLeast"/>
          <w:jc w:val="center"/>
        </w:trPr>
        <w:tc>
          <w:tcPr>
            <w:tcW w:w="323" w:type="dxa"/>
            <w:vMerge w:val="continue"/>
            <w:tcBorders>
              <w:left w:val="single" w:color="auto" w:sz="4" w:space="0"/>
              <w:right w:val="single" w:color="auto" w:sz="4" w:space="0"/>
            </w:tcBorders>
            <w:shd w:val="clear" w:color="auto" w:fill="auto"/>
            <w:vAlign w:val="center"/>
          </w:tcPr>
          <w:p w14:paraId="0443EEA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tcBorders>
              <w:left w:val="single" w:color="auto" w:sz="4" w:space="0"/>
              <w:bottom w:val="single" w:color="000000" w:sz="4" w:space="0"/>
              <w:right w:val="single" w:color="000000" w:sz="4" w:space="0"/>
            </w:tcBorders>
            <w:shd w:val="clear" w:color="auto" w:fill="auto"/>
            <w:vAlign w:val="center"/>
          </w:tcPr>
          <w:p w14:paraId="2A7C5FC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14:paraId="49014FA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9E8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A473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2B500201513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27C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建筑工程定额与预算</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836C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1D7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AE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FF73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14:paraId="1A313D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6A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4FE5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 w:hRule="atLeast"/>
          <w:jc w:val="center"/>
        </w:trPr>
        <w:tc>
          <w:tcPr>
            <w:tcW w:w="323" w:type="dxa"/>
            <w:vMerge w:val="continue"/>
            <w:tcBorders>
              <w:left w:val="single" w:color="auto" w:sz="4" w:space="0"/>
              <w:right w:val="single" w:color="auto" w:sz="4" w:space="0"/>
            </w:tcBorders>
            <w:shd w:val="clear" w:color="auto" w:fill="auto"/>
            <w:vAlign w:val="center"/>
          </w:tcPr>
          <w:p w14:paraId="6DCA34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382" w:type="dxa"/>
            <w:vMerge w:val="continue"/>
            <w:tcBorders>
              <w:left w:val="single" w:color="auto" w:sz="4" w:space="0"/>
              <w:bottom w:val="single" w:color="000000" w:sz="4" w:space="0"/>
              <w:right w:val="single" w:color="000000" w:sz="4" w:space="0"/>
            </w:tcBorders>
            <w:shd w:val="clear" w:color="auto" w:fill="auto"/>
            <w:vAlign w:val="center"/>
          </w:tcPr>
          <w:p w14:paraId="1CB966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14:paraId="1D8F458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FF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069D6">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r>
              <w:rPr>
                <w:rFonts w:hint="eastAsia" w:ascii="宋体" w:hAnsi="宋体" w:cs="宋体"/>
                <w:i w:val="0"/>
                <w:iCs w:val="0"/>
                <w:color w:val="auto"/>
                <w:kern w:val="0"/>
                <w:sz w:val="20"/>
                <w:szCs w:val="20"/>
                <w:u w:val="none"/>
                <w:lang w:val="en-US" w:eastAsia="zh-CN" w:bidi="ar"/>
              </w:rPr>
              <w:t>A</w:t>
            </w:r>
            <w:r>
              <w:rPr>
                <w:rFonts w:hint="eastAsia" w:ascii="宋体" w:hAnsi="宋体" w:eastAsia="宋体" w:cs="宋体"/>
                <w:i w:val="0"/>
                <w:iCs w:val="0"/>
                <w:color w:val="auto"/>
                <w:kern w:val="0"/>
                <w:sz w:val="20"/>
                <w:szCs w:val="20"/>
                <w:u w:val="none"/>
                <w:lang w:val="en-US" w:eastAsia="zh-CN" w:bidi="ar"/>
              </w:rPr>
              <w:t>500201514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D6F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交通运输概论</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205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911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24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36</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114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default"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tcBorders>
              <w:left w:val="single" w:color="000000" w:sz="4" w:space="0"/>
              <w:bottom w:val="nil"/>
              <w:right w:val="single" w:color="000000" w:sz="4" w:space="0"/>
            </w:tcBorders>
            <w:shd w:val="clear" w:color="auto" w:fill="auto"/>
            <w:noWrap/>
            <w:vAlign w:val="center"/>
          </w:tcPr>
          <w:p w14:paraId="6BD38BF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82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340A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323" w:type="dxa"/>
            <w:vMerge w:val="continue"/>
            <w:tcBorders>
              <w:left w:val="single" w:color="auto" w:sz="4" w:space="0"/>
              <w:right w:val="single" w:color="auto" w:sz="4" w:space="0"/>
            </w:tcBorders>
            <w:shd w:val="clear" w:color="auto" w:fill="auto"/>
            <w:vAlign w:val="center"/>
          </w:tcPr>
          <w:p w14:paraId="6E18851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382" w:type="dxa"/>
            <w:vMerge w:val="restart"/>
            <w:tcBorders>
              <w:top w:val="single" w:color="000000" w:sz="4" w:space="0"/>
              <w:left w:val="single" w:color="auto" w:sz="4" w:space="0"/>
              <w:bottom w:val="single" w:color="auto" w:sz="4" w:space="0"/>
              <w:right w:val="single" w:color="000000" w:sz="4" w:space="0"/>
            </w:tcBorders>
            <w:shd w:val="clear" w:color="auto" w:fill="auto"/>
            <w:vAlign w:val="center"/>
          </w:tcPr>
          <w:p w14:paraId="36F4075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47E3A5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48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3A54E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3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ECA90B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2C440501601</w:t>
            </w:r>
          </w:p>
        </w:tc>
        <w:tc>
          <w:tcPr>
            <w:tcW w:w="1759" w:type="dxa"/>
            <w:tcBorders>
              <w:top w:val="single" w:color="000000" w:sz="4" w:space="0"/>
              <w:left w:val="single" w:color="000000" w:sz="4" w:space="0"/>
              <w:bottom w:val="single" w:color="auto" w:sz="4" w:space="0"/>
              <w:right w:val="single" w:color="000000" w:sz="4" w:space="0"/>
            </w:tcBorders>
            <w:shd w:val="clear" w:color="auto" w:fill="auto"/>
            <w:vAlign w:val="center"/>
          </w:tcPr>
          <w:p w14:paraId="68CBA6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土木实训</w:t>
            </w:r>
          </w:p>
        </w:tc>
        <w:tc>
          <w:tcPr>
            <w:tcW w:w="86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E8012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9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6E7B2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7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FB590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5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EED7C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D3A14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5930C2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C16AE5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D7D1A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58A7D2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tcBorders>
              <w:top w:val="single" w:color="000000" w:sz="4" w:space="0"/>
              <w:left w:val="single" w:color="000000" w:sz="4" w:space="0"/>
              <w:bottom w:val="single" w:color="auto" w:sz="4" w:space="0"/>
              <w:right w:val="single" w:color="000000" w:sz="4" w:space="0"/>
            </w:tcBorders>
            <w:shd w:val="clear" w:color="auto" w:fill="auto"/>
            <w:vAlign w:val="center"/>
          </w:tcPr>
          <w:p w14:paraId="4DFAFA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14:paraId="219A2E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2E72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466F72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4C240AA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4E79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174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5D5C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1B410101601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00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毕业设计</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3F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DE8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80</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D70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18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B3D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AC9B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0F5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841B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FB55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8BA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072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FBA0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1E24BAF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14:paraId="176FE8D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910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1FC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1276">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1C410101602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03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岗位实习</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BEAB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F6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37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95E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E0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093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D43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914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445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ED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6A1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AD3E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4742"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14:paraId="01B5A9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专业必修课程学分、学时小计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090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89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6CEF">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1696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B0A3">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704</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5DC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992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7573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1A02">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53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FB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DB7E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58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244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0964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47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810395">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专业必修课程学分、学时占比</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E1F4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58.94%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6EA6">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59.93%</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EB47">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53.33%</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9D4F3">
            <w:pPr>
              <w:keepNext w:val="0"/>
              <w:keepLines w:val="0"/>
              <w:widowControl/>
              <w:suppressLineNumbers w:val="0"/>
              <w:jc w:val="center"/>
              <w:textAlignment w:val="center"/>
              <w:rPr>
                <w:rFonts w:hint="default"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仿宋_GB2312" w:eastAsia="仿宋_GB2312" w:cs="仿宋_GB2312"/>
                <w:i w:val="0"/>
                <w:iCs w:val="0"/>
                <w:color w:val="auto"/>
                <w:spacing w:val="-20"/>
                <w:kern w:val="0"/>
                <w:sz w:val="20"/>
                <w:szCs w:val="20"/>
                <w:u w:val="none"/>
                <w:lang w:val="en-US" w:eastAsia="zh-CN" w:bidi="ar"/>
              </w:rPr>
              <w:t>65.70%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4A124">
            <w:pPr>
              <w:keepNext w:val="0"/>
              <w:keepLines w:val="0"/>
              <w:widowControl/>
              <w:suppressLineNumbers w:val="0"/>
              <w:jc w:val="center"/>
              <w:textAlignment w:val="center"/>
              <w:rPr>
                <w:rFonts w:hint="eastAsia" w:ascii="仿宋_GB2312" w:hAnsi="仿宋_GB2312" w:eastAsia="仿宋_GB2312" w:cs="仿宋_GB2312"/>
                <w:i w:val="0"/>
                <w:iCs w:val="0"/>
                <w:color w:val="auto"/>
                <w:w w:val="80"/>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51FBF">
            <w:pPr>
              <w:keepNext w:val="0"/>
              <w:keepLines w:val="0"/>
              <w:widowControl/>
              <w:suppressLineNumbers w:val="0"/>
              <w:jc w:val="center"/>
              <w:textAlignment w:val="center"/>
              <w:rPr>
                <w:rFonts w:hint="eastAsia" w:ascii="仿宋_GB2312" w:hAnsi="仿宋_GB2312" w:eastAsia="仿宋_GB2312" w:cs="仿宋_GB2312"/>
                <w:i w:val="0"/>
                <w:iCs w:val="0"/>
                <w:color w:val="auto"/>
                <w:w w:val="80"/>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90C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w w:val="80"/>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33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w w:val="80"/>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2C1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w w:val="80"/>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CAF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w w:val="80"/>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EB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w w:val="80"/>
                <w:kern w:val="0"/>
                <w:sz w:val="20"/>
                <w:szCs w:val="20"/>
                <w:u w:val="none"/>
                <w:lang w:val="en-US" w:eastAsia="zh-CN" w:bidi="ar"/>
              </w:rPr>
            </w:pPr>
          </w:p>
        </w:tc>
      </w:tr>
      <w:tr w14:paraId="4014C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47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D48259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专业拓展课程学分、学时小计</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26E2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4F43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180</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6E3A8">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90</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6F0E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F51C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3F68">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B0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0EA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F4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3DA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94E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6724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47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239C33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专业拓展课程学分、学时占比</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9640">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6.62%</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93EC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6.36%</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41C8F">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6.82%</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722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5.96%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58BF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984A">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C9E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3D5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BE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62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B5A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26F10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7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CCD0A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总学分、学时合计</w:t>
            </w:r>
          </w:p>
        </w:tc>
        <w:tc>
          <w:tcPr>
            <w:tcW w:w="860" w:type="dxa"/>
            <w:tcBorders>
              <w:top w:val="single" w:color="000000" w:sz="4" w:space="0"/>
              <w:left w:val="single" w:color="000000" w:sz="4" w:space="0"/>
              <w:bottom w:val="single" w:color="000000" w:sz="4" w:space="0"/>
              <w:right w:val="nil"/>
            </w:tcBorders>
            <w:shd w:val="clear" w:color="auto" w:fill="auto"/>
            <w:noWrap/>
            <w:vAlign w:val="center"/>
          </w:tcPr>
          <w:p w14:paraId="45A0B96D">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151</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5E6DF">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2830</w:t>
            </w:r>
          </w:p>
        </w:tc>
        <w:tc>
          <w:tcPr>
            <w:tcW w:w="778" w:type="dxa"/>
            <w:tcBorders>
              <w:top w:val="single" w:color="000000" w:sz="4" w:space="0"/>
              <w:left w:val="nil"/>
              <w:bottom w:val="single" w:color="000000" w:sz="4" w:space="0"/>
              <w:right w:val="single" w:color="000000" w:sz="4" w:space="0"/>
            </w:tcBorders>
            <w:shd w:val="clear" w:color="auto" w:fill="auto"/>
            <w:noWrap/>
            <w:vAlign w:val="center"/>
          </w:tcPr>
          <w:p w14:paraId="13AC5AFF">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1320</w:t>
            </w:r>
          </w:p>
        </w:tc>
        <w:tc>
          <w:tcPr>
            <w:tcW w:w="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D44AD">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1510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8E7CF">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88E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8B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DF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25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09B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887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bookmarkEnd w:id="58"/>
    </w:tbl>
    <w:p w14:paraId="251D4A1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59" w:name="_Toc21463"/>
      <w:bookmarkStart w:id="60" w:name="_Toc30103"/>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59"/>
      <w:bookmarkEnd w:id="60"/>
    </w:p>
    <w:p w14:paraId="785215B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7348EC2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61" w:name="_Toc31277"/>
      <w:r>
        <w:rPr>
          <w:rFonts w:hint="eastAsia" w:ascii="楷体" w:hAnsi="楷体" w:eastAsia="楷体" w:cs="楷体"/>
          <w:b w:val="0"/>
          <w:bCs w:val="0"/>
          <w:color w:val="auto"/>
          <w:kern w:val="2"/>
          <w:sz w:val="32"/>
          <w:szCs w:val="32"/>
          <w:lang w:val="en-US" w:eastAsia="zh-CN" w:bidi="ar-SA"/>
        </w:rPr>
        <w:t>（一）</w:t>
      </w:r>
      <w:r>
        <w:rPr>
          <w:rFonts w:hint="eastAsia" w:ascii="楷体" w:hAnsi="楷体" w:eastAsia="楷体" w:cs="楷体"/>
          <w:b w:val="0"/>
          <w:bCs w:val="0"/>
          <w:color w:val="auto"/>
          <w:sz w:val="32"/>
          <w:szCs w:val="32"/>
          <w:highlight w:val="none"/>
          <w:lang w:val="en-US" w:eastAsia="zh-CN"/>
        </w:rPr>
        <w:t>队伍结构</w:t>
      </w:r>
      <w:bookmarkEnd w:id="61"/>
    </w:p>
    <w:p w14:paraId="653DE6F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14:paraId="5CBED62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能够整合校内外优质人才资源，选聘企业高级技术人员担任行业导师，组建校企合作、专兼结合的教师团队，建立定期开展专业（学科）教研机制。 </w:t>
      </w:r>
    </w:p>
    <w:p w14:paraId="2556C91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62" w:name="_Toc16438"/>
      <w:r>
        <w:rPr>
          <w:rFonts w:hint="eastAsia" w:ascii="楷体" w:hAnsi="楷体" w:eastAsia="楷体" w:cs="楷体"/>
          <w:color w:val="auto"/>
          <w:kern w:val="2"/>
          <w:sz w:val="32"/>
          <w:szCs w:val="32"/>
          <w:lang w:val="en-US" w:eastAsia="zh-CN" w:bidi="ar-SA"/>
        </w:rPr>
        <w:t>（二）</w:t>
      </w:r>
      <w:r>
        <w:rPr>
          <w:rFonts w:hint="eastAsia" w:ascii="楷体" w:hAnsi="楷体" w:eastAsia="楷体" w:cs="楷体"/>
          <w:color w:val="auto"/>
          <w:sz w:val="32"/>
          <w:szCs w:val="32"/>
        </w:rPr>
        <w:t>专业带头人</w:t>
      </w:r>
      <w:bookmarkEnd w:id="62"/>
    </w:p>
    <w:p w14:paraId="704EEB9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专业带头人原则上应具有本专业及相关专业副高及以上职称和较强的实践能力，能够较好地把握国内外道路与桥梁专业及其他专业技术服务行业、专业发展，能广泛联系行业企业，了解行业企业对本专业人才的需求实际，主持专业建设、开展教育教学改革、教科研工作和社会服务能力强，在本专业改革发展中起引领作用。</w:t>
      </w:r>
    </w:p>
    <w:p w14:paraId="7D215F1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jc w:val="left"/>
        <w:textAlignment w:val="auto"/>
        <w:outlineLvl w:val="1"/>
        <w:rPr>
          <w:rFonts w:hint="eastAsia" w:ascii="楷体" w:hAnsi="楷体" w:eastAsia="楷体" w:cs="楷体"/>
          <w:color w:val="auto"/>
          <w:sz w:val="32"/>
          <w:szCs w:val="32"/>
        </w:rPr>
      </w:pPr>
      <w:bookmarkStart w:id="63" w:name="_Toc6832"/>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63"/>
    </w:p>
    <w:p w14:paraId="789B3ED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jc w:val="left"/>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64" w:name="_Toc19892"/>
      <w:r>
        <w:rPr>
          <w:rFonts w:hint="eastAsia" w:ascii="仿宋_GB2312" w:hAnsi="仿宋_GB2312" w:eastAsia="仿宋_GB2312" w:cs="仿宋_GB2312"/>
          <w:b w:val="0"/>
          <w:bCs w:val="0"/>
          <w:color w:val="auto"/>
          <w:sz w:val="32"/>
          <w:szCs w:val="32"/>
          <w:highlight w:val="none"/>
          <w:lang w:val="en-US" w:eastAsia="zh-CN"/>
        </w:rPr>
        <w:t>专任教师应具有高校教师资格；原则上具有交通运输类、管桥梁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 5 年累计不少于 6 个月的企业实践经历。</w:t>
      </w:r>
      <w:bookmarkEnd w:id="64"/>
    </w:p>
    <w:p w14:paraId="57EFB20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jc w:val="left"/>
        <w:textAlignment w:val="auto"/>
        <w:outlineLvl w:val="1"/>
        <w:rPr>
          <w:rFonts w:hint="eastAsia" w:ascii="楷体" w:hAnsi="楷体" w:eastAsia="楷体" w:cs="楷体"/>
          <w:color w:val="auto"/>
          <w:sz w:val="32"/>
          <w:szCs w:val="32"/>
        </w:rPr>
      </w:pPr>
      <w:bookmarkStart w:id="65" w:name="_Toc21695"/>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65"/>
    </w:p>
    <w:p w14:paraId="6A0F4C9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黑体" w:hAnsi="黑体" w:eastAsia="黑体" w:cs="黑体"/>
          <w:color w:val="auto"/>
          <w:sz w:val="32"/>
          <w:szCs w:val="32"/>
          <w:lang w:val="en-US" w:eastAsia="zh-CN"/>
        </w:rPr>
      </w:pPr>
      <w:bookmarkStart w:id="66" w:name="_Toc31380"/>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69E5E46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67" w:name="_Toc26890"/>
      <w:r>
        <w:rPr>
          <w:rFonts w:hint="eastAsia" w:ascii="黑体" w:hAnsi="黑体" w:eastAsia="黑体" w:cs="黑体"/>
          <w:color w:val="auto"/>
          <w:sz w:val="32"/>
          <w:szCs w:val="32"/>
          <w:lang w:val="en-US" w:eastAsia="zh-CN"/>
        </w:rPr>
        <w:t>十、教学条件</w:t>
      </w:r>
      <w:bookmarkEnd w:id="66"/>
      <w:bookmarkEnd w:id="67"/>
    </w:p>
    <w:p w14:paraId="1678B7F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68" w:name="_Toc21206"/>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68"/>
    </w:p>
    <w:p w14:paraId="452C025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14:paraId="47EDC79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9" w:name="_Toc30878"/>
      <w:r>
        <w:rPr>
          <w:rFonts w:hint="eastAsia" w:ascii="仿宋_GB2312" w:hAnsi="仿宋_GB2312" w:eastAsia="仿宋_GB2312" w:cs="仿宋_GB2312"/>
          <w:color w:val="auto"/>
          <w:sz w:val="32"/>
          <w:szCs w:val="32"/>
        </w:rPr>
        <w:t>1.专业教室要求</w:t>
      </w:r>
      <w:bookmarkEnd w:id="69"/>
    </w:p>
    <w:p w14:paraId="0C642AA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14:paraId="704D88A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14:paraId="0E026F8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rPr>
      </w:pPr>
      <w:bookmarkStart w:id="70" w:name="_Toc6193"/>
      <w:r>
        <w:rPr>
          <w:rFonts w:hint="eastAsia" w:ascii="仿宋_GB2312" w:hAnsi="仿宋_GB2312" w:eastAsia="仿宋_GB2312" w:cs="仿宋_GB2312"/>
          <w:color w:val="auto"/>
          <w:sz w:val="32"/>
          <w:szCs w:val="32"/>
        </w:rPr>
        <w:t>2.校内实训资源</w:t>
      </w:r>
      <w:bookmarkEnd w:id="70"/>
    </w:p>
    <w:p w14:paraId="1BC15EF5">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1"/>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616"/>
        <w:gridCol w:w="1523"/>
        <w:gridCol w:w="4048"/>
        <w:gridCol w:w="880"/>
      </w:tblGrid>
      <w:tr w14:paraId="09900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7" w:type="dxa"/>
            <w:vAlign w:val="center"/>
          </w:tcPr>
          <w:p w14:paraId="780E6BD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序号</w:t>
            </w:r>
          </w:p>
        </w:tc>
        <w:tc>
          <w:tcPr>
            <w:tcW w:w="1293" w:type="dxa"/>
            <w:vAlign w:val="center"/>
          </w:tcPr>
          <w:p w14:paraId="76A0C3B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实验实训室名称</w:t>
            </w:r>
          </w:p>
        </w:tc>
        <w:tc>
          <w:tcPr>
            <w:tcW w:w="1616" w:type="dxa"/>
            <w:vAlign w:val="center"/>
          </w:tcPr>
          <w:p w14:paraId="2E48890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实训适用课程</w:t>
            </w:r>
          </w:p>
        </w:tc>
        <w:tc>
          <w:tcPr>
            <w:tcW w:w="1523" w:type="dxa"/>
            <w:vAlign w:val="center"/>
          </w:tcPr>
          <w:p w14:paraId="366D73C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实训项目</w:t>
            </w:r>
          </w:p>
        </w:tc>
        <w:tc>
          <w:tcPr>
            <w:tcW w:w="4048" w:type="dxa"/>
            <w:vAlign w:val="center"/>
          </w:tcPr>
          <w:p w14:paraId="7432D26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主要设备名称及配置数量</w:t>
            </w:r>
          </w:p>
        </w:tc>
        <w:tc>
          <w:tcPr>
            <w:tcW w:w="880" w:type="dxa"/>
            <w:vAlign w:val="center"/>
          </w:tcPr>
          <w:p w14:paraId="407724D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工位数</w:t>
            </w:r>
          </w:p>
        </w:tc>
      </w:tr>
      <w:tr w14:paraId="0157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46E5148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
              </w:rPr>
              <w:t>1</w:t>
            </w:r>
          </w:p>
        </w:tc>
        <w:tc>
          <w:tcPr>
            <w:tcW w:w="1293" w:type="dxa"/>
            <w:vAlign w:val="center"/>
          </w:tcPr>
          <w:p w14:paraId="27E2AA6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沥青试验实训室</w:t>
            </w:r>
          </w:p>
        </w:tc>
        <w:tc>
          <w:tcPr>
            <w:tcW w:w="1616" w:type="dxa"/>
            <w:vAlign w:val="center"/>
          </w:tcPr>
          <w:p w14:paraId="78B3AAC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路基路面工程；道路桥梁检测技术；桥梁工程</w:t>
            </w:r>
          </w:p>
        </w:tc>
        <w:tc>
          <w:tcPr>
            <w:tcW w:w="1523" w:type="dxa"/>
            <w:vAlign w:val="center"/>
          </w:tcPr>
          <w:p w14:paraId="7BED35C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
              </w:rPr>
              <w:t>沥青混合料性能试验</w:t>
            </w:r>
          </w:p>
        </w:tc>
        <w:tc>
          <w:tcPr>
            <w:tcW w:w="4048" w:type="dxa"/>
            <w:vAlign w:val="top"/>
          </w:tcPr>
          <w:p w14:paraId="0C40B22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针入度仪3台、延度仪1台、自动软化点仪1台、旋转薄膜烘箱1台、自动击实仪1台、试验室用沥青混合料拌和机1台、脱模器1台、沥青混合料马歇尔试验仪1台、轮碾成型机1台、车辙试验机1台、燃烧炉1台</w:t>
            </w:r>
          </w:p>
        </w:tc>
        <w:tc>
          <w:tcPr>
            <w:tcW w:w="880" w:type="dxa"/>
            <w:vAlign w:val="center"/>
          </w:tcPr>
          <w:p w14:paraId="064BC21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10</w:t>
            </w:r>
          </w:p>
        </w:tc>
      </w:tr>
      <w:tr w14:paraId="7862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313E37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
              </w:rPr>
              <w:t>2</w:t>
            </w:r>
          </w:p>
        </w:tc>
        <w:tc>
          <w:tcPr>
            <w:tcW w:w="1293" w:type="dxa"/>
            <w:vAlign w:val="center"/>
          </w:tcPr>
          <w:p w14:paraId="320C97E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计算机实训室</w:t>
            </w:r>
          </w:p>
          <w:p w14:paraId="22341C4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p>
        </w:tc>
        <w:tc>
          <w:tcPr>
            <w:tcW w:w="1616" w:type="dxa"/>
            <w:vAlign w:val="center"/>
          </w:tcPr>
          <w:p w14:paraId="0370769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计算机辅助设计（CAD）；</w:t>
            </w:r>
          </w:p>
          <w:p w14:paraId="0EDF70B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道桥施工识图</w:t>
            </w:r>
          </w:p>
        </w:tc>
        <w:tc>
          <w:tcPr>
            <w:tcW w:w="1523" w:type="dxa"/>
            <w:vAlign w:val="center"/>
          </w:tcPr>
          <w:p w14:paraId="2E20A86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
              </w:rPr>
              <w:t>工程</w:t>
            </w:r>
            <w:r>
              <w:rPr>
                <w:rFonts w:hint="eastAsia" w:ascii="仿宋_GB2312" w:hAnsi="仿宋_GB2312" w:eastAsia="仿宋_GB2312" w:cs="仿宋_GB2312"/>
                <w:color w:val="auto"/>
                <w:sz w:val="24"/>
                <w:lang w:val="en-US" w:eastAsia="zh-CN"/>
              </w:rPr>
              <w:t>识</w:t>
            </w:r>
            <w:r>
              <w:rPr>
                <w:rFonts w:hint="eastAsia" w:ascii="仿宋_GB2312" w:hAnsi="仿宋_GB2312" w:eastAsia="仿宋_GB2312" w:cs="仿宋_GB2312"/>
                <w:color w:val="auto"/>
                <w:sz w:val="24"/>
                <w:lang w:val="en-US" w:eastAsia="zh"/>
              </w:rPr>
              <w:t>图与制图</w:t>
            </w:r>
          </w:p>
        </w:tc>
        <w:tc>
          <w:tcPr>
            <w:tcW w:w="4048" w:type="dxa"/>
            <w:vAlign w:val="center"/>
          </w:tcPr>
          <w:p w14:paraId="3601A75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服务器1台、交换机1台以及可运行AutoCAD软件的服务器1台、交换机1台以及可运行AutoCAD软件的计算机80台</w:t>
            </w:r>
          </w:p>
        </w:tc>
        <w:tc>
          <w:tcPr>
            <w:tcW w:w="880" w:type="dxa"/>
            <w:vAlign w:val="center"/>
          </w:tcPr>
          <w:p w14:paraId="3628D35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80</w:t>
            </w:r>
          </w:p>
        </w:tc>
      </w:tr>
      <w:tr w14:paraId="11B6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18FA83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
              </w:rPr>
              <w:t>3</w:t>
            </w:r>
          </w:p>
        </w:tc>
        <w:tc>
          <w:tcPr>
            <w:tcW w:w="1293" w:type="dxa"/>
            <w:vAlign w:val="center"/>
          </w:tcPr>
          <w:p w14:paraId="48CB694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测绘仪器室</w:t>
            </w:r>
          </w:p>
        </w:tc>
        <w:tc>
          <w:tcPr>
            <w:tcW w:w="1616" w:type="dxa"/>
            <w:vAlign w:val="center"/>
          </w:tcPr>
          <w:p w14:paraId="4FB1AE0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测量学；公路勘测设计</w:t>
            </w:r>
          </w:p>
        </w:tc>
        <w:tc>
          <w:tcPr>
            <w:tcW w:w="1523" w:type="dxa"/>
            <w:vAlign w:val="center"/>
          </w:tcPr>
          <w:p w14:paraId="7080E71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道路施工放样和测量仪器使用</w:t>
            </w:r>
          </w:p>
        </w:tc>
        <w:tc>
          <w:tcPr>
            <w:tcW w:w="4048" w:type="dxa"/>
            <w:vAlign w:val="center"/>
          </w:tcPr>
          <w:p w14:paraId="1CD74F1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自动安平水准仪25台、数字水准仪10台、DJ6经纬仪30台、全站仪20台、GPS - RTK 9台</w:t>
            </w:r>
          </w:p>
        </w:tc>
        <w:tc>
          <w:tcPr>
            <w:tcW w:w="880" w:type="dxa"/>
            <w:vAlign w:val="center"/>
          </w:tcPr>
          <w:p w14:paraId="136557B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r w14:paraId="0FEC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A777C8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
              </w:rPr>
              <w:t>4</w:t>
            </w:r>
          </w:p>
        </w:tc>
        <w:tc>
          <w:tcPr>
            <w:tcW w:w="1293" w:type="dxa"/>
            <w:vAlign w:val="center"/>
          </w:tcPr>
          <w:p w14:paraId="51F1086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土工实训室</w:t>
            </w:r>
          </w:p>
        </w:tc>
        <w:tc>
          <w:tcPr>
            <w:tcW w:w="1616" w:type="dxa"/>
            <w:vAlign w:val="center"/>
          </w:tcPr>
          <w:p w14:paraId="7CF0944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路基路面工程；道路桥梁检测技术；桥梁工程；土力学与地基基础</w:t>
            </w:r>
          </w:p>
        </w:tc>
        <w:tc>
          <w:tcPr>
            <w:tcW w:w="1523" w:type="dxa"/>
            <w:vAlign w:val="center"/>
          </w:tcPr>
          <w:p w14:paraId="46563BA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土工试验</w:t>
            </w:r>
          </w:p>
        </w:tc>
        <w:tc>
          <w:tcPr>
            <w:tcW w:w="4048" w:type="dxa"/>
            <w:vAlign w:val="top"/>
          </w:tcPr>
          <w:p w14:paraId="3E58629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液塑限联合测定仪1台、标准击实仪1、路面材料强度仪1台、应变控制式直剪仪1台、饰面砖粘结强度检测仪5台、公路路面回弹弯沉仪2台</w:t>
            </w:r>
          </w:p>
        </w:tc>
        <w:tc>
          <w:tcPr>
            <w:tcW w:w="880" w:type="dxa"/>
            <w:vAlign w:val="center"/>
          </w:tcPr>
          <w:p w14:paraId="30D0605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r w14:paraId="15BF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7367923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5</w:t>
            </w:r>
          </w:p>
        </w:tc>
        <w:tc>
          <w:tcPr>
            <w:tcW w:w="1293" w:type="dxa"/>
            <w:vAlign w:val="center"/>
          </w:tcPr>
          <w:p w14:paraId="21FDA5D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砼实验室</w:t>
            </w:r>
          </w:p>
        </w:tc>
        <w:tc>
          <w:tcPr>
            <w:tcW w:w="1616" w:type="dxa"/>
            <w:vAlign w:val="center"/>
          </w:tcPr>
          <w:p w14:paraId="062F262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路基路面工程；道路桥梁检测技术；桥梁工程</w:t>
            </w:r>
          </w:p>
        </w:tc>
        <w:tc>
          <w:tcPr>
            <w:tcW w:w="1523" w:type="dxa"/>
            <w:vAlign w:val="center"/>
          </w:tcPr>
          <w:p w14:paraId="7BACFFA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水泥及水泥混凝土性能试验检测</w:t>
            </w:r>
          </w:p>
        </w:tc>
        <w:tc>
          <w:tcPr>
            <w:tcW w:w="4048" w:type="dxa"/>
            <w:vAlign w:val="top"/>
          </w:tcPr>
          <w:p w14:paraId="54C2C85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砂浆搅拌机1台、强制式单卧轴混凝土搅拌机1台、标准法维卡仪1台、沸煮箱1台、雷氏夹膨胀仪1台、湿气养护箱1台、胶砂搅拌机1台、振实台1台、抗折试验机和抗折夹具1台、抗压试验机和抗压夹具1台、抗弯拉试验装置1台、负压筛析仪1台</w:t>
            </w:r>
          </w:p>
        </w:tc>
        <w:tc>
          <w:tcPr>
            <w:tcW w:w="880" w:type="dxa"/>
            <w:vAlign w:val="center"/>
          </w:tcPr>
          <w:p w14:paraId="3FDC380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r w14:paraId="564F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479BBE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w:t>
            </w:r>
          </w:p>
        </w:tc>
        <w:tc>
          <w:tcPr>
            <w:tcW w:w="1293" w:type="dxa"/>
            <w:vAlign w:val="center"/>
          </w:tcPr>
          <w:p w14:paraId="5AC9791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建筑材料检测实训中心</w:t>
            </w:r>
          </w:p>
        </w:tc>
        <w:tc>
          <w:tcPr>
            <w:tcW w:w="1616" w:type="dxa"/>
            <w:vAlign w:val="center"/>
          </w:tcPr>
          <w:p w14:paraId="06FDD60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路基路面工程；道路桥梁检测技术；桥梁工程</w:t>
            </w:r>
          </w:p>
        </w:tc>
        <w:tc>
          <w:tcPr>
            <w:tcW w:w="1523" w:type="dxa"/>
            <w:vAlign w:val="center"/>
          </w:tcPr>
          <w:p w14:paraId="48E38FB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道路桥梁工程现场检测</w:t>
            </w:r>
          </w:p>
        </w:tc>
        <w:tc>
          <w:tcPr>
            <w:tcW w:w="4048" w:type="dxa"/>
            <w:vAlign w:val="top"/>
          </w:tcPr>
          <w:p w14:paraId="3D5A908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台、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ascii="仿宋_GB2312" w:hAnsi="仿宋_GB2312" w:eastAsia="仿宋_GB2312" w:cs="仿宋_GB2312"/>
                <w:color w:val="auto"/>
                <w:sz w:val="24"/>
                <w:highlight w:val="none"/>
                <w:lang w:val="en-US" w:eastAsia="zh-CN"/>
              </w:rPr>
              <w:t>塌落度</w:t>
            </w:r>
            <w:r>
              <w:rPr>
                <w:rFonts w:hint="eastAsia" w:ascii="仿宋_GB2312" w:hAnsi="仿宋_GB2312" w:eastAsia="仿宋_GB2312" w:cs="仿宋_GB2312"/>
                <w:color w:val="auto"/>
                <w:sz w:val="24"/>
                <w:lang w:val="en-US" w:eastAsia="zh-CN"/>
              </w:rPr>
              <w:t>筒12台、新标准方孔砂子筛12套</w:t>
            </w:r>
          </w:p>
        </w:tc>
        <w:tc>
          <w:tcPr>
            <w:tcW w:w="880" w:type="dxa"/>
            <w:vAlign w:val="center"/>
          </w:tcPr>
          <w:p w14:paraId="30FD67B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30</w:t>
            </w:r>
          </w:p>
        </w:tc>
      </w:tr>
      <w:tr w14:paraId="7B514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65898E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7</w:t>
            </w:r>
          </w:p>
        </w:tc>
        <w:tc>
          <w:tcPr>
            <w:tcW w:w="1293" w:type="dxa"/>
            <w:vAlign w:val="center"/>
          </w:tcPr>
          <w:p w14:paraId="5A15D0F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建筑材料力学实验室</w:t>
            </w:r>
          </w:p>
        </w:tc>
        <w:tc>
          <w:tcPr>
            <w:tcW w:w="1616" w:type="dxa"/>
            <w:vAlign w:val="center"/>
          </w:tcPr>
          <w:p w14:paraId="66AFAD1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建筑力学与结构</w:t>
            </w:r>
          </w:p>
        </w:tc>
        <w:tc>
          <w:tcPr>
            <w:tcW w:w="1523" w:type="dxa"/>
            <w:vAlign w:val="center"/>
          </w:tcPr>
          <w:p w14:paraId="4B1B9CD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钢筋抗拉强度、抗弯强度、混凝土强度试验、胶砂强度检测</w:t>
            </w:r>
          </w:p>
        </w:tc>
        <w:tc>
          <w:tcPr>
            <w:tcW w:w="4048" w:type="dxa"/>
            <w:vAlign w:val="top"/>
          </w:tcPr>
          <w:p w14:paraId="3533011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万能材料试验机20台、电液伺服万能试验机18台、电脑全自动恒应力压力试验机8台、全自动恒应力一体机5台</w:t>
            </w:r>
          </w:p>
        </w:tc>
        <w:tc>
          <w:tcPr>
            <w:tcW w:w="880" w:type="dxa"/>
            <w:vAlign w:val="center"/>
          </w:tcPr>
          <w:p w14:paraId="1DCCA9F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80</w:t>
            </w:r>
          </w:p>
        </w:tc>
      </w:tr>
    </w:tbl>
    <w:p w14:paraId="69DA45D7">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bookmarkStart w:id="71" w:name="_Toc5988"/>
      <w:r>
        <w:rPr>
          <w:rFonts w:hint="eastAsia" w:ascii="仿宋_GB2312" w:hAnsi="仿宋_GB2312" w:eastAsia="仿宋_GB2312" w:cs="仿宋_GB2312"/>
          <w:color w:val="auto"/>
          <w:sz w:val="32"/>
          <w:szCs w:val="32"/>
        </w:rPr>
        <w:t>3.校外实训资源</w:t>
      </w:r>
      <w:bookmarkEnd w:id="71"/>
    </w:p>
    <w:p w14:paraId="3DC84594">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14:paraId="5A19D0E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具有稳定的校外实训基地2个以上；能够开展工程测量、材料试验、工程质检、工程施工、工程预算等实训活动；实训设施齐备，实训岗位、实训指导教师确定，实训管理及实施规章制度齐全。</w:t>
      </w:r>
    </w:p>
    <w:p w14:paraId="11C83345">
      <w:pPr>
        <w:pageBreakBefore w:val="0"/>
        <w:numPr>
          <w:ilvl w:val="0"/>
          <w:numId w:val="2"/>
        </w:numPr>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学生实习基地基本要求</w:t>
      </w:r>
    </w:p>
    <w:p w14:paraId="40B979F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具有稳定的校外实习基地</w:t>
      </w:r>
      <w:r>
        <w:rPr>
          <w:rFonts w:hint="eastAsia" w:ascii="仿宋_GB2312" w:hAnsi="仿宋_GB2312" w:eastAsia="仿宋_GB2312" w:cs="仿宋_GB2312"/>
          <w:color w:val="auto"/>
          <w:sz w:val="32"/>
          <w:szCs w:val="32"/>
          <w:lang w:val="en-US" w:eastAsia="zh-CN"/>
        </w:rPr>
        <w:t>2个以上</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能提供</w:t>
      </w:r>
      <w:r>
        <w:rPr>
          <w:rFonts w:hint="eastAsia" w:ascii="仿宋_GB2312" w:hAnsi="仿宋_GB2312" w:eastAsia="仿宋_GB2312" w:cs="仿宋_GB2312"/>
          <w:color w:val="auto"/>
          <w:sz w:val="32"/>
          <w:szCs w:val="32"/>
          <w:lang w:eastAsia="zh"/>
        </w:rPr>
        <w:t>施工员、实验员，预算员</w:t>
      </w:r>
      <w:r>
        <w:rPr>
          <w:rFonts w:hint="eastAsia" w:ascii="仿宋_GB2312" w:hAnsi="仿宋_GB2312" w:eastAsia="仿宋_GB2312" w:cs="仿宋_GB2312"/>
          <w:color w:val="auto"/>
          <w:sz w:val="32"/>
          <w:szCs w:val="32"/>
        </w:rPr>
        <w:t>等相关实习岗位，能涵盖当前相关产业的主流技术，可接纳一定规模的学生实习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能够配备相应数量的指导教师对学生实习进行指导和管理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有保证实习生日常工作、学习、生活的规章制度，有安全、保险保障。</w:t>
      </w:r>
    </w:p>
    <w:p w14:paraId="424EAB85">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1"/>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816"/>
        <w:gridCol w:w="2044"/>
        <w:gridCol w:w="2662"/>
        <w:gridCol w:w="1048"/>
      </w:tblGrid>
      <w:tr w14:paraId="67D61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noWrap w:val="0"/>
            <w:vAlign w:val="center"/>
          </w:tcPr>
          <w:p w14:paraId="6A63C37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vertAlign w:val="baseline"/>
                <w:lang w:eastAsia="zh-CN"/>
              </w:rPr>
              <w:t>序号</w:t>
            </w:r>
          </w:p>
        </w:tc>
        <w:tc>
          <w:tcPr>
            <w:tcW w:w="2816" w:type="dxa"/>
            <w:noWrap w:val="0"/>
            <w:vAlign w:val="center"/>
          </w:tcPr>
          <w:p w14:paraId="14C33F6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lang w:val="en-US" w:eastAsia="zh-CN"/>
              </w:rPr>
              <w:t>校外实习基地</w:t>
            </w:r>
            <w:r>
              <w:rPr>
                <w:rFonts w:hint="eastAsia" w:ascii="Times New Roman" w:hAnsi="Times New Roman" w:eastAsia="仿宋" w:cs="仿宋"/>
                <w:b w:val="0"/>
                <w:bCs w:val="0"/>
                <w:color w:val="auto"/>
                <w:sz w:val="24"/>
                <w:szCs w:val="24"/>
                <w:highlight w:val="none"/>
                <w:vertAlign w:val="baseline"/>
                <w:lang w:eastAsia="zh-CN"/>
              </w:rPr>
              <w:t>名称</w:t>
            </w:r>
          </w:p>
        </w:tc>
        <w:tc>
          <w:tcPr>
            <w:tcW w:w="2044" w:type="dxa"/>
            <w:noWrap w:val="0"/>
            <w:vAlign w:val="center"/>
          </w:tcPr>
          <w:p w14:paraId="02284E3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vertAlign w:val="baseline"/>
                <w:lang w:eastAsia="zh-CN"/>
              </w:rPr>
              <w:t>合作企业名称</w:t>
            </w:r>
          </w:p>
        </w:tc>
        <w:tc>
          <w:tcPr>
            <w:tcW w:w="2662" w:type="dxa"/>
            <w:noWrap w:val="0"/>
            <w:vAlign w:val="center"/>
          </w:tcPr>
          <w:p w14:paraId="0A72787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1048" w:type="dxa"/>
            <w:noWrap w:val="0"/>
            <w:vAlign w:val="center"/>
          </w:tcPr>
          <w:p w14:paraId="44BEDF9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vertAlign w:val="baseline"/>
                <w:lang w:eastAsia="zh-CN"/>
              </w:rPr>
              <w:t>接纳学生实习人次</w:t>
            </w:r>
          </w:p>
        </w:tc>
      </w:tr>
      <w:tr w14:paraId="7E4E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noWrap w:val="0"/>
            <w:vAlign w:val="center"/>
          </w:tcPr>
          <w:p w14:paraId="159CBF4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
              </w:rPr>
            </w:pPr>
            <w:r>
              <w:rPr>
                <w:rFonts w:hint="eastAsia" w:ascii="Times New Roman" w:hAnsi="Times New Roman" w:eastAsia="仿宋" w:cs="仿宋"/>
                <w:b w:val="0"/>
                <w:bCs w:val="0"/>
                <w:color w:val="auto"/>
                <w:sz w:val="24"/>
                <w:szCs w:val="24"/>
                <w:highlight w:val="none"/>
                <w:vertAlign w:val="baseline"/>
                <w:lang w:eastAsia="zh"/>
              </w:rPr>
              <w:t>1</w:t>
            </w:r>
          </w:p>
        </w:tc>
        <w:tc>
          <w:tcPr>
            <w:tcW w:w="2816" w:type="dxa"/>
            <w:noWrap w:val="0"/>
            <w:vAlign w:val="center"/>
          </w:tcPr>
          <w:p w14:paraId="5EC3E1F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vertAlign w:val="baseline"/>
                <w:lang w:eastAsia="zh-CN"/>
              </w:rPr>
              <w:t>广西工程职业学院</w:t>
            </w:r>
            <w:r>
              <w:rPr>
                <w:rFonts w:hint="eastAsia" w:ascii="Times New Roman" w:hAnsi="Times New Roman" w:eastAsia="仿宋" w:cs="仿宋"/>
                <w:b w:val="0"/>
                <w:bCs w:val="0"/>
                <w:color w:val="auto"/>
                <w:sz w:val="24"/>
                <w:szCs w:val="24"/>
                <w:highlight w:val="none"/>
                <w:vertAlign w:val="baseline"/>
                <w:lang w:eastAsia="zh"/>
              </w:rPr>
              <w:t>道路与桥梁工程技术</w:t>
            </w:r>
            <w:r>
              <w:rPr>
                <w:rFonts w:hint="eastAsia" w:ascii="Times New Roman" w:hAnsi="Times New Roman" w:eastAsia="仿宋" w:cs="仿宋"/>
                <w:b w:val="0"/>
                <w:bCs w:val="0"/>
                <w:color w:val="auto"/>
                <w:sz w:val="24"/>
                <w:szCs w:val="24"/>
                <w:highlight w:val="none"/>
                <w:lang w:val="en-US" w:eastAsia="zh-CN"/>
              </w:rPr>
              <w:t>专业校外实习基地</w:t>
            </w:r>
          </w:p>
        </w:tc>
        <w:tc>
          <w:tcPr>
            <w:tcW w:w="2044" w:type="dxa"/>
            <w:noWrap w:val="0"/>
            <w:vAlign w:val="center"/>
          </w:tcPr>
          <w:p w14:paraId="7F9AAA6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
              </w:rPr>
            </w:pPr>
            <w:r>
              <w:rPr>
                <w:rFonts w:hint="eastAsia" w:ascii="Times New Roman" w:hAnsi="Times New Roman" w:eastAsia="仿宋" w:cs="仿宋"/>
                <w:b w:val="0"/>
                <w:bCs w:val="0"/>
                <w:color w:val="auto"/>
                <w:sz w:val="24"/>
                <w:szCs w:val="24"/>
                <w:highlight w:val="none"/>
                <w:vertAlign w:val="baseline"/>
                <w:lang w:eastAsia="zh"/>
              </w:rPr>
              <w:t>广西联润建设工程有限公司</w:t>
            </w:r>
          </w:p>
        </w:tc>
        <w:tc>
          <w:tcPr>
            <w:tcW w:w="2662" w:type="dxa"/>
            <w:noWrap w:val="0"/>
            <w:vAlign w:val="center"/>
          </w:tcPr>
          <w:p w14:paraId="2A7D44E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left"/>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vertAlign w:val="baseline"/>
                <w:lang w:eastAsia="zh"/>
              </w:rPr>
              <w:t>参与路基路面施工、桥梁下部结构施工等现场工作，负责施工日志记录、现场技术交底辅助、路基压实度检测等实操任务；提供真实施工图纸、施工组织设计文件等实训素材</w:t>
            </w:r>
            <w:r>
              <w:rPr>
                <w:rFonts w:hint="eastAsia" w:eastAsia="仿宋" w:cs="仿宋"/>
                <w:b w:val="0"/>
                <w:bCs w:val="0"/>
                <w:color w:val="auto"/>
                <w:sz w:val="24"/>
                <w:szCs w:val="24"/>
                <w:highlight w:val="none"/>
                <w:vertAlign w:val="baseline"/>
                <w:lang w:eastAsia="zh-CN"/>
              </w:rPr>
              <w:t>。</w:t>
            </w:r>
          </w:p>
        </w:tc>
        <w:tc>
          <w:tcPr>
            <w:tcW w:w="1048" w:type="dxa"/>
            <w:noWrap w:val="0"/>
            <w:vAlign w:val="center"/>
          </w:tcPr>
          <w:p w14:paraId="4579703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val="en-US" w:eastAsia="zh-CN"/>
              </w:rPr>
            </w:pPr>
            <w:r>
              <w:rPr>
                <w:rFonts w:hint="eastAsia" w:ascii="Times New Roman" w:hAnsi="Times New Roman" w:eastAsia="仿宋" w:cs="仿宋"/>
                <w:b w:val="0"/>
                <w:bCs w:val="0"/>
                <w:color w:val="auto"/>
                <w:sz w:val="24"/>
                <w:szCs w:val="24"/>
                <w:highlight w:val="none"/>
                <w:vertAlign w:val="baseline"/>
                <w:lang w:val="en-US" w:eastAsia="zh-CN"/>
              </w:rPr>
              <w:t>40</w:t>
            </w:r>
          </w:p>
        </w:tc>
      </w:tr>
      <w:tr w14:paraId="3AFF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noWrap w:val="0"/>
            <w:vAlign w:val="center"/>
          </w:tcPr>
          <w:p w14:paraId="5D1C32A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
              </w:rPr>
            </w:pPr>
            <w:r>
              <w:rPr>
                <w:rFonts w:hint="eastAsia" w:ascii="Times New Roman" w:hAnsi="Times New Roman" w:eastAsia="仿宋" w:cs="仿宋"/>
                <w:b w:val="0"/>
                <w:bCs w:val="0"/>
                <w:color w:val="auto"/>
                <w:sz w:val="24"/>
                <w:szCs w:val="24"/>
                <w:highlight w:val="none"/>
                <w:vertAlign w:val="baseline"/>
                <w:lang w:eastAsia="zh"/>
              </w:rPr>
              <w:t>2</w:t>
            </w:r>
          </w:p>
        </w:tc>
        <w:tc>
          <w:tcPr>
            <w:tcW w:w="2816" w:type="dxa"/>
            <w:noWrap w:val="0"/>
            <w:vAlign w:val="center"/>
          </w:tcPr>
          <w:p w14:paraId="265F359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rPr>
            </w:pPr>
            <w:r>
              <w:rPr>
                <w:rFonts w:hint="eastAsia" w:ascii="Times New Roman" w:hAnsi="Times New Roman" w:eastAsia="仿宋" w:cs="仿宋"/>
                <w:b w:val="0"/>
                <w:bCs w:val="0"/>
                <w:color w:val="auto"/>
                <w:sz w:val="24"/>
                <w:szCs w:val="24"/>
                <w:highlight w:val="none"/>
                <w:vertAlign w:val="baseline"/>
                <w:lang w:eastAsia="zh-CN"/>
              </w:rPr>
              <w:t>广西工程职业学院</w:t>
            </w:r>
            <w:r>
              <w:rPr>
                <w:rFonts w:hint="eastAsia" w:ascii="Times New Roman" w:hAnsi="Times New Roman" w:eastAsia="仿宋" w:cs="仿宋"/>
                <w:b w:val="0"/>
                <w:bCs w:val="0"/>
                <w:color w:val="auto"/>
                <w:sz w:val="24"/>
                <w:szCs w:val="24"/>
                <w:highlight w:val="none"/>
                <w:vertAlign w:val="baseline"/>
                <w:lang w:eastAsia="zh"/>
              </w:rPr>
              <w:t>道路与桥梁工程技术</w:t>
            </w:r>
            <w:r>
              <w:rPr>
                <w:rFonts w:hint="eastAsia" w:ascii="Times New Roman" w:hAnsi="Times New Roman" w:eastAsia="仿宋" w:cs="仿宋"/>
                <w:b w:val="0"/>
                <w:bCs w:val="0"/>
                <w:color w:val="auto"/>
                <w:sz w:val="24"/>
                <w:szCs w:val="24"/>
                <w:highlight w:val="none"/>
                <w:lang w:val="en-US" w:eastAsia="zh-CN"/>
              </w:rPr>
              <w:t>专业校外实习基地</w:t>
            </w:r>
          </w:p>
        </w:tc>
        <w:tc>
          <w:tcPr>
            <w:tcW w:w="2044" w:type="dxa"/>
            <w:noWrap w:val="0"/>
            <w:vAlign w:val="center"/>
          </w:tcPr>
          <w:p w14:paraId="53DD699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
              </w:rPr>
            </w:pPr>
            <w:r>
              <w:rPr>
                <w:rFonts w:hint="eastAsia" w:ascii="Times New Roman" w:hAnsi="Times New Roman" w:eastAsia="仿宋" w:cs="仿宋"/>
                <w:b w:val="0"/>
                <w:bCs w:val="0"/>
                <w:color w:val="auto"/>
                <w:sz w:val="24"/>
                <w:szCs w:val="24"/>
                <w:highlight w:val="none"/>
                <w:vertAlign w:val="baseline"/>
                <w:lang w:eastAsia="zh"/>
              </w:rPr>
              <w:t>广西路桥工程集团有限公司</w:t>
            </w:r>
          </w:p>
        </w:tc>
        <w:tc>
          <w:tcPr>
            <w:tcW w:w="2662" w:type="dxa"/>
            <w:noWrap w:val="0"/>
            <w:vAlign w:val="top"/>
          </w:tcPr>
          <w:p w14:paraId="08E034E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left"/>
              <w:textAlignment w:val="auto"/>
              <w:rPr>
                <w:rFonts w:hint="eastAsia" w:ascii="Times New Roman" w:hAnsi="Times New Roman" w:eastAsia="仿宋" w:cs="仿宋"/>
                <w:b w:val="0"/>
                <w:bCs w:val="0"/>
                <w:color w:val="auto"/>
                <w:sz w:val="24"/>
                <w:szCs w:val="24"/>
                <w:highlight w:val="none"/>
                <w:vertAlign w:val="baseline"/>
              </w:rPr>
            </w:pPr>
            <w:r>
              <w:rPr>
                <w:rFonts w:hint="eastAsia" w:eastAsia="仿宋" w:cs="仿宋"/>
                <w:b w:val="0"/>
                <w:bCs w:val="0"/>
                <w:color w:val="auto"/>
                <w:sz w:val="24"/>
                <w:szCs w:val="24"/>
                <w:highlight w:val="none"/>
                <w:vertAlign w:val="baseline"/>
                <w:lang w:val="en-US" w:eastAsia="zh-CN"/>
              </w:rPr>
              <w:t>提供</w:t>
            </w:r>
            <w:r>
              <w:rPr>
                <w:rFonts w:hint="eastAsia" w:ascii="Times New Roman" w:hAnsi="Times New Roman" w:eastAsia="仿宋" w:cs="仿宋"/>
                <w:b w:val="0"/>
                <w:bCs w:val="0"/>
                <w:color w:val="auto"/>
                <w:sz w:val="24"/>
                <w:szCs w:val="24"/>
                <w:highlight w:val="none"/>
                <w:vertAlign w:val="baseline"/>
                <w:lang w:eastAsia="zh"/>
              </w:rPr>
              <w:t>高速公路项目的施工管理、预制梁场管控、桩基检测等工作；开放企业 “路桥施工 BIM 技术中心”，让学生学习 BIM 在道桥施工中的进度模拟、碰撞检测等应用。</w:t>
            </w:r>
          </w:p>
        </w:tc>
        <w:tc>
          <w:tcPr>
            <w:tcW w:w="1048" w:type="dxa"/>
            <w:noWrap w:val="0"/>
            <w:vAlign w:val="center"/>
          </w:tcPr>
          <w:p w14:paraId="2B7FED4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val="en-US" w:eastAsia="zh-CN"/>
              </w:rPr>
            </w:pPr>
            <w:r>
              <w:rPr>
                <w:rFonts w:hint="eastAsia" w:ascii="Times New Roman" w:hAnsi="Times New Roman" w:eastAsia="仿宋" w:cs="仿宋"/>
                <w:b w:val="0"/>
                <w:bCs w:val="0"/>
                <w:color w:val="auto"/>
                <w:sz w:val="24"/>
                <w:szCs w:val="24"/>
                <w:highlight w:val="none"/>
                <w:vertAlign w:val="baseline"/>
                <w:lang w:val="en-US" w:eastAsia="zh-CN"/>
              </w:rPr>
              <w:t>40</w:t>
            </w:r>
          </w:p>
        </w:tc>
      </w:tr>
      <w:tr w14:paraId="4927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noWrap w:val="0"/>
            <w:vAlign w:val="center"/>
          </w:tcPr>
          <w:p w14:paraId="164A489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val="en-US" w:eastAsia="zh-CN"/>
              </w:rPr>
            </w:pPr>
            <w:r>
              <w:rPr>
                <w:rFonts w:hint="eastAsia" w:ascii="Times New Roman" w:hAnsi="Times New Roman" w:eastAsia="仿宋" w:cs="仿宋"/>
                <w:b w:val="0"/>
                <w:bCs w:val="0"/>
                <w:color w:val="auto"/>
                <w:sz w:val="24"/>
                <w:szCs w:val="24"/>
                <w:highlight w:val="none"/>
                <w:vertAlign w:val="baseline"/>
                <w:lang w:val="en-US" w:eastAsia="zh-CN"/>
              </w:rPr>
              <w:t>3</w:t>
            </w:r>
          </w:p>
        </w:tc>
        <w:tc>
          <w:tcPr>
            <w:tcW w:w="2816" w:type="dxa"/>
            <w:noWrap w:val="0"/>
            <w:vAlign w:val="center"/>
          </w:tcPr>
          <w:p w14:paraId="04F3780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vertAlign w:val="baseline"/>
                <w:lang w:eastAsia="zh-CN"/>
              </w:rPr>
              <w:t>广西工程职业学院</w:t>
            </w:r>
            <w:r>
              <w:rPr>
                <w:rFonts w:hint="eastAsia" w:ascii="Times New Roman" w:hAnsi="Times New Roman" w:eastAsia="仿宋" w:cs="仿宋"/>
                <w:b w:val="0"/>
                <w:bCs w:val="0"/>
                <w:color w:val="auto"/>
                <w:sz w:val="24"/>
                <w:szCs w:val="24"/>
                <w:highlight w:val="none"/>
                <w:vertAlign w:val="baseline"/>
                <w:lang w:eastAsia="zh"/>
              </w:rPr>
              <w:t>道路与桥梁工程技术</w:t>
            </w:r>
            <w:r>
              <w:rPr>
                <w:rFonts w:hint="eastAsia" w:ascii="Times New Roman" w:hAnsi="Times New Roman" w:eastAsia="仿宋" w:cs="仿宋"/>
                <w:b w:val="0"/>
                <w:bCs w:val="0"/>
                <w:color w:val="auto"/>
                <w:sz w:val="24"/>
                <w:szCs w:val="24"/>
                <w:highlight w:val="none"/>
                <w:lang w:val="en-US" w:eastAsia="zh-CN"/>
              </w:rPr>
              <w:t>专业校外实习基地</w:t>
            </w:r>
          </w:p>
        </w:tc>
        <w:tc>
          <w:tcPr>
            <w:tcW w:w="2044" w:type="dxa"/>
            <w:noWrap w:val="0"/>
            <w:vAlign w:val="center"/>
          </w:tcPr>
          <w:p w14:paraId="28D26FC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right="0"/>
              <w:jc w:val="center"/>
              <w:textAlignment w:val="auto"/>
              <w:rPr>
                <w:rFonts w:hint="eastAsia" w:ascii="Times New Roman" w:hAnsi="Times New Roman" w:eastAsia="仿宋" w:cs="仿宋"/>
                <w:b w:val="0"/>
                <w:bCs w:val="0"/>
                <w:color w:val="auto"/>
                <w:sz w:val="24"/>
                <w:szCs w:val="24"/>
                <w:highlight w:val="none"/>
                <w:vertAlign w:val="baseline"/>
                <w:lang w:eastAsia="zh"/>
              </w:rPr>
            </w:pPr>
            <w:r>
              <w:rPr>
                <w:rFonts w:hint="eastAsia" w:ascii="Times New Roman" w:hAnsi="Times New Roman" w:eastAsia="仿宋" w:cs="仿宋"/>
                <w:b w:val="0"/>
                <w:bCs w:val="0"/>
                <w:color w:val="auto"/>
                <w:sz w:val="24"/>
                <w:szCs w:val="24"/>
                <w:highlight w:val="none"/>
                <w:vertAlign w:val="baseline"/>
                <w:lang w:eastAsia="zh"/>
              </w:rPr>
              <w:t>广西华铝建设工程有限公司</w:t>
            </w:r>
          </w:p>
        </w:tc>
        <w:tc>
          <w:tcPr>
            <w:tcW w:w="2662" w:type="dxa"/>
            <w:noWrap w:val="0"/>
            <w:vAlign w:val="top"/>
          </w:tcPr>
          <w:p w14:paraId="40FA13B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 w:cs="仿宋"/>
                <w:b w:val="0"/>
                <w:bCs w:val="0"/>
                <w:color w:val="auto"/>
                <w:sz w:val="24"/>
                <w:szCs w:val="24"/>
                <w:highlight w:val="none"/>
                <w:vertAlign w:val="baseline"/>
                <w:lang w:eastAsia="zh-CN"/>
              </w:rPr>
            </w:pPr>
            <w:r>
              <w:rPr>
                <w:rFonts w:hint="eastAsia" w:ascii="Times New Roman" w:hAnsi="Times New Roman" w:eastAsia="仿宋" w:cs="仿宋"/>
                <w:b w:val="0"/>
                <w:bCs w:val="0"/>
                <w:color w:val="auto"/>
                <w:sz w:val="24"/>
                <w:szCs w:val="24"/>
                <w:highlight w:val="none"/>
                <w:vertAlign w:val="baseline"/>
                <w:lang w:eastAsia="zh"/>
              </w:rPr>
              <w:t>参与产业园区道路、配套桥梁项目的施工、检测与造价管控工作，负责园区道路平整度检测、桥梁支座安装辅助、工程资料整理等任务</w:t>
            </w:r>
            <w:r>
              <w:rPr>
                <w:rFonts w:hint="eastAsia" w:eastAsia="仿宋" w:cs="仿宋"/>
                <w:b w:val="0"/>
                <w:bCs w:val="0"/>
                <w:color w:val="auto"/>
                <w:sz w:val="24"/>
                <w:szCs w:val="24"/>
                <w:highlight w:val="none"/>
                <w:vertAlign w:val="baseline"/>
                <w:lang w:eastAsia="zh-CN"/>
              </w:rPr>
              <w:t>。</w:t>
            </w:r>
          </w:p>
        </w:tc>
        <w:tc>
          <w:tcPr>
            <w:tcW w:w="1048" w:type="dxa"/>
            <w:noWrap w:val="0"/>
            <w:vAlign w:val="center"/>
          </w:tcPr>
          <w:p w14:paraId="34A457E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 w:cs="仿宋"/>
                <w:b w:val="0"/>
                <w:bCs w:val="0"/>
                <w:color w:val="auto"/>
                <w:sz w:val="24"/>
                <w:szCs w:val="24"/>
                <w:highlight w:val="none"/>
                <w:vertAlign w:val="baseline"/>
                <w:lang w:val="en-US" w:eastAsia="zh-CN"/>
              </w:rPr>
            </w:pPr>
            <w:r>
              <w:rPr>
                <w:rFonts w:hint="eastAsia" w:ascii="Times New Roman" w:hAnsi="Times New Roman" w:eastAsia="仿宋" w:cs="仿宋"/>
                <w:b w:val="0"/>
                <w:bCs w:val="0"/>
                <w:color w:val="auto"/>
                <w:sz w:val="24"/>
                <w:szCs w:val="24"/>
                <w:highlight w:val="none"/>
                <w:vertAlign w:val="baseline"/>
                <w:lang w:val="en-US" w:eastAsia="zh-CN"/>
              </w:rPr>
              <w:t>40</w:t>
            </w:r>
          </w:p>
        </w:tc>
      </w:tr>
    </w:tbl>
    <w:p w14:paraId="7601835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72" w:name="_Toc3579"/>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72"/>
    </w:p>
    <w:p w14:paraId="2A3D7415">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14:paraId="4BD3F35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73" w:name="_Toc25558"/>
      <w:r>
        <w:rPr>
          <w:rFonts w:hint="eastAsia" w:ascii="仿宋_GB2312" w:hAnsi="仿宋_GB2312" w:eastAsia="仿宋_GB2312" w:cs="仿宋_GB2312"/>
          <w:color w:val="auto"/>
          <w:sz w:val="32"/>
          <w:szCs w:val="32"/>
        </w:rPr>
        <w:t>1.教材选用基本要求</w:t>
      </w:r>
      <w:bookmarkEnd w:id="73"/>
    </w:p>
    <w:p w14:paraId="02214BA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强化意识形态审查，杜绝政治导向问题或内容陈旧、拼凑的教材。</w:t>
      </w:r>
    </w:p>
    <w:p w14:paraId="7E7CEED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6D84FD8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74" w:name="_Toc13012"/>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图书文献配备基本要求</w:t>
      </w:r>
      <w:bookmarkEnd w:id="74"/>
    </w:p>
    <w:p w14:paraId="1BD96296">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
          <w:b w:val="0"/>
          <w:bCs w:val="0"/>
          <w:color w:val="auto"/>
          <w:sz w:val="32"/>
          <w:szCs w:val="32"/>
          <w:highlight w:val="none"/>
          <w:lang w:val="en-US" w:eastAsia="zh-CN"/>
        </w:rPr>
      </w:pPr>
      <w:r>
        <w:rPr>
          <w:rFonts w:hint="eastAsia" w:ascii="Times New Roman" w:hAnsi="Times New Roman" w:eastAsia="仿宋_GB2312" w:cs="仿宋"/>
          <w:b w:val="0"/>
          <w:bCs w:val="0"/>
          <w:color w:val="auto"/>
          <w:sz w:val="32"/>
          <w:szCs w:val="32"/>
          <w:highlight w:val="none"/>
          <w:lang w:val="en-US" w:eastAsia="zh-CN"/>
        </w:rPr>
        <w:t>图书文献配备能满足人才培养、专业建设、教科研等工作的需要，方便师生查询、借阅。专业类文献主要包括：</w:t>
      </w:r>
      <w:r>
        <w:rPr>
          <w:rFonts w:hint="eastAsia" w:ascii="Times New Roman" w:hAnsi="Times New Roman" w:eastAsia="仿宋_GB2312" w:cs="仿宋"/>
          <w:b w:val="0"/>
          <w:bCs w:val="0"/>
          <w:color w:val="auto"/>
          <w:sz w:val="32"/>
          <w:szCs w:val="32"/>
          <w:highlight w:val="none"/>
          <w:lang w:val="en-US" w:eastAsia="zh"/>
        </w:rPr>
        <w:t>路桥建设</w:t>
      </w:r>
      <w:r>
        <w:rPr>
          <w:rFonts w:hint="eastAsia" w:ascii="Times New Roman" w:hAnsi="Times New Roman" w:eastAsia="仿宋_GB2312" w:cs="仿宋"/>
          <w:b w:val="0"/>
          <w:bCs w:val="0"/>
          <w:color w:val="auto"/>
          <w:sz w:val="32"/>
          <w:szCs w:val="32"/>
          <w:highlight w:val="none"/>
          <w:lang w:val="en-US" w:eastAsia="zh-CN"/>
        </w:rPr>
        <w:t>相关行业政策法规、行业标准、技术规范以及</w:t>
      </w:r>
      <w:r>
        <w:rPr>
          <w:rFonts w:hint="eastAsia" w:ascii="Times New Roman" w:hAnsi="Times New Roman" w:eastAsia="仿宋_GB2312" w:cs="仿宋"/>
          <w:b w:val="0"/>
          <w:bCs w:val="0"/>
          <w:color w:val="auto"/>
          <w:sz w:val="32"/>
          <w:szCs w:val="32"/>
          <w:highlight w:val="none"/>
          <w:lang w:val="en-US" w:eastAsia="zh"/>
        </w:rPr>
        <w:t>技术手册</w:t>
      </w:r>
      <w:r>
        <w:rPr>
          <w:rFonts w:hint="eastAsia" w:ascii="Times New Roman" w:hAnsi="Times New Roman" w:eastAsia="仿宋_GB2312" w:cs="仿宋"/>
          <w:b w:val="0"/>
          <w:bCs w:val="0"/>
          <w:color w:val="auto"/>
          <w:sz w:val="32"/>
          <w:szCs w:val="32"/>
          <w:highlight w:val="none"/>
          <w:lang w:val="en-US" w:eastAsia="zh-CN"/>
        </w:rPr>
        <w:t>等与服务相关专业类图书和实务案例类图书。专业图书资料（含电子图书）不低于500册，5种以上</w:t>
      </w:r>
      <w:r>
        <w:rPr>
          <w:rFonts w:hint="eastAsia" w:ascii="Times New Roman" w:hAnsi="Times New Roman" w:eastAsia="仿宋_GB2312" w:cs="仿宋"/>
          <w:b w:val="0"/>
          <w:bCs w:val="0"/>
          <w:color w:val="auto"/>
          <w:sz w:val="32"/>
          <w:szCs w:val="32"/>
          <w:highlight w:val="none"/>
          <w:lang w:val="en-US" w:eastAsia="zh"/>
        </w:rPr>
        <w:t>道路与桥梁工程技术</w:t>
      </w:r>
      <w:r>
        <w:rPr>
          <w:rFonts w:hint="eastAsia" w:ascii="Times New Roman" w:hAnsi="Times New Roman" w:eastAsia="仿宋_GB2312" w:cs="仿宋"/>
          <w:b w:val="0"/>
          <w:bCs w:val="0"/>
          <w:color w:val="auto"/>
          <w:sz w:val="32"/>
          <w:szCs w:val="32"/>
          <w:highlight w:val="none"/>
          <w:lang w:val="en-US" w:eastAsia="zh-CN"/>
        </w:rPr>
        <w:t>类专业学术期刊，并能保持每年更新。</w:t>
      </w:r>
    </w:p>
    <w:p w14:paraId="3064141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75" w:name="_Toc7134"/>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数字教学资源配置基本要求</w:t>
      </w:r>
      <w:bookmarkEnd w:id="75"/>
    </w:p>
    <w:p w14:paraId="07B44A18">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14:paraId="3CFF50A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200"/>
        <w:textAlignment w:val="auto"/>
        <w:outlineLvl w:val="1"/>
        <w:rPr>
          <w:rFonts w:hint="eastAsia" w:ascii="楷体" w:hAnsi="楷体" w:eastAsia="楷体" w:cs="楷体"/>
          <w:color w:val="auto"/>
          <w:sz w:val="32"/>
          <w:szCs w:val="32"/>
        </w:rPr>
      </w:pPr>
      <w:bookmarkStart w:id="76" w:name="_Toc18335"/>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教学方法</w:t>
      </w:r>
      <w:bookmarkEnd w:id="76"/>
    </w:p>
    <w:p w14:paraId="187B3342">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693DE674">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77" w:name="_Toc5358"/>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77"/>
    </w:p>
    <w:p w14:paraId="4960B2C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78" w:name="_Toc27581"/>
      <w:r>
        <w:rPr>
          <w:rFonts w:hint="eastAsia" w:ascii="仿宋_GB2312" w:hAnsi="仿宋_GB2312" w:eastAsia="仿宋_GB2312" w:cs="仿宋_GB2312"/>
          <w:color w:val="auto"/>
          <w:sz w:val="32"/>
          <w:szCs w:val="32"/>
        </w:rPr>
        <w:t>1.课程考核方法</w:t>
      </w:r>
      <w:bookmarkEnd w:id="78"/>
    </w:p>
    <w:p w14:paraId="2F37742E">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62597C19">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14:paraId="2861B7F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14:paraId="038A75CA">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0F52BB62">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14:paraId="793FCDC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14:paraId="7B6FBC4D">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14:paraId="1D93B3F6">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4FEE605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79" w:name="_Toc22987"/>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教学评价方式</w:t>
      </w:r>
      <w:bookmarkEnd w:id="79"/>
    </w:p>
    <w:p w14:paraId="5A2EA3B2">
      <w:pPr>
        <w:overflowPunct w:val="0"/>
        <w:adjustRightInd w:val="0"/>
        <w:spacing w:after="0" w:line="500" w:lineRule="exact"/>
        <w:ind w:firstLine="640" w:firstLineChars="200"/>
        <w:rPr>
          <w:rFonts w:ascii="仿宋_GB2312" w:hAnsi="仿宋_GB2312" w:eastAsia="仿宋_GB2312" w:cs="仿宋_GB2312"/>
          <w:color w:val="auto"/>
          <w:sz w:val="32"/>
          <w:szCs w:val="32"/>
        </w:rPr>
      </w:pPr>
      <w:r>
        <w:rPr>
          <w:rFonts w:hint="eastAsia" w:eastAsia="仿宋_GB2312" w:cs="仿宋"/>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1C4257A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80" w:name="_Toc27678"/>
      <w:bookmarkStart w:id="81" w:name="_Toc20603"/>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80"/>
      <w:bookmarkEnd w:id="81"/>
    </w:p>
    <w:p w14:paraId="00F843C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bookmarkStart w:id="82" w:name="_Toc29630"/>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278687B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51E07F5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14:paraId="012BF084">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296DFBBB">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14:paraId="5E4CED5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bookmarkStart w:id="83" w:name="_Toc17379"/>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82"/>
      <w:bookmarkEnd w:id="83"/>
    </w:p>
    <w:p w14:paraId="0211E3D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84" w:name="_Toc10751"/>
      <w:bookmarkStart w:id="85" w:name="_Toc25545"/>
      <w:r>
        <w:rPr>
          <w:rFonts w:hint="eastAsia" w:ascii="楷体" w:hAnsi="楷体" w:eastAsia="楷体" w:cs="楷体"/>
          <w:color w:val="auto"/>
          <w:kern w:val="2"/>
          <w:sz w:val="32"/>
          <w:szCs w:val="32"/>
          <w:lang w:val="en-US" w:eastAsia="zh-CN" w:bidi="ar-SA"/>
        </w:rPr>
        <w:t>（一）学分要求</w:t>
      </w:r>
      <w:bookmarkEnd w:id="84"/>
      <w:bookmarkEnd w:id="85"/>
    </w:p>
    <w:p w14:paraId="590DF1F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bookmarkStart w:id="86" w:name="_Toc14925"/>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本专业要求学生根据人才培养方案确定的目标和培养规格，完成规定的实习实训，全部课程考核合格且修满至少151学分。其中，必修课 133学分，选修课 18学分。公共必修课44学分，公共选修课8学分。专业必修课89学分，专业选修课10学分。</w:t>
      </w:r>
      <w:bookmarkEnd w:id="86"/>
    </w:p>
    <w:p w14:paraId="6A6BFE9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87" w:name="_Toc21541"/>
      <w:r>
        <w:rPr>
          <w:rFonts w:hint="eastAsia" w:ascii="楷体" w:hAnsi="楷体" w:eastAsia="楷体" w:cs="楷体"/>
          <w:color w:val="auto"/>
          <w:kern w:val="2"/>
          <w:sz w:val="32"/>
          <w:szCs w:val="32"/>
          <w:lang w:val="en-US" w:eastAsia="zh-CN" w:bidi="ar-SA"/>
        </w:rPr>
        <w:t>（二）职业类证书要求</w:t>
      </w:r>
      <w:bookmarkEnd w:id="87"/>
    </w:p>
    <w:p w14:paraId="15F215C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5ECA620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tbl>
      <w:tblPr>
        <w:tblStyle w:val="11"/>
        <w:tblpPr w:leftFromText="180" w:rightFromText="180" w:vertAnchor="text" w:horzAnchor="page" w:tblpX="1770" w:tblpY="499"/>
        <w:tblOverlap w:val="never"/>
        <w:tblW w:w="8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14:paraId="3FFD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885" w:type="dxa"/>
            <w:vAlign w:val="top"/>
          </w:tcPr>
          <w:p w14:paraId="7C0FF83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14:paraId="2B4DCE0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14:paraId="083BED8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14:paraId="0F9F785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75DD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1826E20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14:paraId="1CADB96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14:paraId="79AB37C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14:paraId="7B4A9D6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74A3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1326E45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14:paraId="5680EC3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14:paraId="7702334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67CF153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6E485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34C2D3B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14:paraId="0FCC362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14:paraId="097E8B2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0FAE092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3678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3F0B958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14:paraId="23AD01A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14:paraId="6C6BB5A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370B689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5459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503D0D2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14:paraId="0AF4D3D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14:paraId="7D77EAD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13CEEBF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0399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287C18B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14:paraId="4F44650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14:paraId="62084E9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25A2DE8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4484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2BA68E5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14:paraId="55988C8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14:paraId="748FB3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430EF1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2339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6CD1B4B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14:paraId="584B74B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14:paraId="566CE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101C2E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368642E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道路与桥梁工程技术专业职业证书一览表</w:t>
      </w:r>
    </w:p>
    <w:p w14:paraId="31FBBA5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88" w:name="_Toc469"/>
      <w:r>
        <w:rPr>
          <w:rFonts w:hint="eastAsia" w:ascii="楷体" w:hAnsi="楷体" w:eastAsia="楷体" w:cs="楷体"/>
          <w:color w:val="auto"/>
          <w:kern w:val="2"/>
          <w:sz w:val="32"/>
          <w:szCs w:val="32"/>
          <w:lang w:val="en-US" w:eastAsia="zh-CN" w:bidi="ar-SA"/>
        </w:rPr>
        <w:t>（三）综合素质要求</w:t>
      </w:r>
      <w:bookmarkEnd w:id="88"/>
    </w:p>
    <w:p w14:paraId="0D4FB0F3">
      <w:pPr>
        <w:keepNext w:val="0"/>
        <w:keepLines w:val="0"/>
        <w:pageBreakBefore w:val="0"/>
        <w:widowControl w:val="0"/>
        <w:kinsoku/>
        <w:wordWrap/>
        <w:overflowPunct w:val="0"/>
        <w:topLinePunct w:val="0"/>
        <w:autoSpaceDE/>
        <w:autoSpaceDN/>
        <w:bidi w:val="0"/>
        <w:adjustRightInd w:val="0"/>
        <w:snapToGrid/>
        <w:spacing w:line="520" w:lineRule="exact"/>
        <w:ind w:left="0" w:firstLine="640" w:firstLineChars="200"/>
        <w:textAlignment w:val="auto"/>
        <w:rPr>
          <w:color w:val="auto"/>
        </w:rPr>
      </w:pPr>
      <w:r>
        <w:rPr>
          <w:rFonts w:hint="eastAsia" w:ascii="仿宋_GB2312" w:hAnsi="仿宋_GB2312" w:eastAsia="仿宋_GB2312" w:cs="仿宋_GB2312"/>
          <w:color w:val="auto"/>
          <w:kern w:val="2"/>
          <w:sz w:val="32"/>
          <w:szCs w:val="32"/>
          <w:lang w:val="en-US" w:eastAsia="zh-CN" w:bidi="ar-SA"/>
        </w:rPr>
        <w:t>经鉴定思想品德符合要求，掌握本专业知识和技术技能，积极参加社会实践活动，具备职业综合素质和行动能力。</w:t>
      </w:r>
      <w:r>
        <w:rPr>
          <w:rFonts w:hint="eastAsia" w:ascii="Times New Roman" w:hAnsi="Times New Roman" w:eastAsia="仿宋_GB2312" w:cs="仿宋"/>
          <w:b w:val="0"/>
          <w:bCs w:val="0"/>
          <w:color w:val="auto"/>
          <w:sz w:val="32"/>
          <w:szCs w:val="32"/>
          <w:highlight w:val="none"/>
        </w:rPr>
        <w:t>要能够精准应对广西喀斯特地貌区的溶洞、地下暗河等复杂地质状况，在道路桥梁工程的选址、设计与施工中，提出科学合理的解决方案；有效处理山区道路建设中的高填深挖、边坡稳定性等技术难题；充分考虑强降雨、台风等气候因素对工程的影响，做好工程防护与排水设计；熟练运用先进的工程技术和数字化手段，提升工程建设效率与质量</w:t>
      </w:r>
      <w:r>
        <w:rPr>
          <w:rFonts w:hint="eastAsia" w:eastAsia="仿宋_GB2312" w:cs="仿宋"/>
          <w:b w:val="0"/>
          <w:bCs w:val="0"/>
          <w:color w:val="auto"/>
          <w:sz w:val="32"/>
          <w:szCs w:val="32"/>
          <w:highlight w:val="none"/>
          <w:lang w:eastAsia="zh-CN"/>
        </w:rPr>
        <w:t>。</w:t>
      </w:r>
    </w:p>
    <w:p w14:paraId="0C713CA5">
      <w:pPr>
        <w:keepNext w:val="0"/>
        <w:keepLines w:val="0"/>
        <w:pageBreakBefore w:val="0"/>
        <w:widowControl w:val="0"/>
        <w:kinsoku/>
        <w:wordWrap/>
        <w:overflowPunct w:val="0"/>
        <w:topLinePunct w:val="0"/>
        <w:autoSpaceDE/>
        <w:autoSpaceDN/>
        <w:bidi w:val="0"/>
        <w:adjustRightInd w:val="0"/>
        <w:snapToGrid/>
        <w:spacing w:line="520" w:lineRule="exact"/>
        <w:ind w:left="0" w:firstLine="420" w:firstLineChars="200"/>
        <w:textAlignment w:val="auto"/>
        <w:rPr>
          <w:color w:val="auto"/>
        </w:rPr>
      </w:pPr>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E8456B-32D6-4056-B011-FA5D03A6D2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5063EC4D-1918-4916-BCA5-1382D2F4B03D}"/>
  </w:font>
  <w:font w:name="华文新魏">
    <w:altName w:val="宋体"/>
    <w:panose1 w:val="02010800040101010101"/>
    <w:charset w:val="86"/>
    <w:family w:val="auto"/>
    <w:pitch w:val="default"/>
    <w:sig w:usb0="00000000" w:usb1="00000000" w:usb2="00000000" w:usb3="00000000" w:csb0="00040000" w:csb1="00000000"/>
    <w:embedRegular r:id="rId3" w:fontKey="{22CF5887-A928-4FFB-BC23-5AEF6D62B59A}"/>
  </w:font>
  <w:font w:name="方正小标宋简体">
    <w:panose1 w:val="02000000000000000000"/>
    <w:charset w:val="86"/>
    <w:family w:val="script"/>
    <w:pitch w:val="default"/>
    <w:sig w:usb0="00000001" w:usb1="080E0000" w:usb2="00000000" w:usb3="00000000" w:csb0="00040000" w:csb1="00000000"/>
    <w:embedRegular r:id="rId4" w:fontKey="{15720A9C-BB56-41A8-A9CE-B9D01FD942EF}"/>
  </w:font>
  <w:font w:name="仿宋_GB2312">
    <w:panose1 w:val="02010609030101010101"/>
    <w:charset w:val="86"/>
    <w:family w:val="modern"/>
    <w:pitch w:val="default"/>
    <w:sig w:usb0="00000001" w:usb1="080E0000" w:usb2="00000000" w:usb3="00000000" w:csb0="00040000" w:csb1="00000000"/>
    <w:embedRegular r:id="rId5" w:fontKey="{3F7B5BC4-990E-4321-8F73-83D865C27BBB}"/>
  </w:font>
  <w:font w:name="楷体">
    <w:panose1 w:val="02010609060101010101"/>
    <w:charset w:val="86"/>
    <w:family w:val="modern"/>
    <w:pitch w:val="default"/>
    <w:sig w:usb0="800002BF" w:usb1="38CF7CFA" w:usb2="00000016" w:usb3="00000000" w:csb0="00040001" w:csb1="00000000"/>
    <w:embedRegular r:id="rId6" w:fontKey="{C5A2C5A6-B950-4C5C-9923-5DB45B34D1D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0A11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C06BCE">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4C06BCE">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6ED72">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12ED38"/>
    <w:multiLevelType w:val="singleLevel"/>
    <w:tmpl w:val="FF12ED38"/>
    <w:lvl w:ilvl="0" w:tentative="0">
      <w:start w:val="2"/>
      <w:numFmt w:val="decimal"/>
      <w:suff w:val="nothing"/>
      <w:lvlText w:val="（%1）"/>
      <w:lvlJc w:val="left"/>
    </w:lvl>
  </w:abstractNum>
  <w:abstractNum w:abstractNumId="1">
    <w:nsid w:val="7E697BAC"/>
    <w:multiLevelType w:val="singleLevel"/>
    <w:tmpl w:val="7E697BA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85085"/>
    <w:rsid w:val="002D15C0"/>
    <w:rsid w:val="003531B3"/>
    <w:rsid w:val="003D3CE4"/>
    <w:rsid w:val="004E1D9F"/>
    <w:rsid w:val="005645D8"/>
    <w:rsid w:val="005A2BBB"/>
    <w:rsid w:val="006A1AE0"/>
    <w:rsid w:val="0071110E"/>
    <w:rsid w:val="007200AE"/>
    <w:rsid w:val="0087167F"/>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602EAB"/>
    <w:rsid w:val="01635C49"/>
    <w:rsid w:val="01786F4B"/>
    <w:rsid w:val="01A23310"/>
    <w:rsid w:val="01AA3877"/>
    <w:rsid w:val="01BD7A4F"/>
    <w:rsid w:val="01D53811"/>
    <w:rsid w:val="01E74ACC"/>
    <w:rsid w:val="02133E97"/>
    <w:rsid w:val="02532161"/>
    <w:rsid w:val="02661E94"/>
    <w:rsid w:val="0283442A"/>
    <w:rsid w:val="02963DFC"/>
    <w:rsid w:val="02CD5374"/>
    <w:rsid w:val="02F2197A"/>
    <w:rsid w:val="03304250"/>
    <w:rsid w:val="03433F84"/>
    <w:rsid w:val="03526B95"/>
    <w:rsid w:val="036E059D"/>
    <w:rsid w:val="03726617"/>
    <w:rsid w:val="03A07894"/>
    <w:rsid w:val="03BB1D6C"/>
    <w:rsid w:val="03EE2141"/>
    <w:rsid w:val="03F84D6E"/>
    <w:rsid w:val="04844854"/>
    <w:rsid w:val="048C3708"/>
    <w:rsid w:val="04AF34EC"/>
    <w:rsid w:val="04BC3FEE"/>
    <w:rsid w:val="04E62E18"/>
    <w:rsid w:val="04FF3EDA"/>
    <w:rsid w:val="051223C4"/>
    <w:rsid w:val="054D10EA"/>
    <w:rsid w:val="05654685"/>
    <w:rsid w:val="05CA44E8"/>
    <w:rsid w:val="05CD222A"/>
    <w:rsid w:val="05E82BC0"/>
    <w:rsid w:val="062E0F1B"/>
    <w:rsid w:val="0635001F"/>
    <w:rsid w:val="063A78C0"/>
    <w:rsid w:val="06471FDD"/>
    <w:rsid w:val="06474F59"/>
    <w:rsid w:val="064A5629"/>
    <w:rsid w:val="064C314F"/>
    <w:rsid w:val="065772B0"/>
    <w:rsid w:val="069C40D7"/>
    <w:rsid w:val="06A92350"/>
    <w:rsid w:val="06C54575"/>
    <w:rsid w:val="06C90C44"/>
    <w:rsid w:val="06DA583B"/>
    <w:rsid w:val="070954E4"/>
    <w:rsid w:val="07322345"/>
    <w:rsid w:val="076D5A73"/>
    <w:rsid w:val="0781507A"/>
    <w:rsid w:val="07990616"/>
    <w:rsid w:val="07BE007D"/>
    <w:rsid w:val="07E31891"/>
    <w:rsid w:val="07E45C7F"/>
    <w:rsid w:val="082F2519"/>
    <w:rsid w:val="084C7436"/>
    <w:rsid w:val="085D7F87"/>
    <w:rsid w:val="087B7D1C"/>
    <w:rsid w:val="088766C0"/>
    <w:rsid w:val="08BC0A60"/>
    <w:rsid w:val="08DA7138"/>
    <w:rsid w:val="08F70DAF"/>
    <w:rsid w:val="09075A53"/>
    <w:rsid w:val="09177481"/>
    <w:rsid w:val="094445B2"/>
    <w:rsid w:val="0946657C"/>
    <w:rsid w:val="094D790A"/>
    <w:rsid w:val="095347F5"/>
    <w:rsid w:val="095742E5"/>
    <w:rsid w:val="095962AF"/>
    <w:rsid w:val="09727371"/>
    <w:rsid w:val="09762FA7"/>
    <w:rsid w:val="098E3A7F"/>
    <w:rsid w:val="099A0675"/>
    <w:rsid w:val="09A17C56"/>
    <w:rsid w:val="09CB082F"/>
    <w:rsid w:val="09D45935"/>
    <w:rsid w:val="09EA50CF"/>
    <w:rsid w:val="09FA536A"/>
    <w:rsid w:val="0A1E4E03"/>
    <w:rsid w:val="0A634F0B"/>
    <w:rsid w:val="0A7D5FCD"/>
    <w:rsid w:val="0A971B8F"/>
    <w:rsid w:val="0A99092D"/>
    <w:rsid w:val="0AC7549A"/>
    <w:rsid w:val="0AC91212"/>
    <w:rsid w:val="0ADB7197"/>
    <w:rsid w:val="0AF65D7F"/>
    <w:rsid w:val="0AFF69E2"/>
    <w:rsid w:val="0B64718D"/>
    <w:rsid w:val="0B7C6285"/>
    <w:rsid w:val="0B7E024F"/>
    <w:rsid w:val="0B837613"/>
    <w:rsid w:val="0B9E269F"/>
    <w:rsid w:val="0BB93035"/>
    <w:rsid w:val="0C0A3BA0"/>
    <w:rsid w:val="0C2C7C54"/>
    <w:rsid w:val="0C300E1D"/>
    <w:rsid w:val="0CA02447"/>
    <w:rsid w:val="0CE642FD"/>
    <w:rsid w:val="0D3000CB"/>
    <w:rsid w:val="0D64757D"/>
    <w:rsid w:val="0DBF68FD"/>
    <w:rsid w:val="0DE924A0"/>
    <w:rsid w:val="0E2350DD"/>
    <w:rsid w:val="0E2C21E4"/>
    <w:rsid w:val="0E35096D"/>
    <w:rsid w:val="0E4F1A2E"/>
    <w:rsid w:val="0E5E6115"/>
    <w:rsid w:val="0E883192"/>
    <w:rsid w:val="0E8A2A67"/>
    <w:rsid w:val="0EB74971"/>
    <w:rsid w:val="0EC00678"/>
    <w:rsid w:val="0EC57F43"/>
    <w:rsid w:val="0ED4462A"/>
    <w:rsid w:val="0EFD592E"/>
    <w:rsid w:val="0F2A424A"/>
    <w:rsid w:val="0F386966"/>
    <w:rsid w:val="0F5B2655"/>
    <w:rsid w:val="0F86458B"/>
    <w:rsid w:val="0FA47B58"/>
    <w:rsid w:val="0FA67D74"/>
    <w:rsid w:val="0FA94FB4"/>
    <w:rsid w:val="0FC2463B"/>
    <w:rsid w:val="0FD20B69"/>
    <w:rsid w:val="0FDD12BC"/>
    <w:rsid w:val="0FE4089C"/>
    <w:rsid w:val="0FEB4B5D"/>
    <w:rsid w:val="10093E5F"/>
    <w:rsid w:val="10152804"/>
    <w:rsid w:val="10234F21"/>
    <w:rsid w:val="10914580"/>
    <w:rsid w:val="10E723F2"/>
    <w:rsid w:val="10EE36A0"/>
    <w:rsid w:val="11001706"/>
    <w:rsid w:val="113B1BFC"/>
    <w:rsid w:val="116752E1"/>
    <w:rsid w:val="117F087D"/>
    <w:rsid w:val="12062D4C"/>
    <w:rsid w:val="12485112"/>
    <w:rsid w:val="124B69B1"/>
    <w:rsid w:val="12565A1A"/>
    <w:rsid w:val="127F665A"/>
    <w:rsid w:val="12AB744F"/>
    <w:rsid w:val="12DC3AAD"/>
    <w:rsid w:val="12E50BB3"/>
    <w:rsid w:val="12F708E7"/>
    <w:rsid w:val="13120C66"/>
    <w:rsid w:val="13203999"/>
    <w:rsid w:val="13516249"/>
    <w:rsid w:val="135C5E82"/>
    <w:rsid w:val="136E6DFB"/>
    <w:rsid w:val="139B5716"/>
    <w:rsid w:val="13BD38DE"/>
    <w:rsid w:val="13C77F07"/>
    <w:rsid w:val="13E42C19"/>
    <w:rsid w:val="13EC5F71"/>
    <w:rsid w:val="13F454F6"/>
    <w:rsid w:val="14452A5D"/>
    <w:rsid w:val="148D32B1"/>
    <w:rsid w:val="14997EA7"/>
    <w:rsid w:val="14A800EA"/>
    <w:rsid w:val="14EA425F"/>
    <w:rsid w:val="14EB6229"/>
    <w:rsid w:val="15001CD4"/>
    <w:rsid w:val="150317C5"/>
    <w:rsid w:val="150B2427"/>
    <w:rsid w:val="15202377"/>
    <w:rsid w:val="15542020"/>
    <w:rsid w:val="155A16FC"/>
    <w:rsid w:val="15724254"/>
    <w:rsid w:val="15997A33"/>
    <w:rsid w:val="159B19FD"/>
    <w:rsid w:val="159C4C8B"/>
    <w:rsid w:val="15BB209F"/>
    <w:rsid w:val="15C745A0"/>
    <w:rsid w:val="160114A8"/>
    <w:rsid w:val="160C6457"/>
    <w:rsid w:val="163C6D3C"/>
    <w:rsid w:val="163D2AB4"/>
    <w:rsid w:val="16465E0D"/>
    <w:rsid w:val="16516799"/>
    <w:rsid w:val="165F0C7D"/>
    <w:rsid w:val="1699418F"/>
    <w:rsid w:val="16995FBA"/>
    <w:rsid w:val="16A42B33"/>
    <w:rsid w:val="16AA0306"/>
    <w:rsid w:val="16CD3E38"/>
    <w:rsid w:val="16DC051F"/>
    <w:rsid w:val="170B4961"/>
    <w:rsid w:val="171A4BA4"/>
    <w:rsid w:val="172634B4"/>
    <w:rsid w:val="173C4B1A"/>
    <w:rsid w:val="1740285C"/>
    <w:rsid w:val="1749510D"/>
    <w:rsid w:val="174F5139"/>
    <w:rsid w:val="176D1177"/>
    <w:rsid w:val="177249E0"/>
    <w:rsid w:val="1779272E"/>
    <w:rsid w:val="1796247C"/>
    <w:rsid w:val="17A032FB"/>
    <w:rsid w:val="17CF1E32"/>
    <w:rsid w:val="17F92A0B"/>
    <w:rsid w:val="17FE561B"/>
    <w:rsid w:val="182B185C"/>
    <w:rsid w:val="182F467F"/>
    <w:rsid w:val="183A374F"/>
    <w:rsid w:val="18636DB0"/>
    <w:rsid w:val="18672D11"/>
    <w:rsid w:val="187B3106"/>
    <w:rsid w:val="18C033D1"/>
    <w:rsid w:val="18CB084B"/>
    <w:rsid w:val="18D45952"/>
    <w:rsid w:val="190E420F"/>
    <w:rsid w:val="19267830"/>
    <w:rsid w:val="192F0DDA"/>
    <w:rsid w:val="19481E9C"/>
    <w:rsid w:val="194975A4"/>
    <w:rsid w:val="194B54E8"/>
    <w:rsid w:val="19632D1C"/>
    <w:rsid w:val="19874772"/>
    <w:rsid w:val="19AF3CC9"/>
    <w:rsid w:val="19BC1F42"/>
    <w:rsid w:val="19D41DE6"/>
    <w:rsid w:val="1A262FB5"/>
    <w:rsid w:val="1A3A7A37"/>
    <w:rsid w:val="1A3B37AF"/>
    <w:rsid w:val="1A49562F"/>
    <w:rsid w:val="1A783ED9"/>
    <w:rsid w:val="1A9F3EA8"/>
    <w:rsid w:val="1ACE4623"/>
    <w:rsid w:val="1AE45BF4"/>
    <w:rsid w:val="1B6B3C20"/>
    <w:rsid w:val="1BAE7956"/>
    <w:rsid w:val="1BCC19A4"/>
    <w:rsid w:val="1BF93A5C"/>
    <w:rsid w:val="1BFC2ACA"/>
    <w:rsid w:val="1C085913"/>
    <w:rsid w:val="1C27223D"/>
    <w:rsid w:val="1C4A5F2B"/>
    <w:rsid w:val="1C4C1CA3"/>
    <w:rsid w:val="1C6F14EE"/>
    <w:rsid w:val="1C8E7BC6"/>
    <w:rsid w:val="1CB25FAA"/>
    <w:rsid w:val="1CBF5384"/>
    <w:rsid w:val="1CF00880"/>
    <w:rsid w:val="1CFF2872"/>
    <w:rsid w:val="1D0377EB"/>
    <w:rsid w:val="1D245D5D"/>
    <w:rsid w:val="1D24677C"/>
    <w:rsid w:val="1D5726AE"/>
    <w:rsid w:val="1D743260"/>
    <w:rsid w:val="1D7C2114"/>
    <w:rsid w:val="1D8965DF"/>
    <w:rsid w:val="1DB939DF"/>
    <w:rsid w:val="1DC83EF3"/>
    <w:rsid w:val="1DCB4E4A"/>
    <w:rsid w:val="1DD51824"/>
    <w:rsid w:val="1E0740D4"/>
    <w:rsid w:val="1E3D5D47"/>
    <w:rsid w:val="1E4B3DFE"/>
    <w:rsid w:val="1E4D585F"/>
    <w:rsid w:val="1E7F2796"/>
    <w:rsid w:val="1E91399D"/>
    <w:rsid w:val="1EA77665"/>
    <w:rsid w:val="1ECC6B87"/>
    <w:rsid w:val="1F1A3993"/>
    <w:rsid w:val="1F234F3D"/>
    <w:rsid w:val="1F3A7811"/>
    <w:rsid w:val="1F3F33F9"/>
    <w:rsid w:val="1F5350F7"/>
    <w:rsid w:val="1FB17C46"/>
    <w:rsid w:val="1FB21E1D"/>
    <w:rsid w:val="1FBC2C9C"/>
    <w:rsid w:val="1FBE07C2"/>
    <w:rsid w:val="1FC66798"/>
    <w:rsid w:val="202679F0"/>
    <w:rsid w:val="203171E6"/>
    <w:rsid w:val="20342B69"/>
    <w:rsid w:val="207417C9"/>
    <w:rsid w:val="207B2B57"/>
    <w:rsid w:val="20AA343C"/>
    <w:rsid w:val="20AD7038"/>
    <w:rsid w:val="20BE4D41"/>
    <w:rsid w:val="20E56222"/>
    <w:rsid w:val="2107263D"/>
    <w:rsid w:val="210E0F0E"/>
    <w:rsid w:val="21293D11"/>
    <w:rsid w:val="21406027"/>
    <w:rsid w:val="21545C88"/>
    <w:rsid w:val="215C64E4"/>
    <w:rsid w:val="2170143C"/>
    <w:rsid w:val="219313DF"/>
    <w:rsid w:val="21A328DC"/>
    <w:rsid w:val="21B207FA"/>
    <w:rsid w:val="21C103F9"/>
    <w:rsid w:val="21D544E9"/>
    <w:rsid w:val="21DA38AD"/>
    <w:rsid w:val="21EB3D26"/>
    <w:rsid w:val="22123047"/>
    <w:rsid w:val="22206CFA"/>
    <w:rsid w:val="223461B5"/>
    <w:rsid w:val="224A19C6"/>
    <w:rsid w:val="226E2973"/>
    <w:rsid w:val="22967FAA"/>
    <w:rsid w:val="22A00653"/>
    <w:rsid w:val="230C7A96"/>
    <w:rsid w:val="2338088B"/>
    <w:rsid w:val="233D2CBA"/>
    <w:rsid w:val="235558E1"/>
    <w:rsid w:val="2355768F"/>
    <w:rsid w:val="236773C3"/>
    <w:rsid w:val="237D0994"/>
    <w:rsid w:val="23922691"/>
    <w:rsid w:val="23954DD6"/>
    <w:rsid w:val="23B51EDC"/>
    <w:rsid w:val="23B56380"/>
    <w:rsid w:val="23D42CAA"/>
    <w:rsid w:val="23EB1DA2"/>
    <w:rsid w:val="23FA3D93"/>
    <w:rsid w:val="24134E54"/>
    <w:rsid w:val="242C61E4"/>
    <w:rsid w:val="243F5C4A"/>
    <w:rsid w:val="24572F93"/>
    <w:rsid w:val="249479A5"/>
    <w:rsid w:val="249D12EE"/>
    <w:rsid w:val="24E011DB"/>
    <w:rsid w:val="24E0567E"/>
    <w:rsid w:val="24E55419"/>
    <w:rsid w:val="24E76143"/>
    <w:rsid w:val="24F353B2"/>
    <w:rsid w:val="25056E93"/>
    <w:rsid w:val="251B2213"/>
    <w:rsid w:val="251F2422"/>
    <w:rsid w:val="25253091"/>
    <w:rsid w:val="254F010E"/>
    <w:rsid w:val="257A162F"/>
    <w:rsid w:val="2593624D"/>
    <w:rsid w:val="25B368EF"/>
    <w:rsid w:val="25BF34E6"/>
    <w:rsid w:val="25DF1492"/>
    <w:rsid w:val="25F660D7"/>
    <w:rsid w:val="26121868"/>
    <w:rsid w:val="267A11BB"/>
    <w:rsid w:val="26A12BEB"/>
    <w:rsid w:val="26D905D7"/>
    <w:rsid w:val="26DB7EAB"/>
    <w:rsid w:val="26F40F6D"/>
    <w:rsid w:val="27075144"/>
    <w:rsid w:val="270D0281"/>
    <w:rsid w:val="27441EF5"/>
    <w:rsid w:val="27912C60"/>
    <w:rsid w:val="27AE3812"/>
    <w:rsid w:val="27CB021D"/>
    <w:rsid w:val="27EB6814"/>
    <w:rsid w:val="27F5401D"/>
    <w:rsid w:val="28043432"/>
    <w:rsid w:val="28126D74"/>
    <w:rsid w:val="283F446A"/>
    <w:rsid w:val="28416434"/>
    <w:rsid w:val="28557849"/>
    <w:rsid w:val="285A12A4"/>
    <w:rsid w:val="28754330"/>
    <w:rsid w:val="289A5B44"/>
    <w:rsid w:val="28BD30CD"/>
    <w:rsid w:val="28DC43AF"/>
    <w:rsid w:val="29283150"/>
    <w:rsid w:val="29491A44"/>
    <w:rsid w:val="294D2BB7"/>
    <w:rsid w:val="296E1A2F"/>
    <w:rsid w:val="298E38FB"/>
    <w:rsid w:val="299B6018"/>
    <w:rsid w:val="29AB625B"/>
    <w:rsid w:val="29B449E4"/>
    <w:rsid w:val="29C72B81"/>
    <w:rsid w:val="29F01EC0"/>
    <w:rsid w:val="29F51284"/>
    <w:rsid w:val="29F55728"/>
    <w:rsid w:val="2A1D07DB"/>
    <w:rsid w:val="2A2E0C3A"/>
    <w:rsid w:val="2A30050E"/>
    <w:rsid w:val="2A4F5D86"/>
    <w:rsid w:val="2A574170"/>
    <w:rsid w:val="2A691C72"/>
    <w:rsid w:val="2A7D127A"/>
    <w:rsid w:val="2A834AE2"/>
    <w:rsid w:val="2A862824"/>
    <w:rsid w:val="2A9A1E2C"/>
    <w:rsid w:val="2A9C5BA4"/>
    <w:rsid w:val="2AB7478C"/>
    <w:rsid w:val="2AC33130"/>
    <w:rsid w:val="2AC36E7D"/>
    <w:rsid w:val="2AC375D4"/>
    <w:rsid w:val="2ADE440E"/>
    <w:rsid w:val="2B0F281A"/>
    <w:rsid w:val="2B5C5333"/>
    <w:rsid w:val="2B7B00B1"/>
    <w:rsid w:val="2B8559E6"/>
    <w:rsid w:val="2B8D373E"/>
    <w:rsid w:val="2B8E7BE2"/>
    <w:rsid w:val="2B9D1BD3"/>
    <w:rsid w:val="2BA24A43"/>
    <w:rsid w:val="2BF11F1F"/>
    <w:rsid w:val="2C0003B4"/>
    <w:rsid w:val="2C802418"/>
    <w:rsid w:val="2C9063B1"/>
    <w:rsid w:val="2C941BAA"/>
    <w:rsid w:val="2CB341C7"/>
    <w:rsid w:val="2CC6515A"/>
    <w:rsid w:val="2CC66F08"/>
    <w:rsid w:val="2CDE6947"/>
    <w:rsid w:val="2CEB2E12"/>
    <w:rsid w:val="2D265BF9"/>
    <w:rsid w:val="2D4A18E7"/>
    <w:rsid w:val="2D5704A8"/>
    <w:rsid w:val="2D636006"/>
    <w:rsid w:val="2D6F75A0"/>
    <w:rsid w:val="2D8165B1"/>
    <w:rsid w:val="2D964B2C"/>
    <w:rsid w:val="2DA60AE7"/>
    <w:rsid w:val="2DAC4350"/>
    <w:rsid w:val="2DCC49F2"/>
    <w:rsid w:val="2DD91B6F"/>
    <w:rsid w:val="2DE47F8D"/>
    <w:rsid w:val="2E0423DE"/>
    <w:rsid w:val="2E165C6D"/>
    <w:rsid w:val="2E1E4B22"/>
    <w:rsid w:val="2E33681F"/>
    <w:rsid w:val="2E9D638E"/>
    <w:rsid w:val="2EA15E7F"/>
    <w:rsid w:val="2EB15996"/>
    <w:rsid w:val="2ED40002"/>
    <w:rsid w:val="2EE30245"/>
    <w:rsid w:val="2F083808"/>
    <w:rsid w:val="2F34284F"/>
    <w:rsid w:val="2F3C4E07"/>
    <w:rsid w:val="2F432A92"/>
    <w:rsid w:val="2F436F36"/>
    <w:rsid w:val="2F4A1338"/>
    <w:rsid w:val="2F7A2E0A"/>
    <w:rsid w:val="2F8D1F5F"/>
    <w:rsid w:val="2FA96B3D"/>
    <w:rsid w:val="2FAD7DDA"/>
    <w:rsid w:val="2FD933F6"/>
    <w:rsid w:val="2FDE27BA"/>
    <w:rsid w:val="30442F65"/>
    <w:rsid w:val="30656A38"/>
    <w:rsid w:val="30A6152A"/>
    <w:rsid w:val="30A77050"/>
    <w:rsid w:val="30C96FC7"/>
    <w:rsid w:val="30DC27D6"/>
    <w:rsid w:val="3115220C"/>
    <w:rsid w:val="311D7312"/>
    <w:rsid w:val="31342FDA"/>
    <w:rsid w:val="315C42DF"/>
    <w:rsid w:val="3175714F"/>
    <w:rsid w:val="317E6003"/>
    <w:rsid w:val="318A49A8"/>
    <w:rsid w:val="31905D36"/>
    <w:rsid w:val="31975317"/>
    <w:rsid w:val="31A83FF1"/>
    <w:rsid w:val="31AA329C"/>
    <w:rsid w:val="31AC0DC2"/>
    <w:rsid w:val="31CA56EC"/>
    <w:rsid w:val="31CF4AB1"/>
    <w:rsid w:val="31D063F1"/>
    <w:rsid w:val="31D2634F"/>
    <w:rsid w:val="31F807B9"/>
    <w:rsid w:val="321D581C"/>
    <w:rsid w:val="322F18FF"/>
    <w:rsid w:val="32364B30"/>
    <w:rsid w:val="324F79A0"/>
    <w:rsid w:val="32A61CB5"/>
    <w:rsid w:val="32BE5010"/>
    <w:rsid w:val="32F32A21"/>
    <w:rsid w:val="32F92E4C"/>
    <w:rsid w:val="32FA3DAF"/>
    <w:rsid w:val="33260700"/>
    <w:rsid w:val="33266952"/>
    <w:rsid w:val="33524ECE"/>
    <w:rsid w:val="336B6A5B"/>
    <w:rsid w:val="33775400"/>
    <w:rsid w:val="33851415"/>
    <w:rsid w:val="33AE06F6"/>
    <w:rsid w:val="33B93C14"/>
    <w:rsid w:val="33EB36F8"/>
    <w:rsid w:val="341E1D1F"/>
    <w:rsid w:val="343155AF"/>
    <w:rsid w:val="345614B9"/>
    <w:rsid w:val="34833930"/>
    <w:rsid w:val="348B3F97"/>
    <w:rsid w:val="349F69BC"/>
    <w:rsid w:val="34A2025B"/>
    <w:rsid w:val="34B65AB4"/>
    <w:rsid w:val="34C46423"/>
    <w:rsid w:val="34EA50C0"/>
    <w:rsid w:val="34F67558"/>
    <w:rsid w:val="352D221A"/>
    <w:rsid w:val="35470E02"/>
    <w:rsid w:val="357449D1"/>
    <w:rsid w:val="35814314"/>
    <w:rsid w:val="35831E3A"/>
    <w:rsid w:val="35CF2156"/>
    <w:rsid w:val="35DF103A"/>
    <w:rsid w:val="35E93C67"/>
    <w:rsid w:val="35EF74CF"/>
    <w:rsid w:val="35F04FF6"/>
    <w:rsid w:val="36301896"/>
    <w:rsid w:val="364315C9"/>
    <w:rsid w:val="36657792"/>
    <w:rsid w:val="367B6068"/>
    <w:rsid w:val="36C73FA8"/>
    <w:rsid w:val="36D05553"/>
    <w:rsid w:val="370E7E29"/>
    <w:rsid w:val="37306275"/>
    <w:rsid w:val="376B0DD8"/>
    <w:rsid w:val="3770165B"/>
    <w:rsid w:val="377D1E2F"/>
    <w:rsid w:val="378400EB"/>
    <w:rsid w:val="37960DB8"/>
    <w:rsid w:val="37A61E10"/>
    <w:rsid w:val="37AD2573"/>
    <w:rsid w:val="37C52BDE"/>
    <w:rsid w:val="37DE77FC"/>
    <w:rsid w:val="381153F4"/>
    <w:rsid w:val="383438BF"/>
    <w:rsid w:val="383C09C6"/>
    <w:rsid w:val="38481119"/>
    <w:rsid w:val="385C6972"/>
    <w:rsid w:val="38871C41"/>
    <w:rsid w:val="38877EE4"/>
    <w:rsid w:val="38B16CBE"/>
    <w:rsid w:val="38C07967"/>
    <w:rsid w:val="38C22C79"/>
    <w:rsid w:val="38D1110E"/>
    <w:rsid w:val="39050DB8"/>
    <w:rsid w:val="39186D3D"/>
    <w:rsid w:val="39372651"/>
    <w:rsid w:val="39406294"/>
    <w:rsid w:val="398720B8"/>
    <w:rsid w:val="39A700C1"/>
    <w:rsid w:val="39A93E39"/>
    <w:rsid w:val="3A157721"/>
    <w:rsid w:val="3A451367"/>
    <w:rsid w:val="3A5169AB"/>
    <w:rsid w:val="3A60099C"/>
    <w:rsid w:val="3A655477"/>
    <w:rsid w:val="3A7A7584"/>
    <w:rsid w:val="3AC37A81"/>
    <w:rsid w:val="3AD62A0C"/>
    <w:rsid w:val="3AEA4709"/>
    <w:rsid w:val="3B0532F1"/>
    <w:rsid w:val="3B31058A"/>
    <w:rsid w:val="3B3918C3"/>
    <w:rsid w:val="3B4007CD"/>
    <w:rsid w:val="3B506C62"/>
    <w:rsid w:val="3BC74A4B"/>
    <w:rsid w:val="3C17152E"/>
    <w:rsid w:val="3C771FCD"/>
    <w:rsid w:val="3C7F70D3"/>
    <w:rsid w:val="3C81536E"/>
    <w:rsid w:val="3C850B8E"/>
    <w:rsid w:val="3C9B3F0D"/>
    <w:rsid w:val="3CB72746"/>
    <w:rsid w:val="3CB925E5"/>
    <w:rsid w:val="3CBA021E"/>
    <w:rsid w:val="3CCD7E3F"/>
    <w:rsid w:val="3D0047E4"/>
    <w:rsid w:val="3D015D3A"/>
    <w:rsid w:val="3D3B56F0"/>
    <w:rsid w:val="3D5B369C"/>
    <w:rsid w:val="3D5D7415"/>
    <w:rsid w:val="3D70539A"/>
    <w:rsid w:val="3D766728"/>
    <w:rsid w:val="3D9F7A2D"/>
    <w:rsid w:val="3DF15831"/>
    <w:rsid w:val="3E216C82"/>
    <w:rsid w:val="3E49293D"/>
    <w:rsid w:val="3E4D7489"/>
    <w:rsid w:val="3E554590"/>
    <w:rsid w:val="3E725142"/>
    <w:rsid w:val="3E7E7594"/>
    <w:rsid w:val="3E810EE1"/>
    <w:rsid w:val="3E9C5D1B"/>
    <w:rsid w:val="3EB5502E"/>
    <w:rsid w:val="3EB92D70"/>
    <w:rsid w:val="3F221B50"/>
    <w:rsid w:val="3F395C5F"/>
    <w:rsid w:val="3F6A4DBB"/>
    <w:rsid w:val="3F6E5909"/>
    <w:rsid w:val="3F7722E4"/>
    <w:rsid w:val="3F785DC7"/>
    <w:rsid w:val="3F7F7B16"/>
    <w:rsid w:val="3F870779"/>
    <w:rsid w:val="3FD80FD4"/>
    <w:rsid w:val="3FF86C17"/>
    <w:rsid w:val="3FFB4CC3"/>
    <w:rsid w:val="3FFC1167"/>
    <w:rsid w:val="40077B0C"/>
    <w:rsid w:val="400C112B"/>
    <w:rsid w:val="40224945"/>
    <w:rsid w:val="4043667C"/>
    <w:rsid w:val="404B5C4A"/>
    <w:rsid w:val="40503261"/>
    <w:rsid w:val="40664832"/>
    <w:rsid w:val="4084115C"/>
    <w:rsid w:val="4099592E"/>
    <w:rsid w:val="40B05AAD"/>
    <w:rsid w:val="40B53BBC"/>
    <w:rsid w:val="40B557B9"/>
    <w:rsid w:val="40B90E06"/>
    <w:rsid w:val="40C8470D"/>
    <w:rsid w:val="413D6362"/>
    <w:rsid w:val="41540B2E"/>
    <w:rsid w:val="415648A7"/>
    <w:rsid w:val="41727207"/>
    <w:rsid w:val="41962EF5"/>
    <w:rsid w:val="41970D3C"/>
    <w:rsid w:val="41A42FA1"/>
    <w:rsid w:val="41BB6E00"/>
    <w:rsid w:val="41CF62FB"/>
    <w:rsid w:val="41DE5079"/>
    <w:rsid w:val="42073DF3"/>
    <w:rsid w:val="422A57D8"/>
    <w:rsid w:val="42817701"/>
    <w:rsid w:val="428611BC"/>
    <w:rsid w:val="42B86E9B"/>
    <w:rsid w:val="42EE0B0F"/>
    <w:rsid w:val="430F11B1"/>
    <w:rsid w:val="43105F3B"/>
    <w:rsid w:val="431E31A2"/>
    <w:rsid w:val="43244531"/>
    <w:rsid w:val="434A043B"/>
    <w:rsid w:val="436463B1"/>
    <w:rsid w:val="43713C1A"/>
    <w:rsid w:val="43792ACE"/>
    <w:rsid w:val="437E1E93"/>
    <w:rsid w:val="43A538C3"/>
    <w:rsid w:val="43C57891"/>
    <w:rsid w:val="43C755E8"/>
    <w:rsid w:val="43DB5537"/>
    <w:rsid w:val="43DD305D"/>
    <w:rsid w:val="43E3619A"/>
    <w:rsid w:val="43E443EC"/>
    <w:rsid w:val="44254A04"/>
    <w:rsid w:val="44380293"/>
    <w:rsid w:val="447C4F51"/>
    <w:rsid w:val="447D65EE"/>
    <w:rsid w:val="44915BF6"/>
    <w:rsid w:val="44A43B7B"/>
    <w:rsid w:val="44B71B00"/>
    <w:rsid w:val="44B862E9"/>
    <w:rsid w:val="44C33557"/>
    <w:rsid w:val="44CB50EA"/>
    <w:rsid w:val="45082BE7"/>
    <w:rsid w:val="4528655A"/>
    <w:rsid w:val="453E5D7D"/>
    <w:rsid w:val="454B049A"/>
    <w:rsid w:val="455530C7"/>
    <w:rsid w:val="459341AF"/>
    <w:rsid w:val="459B4F7E"/>
    <w:rsid w:val="45A73923"/>
    <w:rsid w:val="45AA6F6F"/>
    <w:rsid w:val="45EB3492"/>
    <w:rsid w:val="4602706C"/>
    <w:rsid w:val="461E170B"/>
    <w:rsid w:val="464223D1"/>
    <w:rsid w:val="46584C1D"/>
    <w:rsid w:val="465A6BE7"/>
    <w:rsid w:val="466E4440"/>
    <w:rsid w:val="46733805"/>
    <w:rsid w:val="4678706D"/>
    <w:rsid w:val="46B856BC"/>
    <w:rsid w:val="46EE10DD"/>
    <w:rsid w:val="46F661E4"/>
    <w:rsid w:val="47013507"/>
    <w:rsid w:val="47046858"/>
    <w:rsid w:val="47103740"/>
    <w:rsid w:val="471A1ED2"/>
    <w:rsid w:val="471C3E9C"/>
    <w:rsid w:val="474653BD"/>
    <w:rsid w:val="47783A4F"/>
    <w:rsid w:val="47E524E0"/>
    <w:rsid w:val="47F646ED"/>
    <w:rsid w:val="4803505C"/>
    <w:rsid w:val="480A0199"/>
    <w:rsid w:val="483806BE"/>
    <w:rsid w:val="48623B31"/>
    <w:rsid w:val="48A57EC2"/>
    <w:rsid w:val="48AE4FC8"/>
    <w:rsid w:val="48BA396D"/>
    <w:rsid w:val="48BD16AF"/>
    <w:rsid w:val="48C20A74"/>
    <w:rsid w:val="48D73AF0"/>
    <w:rsid w:val="48D80297"/>
    <w:rsid w:val="48DF1625"/>
    <w:rsid w:val="48E56510"/>
    <w:rsid w:val="48F0738F"/>
    <w:rsid w:val="48F86243"/>
    <w:rsid w:val="49090450"/>
    <w:rsid w:val="491D214E"/>
    <w:rsid w:val="49395702"/>
    <w:rsid w:val="49843F7B"/>
    <w:rsid w:val="49A63EF1"/>
    <w:rsid w:val="49B91A00"/>
    <w:rsid w:val="49BC1967"/>
    <w:rsid w:val="49BC3715"/>
    <w:rsid w:val="4A0A4480"/>
    <w:rsid w:val="4A212A7E"/>
    <w:rsid w:val="4A3C6604"/>
    <w:rsid w:val="4A47036A"/>
    <w:rsid w:val="4A895CED"/>
    <w:rsid w:val="4AA20B5D"/>
    <w:rsid w:val="4AD4683C"/>
    <w:rsid w:val="4AD8632C"/>
    <w:rsid w:val="4AF15640"/>
    <w:rsid w:val="4AFA62A3"/>
    <w:rsid w:val="4B032B87"/>
    <w:rsid w:val="4B726781"/>
    <w:rsid w:val="4B9A1F15"/>
    <w:rsid w:val="4B9F1B8C"/>
    <w:rsid w:val="4BEF1B80"/>
    <w:rsid w:val="4BF03B4A"/>
    <w:rsid w:val="4C0272E2"/>
    <w:rsid w:val="4C0C0983"/>
    <w:rsid w:val="4C1149B8"/>
    <w:rsid w:val="4C15599C"/>
    <w:rsid w:val="4C431ECB"/>
    <w:rsid w:val="4C526437"/>
    <w:rsid w:val="4C675BBA"/>
    <w:rsid w:val="4C83676C"/>
    <w:rsid w:val="4CD6689C"/>
    <w:rsid w:val="4CED42AD"/>
    <w:rsid w:val="4D135D42"/>
    <w:rsid w:val="4D1473C4"/>
    <w:rsid w:val="4D4128AF"/>
    <w:rsid w:val="4D671BE9"/>
    <w:rsid w:val="4D9877DD"/>
    <w:rsid w:val="4DAB41CC"/>
    <w:rsid w:val="4DB87734"/>
    <w:rsid w:val="4DC1754C"/>
    <w:rsid w:val="4E201562"/>
    <w:rsid w:val="4E30570B"/>
    <w:rsid w:val="4E514358"/>
    <w:rsid w:val="4E5959D6"/>
    <w:rsid w:val="4E5C7274"/>
    <w:rsid w:val="4E5E2FEC"/>
    <w:rsid w:val="4E8567CB"/>
    <w:rsid w:val="4ED27537"/>
    <w:rsid w:val="4EFB6A8D"/>
    <w:rsid w:val="4F041DE6"/>
    <w:rsid w:val="4F053468"/>
    <w:rsid w:val="4F585C8E"/>
    <w:rsid w:val="4F672375"/>
    <w:rsid w:val="4F6B3C13"/>
    <w:rsid w:val="4F7D56F4"/>
    <w:rsid w:val="4F831673"/>
    <w:rsid w:val="4FAD4E98"/>
    <w:rsid w:val="4FC74BC1"/>
    <w:rsid w:val="4FCE7CFE"/>
    <w:rsid w:val="4FD277EE"/>
    <w:rsid w:val="504B134F"/>
    <w:rsid w:val="5052092F"/>
    <w:rsid w:val="508A6E38"/>
    <w:rsid w:val="508D1967"/>
    <w:rsid w:val="509C4C8B"/>
    <w:rsid w:val="50B25872"/>
    <w:rsid w:val="50B52C6C"/>
    <w:rsid w:val="50D21A70"/>
    <w:rsid w:val="50F814D6"/>
    <w:rsid w:val="51022355"/>
    <w:rsid w:val="5135219E"/>
    <w:rsid w:val="517F39A6"/>
    <w:rsid w:val="51A258E6"/>
    <w:rsid w:val="51A3614D"/>
    <w:rsid w:val="51A753BA"/>
    <w:rsid w:val="51C30881"/>
    <w:rsid w:val="51D535C6"/>
    <w:rsid w:val="51EB4B97"/>
    <w:rsid w:val="51FE1E87"/>
    <w:rsid w:val="522105B9"/>
    <w:rsid w:val="522D3402"/>
    <w:rsid w:val="52304CA0"/>
    <w:rsid w:val="5259656B"/>
    <w:rsid w:val="52946FDD"/>
    <w:rsid w:val="52B458D1"/>
    <w:rsid w:val="52E15F9A"/>
    <w:rsid w:val="5302663C"/>
    <w:rsid w:val="535B634F"/>
    <w:rsid w:val="53807561"/>
    <w:rsid w:val="539B34DD"/>
    <w:rsid w:val="53C71634"/>
    <w:rsid w:val="542919A7"/>
    <w:rsid w:val="54536CE2"/>
    <w:rsid w:val="546649A9"/>
    <w:rsid w:val="547A60F6"/>
    <w:rsid w:val="54A43723"/>
    <w:rsid w:val="54CC5154"/>
    <w:rsid w:val="54D758A7"/>
    <w:rsid w:val="54F41FB5"/>
    <w:rsid w:val="54F839CA"/>
    <w:rsid w:val="54FC530D"/>
    <w:rsid w:val="54FC70BB"/>
    <w:rsid w:val="550F5041"/>
    <w:rsid w:val="556472A9"/>
    <w:rsid w:val="55AA2FBB"/>
    <w:rsid w:val="55AB2768"/>
    <w:rsid w:val="55D87B28"/>
    <w:rsid w:val="55F14746"/>
    <w:rsid w:val="56326065"/>
    <w:rsid w:val="56397652"/>
    <w:rsid w:val="5640122A"/>
    <w:rsid w:val="565C2507"/>
    <w:rsid w:val="566118CC"/>
    <w:rsid w:val="566273F2"/>
    <w:rsid w:val="568850AA"/>
    <w:rsid w:val="56A23A63"/>
    <w:rsid w:val="56F91B04"/>
    <w:rsid w:val="56F95FA8"/>
    <w:rsid w:val="572D5C52"/>
    <w:rsid w:val="572F19CA"/>
    <w:rsid w:val="578D66F1"/>
    <w:rsid w:val="579256F9"/>
    <w:rsid w:val="57A777B2"/>
    <w:rsid w:val="57B1418D"/>
    <w:rsid w:val="57B65C47"/>
    <w:rsid w:val="57C71247"/>
    <w:rsid w:val="57CF2661"/>
    <w:rsid w:val="57DA7B88"/>
    <w:rsid w:val="58020E8D"/>
    <w:rsid w:val="58134E48"/>
    <w:rsid w:val="583152CE"/>
    <w:rsid w:val="58337298"/>
    <w:rsid w:val="5838665C"/>
    <w:rsid w:val="58680DC2"/>
    <w:rsid w:val="58711B6E"/>
    <w:rsid w:val="58733B38"/>
    <w:rsid w:val="588673C8"/>
    <w:rsid w:val="58E02A3F"/>
    <w:rsid w:val="58F05189"/>
    <w:rsid w:val="5900361E"/>
    <w:rsid w:val="592F7A5F"/>
    <w:rsid w:val="59345076"/>
    <w:rsid w:val="59575208"/>
    <w:rsid w:val="595C12A3"/>
    <w:rsid w:val="59745DBA"/>
    <w:rsid w:val="597C465F"/>
    <w:rsid w:val="598C7161"/>
    <w:rsid w:val="5993422B"/>
    <w:rsid w:val="5996188C"/>
    <w:rsid w:val="5999312B"/>
    <w:rsid w:val="599E4BE5"/>
    <w:rsid w:val="599F1D1D"/>
    <w:rsid w:val="59BF7377"/>
    <w:rsid w:val="59C77C98"/>
    <w:rsid w:val="59DE1485"/>
    <w:rsid w:val="59E7658C"/>
    <w:rsid w:val="59E940B2"/>
    <w:rsid w:val="5A00764E"/>
    <w:rsid w:val="5A33357F"/>
    <w:rsid w:val="5A3B2434"/>
    <w:rsid w:val="5A673229"/>
    <w:rsid w:val="5A6951F3"/>
    <w:rsid w:val="5A851901"/>
    <w:rsid w:val="5A8718DC"/>
    <w:rsid w:val="5A9F0C15"/>
    <w:rsid w:val="5AD36B10"/>
    <w:rsid w:val="5AE64A95"/>
    <w:rsid w:val="5B0F614B"/>
    <w:rsid w:val="5B1146F6"/>
    <w:rsid w:val="5B137EF8"/>
    <w:rsid w:val="5B174C4F"/>
    <w:rsid w:val="5B1F1DFE"/>
    <w:rsid w:val="5B322D65"/>
    <w:rsid w:val="5BBC75A4"/>
    <w:rsid w:val="5BCC4E68"/>
    <w:rsid w:val="5C084598"/>
    <w:rsid w:val="5C0E6052"/>
    <w:rsid w:val="5C29409E"/>
    <w:rsid w:val="5C2A177C"/>
    <w:rsid w:val="5C2C472A"/>
    <w:rsid w:val="5C38700F"/>
    <w:rsid w:val="5C4E644E"/>
    <w:rsid w:val="5C606182"/>
    <w:rsid w:val="5C8C341B"/>
    <w:rsid w:val="5C8F6A67"/>
    <w:rsid w:val="5C9B365E"/>
    <w:rsid w:val="5CC069BB"/>
    <w:rsid w:val="5CC74453"/>
    <w:rsid w:val="5CD1707F"/>
    <w:rsid w:val="5CD8040E"/>
    <w:rsid w:val="5D01298C"/>
    <w:rsid w:val="5D0905C7"/>
    <w:rsid w:val="5D206DB4"/>
    <w:rsid w:val="5D292A17"/>
    <w:rsid w:val="5D5061F6"/>
    <w:rsid w:val="5D6D0B56"/>
    <w:rsid w:val="5D7A3273"/>
    <w:rsid w:val="5DE057CC"/>
    <w:rsid w:val="5DEA03F9"/>
    <w:rsid w:val="5DED1C97"/>
    <w:rsid w:val="5DF41277"/>
    <w:rsid w:val="5E043D85"/>
    <w:rsid w:val="5E0D40E7"/>
    <w:rsid w:val="5E313D5F"/>
    <w:rsid w:val="5E3653EC"/>
    <w:rsid w:val="5E510503"/>
    <w:rsid w:val="5E5D6E1D"/>
    <w:rsid w:val="5E6E2DD8"/>
    <w:rsid w:val="5E7540E3"/>
    <w:rsid w:val="5E8B1BDC"/>
    <w:rsid w:val="5E920286"/>
    <w:rsid w:val="5E93321A"/>
    <w:rsid w:val="5E9B7945"/>
    <w:rsid w:val="5EBD5B0D"/>
    <w:rsid w:val="5EF17565"/>
    <w:rsid w:val="5F07293D"/>
    <w:rsid w:val="5F1B4F3C"/>
    <w:rsid w:val="5F2B6F1B"/>
    <w:rsid w:val="5F335DCF"/>
    <w:rsid w:val="5F351B48"/>
    <w:rsid w:val="5F475456"/>
    <w:rsid w:val="5F4C0C3F"/>
    <w:rsid w:val="5FC058B5"/>
    <w:rsid w:val="5FE1582B"/>
    <w:rsid w:val="5FF146ED"/>
    <w:rsid w:val="5FF23595"/>
    <w:rsid w:val="5FF437B1"/>
    <w:rsid w:val="6003045E"/>
    <w:rsid w:val="600357A2"/>
    <w:rsid w:val="601C4AB5"/>
    <w:rsid w:val="6037544B"/>
    <w:rsid w:val="6062071A"/>
    <w:rsid w:val="608D150F"/>
    <w:rsid w:val="60CF58E8"/>
    <w:rsid w:val="61167757"/>
    <w:rsid w:val="611D2893"/>
    <w:rsid w:val="613D1187"/>
    <w:rsid w:val="614442C4"/>
    <w:rsid w:val="614C4F26"/>
    <w:rsid w:val="616E30EF"/>
    <w:rsid w:val="61750921"/>
    <w:rsid w:val="617A5F38"/>
    <w:rsid w:val="618446C0"/>
    <w:rsid w:val="61926DDD"/>
    <w:rsid w:val="619743F4"/>
    <w:rsid w:val="61A06982"/>
    <w:rsid w:val="621719D8"/>
    <w:rsid w:val="62386256"/>
    <w:rsid w:val="627961EF"/>
    <w:rsid w:val="627A3766"/>
    <w:rsid w:val="62D11B87"/>
    <w:rsid w:val="62E80EC0"/>
    <w:rsid w:val="63191293"/>
    <w:rsid w:val="631D301E"/>
    <w:rsid w:val="631F49AF"/>
    <w:rsid w:val="632717A7"/>
    <w:rsid w:val="63612F0B"/>
    <w:rsid w:val="63750765"/>
    <w:rsid w:val="6384309D"/>
    <w:rsid w:val="638C5AAE"/>
    <w:rsid w:val="638D0589"/>
    <w:rsid w:val="63B3128D"/>
    <w:rsid w:val="63CE39A4"/>
    <w:rsid w:val="63D27965"/>
    <w:rsid w:val="63F20007"/>
    <w:rsid w:val="64025D70"/>
    <w:rsid w:val="643017E4"/>
    <w:rsid w:val="64410F8F"/>
    <w:rsid w:val="6446190A"/>
    <w:rsid w:val="644840CB"/>
    <w:rsid w:val="645667E8"/>
    <w:rsid w:val="64966BE4"/>
    <w:rsid w:val="64B452BD"/>
    <w:rsid w:val="650B5FD4"/>
    <w:rsid w:val="651144BD"/>
    <w:rsid w:val="65165F77"/>
    <w:rsid w:val="653871F2"/>
    <w:rsid w:val="654A5C21"/>
    <w:rsid w:val="655D7702"/>
    <w:rsid w:val="656E190F"/>
    <w:rsid w:val="65827169"/>
    <w:rsid w:val="65A17F37"/>
    <w:rsid w:val="65BE67B8"/>
    <w:rsid w:val="65D86825"/>
    <w:rsid w:val="65F75DA9"/>
    <w:rsid w:val="65FE0EE5"/>
    <w:rsid w:val="661C75BD"/>
    <w:rsid w:val="663F14FE"/>
    <w:rsid w:val="664D7777"/>
    <w:rsid w:val="66501015"/>
    <w:rsid w:val="66707909"/>
    <w:rsid w:val="66B141AA"/>
    <w:rsid w:val="66B27F22"/>
    <w:rsid w:val="66CD4D5B"/>
    <w:rsid w:val="66E0683D"/>
    <w:rsid w:val="670330BC"/>
    <w:rsid w:val="672030DD"/>
    <w:rsid w:val="67281F92"/>
    <w:rsid w:val="67403DBF"/>
    <w:rsid w:val="67470A9D"/>
    <w:rsid w:val="67717495"/>
    <w:rsid w:val="6773145F"/>
    <w:rsid w:val="677B6565"/>
    <w:rsid w:val="67B90B06"/>
    <w:rsid w:val="67DA7730"/>
    <w:rsid w:val="67FA56DC"/>
    <w:rsid w:val="681A3FD0"/>
    <w:rsid w:val="68490412"/>
    <w:rsid w:val="686F7E78"/>
    <w:rsid w:val="6885769C"/>
    <w:rsid w:val="6888718C"/>
    <w:rsid w:val="68A44B73"/>
    <w:rsid w:val="68B25FB7"/>
    <w:rsid w:val="68C21D0E"/>
    <w:rsid w:val="69063C5F"/>
    <w:rsid w:val="69164798"/>
    <w:rsid w:val="693410C2"/>
    <w:rsid w:val="695A4266"/>
    <w:rsid w:val="696574CD"/>
    <w:rsid w:val="69A43B52"/>
    <w:rsid w:val="69BF6BDD"/>
    <w:rsid w:val="69D837FB"/>
    <w:rsid w:val="69DA34A1"/>
    <w:rsid w:val="6A002D52"/>
    <w:rsid w:val="6A10568B"/>
    <w:rsid w:val="6A246A40"/>
    <w:rsid w:val="6A9C6F1F"/>
    <w:rsid w:val="6ABA1153"/>
    <w:rsid w:val="6AC87D14"/>
    <w:rsid w:val="6AF44665"/>
    <w:rsid w:val="6B225676"/>
    <w:rsid w:val="6BBC4B28"/>
    <w:rsid w:val="6BBF1117"/>
    <w:rsid w:val="6BDB75D3"/>
    <w:rsid w:val="6BF15048"/>
    <w:rsid w:val="6BF80185"/>
    <w:rsid w:val="6C240F7A"/>
    <w:rsid w:val="6C2B055A"/>
    <w:rsid w:val="6C423AF6"/>
    <w:rsid w:val="6C5008E1"/>
    <w:rsid w:val="6C6475C8"/>
    <w:rsid w:val="6C783074"/>
    <w:rsid w:val="6C7E26B5"/>
    <w:rsid w:val="6C8A72E3"/>
    <w:rsid w:val="6C923EBF"/>
    <w:rsid w:val="6CEC4142"/>
    <w:rsid w:val="6D0D7C60"/>
    <w:rsid w:val="6D1D49F8"/>
    <w:rsid w:val="6D2D3E5E"/>
    <w:rsid w:val="6D505D9E"/>
    <w:rsid w:val="6D6106BA"/>
    <w:rsid w:val="6D725D15"/>
    <w:rsid w:val="6D8F2D6B"/>
    <w:rsid w:val="6DA85BDA"/>
    <w:rsid w:val="6DC76061"/>
    <w:rsid w:val="6DE2064C"/>
    <w:rsid w:val="6DE5124D"/>
    <w:rsid w:val="6DEB3222"/>
    <w:rsid w:val="6E0C43BB"/>
    <w:rsid w:val="6E184B0E"/>
    <w:rsid w:val="6E453429"/>
    <w:rsid w:val="6E59211A"/>
    <w:rsid w:val="6E661D1D"/>
    <w:rsid w:val="6E6C4E5A"/>
    <w:rsid w:val="6E881EF9"/>
    <w:rsid w:val="6EB26D11"/>
    <w:rsid w:val="6EE844E0"/>
    <w:rsid w:val="6EF07839"/>
    <w:rsid w:val="6EFE1F56"/>
    <w:rsid w:val="6EFE5D91"/>
    <w:rsid w:val="6F2F65B3"/>
    <w:rsid w:val="6F79782E"/>
    <w:rsid w:val="6F8062C9"/>
    <w:rsid w:val="6F814935"/>
    <w:rsid w:val="6FB2689C"/>
    <w:rsid w:val="6FC4358D"/>
    <w:rsid w:val="6FD40F09"/>
    <w:rsid w:val="6FF128C8"/>
    <w:rsid w:val="6FF60E7F"/>
    <w:rsid w:val="6FFB6495"/>
    <w:rsid w:val="6FFD4164"/>
    <w:rsid w:val="702E686B"/>
    <w:rsid w:val="704E206D"/>
    <w:rsid w:val="706C1141"/>
    <w:rsid w:val="70AE52B6"/>
    <w:rsid w:val="70BA2CE7"/>
    <w:rsid w:val="70C525FF"/>
    <w:rsid w:val="70C8281B"/>
    <w:rsid w:val="70CB269D"/>
    <w:rsid w:val="70D34D1C"/>
    <w:rsid w:val="70F76C5D"/>
    <w:rsid w:val="71016B75"/>
    <w:rsid w:val="713C6D66"/>
    <w:rsid w:val="717D0F74"/>
    <w:rsid w:val="71820EF5"/>
    <w:rsid w:val="71DB1D5C"/>
    <w:rsid w:val="71DD2CB4"/>
    <w:rsid w:val="71DE7943"/>
    <w:rsid w:val="72011973"/>
    <w:rsid w:val="72563E57"/>
    <w:rsid w:val="72D059B7"/>
    <w:rsid w:val="72DA6836"/>
    <w:rsid w:val="72F21DD2"/>
    <w:rsid w:val="72FF629D"/>
    <w:rsid w:val="730022F6"/>
    <w:rsid w:val="730B7C13"/>
    <w:rsid w:val="73184022"/>
    <w:rsid w:val="732301DD"/>
    <w:rsid w:val="732950C8"/>
    <w:rsid w:val="735E76C4"/>
    <w:rsid w:val="73BA21C4"/>
    <w:rsid w:val="73BE3A62"/>
    <w:rsid w:val="73C60B68"/>
    <w:rsid w:val="73D72D76"/>
    <w:rsid w:val="73DC65DE"/>
    <w:rsid w:val="73E334C8"/>
    <w:rsid w:val="73E831D5"/>
    <w:rsid w:val="73FD2CDB"/>
    <w:rsid w:val="74024296"/>
    <w:rsid w:val="74171692"/>
    <w:rsid w:val="74185868"/>
    <w:rsid w:val="741E09A4"/>
    <w:rsid w:val="742510D0"/>
    <w:rsid w:val="74257F85"/>
    <w:rsid w:val="744F0B5E"/>
    <w:rsid w:val="747D2327"/>
    <w:rsid w:val="7487479C"/>
    <w:rsid w:val="748A7DE8"/>
    <w:rsid w:val="748F53FE"/>
    <w:rsid w:val="749A44CF"/>
    <w:rsid w:val="749B2612"/>
    <w:rsid w:val="74B27104"/>
    <w:rsid w:val="74D914FB"/>
    <w:rsid w:val="74F55BA9"/>
    <w:rsid w:val="74F6722B"/>
    <w:rsid w:val="75120509"/>
    <w:rsid w:val="751A53DD"/>
    <w:rsid w:val="753C37D8"/>
    <w:rsid w:val="754D1541"/>
    <w:rsid w:val="75504B8E"/>
    <w:rsid w:val="756036A9"/>
    <w:rsid w:val="75846F2D"/>
    <w:rsid w:val="75C86E1A"/>
    <w:rsid w:val="76191423"/>
    <w:rsid w:val="76326989"/>
    <w:rsid w:val="76562678"/>
    <w:rsid w:val="7662101C"/>
    <w:rsid w:val="76880357"/>
    <w:rsid w:val="768D3BBF"/>
    <w:rsid w:val="76944F4E"/>
    <w:rsid w:val="76F31C74"/>
    <w:rsid w:val="77061B39"/>
    <w:rsid w:val="7718792D"/>
    <w:rsid w:val="774D3A7A"/>
    <w:rsid w:val="778E4093"/>
    <w:rsid w:val="77B21B30"/>
    <w:rsid w:val="77BC475C"/>
    <w:rsid w:val="77BE0D98"/>
    <w:rsid w:val="77D0645A"/>
    <w:rsid w:val="77D575CC"/>
    <w:rsid w:val="77D965A0"/>
    <w:rsid w:val="77F35CA4"/>
    <w:rsid w:val="77FC484A"/>
    <w:rsid w:val="78012518"/>
    <w:rsid w:val="782B0A4B"/>
    <w:rsid w:val="782C5979"/>
    <w:rsid w:val="783E7867"/>
    <w:rsid w:val="7847671C"/>
    <w:rsid w:val="787605EE"/>
    <w:rsid w:val="788F3C1F"/>
    <w:rsid w:val="789254BD"/>
    <w:rsid w:val="78A75815"/>
    <w:rsid w:val="78A84CE1"/>
    <w:rsid w:val="78AE679B"/>
    <w:rsid w:val="79002D6F"/>
    <w:rsid w:val="790E7239"/>
    <w:rsid w:val="791660EE"/>
    <w:rsid w:val="791F31F5"/>
    <w:rsid w:val="79652BD2"/>
    <w:rsid w:val="79751DE3"/>
    <w:rsid w:val="798968C0"/>
    <w:rsid w:val="79D815F5"/>
    <w:rsid w:val="79E26A94"/>
    <w:rsid w:val="79FD2E0A"/>
    <w:rsid w:val="7A083C89"/>
    <w:rsid w:val="7A1E674C"/>
    <w:rsid w:val="7A311E86"/>
    <w:rsid w:val="7A55245C"/>
    <w:rsid w:val="7A57076C"/>
    <w:rsid w:val="7A8D0632"/>
    <w:rsid w:val="7A951295"/>
    <w:rsid w:val="7A996FD7"/>
    <w:rsid w:val="7AA339B1"/>
    <w:rsid w:val="7ABE6F73"/>
    <w:rsid w:val="7AE244DA"/>
    <w:rsid w:val="7AF16E13"/>
    <w:rsid w:val="7B2F3497"/>
    <w:rsid w:val="7B48416D"/>
    <w:rsid w:val="7B5B0730"/>
    <w:rsid w:val="7B7A2964"/>
    <w:rsid w:val="7B7B492E"/>
    <w:rsid w:val="7B821819"/>
    <w:rsid w:val="7BAC4AE8"/>
    <w:rsid w:val="7BDD2EF3"/>
    <w:rsid w:val="7BE91898"/>
    <w:rsid w:val="7BFF730D"/>
    <w:rsid w:val="7C014E34"/>
    <w:rsid w:val="7C574A54"/>
    <w:rsid w:val="7C701FB9"/>
    <w:rsid w:val="7C857813"/>
    <w:rsid w:val="7C9C690A"/>
    <w:rsid w:val="7CDE73E0"/>
    <w:rsid w:val="7D036989"/>
    <w:rsid w:val="7D045BA4"/>
    <w:rsid w:val="7D1172F8"/>
    <w:rsid w:val="7D4738E4"/>
    <w:rsid w:val="7D4F1BCF"/>
    <w:rsid w:val="7D7B6E68"/>
    <w:rsid w:val="7DAC0DCF"/>
    <w:rsid w:val="7E0B010E"/>
    <w:rsid w:val="7E113B1E"/>
    <w:rsid w:val="7E1369B7"/>
    <w:rsid w:val="7E372159"/>
    <w:rsid w:val="7E461224"/>
    <w:rsid w:val="7E590F57"/>
    <w:rsid w:val="7EAF501B"/>
    <w:rsid w:val="7EC47386"/>
    <w:rsid w:val="7EE12CFA"/>
    <w:rsid w:val="7EE34CC4"/>
    <w:rsid w:val="7EEF18BB"/>
    <w:rsid w:val="7F080287"/>
    <w:rsid w:val="7F1255AA"/>
    <w:rsid w:val="7F491DA9"/>
    <w:rsid w:val="7F4C4618"/>
    <w:rsid w:val="7F8C0EB8"/>
    <w:rsid w:val="7F9164CE"/>
    <w:rsid w:val="7FB623D9"/>
    <w:rsid w:val="7FE707E4"/>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uiPriority w:val="0"/>
    <w:rPr>
      <w:color w:val="0000FF"/>
      <w:u w:val="single"/>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621</Words>
  <Characters>661</Characters>
  <Lines>1850</Lines>
  <Paragraphs>1270</Paragraphs>
  <TotalTime>3</TotalTime>
  <ScaleCrop>false</ScaleCrop>
  <LinksUpToDate>false</LinksUpToDate>
  <CharactersWithSpaces>978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vv</cp:lastModifiedBy>
  <cp:lastPrinted>2026-03-24T12:21:25Z</cp:lastPrinted>
  <dcterms:modified xsi:type="dcterms:W3CDTF">2026-03-24T13:22:23Z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3CB60F979A7F470B8A886D11FE816390_13</vt:lpwstr>
  </property>
  <property fmtid="{D5CDD505-2E9C-101B-9397-08002B2CF9AE}" pid="4" name="KSOTemplateDocerSaveRecord">
    <vt:lpwstr>eyJoZGlkIjoiNDU2N2I3ZWNjZDY1ZDVhNjNiNjIxMDdlZjMyNjcxOWEiLCJ1c2VySWQiOiI4MTAzODczOTgifQ==</vt:lpwstr>
  </property>
</Properties>
</file>